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0C3A7C">
      <w:pPr>
        <w:spacing w:line="259" w:lineRule="auto"/>
        <w:jc w:val="both"/>
        <w:rPr>
          <w:rFonts w:eastAsia="宋体"/>
          <w:color w:val="auto"/>
          <w:highlight w:val="none"/>
        </w:rPr>
      </w:pPr>
    </w:p>
    <w:p w14:paraId="1291B79D">
      <w:pPr>
        <w:spacing w:line="259" w:lineRule="auto"/>
        <w:jc w:val="both"/>
        <w:rPr>
          <w:color w:val="auto"/>
          <w:highlight w:val="none"/>
        </w:rPr>
      </w:pPr>
    </w:p>
    <w:p w14:paraId="1CFD0A88">
      <w:pPr>
        <w:spacing w:line="259" w:lineRule="auto"/>
        <w:jc w:val="both"/>
        <w:rPr>
          <w:color w:val="auto"/>
          <w:highlight w:val="none"/>
        </w:rPr>
      </w:pPr>
    </w:p>
    <w:p w14:paraId="7CF4CD2B">
      <w:pPr>
        <w:spacing w:line="259" w:lineRule="auto"/>
        <w:jc w:val="both"/>
        <w:rPr>
          <w:color w:val="auto"/>
          <w:highlight w:val="none"/>
        </w:rPr>
      </w:pPr>
    </w:p>
    <w:p w14:paraId="786D2847">
      <w:pPr>
        <w:spacing w:line="259" w:lineRule="auto"/>
        <w:jc w:val="both"/>
        <w:rPr>
          <w:color w:val="auto"/>
          <w:highlight w:val="none"/>
        </w:rPr>
      </w:pPr>
    </w:p>
    <w:p w14:paraId="3D02FFA2">
      <w:pPr>
        <w:spacing w:line="259" w:lineRule="auto"/>
        <w:jc w:val="both"/>
        <w:rPr>
          <w:color w:val="auto"/>
          <w:highlight w:val="none"/>
        </w:rPr>
      </w:pPr>
    </w:p>
    <w:p w14:paraId="635B17AB">
      <w:pPr>
        <w:pStyle w:val="19"/>
        <w:outlineLvl w:val="0"/>
        <w:rPr>
          <w:rFonts w:hint="eastAsia" w:ascii="方正小标宋简体" w:hAnsi="方正小标宋简体" w:eastAsia="方正小标宋简体" w:cs="方正小标宋简体"/>
          <w:b w:val="0"/>
          <w:bCs w:val="0"/>
          <w:snapToGrid/>
          <w:color w:val="auto"/>
          <w:kern w:val="2"/>
          <w:sz w:val="52"/>
          <w:szCs w:val="52"/>
          <w:highlight w:val="none"/>
        </w:rPr>
      </w:pPr>
      <w:bookmarkStart w:id="0" w:name="_Toc29958"/>
      <w:bookmarkStart w:id="1" w:name="_Toc10937"/>
      <w:bookmarkStart w:id="2" w:name="_Toc16577"/>
      <w:bookmarkStart w:id="3" w:name="_Toc9651"/>
      <w:r>
        <w:rPr>
          <w:rFonts w:hint="eastAsia" w:ascii="方正小标宋简体" w:hAnsi="方正小标宋简体" w:eastAsia="方正小标宋简体" w:cs="方正小标宋简体"/>
          <w:b w:val="0"/>
          <w:bCs w:val="0"/>
          <w:snapToGrid/>
          <w:color w:val="auto"/>
          <w:kern w:val="2"/>
          <w:sz w:val="52"/>
          <w:szCs w:val="52"/>
          <w:highlight w:val="none"/>
        </w:rPr>
        <w:t>绍兴市房屋建筑和市政基础设施货物</w:t>
      </w:r>
      <w:bookmarkEnd w:id="0"/>
      <w:bookmarkEnd w:id="1"/>
      <w:bookmarkEnd w:id="2"/>
      <w:bookmarkEnd w:id="3"/>
    </w:p>
    <w:p w14:paraId="09264C8F">
      <w:pPr>
        <w:widowControl w:val="0"/>
        <w:kinsoku/>
        <w:autoSpaceDE/>
        <w:autoSpaceDN/>
        <w:adjustRightInd/>
        <w:snapToGrid/>
        <w:jc w:val="center"/>
        <w:textAlignment w:val="auto"/>
        <w:rPr>
          <w:rFonts w:ascii="Arial Unicode MS" w:eastAsia="Arial Unicode MS" w:cs="Times New Roman"/>
          <w:snapToGrid/>
          <w:color w:val="auto"/>
          <w:kern w:val="2"/>
          <w:sz w:val="52"/>
          <w:szCs w:val="52"/>
          <w:highlight w:val="none"/>
        </w:rPr>
      </w:pPr>
      <w:r>
        <w:rPr>
          <w:rFonts w:hint="eastAsia" w:ascii="方正小标宋简体" w:hAnsi="方正小标宋简体" w:eastAsia="方正小标宋简体" w:cs="方正小标宋简体"/>
          <w:b w:val="0"/>
          <w:bCs w:val="0"/>
          <w:snapToGrid/>
          <w:color w:val="auto"/>
          <w:kern w:val="2"/>
          <w:sz w:val="52"/>
          <w:szCs w:val="52"/>
          <w:highlight w:val="none"/>
        </w:rPr>
        <w:t>招标文件</w:t>
      </w:r>
    </w:p>
    <w:p w14:paraId="2208CE35">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1DD22577">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220F3C0D">
      <w:pPr>
        <w:pStyle w:val="10"/>
        <w:jc w:val="center"/>
        <w:rPr>
          <w:rFonts w:eastAsia="宋体"/>
          <w:color w:val="auto"/>
          <w:highlight w:val="none"/>
        </w:rPr>
      </w:pPr>
    </w:p>
    <w:p w14:paraId="1ADFA409">
      <w:pPr>
        <w:widowControl w:val="0"/>
        <w:kinsoku/>
        <w:autoSpaceDE/>
        <w:autoSpaceDN/>
        <w:adjustRightInd/>
        <w:snapToGrid/>
        <w:jc w:val="center"/>
        <w:textAlignment w:val="auto"/>
        <w:rPr>
          <w:rFonts w:hint="eastAsia" w:ascii="宋体" w:eastAsia="宋体" w:cs="Times New Roman"/>
          <w:snapToGrid/>
          <w:color w:val="auto"/>
          <w:kern w:val="2"/>
          <w:sz w:val="48"/>
          <w:szCs w:val="48"/>
          <w:highlight w:val="none"/>
          <w:lang w:eastAsia="zh-CN"/>
        </w:rPr>
      </w:pPr>
      <w:r>
        <w:rPr>
          <w:rFonts w:hint="eastAsia" w:ascii="宋体" w:eastAsia="宋体" w:cs="Times New Roman"/>
          <w:snapToGrid/>
          <w:color w:val="auto"/>
          <w:kern w:val="2"/>
          <w:sz w:val="48"/>
          <w:szCs w:val="48"/>
          <w:highlight w:val="none"/>
        </w:rPr>
        <w:t>（2024-01版）20241</w:t>
      </w:r>
      <w:r>
        <w:rPr>
          <w:rFonts w:hint="eastAsia" w:ascii="宋体" w:eastAsia="宋体" w:cs="Times New Roman"/>
          <w:snapToGrid/>
          <w:color w:val="auto"/>
          <w:kern w:val="2"/>
          <w:sz w:val="48"/>
          <w:szCs w:val="48"/>
          <w:highlight w:val="none"/>
          <w:lang w:val="en-US" w:eastAsia="zh-CN"/>
        </w:rPr>
        <w:t>2</w:t>
      </w:r>
      <w:r>
        <w:rPr>
          <w:rFonts w:hint="eastAsia" w:ascii="宋体" w:eastAsia="宋体" w:cs="Times New Roman"/>
          <w:snapToGrid/>
          <w:color w:val="auto"/>
          <w:kern w:val="2"/>
          <w:sz w:val="48"/>
          <w:szCs w:val="48"/>
          <w:highlight w:val="none"/>
        </w:rPr>
        <w:t>0</w:t>
      </w:r>
      <w:r>
        <w:rPr>
          <w:rFonts w:hint="eastAsia" w:ascii="宋体" w:eastAsia="宋体" w:cs="Times New Roman"/>
          <w:snapToGrid/>
          <w:color w:val="auto"/>
          <w:kern w:val="2"/>
          <w:sz w:val="48"/>
          <w:szCs w:val="48"/>
          <w:highlight w:val="none"/>
          <w:lang w:val="en-US" w:eastAsia="zh-CN"/>
        </w:rPr>
        <w:t>5</w:t>
      </w:r>
    </w:p>
    <w:p w14:paraId="22D63596">
      <w:pPr>
        <w:widowControl w:val="0"/>
        <w:kinsoku/>
        <w:autoSpaceDE/>
        <w:autoSpaceDN/>
        <w:adjustRightInd/>
        <w:snapToGrid/>
        <w:jc w:val="center"/>
        <w:textAlignment w:val="auto"/>
        <w:rPr>
          <w:rFonts w:ascii="宋体" w:eastAsia="宋体" w:cs="Times New Roman"/>
          <w:snapToGrid/>
          <w:color w:val="auto"/>
          <w:kern w:val="2"/>
          <w:sz w:val="48"/>
          <w:szCs w:val="48"/>
          <w:highlight w:val="none"/>
        </w:rPr>
      </w:pPr>
    </w:p>
    <w:p w14:paraId="7AC8C6D0">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3018247D">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4F8C1486">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63ABACB9">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00FC1631">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722E710D">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03D6BC8C">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21E17633">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7CBF13AC">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33A19E06">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7C8DAB9F">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79D06570">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2B7DE1DC">
      <w:pPr>
        <w:widowControl w:val="0"/>
        <w:tabs>
          <w:tab w:val="left" w:pos="6627"/>
        </w:tabs>
        <w:kinsoku/>
        <w:autoSpaceDE/>
        <w:autoSpaceDN/>
        <w:adjustRightInd/>
        <w:snapToGrid/>
        <w:jc w:val="center"/>
        <w:textAlignment w:val="auto"/>
        <w:rPr>
          <w:rFonts w:ascii="宋体" w:eastAsia="宋体" w:cs="Times New Roman"/>
          <w:b/>
          <w:snapToGrid/>
          <w:color w:val="auto"/>
          <w:kern w:val="2"/>
          <w:sz w:val="32"/>
          <w:szCs w:val="24"/>
          <w:highlight w:val="none"/>
        </w:rPr>
      </w:pPr>
    </w:p>
    <w:p w14:paraId="65C0B8E1">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3484BCE1">
      <w:pPr>
        <w:widowControl w:val="0"/>
        <w:kinsoku/>
        <w:autoSpaceDE/>
        <w:autoSpaceDN/>
        <w:adjustRightInd/>
        <w:snapToGrid/>
        <w:jc w:val="center"/>
        <w:textAlignment w:val="auto"/>
        <w:rPr>
          <w:rFonts w:ascii="宋体" w:eastAsia="宋体" w:cs="Times New Roman"/>
          <w:b/>
          <w:snapToGrid/>
          <w:color w:val="auto"/>
          <w:kern w:val="2"/>
          <w:sz w:val="32"/>
          <w:szCs w:val="24"/>
          <w:highlight w:val="none"/>
        </w:rPr>
      </w:pPr>
    </w:p>
    <w:p w14:paraId="335592F7">
      <w:pPr>
        <w:widowControl w:val="0"/>
        <w:kinsoku/>
        <w:autoSpaceDE/>
        <w:autoSpaceDN/>
        <w:adjustRightInd/>
        <w:snapToGrid/>
        <w:jc w:val="center"/>
        <w:textAlignment w:val="auto"/>
        <w:outlineLvl w:val="0"/>
        <w:rPr>
          <w:rFonts w:ascii="宋体" w:eastAsia="宋体" w:cs="Times New Roman"/>
          <w:b/>
          <w:snapToGrid/>
          <w:color w:val="auto"/>
          <w:kern w:val="2"/>
          <w:sz w:val="44"/>
          <w:szCs w:val="44"/>
          <w:highlight w:val="none"/>
        </w:rPr>
      </w:pPr>
      <w:bookmarkStart w:id="4" w:name="_Toc15598"/>
      <w:bookmarkStart w:id="5" w:name="_Toc9746"/>
      <w:bookmarkStart w:id="6" w:name="_Toc30232"/>
      <w:bookmarkStart w:id="7" w:name="_Toc6817"/>
      <w:r>
        <w:rPr>
          <w:rFonts w:hint="eastAsia" w:ascii="宋体" w:eastAsia="宋体" w:cs="Times New Roman"/>
          <w:b/>
          <w:snapToGrid/>
          <w:color w:val="auto"/>
          <w:kern w:val="2"/>
          <w:sz w:val="44"/>
          <w:szCs w:val="44"/>
          <w:highlight w:val="none"/>
        </w:rPr>
        <w:t>绍兴市政务服务办公室</w:t>
      </w:r>
      <w:bookmarkEnd w:id="4"/>
      <w:bookmarkEnd w:id="5"/>
      <w:bookmarkEnd w:id="6"/>
      <w:bookmarkEnd w:id="7"/>
    </w:p>
    <w:p w14:paraId="52108DF3">
      <w:pPr>
        <w:pStyle w:val="10"/>
        <w:rPr>
          <w:rFonts w:eastAsia="宋体"/>
          <w:color w:val="auto"/>
          <w:highlight w:val="none"/>
        </w:rPr>
      </w:pPr>
    </w:p>
    <w:p w14:paraId="78D6D5AC">
      <w:pPr>
        <w:pStyle w:val="10"/>
        <w:jc w:val="center"/>
        <w:rPr>
          <w:rFonts w:eastAsia="宋体"/>
          <w:color w:val="auto"/>
          <w:highlight w:val="none"/>
        </w:rPr>
      </w:pPr>
      <w:r>
        <w:rPr>
          <w:rFonts w:hint="eastAsia" w:ascii="宋体" w:hAnsi="宋体"/>
          <w:b/>
          <w:color w:val="auto"/>
          <w:sz w:val="44"/>
          <w:szCs w:val="44"/>
          <w:highlight w:val="none"/>
        </w:rPr>
        <w:t>二〇二</w:t>
      </w:r>
      <w:r>
        <w:rPr>
          <w:rFonts w:hint="eastAsia" w:ascii="宋体" w:eastAsia="宋体"/>
          <w:b/>
          <w:color w:val="auto"/>
          <w:sz w:val="44"/>
          <w:szCs w:val="44"/>
          <w:highlight w:val="none"/>
        </w:rPr>
        <w:t>四</w:t>
      </w:r>
      <w:r>
        <w:rPr>
          <w:rFonts w:hint="eastAsia" w:ascii="宋体" w:hAnsi="宋体"/>
          <w:b/>
          <w:color w:val="auto"/>
          <w:sz w:val="44"/>
          <w:szCs w:val="44"/>
          <w:highlight w:val="none"/>
        </w:rPr>
        <w:t>年一月</w:t>
      </w:r>
    </w:p>
    <w:p w14:paraId="11AA4660">
      <w:pPr>
        <w:jc w:val="center"/>
        <w:rPr>
          <w:rFonts w:ascii="黑体" w:eastAsia="黑体" w:cs="黑体"/>
          <w:color w:val="auto"/>
          <w:sz w:val="43"/>
          <w:szCs w:val="43"/>
          <w:highlight w:val="none"/>
        </w:rPr>
      </w:pPr>
      <w:r>
        <w:rPr>
          <w:rFonts w:ascii="宋体" w:eastAsia="宋体" w:cs="Times New Roman"/>
          <w:b/>
          <w:snapToGrid/>
          <w:color w:val="auto"/>
          <w:kern w:val="2"/>
          <w:sz w:val="32"/>
          <w:szCs w:val="24"/>
          <w:highlight w:val="none"/>
        </w:rPr>
        <w:br w:type="page"/>
      </w:r>
      <w:r>
        <w:rPr>
          <w:rFonts w:ascii="黑体" w:eastAsia="黑体" w:cs="黑体"/>
          <w:color w:val="auto"/>
          <w:sz w:val="43"/>
          <w:szCs w:val="43"/>
          <w:highlight w:val="none"/>
        </w:rPr>
        <w:t>使用指南</w:t>
      </w:r>
    </w:p>
    <w:p w14:paraId="3908124A">
      <w:pPr>
        <w:spacing w:line="440" w:lineRule="exact"/>
        <w:jc w:val="both"/>
        <w:outlineLvl w:val="1"/>
        <w:rPr>
          <w:rFonts w:hint="eastAsia" w:ascii="宋体" w:eastAsia="宋体" w:cs="宋体"/>
          <w:color w:val="auto"/>
          <w:sz w:val="24"/>
          <w:szCs w:val="24"/>
          <w:highlight w:val="none"/>
        </w:rPr>
      </w:pPr>
      <w:bookmarkStart w:id="8" w:name="_Toc12960"/>
      <w:bookmarkStart w:id="9" w:name="_Toc8410"/>
      <w:bookmarkStart w:id="10" w:name="_Toc2850"/>
      <w:bookmarkStart w:id="11" w:name="_Toc12098"/>
      <w:r>
        <w:rPr>
          <w:rFonts w:hint="eastAsia" w:ascii="宋体" w:eastAsia="宋体" w:cs="宋体"/>
          <w:color w:val="auto"/>
          <w:position w:val="2"/>
          <w:sz w:val="24"/>
          <w:szCs w:val="24"/>
          <w:highlight w:val="none"/>
        </w:rPr>
        <w:t>一、总体要求</w:t>
      </w:r>
      <w:bookmarkEnd w:id="8"/>
      <w:bookmarkEnd w:id="9"/>
      <w:bookmarkEnd w:id="10"/>
      <w:bookmarkEnd w:id="11"/>
    </w:p>
    <w:p w14:paraId="150C8880">
      <w:pPr>
        <w:spacing w:line="440" w:lineRule="exact"/>
        <w:ind w:firstLine="496"/>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1.适用范围。绍兴市行政区域内依法必须招标的建设项目的货物类项目招标，招标人应使用本范本编制招标文件。</w:t>
      </w:r>
    </w:p>
    <w:p w14:paraId="47316456">
      <w:pPr>
        <w:spacing w:line="440" w:lineRule="exact"/>
        <w:ind w:firstLine="481"/>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2.括号加斜体字部分为提示性内容，招标人选择或填写相关内容后，在定稿的招标文件中应删除。</w:t>
      </w:r>
    </w:p>
    <w:p w14:paraId="055517AF">
      <w:pPr>
        <w:spacing w:line="440" w:lineRule="exact"/>
        <w:ind w:firstLine="46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3.以“□”前缀部分为选择性内容，在定稿的招标文件中招标人应删除未选择的内容。</w:t>
      </w:r>
    </w:p>
    <w:p w14:paraId="19288675">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4.下划线和投标人须知前附表空格部分，由招标人根据招标项目实际情况和国家有关法律法规规定进行填写，文字应采用斜体字；确实不需要填写具体内容的，用“/”标示。</w:t>
      </w:r>
    </w:p>
    <w:p w14:paraId="354CD0BD">
      <w:pPr>
        <w:spacing w:line="440" w:lineRule="exact"/>
        <w:ind w:firstLine="47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5.除可选择部分和下划线部分由招标人根据以上2、3、4三项进行选择或填写外，其他文字不得改动。</w:t>
      </w:r>
    </w:p>
    <w:p w14:paraId="4C8981F6">
      <w:pPr>
        <w:spacing w:line="440" w:lineRule="exact"/>
        <w:jc w:val="both"/>
        <w:outlineLvl w:val="1"/>
        <w:rPr>
          <w:rFonts w:hint="eastAsia" w:ascii="宋体" w:eastAsia="宋体" w:cs="宋体"/>
          <w:color w:val="auto"/>
          <w:sz w:val="24"/>
          <w:szCs w:val="24"/>
          <w:highlight w:val="none"/>
        </w:rPr>
      </w:pPr>
      <w:bookmarkStart w:id="12" w:name="_Toc3749"/>
      <w:bookmarkStart w:id="13" w:name="_Toc6992"/>
      <w:bookmarkStart w:id="14" w:name="_Toc9863"/>
      <w:bookmarkStart w:id="15" w:name="_Toc28676"/>
      <w:r>
        <w:rPr>
          <w:rFonts w:hint="eastAsia" w:ascii="宋体" w:eastAsia="宋体" w:cs="宋体"/>
          <w:color w:val="auto"/>
          <w:position w:val="1"/>
          <w:sz w:val="24"/>
          <w:szCs w:val="24"/>
          <w:highlight w:val="none"/>
        </w:rPr>
        <w:t>二、招标公告部分</w:t>
      </w:r>
      <w:bookmarkEnd w:id="12"/>
      <w:bookmarkEnd w:id="13"/>
      <w:bookmarkEnd w:id="14"/>
      <w:bookmarkEnd w:id="15"/>
    </w:p>
    <w:p w14:paraId="06A458EC">
      <w:pPr>
        <w:spacing w:line="440" w:lineRule="exact"/>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lang w:eastAsia="zh-CN"/>
        </w:rPr>
        <w:t>（一）</w:t>
      </w:r>
      <w:r>
        <w:rPr>
          <w:rFonts w:hint="eastAsia" w:ascii="宋体" w:eastAsia="宋体" w:cs="宋体"/>
          <w:color w:val="auto"/>
          <w:sz w:val="24"/>
          <w:szCs w:val="24"/>
          <w:highlight w:val="none"/>
        </w:rPr>
        <w:t>招标项目基本信息</w:t>
      </w:r>
    </w:p>
    <w:p w14:paraId="01C2A551">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1.项目名称、文号。应与项目工可批复或初步设计批复或企业信息赋码表中内容一致。</w:t>
      </w:r>
    </w:p>
    <w:p w14:paraId="3F6AE631">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2.项目建设规模。应与工可批复或初步设计批复或企业信息赋码表中内容一致，主要包括建筑面积、总投资等内容。</w:t>
      </w:r>
    </w:p>
    <w:p w14:paraId="32D517DD">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3.建设地址、建成时间、资金来源、投资比例。按工可批复或初步设计批复或企业信息赋码表内容填写。</w:t>
      </w:r>
    </w:p>
    <w:p w14:paraId="27BCCDD1">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4.项目业主。即本招标项目的法人。</w:t>
      </w:r>
    </w:p>
    <w:p w14:paraId="06C7B8A6">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5.招标人。为组织项目招标活动的主体。</w:t>
      </w:r>
    </w:p>
    <w:p w14:paraId="2891B642">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6.代理机构。为本次招标提供招标代理服务的机构，自行招标的，括号内的代理内容应删除。</w:t>
      </w:r>
    </w:p>
    <w:p w14:paraId="6A53BD3C">
      <w:pPr>
        <w:spacing w:line="440" w:lineRule="exact"/>
        <w:ind w:firstLine="477"/>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7.标段名称。招标人应合理划分标段，标段名称应恰当反映本次招标内容。</w:t>
      </w:r>
    </w:p>
    <w:p w14:paraId="2F00A6B7">
      <w:pPr>
        <w:spacing w:line="440" w:lineRule="exact"/>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lang w:eastAsia="zh-CN"/>
        </w:rPr>
        <w:t>（二）</w:t>
      </w:r>
      <w:r>
        <w:rPr>
          <w:rFonts w:hint="eastAsia" w:ascii="宋体" w:eastAsia="宋体" w:cs="宋体"/>
          <w:color w:val="auto"/>
          <w:sz w:val="24"/>
          <w:szCs w:val="24"/>
          <w:highlight w:val="none"/>
        </w:rPr>
        <w:t>本次招标内容</w:t>
      </w:r>
    </w:p>
    <w:p w14:paraId="26D9C0ED">
      <w:pPr>
        <w:spacing w:line="440" w:lineRule="exact"/>
        <w:ind w:firstLine="49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1.本次招标内容。尽可能详细说明本次招标项目的招标范围、内容、规模、服务要求等。</w:t>
      </w:r>
    </w:p>
    <w:p w14:paraId="2309E7D8">
      <w:pPr>
        <w:spacing w:line="440" w:lineRule="exact"/>
        <w:ind w:firstLine="49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2.估算</w:t>
      </w:r>
      <w:r>
        <w:rPr>
          <w:rFonts w:hint="eastAsia" w:ascii="宋体" w:eastAsia="宋体" w:cs="宋体"/>
          <w:color w:val="auto"/>
          <w:sz w:val="24"/>
          <w:szCs w:val="24"/>
          <w:highlight w:val="none"/>
          <w:lang w:eastAsia="zh-CN"/>
        </w:rPr>
        <w:t>（</w:t>
      </w:r>
      <w:r>
        <w:rPr>
          <w:rFonts w:hint="eastAsia" w:ascii="宋体" w:eastAsia="宋体" w:cs="宋体"/>
          <w:color w:val="auto"/>
          <w:sz w:val="24"/>
          <w:szCs w:val="24"/>
          <w:highlight w:val="none"/>
        </w:rPr>
        <w:t>或概算</w:t>
      </w:r>
      <w:r>
        <w:rPr>
          <w:rFonts w:hint="eastAsia" w:ascii="宋体" w:eastAsia="宋体" w:cs="宋体"/>
          <w:color w:val="auto"/>
          <w:sz w:val="24"/>
          <w:szCs w:val="24"/>
          <w:highlight w:val="none"/>
          <w:lang w:eastAsia="zh-CN"/>
        </w:rPr>
        <w:t>）</w:t>
      </w:r>
      <w:r>
        <w:rPr>
          <w:rFonts w:hint="eastAsia" w:ascii="宋体" w:eastAsia="宋体" w:cs="宋体"/>
          <w:color w:val="auto"/>
          <w:sz w:val="24"/>
          <w:szCs w:val="24"/>
          <w:highlight w:val="none"/>
        </w:rPr>
        <w:t>造价。应根据工可批复或初步设计批复或企业信息赋码表内容填写本次招标范围的服务费用造价，批复汇总表不能反映本次招标的估算</w:t>
      </w:r>
      <w:r>
        <w:rPr>
          <w:rFonts w:hint="eastAsia" w:ascii="宋体" w:eastAsia="宋体" w:cs="宋体"/>
          <w:color w:val="auto"/>
          <w:sz w:val="24"/>
          <w:szCs w:val="24"/>
          <w:highlight w:val="none"/>
          <w:lang w:eastAsia="zh-CN"/>
        </w:rPr>
        <w:t>（</w:t>
      </w:r>
      <w:r>
        <w:rPr>
          <w:rFonts w:hint="eastAsia" w:ascii="宋体" w:eastAsia="宋体" w:cs="宋体"/>
          <w:color w:val="auto"/>
          <w:sz w:val="24"/>
          <w:szCs w:val="24"/>
          <w:highlight w:val="none"/>
        </w:rPr>
        <w:t>或概算</w:t>
      </w:r>
      <w:r>
        <w:rPr>
          <w:rFonts w:hint="eastAsia" w:ascii="宋体" w:eastAsia="宋体" w:cs="宋体"/>
          <w:color w:val="auto"/>
          <w:sz w:val="24"/>
          <w:szCs w:val="24"/>
          <w:highlight w:val="none"/>
          <w:lang w:eastAsia="zh-CN"/>
        </w:rPr>
        <w:t>）</w:t>
      </w:r>
      <w:r>
        <w:rPr>
          <w:rFonts w:hint="eastAsia" w:ascii="宋体" w:eastAsia="宋体" w:cs="宋体"/>
          <w:color w:val="auto"/>
          <w:sz w:val="24"/>
          <w:szCs w:val="24"/>
          <w:highlight w:val="none"/>
        </w:rPr>
        <w:t>造价的，应根据经批准的估算</w:t>
      </w:r>
      <w:r>
        <w:rPr>
          <w:rFonts w:hint="eastAsia" w:ascii="宋体" w:eastAsia="宋体" w:cs="宋体"/>
          <w:color w:val="auto"/>
          <w:sz w:val="24"/>
          <w:szCs w:val="24"/>
          <w:highlight w:val="none"/>
          <w:lang w:eastAsia="zh-CN"/>
        </w:rPr>
        <w:t>（</w:t>
      </w:r>
      <w:r>
        <w:rPr>
          <w:rFonts w:hint="eastAsia" w:ascii="宋体" w:eastAsia="宋体" w:cs="宋体"/>
          <w:color w:val="auto"/>
          <w:sz w:val="24"/>
          <w:szCs w:val="24"/>
          <w:highlight w:val="none"/>
        </w:rPr>
        <w:t>或概算</w:t>
      </w:r>
      <w:r>
        <w:rPr>
          <w:rFonts w:hint="eastAsia" w:ascii="宋体" w:eastAsia="宋体" w:cs="宋体"/>
          <w:color w:val="auto"/>
          <w:sz w:val="24"/>
          <w:szCs w:val="24"/>
          <w:highlight w:val="none"/>
          <w:lang w:eastAsia="zh-CN"/>
        </w:rPr>
        <w:t>）</w:t>
      </w:r>
      <w:r>
        <w:rPr>
          <w:rFonts w:hint="eastAsia" w:ascii="宋体" w:eastAsia="宋体" w:cs="宋体"/>
          <w:color w:val="auto"/>
          <w:sz w:val="24"/>
          <w:szCs w:val="24"/>
          <w:highlight w:val="none"/>
        </w:rPr>
        <w:t>详细文件汇总计算。</w:t>
      </w:r>
    </w:p>
    <w:p w14:paraId="1933F3B8">
      <w:pPr>
        <w:spacing w:line="440" w:lineRule="exact"/>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lang w:eastAsia="zh-CN"/>
        </w:rPr>
        <w:t>（三）</w:t>
      </w:r>
      <w:r>
        <w:rPr>
          <w:rFonts w:hint="eastAsia" w:ascii="宋体" w:eastAsia="宋体" w:cs="宋体"/>
          <w:color w:val="auto"/>
          <w:sz w:val="24"/>
          <w:szCs w:val="24"/>
          <w:highlight w:val="none"/>
        </w:rPr>
        <w:t>投标资格条件、要求</w:t>
      </w:r>
    </w:p>
    <w:p w14:paraId="0F61A732">
      <w:pPr>
        <w:spacing w:line="440" w:lineRule="exact"/>
        <w:ind w:firstLine="495"/>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1.企业资格要求。根据本次招标内容，设置投标人资格要求。</w:t>
      </w:r>
    </w:p>
    <w:p w14:paraId="15E33871">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position w:val="1"/>
          <w:sz w:val="24"/>
          <w:szCs w:val="24"/>
          <w:highlight w:val="none"/>
        </w:rPr>
        <w:t>2.联合体。根据本次招标的实际情况进行约定。</w:t>
      </w:r>
    </w:p>
    <w:p w14:paraId="1651E3B2">
      <w:pPr>
        <w:spacing w:line="440" w:lineRule="exact"/>
        <w:ind w:firstLine="48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3.无行贿犯罪记录。查询的时间区间为投标截止之日上溯不少于三年。投标人不必提供外证或自证材料，由招标人在定标前在中国裁判文书网查询。</w:t>
      </w:r>
    </w:p>
    <w:p w14:paraId="259A9C57">
      <w:pPr>
        <w:spacing w:line="440" w:lineRule="exact"/>
        <w:ind w:firstLine="48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招标人可根据招标项目的实际需要及相关法律法规规定，设置合理的资格条件和要求。业绩证明材料要求其所能承载的证明内容应符合业绩要求的具体表述；招标人可选择中标通知书、合同、交货单及业主证明等资料作为业绩证明资料，但应明确如出现载明信息不一致时的资料认定顺序。</w:t>
      </w:r>
    </w:p>
    <w:p w14:paraId="7F4408B6">
      <w:pPr>
        <w:spacing w:line="440" w:lineRule="exact"/>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lang w:eastAsia="zh-CN"/>
        </w:rPr>
        <w:t>（四）</w:t>
      </w:r>
      <w:r>
        <w:rPr>
          <w:rFonts w:hint="eastAsia" w:ascii="宋体" w:eastAsia="宋体" w:cs="宋体"/>
          <w:color w:val="auto"/>
          <w:sz w:val="24"/>
          <w:szCs w:val="24"/>
          <w:highlight w:val="none"/>
        </w:rPr>
        <w:t>招标文件的获取</w:t>
      </w:r>
    </w:p>
    <w:p w14:paraId="1AF5769C">
      <w:pPr>
        <w:spacing w:line="440" w:lineRule="exact"/>
        <w:ind w:firstLine="496"/>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1.网上下载时间。招标人应在招标公告及招标文件中明确招标文件发售方式及时间，发售期不得少于5日。截止时间如遇国家法定休假日的，应顺延至法定休假日后的第一个工作日。</w:t>
      </w:r>
    </w:p>
    <w:p w14:paraId="47F657D1">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position w:val="1"/>
          <w:sz w:val="24"/>
          <w:szCs w:val="24"/>
          <w:highlight w:val="none"/>
        </w:rPr>
        <w:t>2.疑问提交时间。由招标人依法设定，具体时间应充分考虑投标人获取、阅读招标文件、提出疑问的时间，同时要为答疑预留一定的时间。</w:t>
      </w:r>
    </w:p>
    <w:p w14:paraId="18F89B58">
      <w:pPr>
        <w:spacing w:line="440" w:lineRule="exact"/>
        <w:ind w:firstLine="473"/>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3.补充</w:t>
      </w:r>
      <w:r>
        <w:rPr>
          <w:rFonts w:hint="eastAsia" w:ascii="宋体" w:eastAsia="宋体" w:cs="宋体"/>
          <w:color w:val="auto"/>
          <w:sz w:val="24"/>
          <w:szCs w:val="24"/>
          <w:highlight w:val="none"/>
          <w:lang w:eastAsia="zh-CN"/>
        </w:rPr>
        <w:t>（</w:t>
      </w:r>
      <w:r>
        <w:rPr>
          <w:rFonts w:hint="eastAsia" w:ascii="宋体" w:eastAsia="宋体" w:cs="宋体"/>
          <w:color w:val="auto"/>
          <w:sz w:val="24"/>
          <w:szCs w:val="24"/>
          <w:highlight w:val="none"/>
        </w:rPr>
        <w:t>答疑、澄清</w:t>
      </w:r>
      <w:r>
        <w:rPr>
          <w:rFonts w:hint="eastAsia" w:ascii="宋体" w:eastAsia="宋体" w:cs="宋体"/>
          <w:color w:val="auto"/>
          <w:sz w:val="24"/>
          <w:szCs w:val="24"/>
          <w:highlight w:val="none"/>
          <w:lang w:eastAsia="zh-CN"/>
        </w:rPr>
        <w:t>）</w:t>
      </w:r>
      <w:r>
        <w:rPr>
          <w:rFonts w:hint="eastAsia" w:ascii="宋体" w:eastAsia="宋体" w:cs="宋体"/>
          <w:color w:val="auto"/>
          <w:sz w:val="24"/>
          <w:szCs w:val="24"/>
          <w:highlight w:val="none"/>
        </w:rPr>
        <w:t>招标文件发布日期。为招标人最迟可能发出补充文件的时间，充分考虑在投标截止时间前可能发生的变化。</w:t>
      </w:r>
    </w:p>
    <w:p w14:paraId="32854783">
      <w:pPr>
        <w:spacing w:line="440" w:lineRule="exact"/>
        <w:ind w:firstLine="479"/>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投标截止时间。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0A0CD97A">
      <w:pPr>
        <w:pStyle w:val="49"/>
        <w:spacing w:line="420" w:lineRule="exact"/>
        <w:rPr>
          <w:rFonts w:hint="eastAsia" w:ascii="宋体" w:eastAsia="宋体" w:cs="宋体"/>
          <w:color w:val="auto"/>
          <w:sz w:val="24"/>
          <w:szCs w:val="24"/>
          <w:highlight w:val="none"/>
        </w:rPr>
      </w:pPr>
      <w:r>
        <w:rPr>
          <w:rFonts w:hint="eastAsia" w:ascii="宋体" w:eastAsia="宋体" w:cs="宋体"/>
          <w:color w:val="auto"/>
          <w:sz w:val="24"/>
          <w:szCs w:val="24"/>
          <w:highlight w:val="none"/>
        </w:rPr>
        <w:t>5.投标文件的递交方式为电子网上传输提交形式。招标人应在招标公告（或投标邀请书）及招标文件中明确投标文件递交方式及时间，还应明确是否需要同时递交纸质投标文件。</w:t>
      </w:r>
    </w:p>
    <w:p w14:paraId="1AA3535F">
      <w:pPr>
        <w:spacing w:line="440" w:lineRule="exact"/>
        <w:jc w:val="both"/>
        <w:outlineLvl w:val="1"/>
        <w:rPr>
          <w:rFonts w:hint="eastAsia" w:ascii="宋体" w:eastAsia="宋体" w:cs="宋体"/>
          <w:color w:val="auto"/>
          <w:sz w:val="24"/>
          <w:szCs w:val="24"/>
          <w:highlight w:val="none"/>
        </w:rPr>
      </w:pPr>
      <w:bookmarkStart w:id="16" w:name="_Toc27260"/>
      <w:bookmarkStart w:id="17" w:name="_Toc12829"/>
      <w:bookmarkStart w:id="18" w:name="_Toc6916"/>
      <w:bookmarkStart w:id="19" w:name="_Toc29190"/>
      <w:r>
        <w:rPr>
          <w:rFonts w:hint="eastAsia" w:ascii="宋体" w:eastAsia="宋体" w:cs="宋体"/>
          <w:color w:val="auto"/>
          <w:position w:val="1"/>
          <w:sz w:val="24"/>
          <w:szCs w:val="24"/>
          <w:highlight w:val="none"/>
        </w:rPr>
        <w:t>三、投标人须知前附表部分</w:t>
      </w:r>
      <w:bookmarkEnd w:id="16"/>
      <w:bookmarkEnd w:id="17"/>
      <w:bookmarkEnd w:id="18"/>
      <w:bookmarkEnd w:id="19"/>
    </w:p>
    <w:p w14:paraId="7A4DD246">
      <w:pPr>
        <w:spacing w:line="440" w:lineRule="exact"/>
        <w:ind w:firstLine="426"/>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1.条款号1.1.2—1.2.2。与招标公告相关内容填写一致。</w:t>
      </w:r>
    </w:p>
    <w:p w14:paraId="7E586420">
      <w:pPr>
        <w:spacing w:line="440" w:lineRule="exact"/>
        <w:ind w:firstLine="426"/>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2.招标范围。应与招标公告中招标内容一致，具体描述可详见公告。</w:t>
      </w:r>
    </w:p>
    <w:p w14:paraId="25892DBB">
      <w:pPr>
        <w:spacing w:line="440" w:lineRule="exact"/>
        <w:ind w:firstLine="483"/>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3.</w:t>
      </w:r>
      <w:r>
        <w:rPr>
          <w:rFonts w:hint="eastAsia" w:ascii="宋体" w:eastAsia="宋体" w:cs="宋体"/>
          <w:color w:val="auto"/>
          <w:sz w:val="24"/>
          <w:szCs w:val="24"/>
          <w:highlight w:val="none"/>
          <w:lang w:eastAsia="zh-CN"/>
        </w:rPr>
        <w:t>工期</w:t>
      </w:r>
      <w:r>
        <w:rPr>
          <w:rFonts w:hint="eastAsia" w:ascii="宋体" w:eastAsia="宋体" w:cs="宋体"/>
          <w:color w:val="auto"/>
          <w:sz w:val="24"/>
          <w:szCs w:val="24"/>
          <w:highlight w:val="none"/>
        </w:rPr>
        <w:t>。</w:t>
      </w:r>
      <w:r>
        <w:rPr>
          <w:rFonts w:hint="eastAsia" w:ascii="宋体" w:eastAsia="宋体" w:cs="宋体"/>
          <w:color w:val="auto"/>
          <w:sz w:val="24"/>
          <w:szCs w:val="24"/>
          <w:highlight w:val="none"/>
          <w:lang w:eastAsia="zh-CN"/>
        </w:rPr>
        <w:t>工期</w:t>
      </w:r>
      <w:r>
        <w:rPr>
          <w:rFonts w:hint="eastAsia" w:ascii="宋体" w:eastAsia="宋体" w:cs="宋体"/>
          <w:color w:val="auto"/>
          <w:sz w:val="24"/>
          <w:szCs w:val="24"/>
          <w:highlight w:val="none"/>
        </w:rPr>
        <w:t>应满足招标的要求，并应当允许投标人提出优于</w:t>
      </w:r>
      <w:r>
        <w:rPr>
          <w:rFonts w:hint="eastAsia" w:ascii="宋体" w:eastAsia="宋体" w:cs="宋体"/>
          <w:color w:val="auto"/>
          <w:sz w:val="24"/>
          <w:szCs w:val="24"/>
          <w:highlight w:val="none"/>
          <w:lang w:eastAsia="zh-CN"/>
        </w:rPr>
        <w:t>工期</w:t>
      </w:r>
      <w:r>
        <w:rPr>
          <w:rFonts w:hint="eastAsia" w:ascii="宋体" w:eastAsia="宋体" w:cs="宋体"/>
          <w:color w:val="auto"/>
          <w:sz w:val="24"/>
          <w:szCs w:val="24"/>
          <w:highlight w:val="none"/>
        </w:rPr>
        <w:t>的投标承诺。</w:t>
      </w:r>
    </w:p>
    <w:p w14:paraId="32EF3DBC">
      <w:pPr>
        <w:spacing w:line="440" w:lineRule="exact"/>
        <w:ind w:firstLine="48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4.条款号1.4.1-2.2.1。根据本次招标的具体情况和要求，按示范文本提示内容选择或填写。</w:t>
      </w:r>
    </w:p>
    <w:p w14:paraId="3C233E86">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position w:val="1"/>
          <w:sz w:val="24"/>
          <w:szCs w:val="24"/>
          <w:highlight w:val="none"/>
        </w:rPr>
        <w:t>5.投标截止时间。应与招标公告规定的投标截止时间一致。</w:t>
      </w:r>
    </w:p>
    <w:p w14:paraId="12F3CC4A">
      <w:pPr>
        <w:spacing w:line="440" w:lineRule="exact"/>
        <w:ind w:firstLine="482"/>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6.实质性响应招标文件及评审打分资料。本栏是示范文本特别增加的内容，招标人应将要求投标人提交的所有资料列在本栏，招标文件中不再另附强制性资格条件</w:t>
      </w:r>
      <w:r>
        <w:rPr>
          <w:rFonts w:hint="eastAsia" w:ascii="宋体" w:eastAsia="宋体" w:cs="宋体"/>
          <w:color w:val="auto"/>
          <w:sz w:val="24"/>
          <w:szCs w:val="24"/>
          <w:highlight w:val="none"/>
          <w:lang w:eastAsia="zh-CN"/>
        </w:rPr>
        <w:t>（</w:t>
      </w:r>
      <w:r>
        <w:rPr>
          <w:rFonts w:hint="eastAsia" w:ascii="宋体" w:eastAsia="宋体" w:cs="宋体"/>
          <w:color w:val="auto"/>
          <w:sz w:val="24"/>
          <w:szCs w:val="24"/>
          <w:highlight w:val="none"/>
        </w:rPr>
        <w:t>审查</w:t>
      </w:r>
      <w:r>
        <w:rPr>
          <w:rFonts w:hint="eastAsia" w:ascii="宋体" w:eastAsia="宋体" w:cs="宋体"/>
          <w:color w:val="auto"/>
          <w:sz w:val="24"/>
          <w:szCs w:val="24"/>
          <w:highlight w:val="none"/>
          <w:lang w:eastAsia="zh-CN"/>
        </w:rPr>
        <w:t>）</w:t>
      </w:r>
      <w:r>
        <w:rPr>
          <w:rFonts w:hint="eastAsia" w:ascii="宋体" w:eastAsia="宋体" w:cs="宋体"/>
          <w:color w:val="auto"/>
          <w:sz w:val="24"/>
          <w:szCs w:val="24"/>
          <w:highlight w:val="none"/>
        </w:rPr>
        <w:t>表，招标人可根据本次招标的实际需要增减资料项目。</w:t>
      </w:r>
    </w:p>
    <w:p w14:paraId="2E0E5C01">
      <w:pPr>
        <w:spacing w:line="440" w:lineRule="exact"/>
        <w:ind w:firstLine="484"/>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7.评标办法。招标人应根据本次招标的实际情况合理选定评标办法，谨慎选用经评审的最低投标价法，鼓励选用综合评估法。技术简单或技术规格、性能、制作工艺要求统一的货物，可采用经评审的最低投标价法；技术复杂或技术规格、性能、制作工艺要求难以统一的货物，宜采用综合评估法。</w:t>
      </w:r>
    </w:p>
    <w:p w14:paraId="311ADC02">
      <w:pPr>
        <w:spacing w:line="440" w:lineRule="exact"/>
        <w:ind w:firstLine="48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8.否决投标的情形。招标人在编制招标文件时，应将所有否决投标的情形、以肯定句式集中列入本栏；凡未列入此栏内容的要求，均不得作为否决投标的依据。招标人通过补充文件增加、删除或修改否决投标条款的，应当在补充文件中集中载明调整后完整的否决投标条款。</w:t>
      </w:r>
    </w:p>
    <w:p w14:paraId="74682684">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9.招标人根据实际情况需要补充的其他内容，应集中在第10.4条。</w:t>
      </w:r>
    </w:p>
    <w:p w14:paraId="0761E5C9">
      <w:pPr>
        <w:spacing w:line="440" w:lineRule="exact"/>
        <w:jc w:val="both"/>
        <w:outlineLvl w:val="1"/>
        <w:rPr>
          <w:rFonts w:hint="eastAsia" w:ascii="宋体" w:eastAsia="宋体" w:cs="宋体"/>
          <w:color w:val="auto"/>
          <w:sz w:val="24"/>
          <w:szCs w:val="24"/>
          <w:highlight w:val="none"/>
        </w:rPr>
      </w:pPr>
      <w:bookmarkStart w:id="20" w:name="_Toc20350"/>
      <w:bookmarkStart w:id="21" w:name="_Toc15353"/>
      <w:bookmarkStart w:id="22" w:name="_Toc7355"/>
      <w:bookmarkStart w:id="23" w:name="_Toc13884"/>
      <w:r>
        <w:rPr>
          <w:rFonts w:hint="eastAsia" w:ascii="宋体" w:eastAsia="宋体" w:cs="宋体"/>
          <w:color w:val="auto"/>
          <w:sz w:val="24"/>
          <w:szCs w:val="24"/>
          <w:highlight w:val="none"/>
        </w:rPr>
        <w:t>四、评标办法部分</w:t>
      </w:r>
      <w:bookmarkEnd w:id="20"/>
      <w:bookmarkEnd w:id="21"/>
      <w:bookmarkEnd w:id="22"/>
      <w:bookmarkEnd w:id="23"/>
    </w:p>
    <w:p w14:paraId="42CF1BEE">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所有否决投标的内容均请列入招标文件投标人须知前附表“否决投标的情形”中，评标办法中不再重复，以免产生矛盾和歧义。评标委员会拟作出否决投标前，应组织相关投标人进行询问核实。招标人应协助评标委员会做好询问核实工作。</w:t>
      </w:r>
    </w:p>
    <w:p w14:paraId="396A1B86">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采用综合评估法的技术评分内容可根据招标项目的特点设置相应的评审内容和标准，原则上技术含量高的货物，技术评分权重大。可自选评审内容并要求细化每一打分项分值区间不宜超过3分。</w:t>
      </w:r>
    </w:p>
    <w:p w14:paraId="4E9F3CEE">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使用的电子招标工具应及时更新，并选择与本项目相匹配的招标工具模式（如：评标办法、电子标书递交方式等）。</w:t>
      </w:r>
    </w:p>
    <w:p w14:paraId="6D350F37">
      <w:pPr>
        <w:spacing w:line="440" w:lineRule="exact"/>
        <w:jc w:val="both"/>
        <w:outlineLvl w:val="1"/>
        <w:rPr>
          <w:rFonts w:hint="eastAsia" w:ascii="宋体" w:eastAsia="宋体" w:cs="宋体"/>
          <w:color w:val="auto"/>
          <w:sz w:val="24"/>
          <w:szCs w:val="24"/>
          <w:highlight w:val="none"/>
        </w:rPr>
      </w:pPr>
      <w:bookmarkStart w:id="24" w:name="_Toc12575"/>
      <w:bookmarkStart w:id="25" w:name="_Toc20927"/>
      <w:bookmarkStart w:id="26" w:name="_Toc15957"/>
      <w:bookmarkStart w:id="27" w:name="_Toc21626"/>
      <w:r>
        <w:rPr>
          <w:rFonts w:hint="eastAsia" w:ascii="宋体" w:eastAsia="宋体" w:cs="宋体"/>
          <w:color w:val="auto"/>
          <w:sz w:val="24"/>
          <w:szCs w:val="24"/>
          <w:highlight w:val="none"/>
        </w:rPr>
        <w:t>五、合同文本部分</w:t>
      </w:r>
      <w:bookmarkEnd w:id="24"/>
      <w:bookmarkEnd w:id="25"/>
      <w:bookmarkEnd w:id="26"/>
      <w:bookmarkEnd w:id="27"/>
    </w:p>
    <w:p w14:paraId="6AA5D03F">
      <w:pPr>
        <w:spacing w:line="440" w:lineRule="exact"/>
        <w:ind w:firstLine="480" w:firstLineChars="200"/>
        <w:jc w:val="both"/>
        <w:rPr>
          <w:rFonts w:hint="eastAsia" w:ascii="宋体" w:eastAsia="宋体" w:cs="宋体"/>
          <w:color w:val="auto"/>
          <w:sz w:val="24"/>
          <w:szCs w:val="24"/>
          <w:highlight w:val="none"/>
        </w:rPr>
      </w:pPr>
      <w:r>
        <w:rPr>
          <w:rFonts w:hint="eastAsia" w:ascii="宋体" w:eastAsia="宋体" w:cs="宋体"/>
          <w:color w:val="auto"/>
          <w:sz w:val="24"/>
          <w:szCs w:val="24"/>
          <w:highlight w:val="none"/>
        </w:rPr>
        <w:t>合同条款与格式由招标人根据项目实际提供。建议采用国家或行业的示范文本。</w:t>
      </w:r>
    </w:p>
    <w:p w14:paraId="483AF6FC">
      <w:pPr>
        <w:spacing w:line="440" w:lineRule="exact"/>
        <w:jc w:val="both"/>
        <w:outlineLvl w:val="1"/>
        <w:rPr>
          <w:rFonts w:hint="eastAsia" w:ascii="宋体" w:eastAsia="宋体" w:cs="宋体"/>
          <w:color w:val="auto"/>
          <w:sz w:val="24"/>
          <w:szCs w:val="24"/>
          <w:highlight w:val="none"/>
        </w:rPr>
      </w:pPr>
      <w:bookmarkStart w:id="28" w:name="_Toc20461"/>
      <w:bookmarkStart w:id="29" w:name="_Toc23612"/>
      <w:bookmarkStart w:id="30" w:name="_Toc14391"/>
      <w:bookmarkStart w:id="31" w:name="_Toc6122"/>
      <w:r>
        <w:rPr>
          <w:rFonts w:hint="eastAsia" w:ascii="宋体" w:eastAsia="宋体" w:cs="宋体"/>
          <w:color w:val="auto"/>
          <w:sz w:val="24"/>
          <w:szCs w:val="24"/>
          <w:highlight w:val="none"/>
        </w:rPr>
        <w:t>六、相关表单部分</w:t>
      </w:r>
      <w:bookmarkEnd w:id="28"/>
      <w:bookmarkEnd w:id="29"/>
      <w:bookmarkEnd w:id="30"/>
      <w:bookmarkEnd w:id="31"/>
    </w:p>
    <w:p w14:paraId="45F76CFB">
      <w:pPr>
        <w:spacing w:line="440" w:lineRule="exact"/>
        <w:ind w:firstLine="460"/>
        <w:jc w:val="both"/>
        <w:rPr>
          <w:rFonts w:ascii="宋体" w:eastAsia="宋体" w:cs="宋体"/>
          <w:color w:val="auto"/>
          <w:sz w:val="24"/>
          <w:szCs w:val="24"/>
          <w:highlight w:val="none"/>
        </w:rPr>
      </w:pPr>
      <w:r>
        <w:rPr>
          <w:rFonts w:hint="eastAsia" w:ascii="宋体" w:eastAsia="宋体" w:cs="宋体"/>
          <w:color w:val="auto"/>
          <w:sz w:val="24"/>
          <w:szCs w:val="24"/>
          <w:highlight w:val="none"/>
        </w:rPr>
        <w:t>投标人前附表设置了“实质性响应招标文件及评审打分资料”栏，在相关表单中无需再设强制性审查表单，以避免前后不一致。</w:t>
      </w:r>
    </w:p>
    <w:p w14:paraId="3894951F">
      <w:pPr>
        <w:jc w:val="both"/>
        <w:rPr>
          <w:color w:val="auto"/>
          <w:highlight w:val="none"/>
        </w:rPr>
        <w:sectPr>
          <w:headerReference r:id="rId3" w:type="default"/>
          <w:footerReference r:id="rId4" w:type="default"/>
          <w:pgSz w:w="11906" w:h="16839"/>
          <w:pgMar w:top="1417" w:right="1417" w:bottom="1417" w:left="1417" w:header="850" w:footer="992" w:gutter="0"/>
          <w:pgBorders>
            <w:top w:val="none" w:sz="0" w:space="0"/>
            <w:left w:val="none" w:sz="0" w:space="0"/>
            <w:bottom w:val="none" w:sz="0" w:space="0"/>
            <w:right w:val="none" w:sz="0" w:space="0"/>
          </w:pgBorders>
          <w:cols w:space="720" w:num="1"/>
          <w:docGrid w:linePitch="312" w:charSpace="0"/>
        </w:sectPr>
      </w:pPr>
    </w:p>
    <w:p w14:paraId="25D4EA85">
      <w:pPr>
        <w:spacing w:line="245" w:lineRule="auto"/>
        <w:jc w:val="both"/>
        <w:rPr>
          <w:color w:val="auto"/>
          <w:highlight w:val="none"/>
        </w:rPr>
      </w:pPr>
    </w:p>
    <w:p w14:paraId="7AFA7658">
      <w:pPr>
        <w:spacing w:line="245" w:lineRule="auto"/>
        <w:jc w:val="both"/>
        <w:rPr>
          <w:rFonts w:eastAsia="宋体"/>
          <w:color w:val="auto"/>
          <w:highlight w:val="none"/>
        </w:rPr>
      </w:pPr>
    </w:p>
    <w:p w14:paraId="041FFF5A">
      <w:pPr>
        <w:pStyle w:val="11"/>
        <w:ind w:firstLine="0"/>
        <w:jc w:val="both"/>
        <w:rPr>
          <w:color w:val="auto"/>
          <w:highlight w:val="none"/>
        </w:rPr>
      </w:pPr>
    </w:p>
    <w:p w14:paraId="74F081AE">
      <w:pPr>
        <w:tabs>
          <w:tab w:val="left" w:pos="2909"/>
        </w:tabs>
        <w:spacing w:before="114" w:line="228" w:lineRule="auto"/>
        <w:ind w:left="138"/>
        <w:jc w:val="center"/>
        <w:outlineLvl w:val="0"/>
        <w:rPr>
          <w:rFonts w:ascii="黑体" w:eastAsia="黑体" w:cs="黑体"/>
          <w:color w:val="auto"/>
          <w:sz w:val="35"/>
          <w:szCs w:val="35"/>
          <w:highlight w:val="none"/>
        </w:rPr>
      </w:pPr>
      <w:bookmarkStart w:id="32" w:name="_Toc18163"/>
      <w:bookmarkStart w:id="33" w:name="_Toc22985"/>
      <w:bookmarkStart w:id="34" w:name="_Toc5493"/>
      <w:bookmarkStart w:id="35" w:name="_Toc17783"/>
      <w:r>
        <w:rPr>
          <w:rFonts w:hint="eastAsia" w:ascii="黑体" w:eastAsia="黑体" w:cs="黑体"/>
          <w:color w:val="auto"/>
          <w:sz w:val="44"/>
          <w:szCs w:val="44"/>
          <w:highlight w:val="none"/>
          <w:u w:val="single"/>
          <w:lang w:eastAsia="zh-CN"/>
        </w:rPr>
        <w:t>越城区流量仪表更新改造工程项目（</w:t>
      </w:r>
      <w:r>
        <w:rPr>
          <w:rFonts w:ascii="黑体" w:eastAsia="黑体" w:cs="黑体"/>
          <w:color w:val="auto"/>
          <w:sz w:val="44"/>
          <w:szCs w:val="44"/>
          <w:highlight w:val="none"/>
        </w:rPr>
        <w:t>货物</w:t>
      </w:r>
      <w:r>
        <w:rPr>
          <w:rFonts w:hint="eastAsia" w:ascii="黑体" w:eastAsia="黑体" w:cs="黑体"/>
          <w:color w:val="auto"/>
          <w:sz w:val="44"/>
          <w:szCs w:val="44"/>
          <w:highlight w:val="none"/>
          <w:lang w:eastAsia="zh-CN"/>
        </w:rPr>
        <w:t>）</w:t>
      </w:r>
      <w:r>
        <w:rPr>
          <w:rFonts w:ascii="黑体" w:eastAsia="黑体" w:cs="黑体"/>
          <w:color w:val="auto"/>
          <w:sz w:val="44"/>
          <w:szCs w:val="44"/>
          <w:highlight w:val="none"/>
        </w:rPr>
        <w:t>采购</w:t>
      </w:r>
      <w:bookmarkEnd w:id="32"/>
      <w:bookmarkEnd w:id="33"/>
      <w:bookmarkEnd w:id="34"/>
      <w:bookmarkEnd w:id="35"/>
    </w:p>
    <w:p w14:paraId="6608E5B8">
      <w:pPr>
        <w:spacing w:line="250" w:lineRule="auto"/>
        <w:jc w:val="both"/>
        <w:rPr>
          <w:color w:val="auto"/>
          <w:highlight w:val="none"/>
        </w:rPr>
      </w:pPr>
    </w:p>
    <w:p w14:paraId="1EDDCA87">
      <w:pPr>
        <w:spacing w:line="250" w:lineRule="auto"/>
        <w:jc w:val="both"/>
        <w:rPr>
          <w:color w:val="auto"/>
          <w:highlight w:val="none"/>
        </w:rPr>
      </w:pPr>
    </w:p>
    <w:p w14:paraId="54BC0D97">
      <w:pPr>
        <w:spacing w:line="250" w:lineRule="auto"/>
        <w:jc w:val="both"/>
        <w:rPr>
          <w:color w:val="auto"/>
          <w:highlight w:val="none"/>
        </w:rPr>
      </w:pPr>
    </w:p>
    <w:p w14:paraId="237C220D">
      <w:pPr>
        <w:spacing w:line="250" w:lineRule="auto"/>
        <w:jc w:val="both"/>
        <w:rPr>
          <w:rFonts w:eastAsia="宋体"/>
          <w:color w:val="auto"/>
          <w:highlight w:val="none"/>
        </w:rPr>
      </w:pPr>
    </w:p>
    <w:p w14:paraId="684199AC">
      <w:pPr>
        <w:pStyle w:val="11"/>
        <w:ind w:firstLine="0"/>
        <w:jc w:val="both"/>
        <w:rPr>
          <w:color w:val="auto"/>
          <w:highlight w:val="none"/>
        </w:rPr>
      </w:pPr>
    </w:p>
    <w:p w14:paraId="23E1CB52">
      <w:pPr>
        <w:pStyle w:val="30"/>
        <w:ind w:firstLine="0"/>
        <w:jc w:val="both"/>
        <w:rPr>
          <w:color w:val="auto"/>
          <w:spacing w:val="0"/>
          <w:highlight w:val="none"/>
        </w:rPr>
      </w:pPr>
    </w:p>
    <w:p w14:paraId="65995F35">
      <w:pPr>
        <w:pStyle w:val="30"/>
        <w:ind w:firstLine="0"/>
        <w:jc w:val="both"/>
        <w:rPr>
          <w:color w:val="auto"/>
          <w:spacing w:val="0"/>
          <w:highlight w:val="none"/>
        </w:rPr>
      </w:pPr>
    </w:p>
    <w:p w14:paraId="6197BCEA">
      <w:pPr>
        <w:spacing w:line="250" w:lineRule="auto"/>
        <w:jc w:val="both"/>
        <w:rPr>
          <w:color w:val="auto"/>
          <w:highlight w:val="none"/>
        </w:rPr>
      </w:pPr>
    </w:p>
    <w:p w14:paraId="2ECBB9AF">
      <w:pPr>
        <w:spacing w:line="250" w:lineRule="auto"/>
        <w:jc w:val="both"/>
        <w:rPr>
          <w:rFonts w:eastAsia="宋体"/>
          <w:color w:val="auto"/>
          <w:highlight w:val="none"/>
        </w:rPr>
      </w:pPr>
    </w:p>
    <w:p w14:paraId="773EFAE3">
      <w:pPr>
        <w:pStyle w:val="11"/>
        <w:ind w:firstLine="0"/>
        <w:jc w:val="both"/>
        <w:rPr>
          <w:color w:val="auto"/>
          <w:highlight w:val="none"/>
        </w:rPr>
      </w:pPr>
    </w:p>
    <w:p w14:paraId="78DEDEE9">
      <w:pPr>
        <w:pStyle w:val="30"/>
        <w:ind w:firstLine="0"/>
        <w:jc w:val="both"/>
        <w:rPr>
          <w:color w:val="auto"/>
          <w:spacing w:val="0"/>
          <w:highlight w:val="none"/>
        </w:rPr>
      </w:pPr>
    </w:p>
    <w:p w14:paraId="321D58B8">
      <w:pPr>
        <w:pStyle w:val="30"/>
        <w:ind w:firstLine="0"/>
        <w:jc w:val="both"/>
        <w:rPr>
          <w:color w:val="auto"/>
          <w:spacing w:val="0"/>
          <w:highlight w:val="none"/>
        </w:rPr>
      </w:pPr>
    </w:p>
    <w:p w14:paraId="17BD8FDE">
      <w:pPr>
        <w:spacing w:line="250" w:lineRule="auto"/>
        <w:jc w:val="both"/>
        <w:rPr>
          <w:color w:val="auto"/>
          <w:highlight w:val="none"/>
        </w:rPr>
      </w:pPr>
    </w:p>
    <w:p w14:paraId="5BDE1937">
      <w:pPr>
        <w:spacing w:line="250" w:lineRule="auto"/>
        <w:jc w:val="both"/>
        <w:rPr>
          <w:color w:val="auto"/>
          <w:highlight w:val="none"/>
        </w:rPr>
      </w:pPr>
    </w:p>
    <w:p w14:paraId="5BCBD53B">
      <w:pPr>
        <w:spacing w:line="252" w:lineRule="auto"/>
        <w:jc w:val="both"/>
        <w:rPr>
          <w:color w:val="auto"/>
          <w:highlight w:val="none"/>
        </w:rPr>
      </w:pPr>
    </w:p>
    <w:p w14:paraId="53BF16B9">
      <w:pPr>
        <w:spacing w:before="231" w:line="223" w:lineRule="auto"/>
        <w:jc w:val="center"/>
        <w:rPr>
          <w:rFonts w:ascii="黑体" w:eastAsia="黑体" w:cs="黑体"/>
          <w:color w:val="auto"/>
          <w:sz w:val="71"/>
          <w:szCs w:val="71"/>
          <w:highlight w:val="none"/>
        </w:rPr>
      </w:pPr>
      <w:r>
        <w:rPr>
          <w:rFonts w:ascii="黑体" w:eastAsia="黑体" w:cs="黑体"/>
          <w:color w:val="auto"/>
          <w:sz w:val="71"/>
          <w:szCs w:val="71"/>
          <w:highlight w:val="none"/>
        </w:rPr>
        <w:t>招标文件</w:t>
      </w:r>
    </w:p>
    <w:p w14:paraId="5B006C4E">
      <w:pPr>
        <w:spacing w:line="247" w:lineRule="auto"/>
        <w:jc w:val="both"/>
        <w:rPr>
          <w:color w:val="auto"/>
          <w:highlight w:val="none"/>
        </w:rPr>
      </w:pPr>
    </w:p>
    <w:p w14:paraId="04DBFAEC">
      <w:pPr>
        <w:spacing w:line="247" w:lineRule="auto"/>
        <w:jc w:val="both"/>
        <w:rPr>
          <w:color w:val="auto"/>
          <w:highlight w:val="none"/>
        </w:rPr>
      </w:pPr>
    </w:p>
    <w:p w14:paraId="68227B51">
      <w:pPr>
        <w:spacing w:line="247" w:lineRule="auto"/>
        <w:jc w:val="both"/>
        <w:rPr>
          <w:color w:val="auto"/>
          <w:highlight w:val="none"/>
        </w:rPr>
      </w:pPr>
    </w:p>
    <w:p w14:paraId="61C3AF8E">
      <w:pPr>
        <w:spacing w:line="247" w:lineRule="auto"/>
        <w:jc w:val="both"/>
        <w:rPr>
          <w:color w:val="auto"/>
          <w:highlight w:val="none"/>
        </w:rPr>
      </w:pPr>
    </w:p>
    <w:p w14:paraId="31BC47A6">
      <w:pPr>
        <w:spacing w:line="247" w:lineRule="auto"/>
        <w:jc w:val="both"/>
        <w:rPr>
          <w:color w:val="auto"/>
          <w:highlight w:val="none"/>
        </w:rPr>
      </w:pPr>
    </w:p>
    <w:p w14:paraId="5EF35F79">
      <w:pPr>
        <w:spacing w:line="247" w:lineRule="auto"/>
        <w:jc w:val="both"/>
        <w:rPr>
          <w:color w:val="auto"/>
          <w:highlight w:val="none"/>
        </w:rPr>
      </w:pPr>
    </w:p>
    <w:p w14:paraId="0FCC9242">
      <w:pPr>
        <w:spacing w:line="247" w:lineRule="auto"/>
        <w:jc w:val="both"/>
        <w:rPr>
          <w:color w:val="auto"/>
          <w:highlight w:val="none"/>
        </w:rPr>
      </w:pPr>
    </w:p>
    <w:p w14:paraId="679A9766">
      <w:pPr>
        <w:spacing w:line="247" w:lineRule="auto"/>
        <w:jc w:val="both"/>
        <w:rPr>
          <w:color w:val="auto"/>
          <w:highlight w:val="none"/>
        </w:rPr>
      </w:pPr>
    </w:p>
    <w:p w14:paraId="028590AF">
      <w:pPr>
        <w:spacing w:line="247" w:lineRule="auto"/>
        <w:jc w:val="both"/>
        <w:rPr>
          <w:color w:val="auto"/>
          <w:highlight w:val="none"/>
        </w:rPr>
      </w:pPr>
    </w:p>
    <w:p w14:paraId="535A2BF2">
      <w:pPr>
        <w:spacing w:line="247" w:lineRule="auto"/>
        <w:jc w:val="both"/>
        <w:rPr>
          <w:color w:val="auto"/>
          <w:highlight w:val="none"/>
        </w:rPr>
      </w:pPr>
    </w:p>
    <w:p w14:paraId="2B8544CD">
      <w:pPr>
        <w:spacing w:line="247" w:lineRule="auto"/>
        <w:jc w:val="both"/>
        <w:rPr>
          <w:color w:val="auto"/>
          <w:highlight w:val="none"/>
        </w:rPr>
      </w:pPr>
    </w:p>
    <w:p w14:paraId="68EB9662">
      <w:pPr>
        <w:spacing w:line="247" w:lineRule="auto"/>
        <w:jc w:val="both"/>
        <w:rPr>
          <w:color w:val="auto"/>
          <w:highlight w:val="none"/>
        </w:rPr>
      </w:pPr>
    </w:p>
    <w:p w14:paraId="138E5C8C">
      <w:pPr>
        <w:spacing w:line="247" w:lineRule="auto"/>
        <w:jc w:val="both"/>
        <w:rPr>
          <w:color w:val="auto"/>
          <w:highlight w:val="none"/>
        </w:rPr>
      </w:pPr>
    </w:p>
    <w:p w14:paraId="6C95121F">
      <w:pPr>
        <w:spacing w:line="247" w:lineRule="auto"/>
        <w:jc w:val="both"/>
        <w:rPr>
          <w:color w:val="auto"/>
          <w:highlight w:val="none"/>
        </w:rPr>
      </w:pPr>
    </w:p>
    <w:p w14:paraId="6EB5FC1B">
      <w:pPr>
        <w:spacing w:line="247" w:lineRule="auto"/>
        <w:jc w:val="both"/>
        <w:rPr>
          <w:color w:val="auto"/>
          <w:highlight w:val="none"/>
        </w:rPr>
      </w:pPr>
    </w:p>
    <w:p w14:paraId="56A683F4">
      <w:pPr>
        <w:spacing w:line="247" w:lineRule="auto"/>
        <w:jc w:val="both"/>
        <w:rPr>
          <w:color w:val="auto"/>
          <w:highlight w:val="none"/>
        </w:rPr>
      </w:pPr>
    </w:p>
    <w:p w14:paraId="2CA88264">
      <w:pPr>
        <w:shd w:val="clear"/>
        <w:spacing w:before="100" w:line="372" w:lineRule="auto"/>
        <w:ind w:left="1827"/>
        <w:jc w:val="both"/>
        <w:rPr>
          <w:rFonts w:hint="eastAsia" w:ascii="黑体" w:hAnsi="黑体" w:eastAsia="黑体" w:cs="黑体"/>
          <w:color w:val="auto"/>
          <w:sz w:val="31"/>
          <w:szCs w:val="31"/>
          <w:highlight w:val="none"/>
        </w:rPr>
      </w:pPr>
      <w:r>
        <w:rPr>
          <w:rFonts w:ascii="黑体" w:hAnsi="黑体" w:eastAsia="黑体" w:cs="黑体"/>
          <w:color w:val="auto"/>
          <w:sz w:val="31"/>
          <w:szCs w:val="31"/>
          <w:highlight w:val="none"/>
        </w:rPr>
        <w:t>招标人：</w:t>
      </w:r>
      <w:r>
        <w:rPr>
          <w:rFonts w:hint="eastAsia" w:ascii="黑体" w:hAnsi="黑体" w:eastAsia="黑体" w:cs="黑体"/>
          <w:color w:val="auto"/>
          <w:sz w:val="31"/>
          <w:szCs w:val="31"/>
          <w:highlight w:val="none"/>
          <w:u w:val="single"/>
        </w:rPr>
        <w:t>绍兴市水务产业有限公司</w:t>
      </w:r>
      <w:r>
        <w:rPr>
          <w:rFonts w:hint="eastAsia" w:ascii="黑体" w:hAnsi="黑体" w:eastAsia="黑体" w:cs="黑体"/>
          <w:color w:val="auto"/>
          <w:sz w:val="31"/>
          <w:szCs w:val="31"/>
          <w:highlight w:val="none"/>
          <w:u w:val="single"/>
          <w:lang w:eastAsia="zh-CN"/>
        </w:rPr>
        <w:t>（</w:t>
      </w:r>
      <w:r>
        <w:rPr>
          <w:rFonts w:ascii="黑体" w:hAnsi="黑体" w:eastAsia="黑体" w:cs="黑体"/>
          <w:color w:val="auto"/>
          <w:sz w:val="31"/>
          <w:szCs w:val="31"/>
          <w:highlight w:val="none"/>
        </w:rPr>
        <w:t>盖章</w:t>
      </w:r>
      <w:r>
        <w:rPr>
          <w:rFonts w:hint="eastAsia" w:ascii="黑体" w:hAnsi="黑体" w:eastAsia="黑体" w:cs="黑体"/>
          <w:color w:val="auto"/>
          <w:sz w:val="31"/>
          <w:szCs w:val="31"/>
          <w:highlight w:val="none"/>
        </w:rPr>
        <w:t>）</w:t>
      </w:r>
    </w:p>
    <w:p w14:paraId="3EE19A22">
      <w:pPr>
        <w:shd w:val="clear"/>
        <w:spacing w:before="100" w:line="372" w:lineRule="auto"/>
        <w:ind w:left="1827"/>
        <w:jc w:val="both"/>
        <w:rPr>
          <w:rFonts w:hint="default" w:ascii="黑体" w:hAnsi="黑体" w:eastAsia="黑体" w:cs="黑体"/>
          <w:color w:val="auto"/>
          <w:sz w:val="31"/>
          <w:szCs w:val="31"/>
          <w:highlight w:val="none"/>
          <w:lang w:val="en-US" w:eastAsia="zh-CN"/>
        </w:rPr>
      </w:pPr>
      <w:r>
        <w:rPr>
          <w:rFonts w:hint="eastAsia" w:ascii="黑体" w:hAnsi="黑体" w:eastAsia="黑体" w:cs="黑体"/>
          <w:color w:val="auto"/>
          <w:sz w:val="31"/>
          <w:szCs w:val="31"/>
          <w:highlight w:val="none"/>
          <w:lang w:val="en-US" w:eastAsia="zh-CN"/>
        </w:rPr>
        <w:t>招标代理机构：</w:t>
      </w:r>
      <w:r>
        <w:rPr>
          <w:rFonts w:hint="eastAsia" w:ascii="黑体" w:hAnsi="黑体" w:eastAsia="黑体" w:cs="黑体"/>
          <w:color w:val="auto"/>
          <w:sz w:val="31"/>
          <w:szCs w:val="31"/>
          <w:highlight w:val="none"/>
          <w:u w:val="single"/>
          <w:lang w:val="en-US" w:eastAsia="zh-CN"/>
        </w:rPr>
        <w:t>中冠工程管理咨询有限公司</w:t>
      </w:r>
      <w:r>
        <w:rPr>
          <w:rFonts w:hint="eastAsia" w:ascii="黑体" w:hAnsi="黑体" w:eastAsia="黑体" w:cs="黑体"/>
          <w:color w:val="auto"/>
          <w:sz w:val="31"/>
          <w:szCs w:val="31"/>
          <w:highlight w:val="none"/>
          <w:lang w:val="en-US" w:eastAsia="zh-CN"/>
        </w:rPr>
        <w:t>（盖章）</w:t>
      </w:r>
    </w:p>
    <w:p w14:paraId="16E65844">
      <w:pPr>
        <w:tabs>
          <w:tab w:val="left" w:pos="3427"/>
        </w:tabs>
        <w:spacing w:line="228" w:lineRule="auto"/>
        <w:jc w:val="center"/>
        <w:rPr>
          <w:rFonts w:hint="eastAsia" w:ascii="黑体" w:eastAsia="黑体" w:cs="黑体"/>
          <w:color w:val="auto"/>
          <w:sz w:val="31"/>
          <w:szCs w:val="31"/>
          <w:highlight w:val="none"/>
          <w:u w:val="single"/>
        </w:rPr>
      </w:pPr>
      <w:r>
        <w:rPr>
          <w:rFonts w:hint="eastAsia" w:ascii="黑体" w:eastAsia="黑体" w:cs="黑体"/>
          <w:color w:val="auto"/>
          <w:sz w:val="31"/>
          <w:szCs w:val="31"/>
          <w:highlight w:val="none"/>
          <w:u w:val="single"/>
        </w:rPr>
        <w:t>202</w:t>
      </w:r>
      <w:r>
        <w:rPr>
          <w:rFonts w:hint="eastAsia" w:ascii="黑体" w:eastAsia="黑体" w:cs="黑体"/>
          <w:color w:val="auto"/>
          <w:sz w:val="31"/>
          <w:szCs w:val="31"/>
          <w:highlight w:val="none"/>
          <w:u w:val="single"/>
          <w:lang w:val="en-US" w:eastAsia="zh-CN"/>
        </w:rPr>
        <w:t>6</w:t>
      </w:r>
      <w:r>
        <w:rPr>
          <w:rFonts w:hint="eastAsia" w:ascii="黑体" w:eastAsia="黑体" w:cs="黑体"/>
          <w:color w:val="auto"/>
          <w:sz w:val="31"/>
          <w:szCs w:val="31"/>
          <w:highlight w:val="none"/>
          <w:u w:val="none"/>
        </w:rPr>
        <w:t>年</w:t>
      </w:r>
      <w:r>
        <w:rPr>
          <w:rFonts w:hint="eastAsia" w:ascii="黑体" w:eastAsia="黑体" w:cs="黑体"/>
          <w:color w:val="auto"/>
          <w:sz w:val="31"/>
          <w:szCs w:val="31"/>
          <w:highlight w:val="none"/>
          <w:u w:val="single"/>
          <w:lang w:val="en-US" w:eastAsia="zh-CN"/>
        </w:rPr>
        <w:t xml:space="preserve">   </w:t>
      </w:r>
      <w:r>
        <w:rPr>
          <w:rFonts w:hint="eastAsia" w:ascii="黑体" w:eastAsia="黑体" w:cs="黑体"/>
          <w:color w:val="auto"/>
          <w:sz w:val="31"/>
          <w:szCs w:val="31"/>
          <w:highlight w:val="none"/>
          <w:u w:val="none"/>
        </w:rPr>
        <w:t>月</w:t>
      </w:r>
      <w:r>
        <w:rPr>
          <w:rFonts w:hint="eastAsia" w:ascii="黑体" w:eastAsia="黑体" w:cs="黑体"/>
          <w:color w:val="auto"/>
          <w:sz w:val="31"/>
          <w:szCs w:val="31"/>
          <w:highlight w:val="none"/>
          <w:u w:val="single"/>
          <w:lang w:val="en-US" w:eastAsia="zh-CN"/>
        </w:rPr>
        <w:t xml:space="preserve">   </w:t>
      </w:r>
      <w:r>
        <w:rPr>
          <w:rFonts w:hint="eastAsia" w:ascii="黑体" w:eastAsia="黑体" w:cs="黑体"/>
          <w:color w:val="auto"/>
          <w:sz w:val="31"/>
          <w:szCs w:val="31"/>
          <w:highlight w:val="none"/>
          <w:u w:val="none"/>
        </w:rPr>
        <w:t>日</w:t>
      </w:r>
    </w:p>
    <w:p w14:paraId="18F64CC6">
      <w:pPr>
        <w:jc w:val="both"/>
        <w:rPr>
          <w:color w:val="auto"/>
          <w:highlight w:val="none"/>
        </w:rPr>
        <w:sectPr>
          <w:pgSz w:w="11906" w:h="16839"/>
          <w:pgMar w:top="1417" w:right="1417" w:bottom="1417" w:left="1417" w:header="850" w:footer="992" w:gutter="0"/>
          <w:pgBorders>
            <w:top w:val="none" w:sz="0" w:space="0"/>
            <w:left w:val="none" w:sz="0" w:space="0"/>
            <w:bottom w:val="none" w:sz="0" w:space="0"/>
            <w:right w:val="none" w:sz="0" w:space="0"/>
          </w:pgBorders>
          <w:cols w:space="720" w:num="1"/>
          <w:docGrid w:linePitch="312" w:charSpace="0"/>
        </w:sectPr>
      </w:pPr>
      <w:bookmarkStart w:id="236" w:name="_GoBack"/>
      <w:bookmarkEnd w:id="236"/>
    </w:p>
    <w:p w14:paraId="57A245EC">
      <w:pPr>
        <w:spacing w:before="0" w:line="440" w:lineRule="exact"/>
        <w:ind w:left="0"/>
        <w:jc w:val="center"/>
        <w:rPr>
          <w:rFonts w:ascii="宋体" w:eastAsia="宋体" w:cs="黑体"/>
          <w:color w:val="auto"/>
          <w:sz w:val="36"/>
          <w:szCs w:val="36"/>
          <w:highlight w:val="none"/>
        </w:rPr>
      </w:pPr>
      <w:r>
        <w:rPr>
          <w:rFonts w:ascii="宋体" w:eastAsia="宋体" w:cs="黑体"/>
          <w:color w:val="auto"/>
          <w:sz w:val="36"/>
          <w:szCs w:val="36"/>
          <w:highlight w:val="none"/>
        </w:rPr>
        <w:t>目录</w:t>
      </w:r>
    </w:p>
    <w:p w14:paraId="3790E175">
      <w:pPr>
        <w:pStyle w:val="22"/>
        <w:tabs>
          <w:tab w:val="right" w:leader="dot" w:pos="9072"/>
        </w:tabs>
        <w:rPr>
          <w:color w:val="auto"/>
          <w:highlight w:val="none"/>
        </w:rPr>
      </w:pPr>
      <w:r>
        <w:rPr>
          <w:rFonts w:hint="eastAsia" w:ascii="宋体" w:eastAsia="宋体" w:cs="宋体"/>
          <w:b w:val="0"/>
          <w:bCs w:val="0"/>
          <w:i w:val="0"/>
          <w:iCs w:val="0"/>
          <w:color w:val="auto"/>
          <w:sz w:val="24"/>
          <w:szCs w:val="24"/>
          <w:highlight w:val="none"/>
        </w:rPr>
        <w:fldChar w:fldCharType="begin"/>
      </w:r>
      <w:r>
        <w:rPr>
          <w:rFonts w:hint="eastAsia" w:ascii="宋体" w:eastAsia="宋体" w:cs="宋体"/>
          <w:b w:val="0"/>
          <w:bCs w:val="0"/>
          <w:i w:val="0"/>
          <w:iCs w:val="0"/>
          <w:color w:val="auto"/>
          <w:sz w:val="24"/>
          <w:szCs w:val="24"/>
          <w:highlight w:val="none"/>
        </w:rPr>
        <w:instrText xml:space="preserve">TOC \o "1-2" \h \u </w:instrText>
      </w:r>
      <w:r>
        <w:rPr>
          <w:rFonts w:hint="eastAsia" w:ascii="宋体" w:eastAsia="宋体" w:cs="宋体"/>
          <w:b w:val="0"/>
          <w:bCs w:val="0"/>
          <w:i w:val="0"/>
          <w:iCs w:val="0"/>
          <w:color w:val="auto"/>
          <w:sz w:val="24"/>
          <w:szCs w:val="24"/>
          <w:highlight w:val="none"/>
        </w:rPr>
        <w:fldChar w:fldCharType="separate"/>
      </w:r>
    </w:p>
    <w:p w14:paraId="620640C8">
      <w:pPr>
        <w:pStyle w:val="22"/>
        <w:tabs>
          <w:tab w:val="right" w:leader="dot" w:pos="9072"/>
        </w:tabs>
        <w:rPr>
          <w:color w:val="auto"/>
          <w:highlight w:val="none"/>
        </w:rPr>
      </w:pPr>
      <w:r>
        <w:rPr>
          <w:rFonts w:hint="eastAsia" w:ascii="宋体" w:eastAsia="宋体" w:cs="宋体"/>
          <w:bCs w:val="0"/>
          <w:i w:val="0"/>
          <w:iCs w:val="0"/>
          <w:color w:val="auto"/>
          <w:szCs w:val="24"/>
          <w:highlight w:val="none"/>
        </w:rPr>
        <w:fldChar w:fldCharType="begin"/>
      </w:r>
      <w:r>
        <w:rPr>
          <w:rFonts w:hint="eastAsia" w:ascii="宋体" w:eastAsia="宋体" w:cs="宋体"/>
          <w:bCs w:val="0"/>
          <w:i w:val="0"/>
          <w:iCs w:val="0"/>
          <w:color w:val="auto"/>
          <w:szCs w:val="24"/>
          <w:highlight w:val="none"/>
        </w:rPr>
        <w:instrText xml:space="preserve"> HYPERLINK \l _Toc18680 </w:instrText>
      </w:r>
      <w:r>
        <w:rPr>
          <w:rFonts w:hint="eastAsia" w:ascii="宋体" w:eastAsia="宋体" w:cs="宋体"/>
          <w:bCs w:val="0"/>
          <w:i w:val="0"/>
          <w:iCs w:val="0"/>
          <w:color w:val="auto"/>
          <w:szCs w:val="24"/>
          <w:highlight w:val="none"/>
        </w:rPr>
        <w:fldChar w:fldCharType="separate"/>
      </w:r>
      <w:r>
        <w:rPr>
          <w:rFonts w:ascii="宋体" w:eastAsia="宋体" w:cs="宋体"/>
          <w:color w:val="auto"/>
          <w:szCs w:val="36"/>
          <w:highlight w:val="none"/>
        </w:rPr>
        <w:t>第一章</w:t>
      </w:r>
      <w:r>
        <w:rPr>
          <w:rFonts w:hint="eastAsia" w:ascii="宋体" w:eastAsia="宋体" w:cs="宋体"/>
          <w:color w:val="auto"/>
          <w:szCs w:val="36"/>
          <w:highlight w:val="none"/>
        </w:rPr>
        <w:t xml:space="preserve"> </w:t>
      </w:r>
      <w:r>
        <w:rPr>
          <w:rFonts w:ascii="宋体" w:eastAsia="宋体" w:cs="宋体"/>
          <w:color w:val="auto"/>
          <w:szCs w:val="36"/>
          <w:highlight w:val="none"/>
        </w:rPr>
        <w:t>招标公告</w:t>
      </w:r>
      <w:r>
        <w:rPr>
          <w:color w:val="auto"/>
          <w:highlight w:val="none"/>
        </w:rPr>
        <w:tab/>
      </w:r>
      <w:r>
        <w:rPr>
          <w:color w:val="auto"/>
          <w:highlight w:val="none"/>
        </w:rPr>
        <w:fldChar w:fldCharType="begin"/>
      </w:r>
      <w:r>
        <w:rPr>
          <w:color w:val="auto"/>
          <w:highlight w:val="none"/>
        </w:rPr>
        <w:instrText xml:space="preserve"> PAGEREF _Toc18680 \h </w:instrText>
      </w:r>
      <w:r>
        <w:rPr>
          <w:color w:val="auto"/>
          <w:highlight w:val="none"/>
        </w:rPr>
        <w:fldChar w:fldCharType="separate"/>
      </w:r>
      <w:r>
        <w:rPr>
          <w:color w:val="auto"/>
          <w:highlight w:val="none"/>
        </w:rPr>
        <w:t>7</w:t>
      </w:r>
      <w:r>
        <w:rPr>
          <w:color w:val="auto"/>
          <w:highlight w:val="none"/>
        </w:rPr>
        <w:fldChar w:fldCharType="end"/>
      </w:r>
      <w:r>
        <w:rPr>
          <w:rFonts w:hint="eastAsia" w:ascii="宋体" w:eastAsia="宋体" w:cs="宋体"/>
          <w:bCs w:val="0"/>
          <w:i w:val="0"/>
          <w:iCs w:val="0"/>
          <w:color w:val="auto"/>
          <w:szCs w:val="24"/>
          <w:highlight w:val="none"/>
        </w:rPr>
        <w:fldChar w:fldCharType="end"/>
      </w:r>
    </w:p>
    <w:p w14:paraId="43562129">
      <w:pPr>
        <w:pStyle w:val="22"/>
        <w:tabs>
          <w:tab w:val="right" w:leader="dot" w:pos="9072"/>
        </w:tabs>
        <w:rPr>
          <w:color w:val="auto"/>
          <w:highlight w:val="none"/>
        </w:rPr>
      </w:pPr>
      <w:r>
        <w:rPr>
          <w:rFonts w:hint="eastAsia" w:ascii="宋体" w:eastAsia="宋体" w:cs="宋体"/>
          <w:bCs w:val="0"/>
          <w:i w:val="0"/>
          <w:iCs w:val="0"/>
          <w:color w:val="auto"/>
          <w:szCs w:val="24"/>
          <w:highlight w:val="none"/>
        </w:rPr>
        <w:fldChar w:fldCharType="begin"/>
      </w:r>
      <w:r>
        <w:rPr>
          <w:rFonts w:hint="eastAsia" w:ascii="宋体" w:eastAsia="宋体" w:cs="宋体"/>
          <w:bCs w:val="0"/>
          <w:i w:val="0"/>
          <w:iCs w:val="0"/>
          <w:color w:val="auto"/>
          <w:szCs w:val="24"/>
          <w:highlight w:val="none"/>
        </w:rPr>
        <w:instrText xml:space="preserve"> HYPERLINK \l _Toc3543 </w:instrText>
      </w:r>
      <w:r>
        <w:rPr>
          <w:rFonts w:hint="eastAsia" w:ascii="宋体" w:eastAsia="宋体" w:cs="宋体"/>
          <w:bCs w:val="0"/>
          <w:i w:val="0"/>
          <w:iCs w:val="0"/>
          <w:color w:val="auto"/>
          <w:szCs w:val="24"/>
          <w:highlight w:val="none"/>
        </w:rPr>
        <w:fldChar w:fldCharType="separate"/>
      </w:r>
      <w:r>
        <w:rPr>
          <w:rFonts w:ascii="宋体" w:eastAsia="宋体" w:cs="宋体"/>
          <w:color w:val="auto"/>
          <w:szCs w:val="36"/>
          <w:highlight w:val="none"/>
        </w:rPr>
        <w:t>第二章</w:t>
      </w:r>
      <w:r>
        <w:rPr>
          <w:rFonts w:hint="eastAsia" w:ascii="宋体" w:eastAsia="宋体" w:cs="宋体"/>
          <w:color w:val="auto"/>
          <w:szCs w:val="36"/>
          <w:highlight w:val="none"/>
        </w:rPr>
        <w:t xml:space="preserve"> </w:t>
      </w:r>
      <w:r>
        <w:rPr>
          <w:rFonts w:ascii="宋体" w:eastAsia="宋体" w:cs="宋体"/>
          <w:color w:val="auto"/>
          <w:szCs w:val="36"/>
          <w:highlight w:val="none"/>
        </w:rPr>
        <w:t>投标人须知</w:t>
      </w:r>
      <w:r>
        <w:rPr>
          <w:color w:val="auto"/>
          <w:highlight w:val="none"/>
        </w:rPr>
        <w:tab/>
      </w:r>
      <w:r>
        <w:rPr>
          <w:color w:val="auto"/>
          <w:highlight w:val="none"/>
        </w:rPr>
        <w:fldChar w:fldCharType="begin"/>
      </w:r>
      <w:r>
        <w:rPr>
          <w:color w:val="auto"/>
          <w:highlight w:val="none"/>
        </w:rPr>
        <w:instrText xml:space="preserve"> PAGEREF _Toc3543 \h </w:instrText>
      </w:r>
      <w:r>
        <w:rPr>
          <w:color w:val="auto"/>
          <w:highlight w:val="none"/>
        </w:rPr>
        <w:fldChar w:fldCharType="separate"/>
      </w:r>
      <w:r>
        <w:rPr>
          <w:color w:val="auto"/>
          <w:highlight w:val="none"/>
        </w:rPr>
        <w:t>10</w:t>
      </w:r>
      <w:r>
        <w:rPr>
          <w:color w:val="auto"/>
          <w:highlight w:val="none"/>
        </w:rPr>
        <w:fldChar w:fldCharType="end"/>
      </w:r>
      <w:r>
        <w:rPr>
          <w:rFonts w:hint="eastAsia" w:ascii="宋体" w:eastAsia="宋体" w:cs="宋体"/>
          <w:bCs w:val="0"/>
          <w:i w:val="0"/>
          <w:iCs w:val="0"/>
          <w:color w:val="auto"/>
          <w:szCs w:val="24"/>
          <w:highlight w:val="none"/>
        </w:rPr>
        <w:fldChar w:fldCharType="end"/>
      </w:r>
    </w:p>
    <w:p w14:paraId="1CD37BAA">
      <w:pPr>
        <w:pStyle w:val="25"/>
        <w:tabs>
          <w:tab w:val="right" w:leader="dot" w:pos="9072"/>
        </w:tabs>
        <w:rPr>
          <w:color w:val="auto"/>
          <w:highlight w:val="none"/>
        </w:rPr>
      </w:pPr>
      <w:r>
        <w:rPr>
          <w:rFonts w:hint="eastAsia" w:ascii="宋体" w:eastAsia="宋体" w:cs="宋体"/>
          <w:bCs w:val="0"/>
          <w:i w:val="0"/>
          <w:iCs w:val="0"/>
          <w:color w:val="auto"/>
          <w:szCs w:val="24"/>
          <w:highlight w:val="none"/>
        </w:rPr>
        <w:fldChar w:fldCharType="begin"/>
      </w:r>
      <w:r>
        <w:rPr>
          <w:rFonts w:hint="eastAsia" w:ascii="宋体" w:eastAsia="宋体" w:cs="宋体"/>
          <w:bCs w:val="0"/>
          <w:i w:val="0"/>
          <w:iCs w:val="0"/>
          <w:color w:val="auto"/>
          <w:szCs w:val="24"/>
          <w:highlight w:val="none"/>
        </w:rPr>
        <w:instrText xml:space="preserve"> HYPERLINK \l _Toc15944 </w:instrText>
      </w:r>
      <w:r>
        <w:rPr>
          <w:rFonts w:hint="eastAsia" w:ascii="宋体" w:eastAsia="宋体" w:cs="宋体"/>
          <w:bCs w:val="0"/>
          <w:i w:val="0"/>
          <w:iCs w:val="0"/>
          <w:color w:val="auto"/>
          <w:szCs w:val="24"/>
          <w:highlight w:val="none"/>
        </w:rPr>
        <w:fldChar w:fldCharType="separate"/>
      </w:r>
      <w:r>
        <w:rPr>
          <w:rFonts w:ascii="宋体" w:eastAsia="宋体" w:cs="宋体"/>
          <w:color w:val="auto"/>
          <w:szCs w:val="28"/>
          <w:highlight w:val="none"/>
        </w:rPr>
        <w:t>第一节</w:t>
      </w:r>
      <w:r>
        <w:rPr>
          <w:rFonts w:hint="eastAsia" w:ascii="宋体" w:eastAsia="宋体" w:cs="宋体"/>
          <w:color w:val="auto"/>
          <w:szCs w:val="28"/>
          <w:highlight w:val="none"/>
        </w:rPr>
        <w:t xml:space="preserve"> </w:t>
      </w:r>
      <w:r>
        <w:rPr>
          <w:rFonts w:ascii="宋体" w:eastAsia="宋体" w:cs="宋体"/>
          <w:color w:val="auto"/>
          <w:szCs w:val="28"/>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_Toc15944 \h </w:instrText>
      </w:r>
      <w:r>
        <w:rPr>
          <w:color w:val="auto"/>
          <w:highlight w:val="none"/>
        </w:rPr>
        <w:fldChar w:fldCharType="separate"/>
      </w:r>
      <w:r>
        <w:rPr>
          <w:color w:val="auto"/>
          <w:highlight w:val="none"/>
        </w:rPr>
        <w:t>10</w:t>
      </w:r>
      <w:r>
        <w:rPr>
          <w:color w:val="auto"/>
          <w:highlight w:val="none"/>
        </w:rPr>
        <w:fldChar w:fldCharType="end"/>
      </w:r>
      <w:r>
        <w:rPr>
          <w:rFonts w:hint="eastAsia" w:ascii="宋体" w:eastAsia="宋体" w:cs="宋体"/>
          <w:bCs w:val="0"/>
          <w:i w:val="0"/>
          <w:iCs w:val="0"/>
          <w:color w:val="auto"/>
          <w:szCs w:val="24"/>
          <w:highlight w:val="none"/>
        </w:rPr>
        <w:fldChar w:fldCharType="end"/>
      </w:r>
    </w:p>
    <w:p w14:paraId="5D52764D">
      <w:pPr>
        <w:pStyle w:val="25"/>
        <w:tabs>
          <w:tab w:val="right" w:leader="dot" w:pos="9072"/>
        </w:tabs>
        <w:rPr>
          <w:color w:val="auto"/>
          <w:highlight w:val="none"/>
        </w:rPr>
      </w:pPr>
      <w:r>
        <w:rPr>
          <w:rFonts w:hint="eastAsia" w:ascii="宋体" w:eastAsia="宋体" w:cs="宋体"/>
          <w:bCs w:val="0"/>
          <w:i w:val="0"/>
          <w:iCs w:val="0"/>
          <w:color w:val="auto"/>
          <w:szCs w:val="24"/>
          <w:highlight w:val="none"/>
        </w:rPr>
        <w:fldChar w:fldCharType="begin"/>
      </w:r>
      <w:r>
        <w:rPr>
          <w:rFonts w:hint="eastAsia" w:ascii="宋体" w:eastAsia="宋体" w:cs="宋体"/>
          <w:bCs w:val="0"/>
          <w:i w:val="0"/>
          <w:iCs w:val="0"/>
          <w:color w:val="auto"/>
          <w:szCs w:val="24"/>
          <w:highlight w:val="none"/>
        </w:rPr>
        <w:instrText xml:space="preserve"> HYPERLINK \l _Toc21658 </w:instrText>
      </w:r>
      <w:r>
        <w:rPr>
          <w:rFonts w:hint="eastAsia" w:ascii="宋体" w:eastAsia="宋体" w:cs="宋体"/>
          <w:bCs w:val="0"/>
          <w:i w:val="0"/>
          <w:iCs w:val="0"/>
          <w:color w:val="auto"/>
          <w:szCs w:val="24"/>
          <w:highlight w:val="none"/>
        </w:rPr>
        <w:fldChar w:fldCharType="separate"/>
      </w:r>
      <w:r>
        <w:rPr>
          <w:rFonts w:ascii="宋体" w:eastAsia="宋体" w:cs="宋体"/>
          <w:color w:val="auto"/>
          <w:szCs w:val="28"/>
          <w:highlight w:val="none"/>
        </w:rPr>
        <w:t>附表一：开标记录表</w:t>
      </w:r>
      <w:r>
        <w:rPr>
          <w:color w:val="auto"/>
          <w:highlight w:val="none"/>
        </w:rPr>
        <w:tab/>
      </w:r>
      <w:r>
        <w:rPr>
          <w:color w:val="auto"/>
          <w:highlight w:val="none"/>
        </w:rPr>
        <w:fldChar w:fldCharType="begin"/>
      </w:r>
      <w:r>
        <w:rPr>
          <w:color w:val="auto"/>
          <w:highlight w:val="none"/>
        </w:rPr>
        <w:instrText xml:space="preserve"> PAGEREF _Toc21658 \h </w:instrText>
      </w:r>
      <w:r>
        <w:rPr>
          <w:color w:val="auto"/>
          <w:highlight w:val="none"/>
        </w:rPr>
        <w:fldChar w:fldCharType="separate"/>
      </w:r>
      <w:r>
        <w:rPr>
          <w:color w:val="auto"/>
          <w:highlight w:val="none"/>
        </w:rPr>
        <w:t>35</w:t>
      </w:r>
      <w:r>
        <w:rPr>
          <w:color w:val="auto"/>
          <w:highlight w:val="none"/>
        </w:rPr>
        <w:fldChar w:fldCharType="end"/>
      </w:r>
      <w:r>
        <w:rPr>
          <w:rFonts w:hint="eastAsia" w:ascii="宋体" w:eastAsia="宋体" w:cs="宋体"/>
          <w:bCs w:val="0"/>
          <w:i w:val="0"/>
          <w:iCs w:val="0"/>
          <w:color w:val="auto"/>
          <w:szCs w:val="24"/>
          <w:highlight w:val="none"/>
        </w:rPr>
        <w:fldChar w:fldCharType="end"/>
      </w:r>
    </w:p>
    <w:p w14:paraId="6D9C4B8D">
      <w:pPr>
        <w:pStyle w:val="25"/>
        <w:tabs>
          <w:tab w:val="right" w:leader="dot" w:pos="9072"/>
        </w:tabs>
        <w:rPr>
          <w:color w:val="auto"/>
          <w:highlight w:val="none"/>
        </w:rPr>
      </w:pPr>
      <w:r>
        <w:rPr>
          <w:rFonts w:hint="eastAsia" w:ascii="宋体" w:eastAsia="宋体" w:cs="宋体"/>
          <w:bCs w:val="0"/>
          <w:i w:val="0"/>
          <w:iCs w:val="0"/>
          <w:color w:val="auto"/>
          <w:szCs w:val="24"/>
          <w:highlight w:val="none"/>
        </w:rPr>
        <w:fldChar w:fldCharType="begin"/>
      </w:r>
      <w:r>
        <w:rPr>
          <w:rFonts w:hint="eastAsia" w:ascii="宋体" w:eastAsia="宋体" w:cs="宋体"/>
          <w:bCs w:val="0"/>
          <w:i w:val="0"/>
          <w:iCs w:val="0"/>
          <w:color w:val="auto"/>
          <w:szCs w:val="24"/>
          <w:highlight w:val="none"/>
        </w:rPr>
        <w:instrText xml:space="preserve"> HYPERLINK \l _Toc9634 </w:instrText>
      </w:r>
      <w:r>
        <w:rPr>
          <w:rFonts w:hint="eastAsia" w:ascii="宋体" w:eastAsia="宋体" w:cs="宋体"/>
          <w:bCs w:val="0"/>
          <w:i w:val="0"/>
          <w:iCs w:val="0"/>
          <w:color w:val="auto"/>
          <w:szCs w:val="24"/>
          <w:highlight w:val="none"/>
        </w:rPr>
        <w:fldChar w:fldCharType="separate"/>
      </w:r>
      <w:r>
        <w:rPr>
          <w:rFonts w:ascii="宋体" w:eastAsia="宋体" w:cs="宋体"/>
          <w:color w:val="auto"/>
          <w:szCs w:val="28"/>
          <w:highlight w:val="none"/>
        </w:rPr>
        <w:t>附表二：问题澄清通知</w:t>
      </w:r>
      <w:r>
        <w:rPr>
          <w:color w:val="auto"/>
          <w:highlight w:val="none"/>
        </w:rPr>
        <w:tab/>
      </w:r>
      <w:r>
        <w:rPr>
          <w:color w:val="auto"/>
          <w:highlight w:val="none"/>
        </w:rPr>
        <w:fldChar w:fldCharType="begin"/>
      </w:r>
      <w:r>
        <w:rPr>
          <w:color w:val="auto"/>
          <w:highlight w:val="none"/>
        </w:rPr>
        <w:instrText xml:space="preserve"> PAGEREF _Toc9634 \h </w:instrText>
      </w:r>
      <w:r>
        <w:rPr>
          <w:color w:val="auto"/>
          <w:highlight w:val="none"/>
        </w:rPr>
        <w:fldChar w:fldCharType="separate"/>
      </w:r>
      <w:r>
        <w:rPr>
          <w:color w:val="auto"/>
          <w:highlight w:val="none"/>
        </w:rPr>
        <w:t>36</w:t>
      </w:r>
      <w:r>
        <w:rPr>
          <w:color w:val="auto"/>
          <w:highlight w:val="none"/>
        </w:rPr>
        <w:fldChar w:fldCharType="end"/>
      </w:r>
      <w:r>
        <w:rPr>
          <w:rFonts w:hint="eastAsia" w:ascii="宋体" w:eastAsia="宋体" w:cs="宋体"/>
          <w:bCs w:val="0"/>
          <w:i w:val="0"/>
          <w:iCs w:val="0"/>
          <w:color w:val="auto"/>
          <w:szCs w:val="24"/>
          <w:highlight w:val="none"/>
        </w:rPr>
        <w:fldChar w:fldCharType="end"/>
      </w:r>
    </w:p>
    <w:p w14:paraId="18F11985">
      <w:pPr>
        <w:pStyle w:val="25"/>
        <w:tabs>
          <w:tab w:val="right" w:leader="dot" w:pos="9072"/>
        </w:tabs>
        <w:rPr>
          <w:color w:val="auto"/>
          <w:highlight w:val="none"/>
        </w:rPr>
      </w:pPr>
      <w:r>
        <w:rPr>
          <w:rFonts w:hint="eastAsia" w:ascii="宋体" w:eastAsia="宋体" w:cs="宋体"/>
          <w:bCs w:val="0"/>
          <w:i w:val="0"/>
          <w:iCs w:val="0"/>
          <w:color w:val="auto"/>
          <w:szCs w:val="24"/>
          <w:highlight w:val="none"/>
        </w:rPr>
        <w:fldChar w:fldCharType="begin"/>
      </w:r>
      <w:r>
        <w:rPr>
          <w:rFonts w:hint="eastAsia" w:ascii="宋体" w:eastAsia="宋体" w:cs="宋体"/>
          <w:bCs w:val="0"/>
          <w:i w:val="0"/>
          <w:iCs w:val="0"/>
          <w:color w:val="auto"/>
          <w:szCs w:val="24"/>
          <w:highlight w:val="none"/>
        </w:rPr>
        <w:instrText xml:space="preserve"> HYPERLINK \l _Toc5567 </w:instrText>
      </w:r>
      <w:r>
        <w:rPr>
          <w:rFonts w:hint="eastAsia" w:ascii="宋体" w:eastAsia="宋体" w:cs="宋体"/>
          <w:bCs w:val="0"/>
          <w:i w:val="0"/>
          <w:iCs w:val="0"/>
          <w:color w:val="auto"/>
          <w:szCs w:val="24"/>
          <w:highlight w:val="none"/>
        </w:rPr>
        <w:fldChar w:fldCharType="separate"/>
      </w:r>
      <w:r>
        <w:rPr>
          <w:rFonts w:ascii="宋体" w:eastAsia="宋体" w:cs="宋体"/>
          <w:color w:val="auto"/>
          <w:szCs w:val="28"/>
          <w:highlight w:val="none"/>
        </w:rPr>
        <w:t>附表三：问题的澄清</w:t>
      </w:r>
      <w:r>
        <w:rPr>
          <w:color w:val="auto"/>
          <w:highlight w:val="none"/>
        </w:rPr>
        <w:tab/>
      </w:r>
      <w:r>
        <w:rPr>
          <w:color w:val="auto"/>
          <w:highlight w:val="none"/>
        </w:rPr>
        <w:fldChar w:fldCharType="begin"/>
      </w:r>
      <w:r>
        <w:rPr>
          <w:color w:val="auto"/>
          <w:highlight w:val="none"/>
        </w:rPr>
        <w:instrText xml:space="preserve"> PAGEREF _Toc5567 \h </w:instrText>
      </w:r>
      <w:r>
        <w:rPr>
          <w:color w:val="auto"/>
          <w:highlight w:val="none"/>
        </w:rPr>
        <w:fldChar w:fldCharType="separate"/>
      </w:r>
      <w:r>
        <w:rPr>
          <w:color w:val="auto"/>
          <w:highlight w:val="none"/>
        </w:rPr>
        <w:t>37</w:t>
      </w:r>
      <w:r>
        <w:rPr>
          <w:color w:val="auto"/>
          <w:highlight w:val="none"/>
        </w:rPr>
        <w:fldChar w:fldCharType="end"/>
      </w:r>
      <w:r>
        <w:rPr>
          <w:rFonts w:hint="eastAsia" w:ascii="宋体" w:eastAsia="宋体" w:cs="宋体"/>
          <w:bCs w:val="0"/>
          <w:i w:val="0"/>
          <w:iCs w:val="0"/>
          <w:color w:val="auto"/>
          <w:szCs w:val="24"/>
          <w:highlight w:val="none"/>
        </w:rPr>
        <w:fldChar w:fldCharType="end"/>
      </w:r>
    </w:p>
    <w:p w14:paraId="258A3133">
      <w:pPr>
        <w:pStyle w:val="25"/>
        <w:tabs>
          <w:tab w:val="right" w:leader="dot" w:pos="9072"/>
        </w:tabs>
        <w:rPr>
          <w:color w:val="auto"/>
          <w:highlight w:val="none"/>
        </w:rPr>
      </w:pPr>
      <w:r>
        <w:rPr>
          <w:rFonts w:hint="eastAsia" w:ascii="宋体" w:eastAsia="宋体" w:cs="宋体"/>
          <w:bCs w:val="0"/>
          <w:i w:val="0"/>
          <w:iCs w:val="0"/>
          <w:color w:val="auto"/>
          <w:szCs w:val="24"/>
          <w:highlight w:val="none"/>
        </w:rPr>
        <w:fldChar w:fldCharType="begin"/>
      </w:r>
      <w:r>
        <w:rPr>
          <w:rFonts w:hint="eastAsia" w:ascii="宋体" w:eastAsia="宋体" w:cs="宋体"/>
          <w:bCs w:val="0"/>
          <w:i w:val="0"/>
          <w:iCs w:val="0"/>
          <w:color w:val="auto"/>
          <w:szCs w:val="24"/>
          <w:highlight w:val="none"/>
        </w:rPr>
        <w:instrText xml:space="preserve"> HYPERLINK \l _Toc32310 </w:instrText>
      </w:r>
      <w:r>
        <w:rPr>
          <w:rFonts w:hint="eastAsia" w:ascii="宋体" w:eastAsia="宋体" w:cs="宋体"/>
          <w:bCs w:val="0"/>
          <w:i w:val="0"/>
          <w:iCs w:val="0"/>
          <w:color w:val="auto"/>
          <w:szCs w:val="24"/>
          <w:highlight w:val="none"/>
        </w:rPr>
        <w:fldChar w:fldCharType="separate"/>
      </w:r>
      <w:r>
        <w:rPr>
          <w:rFonts w:ascii="宋体" w:eastAsia="宋体" w:cs="宋体"/>
          <w:color w:val="auto"/>
          <w:szCs w:val="28"/>
          <w:highlight w:val="none"/>
        </w:rPr>
        <w:t>附表四：中标通知书</w:t>
      </w:r>
      <w:r>
        <w:rPr>
          <w:color w:val="auto"/>
          <w:highlight w:val="none"/>
        </w:rPr>
        <w:tab/>
      </w:r>
      <w:r>
        <w:rPr>
          <w:color w:val="auto"/>
          <w:highlight w:val="none"/>
        </w:rPr>
        <w:fldChar w:fldCharType="begin"/>
      </w:r>
      <w:r>
        <w:rPr>
          <w:color w:val="auto"/>
          <w:highlight w:val="none"/>
        </w:rPr>
        <w:instrText xml:space="preserve"> PAGEREF _Toc32310 \h </w:instrText>
      </w:r>
      <w:r>
        <w:rPr>
          <w:color w:val="auto"/>
          <w:highlight w:val="none"/>
        </w:rPr>
        <w:fldChar w:fldCharType="separate"/>
      </w:r>
      <w:r>
        <w:rPr>
          <w:color w:val="auto"/>
          <w:highlight w:val="none"/>
        </w:rPr>
        <w:t>38</w:t>
      </w:r>
      <w:r>
        <w:rPr>
          <w:color w:val="auto"/>
          <w:highlight w:val="none"/>
        </w:rPr>
        <w:fldChar w:fldCharType="end"/>
      </w:r>
      <w:r>
        <w:rPr>
          <w:rFonts w:hint="eastAsia" w:ascii="宋体" w:eastAsia="宋体" w:cs="宋体"/>
          <w:bCs w:val="0"/>
          <w:i w:val="0"/>
          <w:iCs w:val="0"/>
          <w:color w:val="auto"/>
          <w:szCs w:val="24"/>
          <w:highlight w:val="none"/>
        </w:rPr>
        <w:fldChar w:fldCharType="end"/>
      </w:r>
    </w:p>
    <w:p w14:paraId="2467D27A">
      <w:pPr>
        <w:pStyle w:val="25"/>
        <w:tabs>
          <w:tab w:val="right" w:leader="dot" w:pos="9072"/>
        </w:tabs>
        <w:rPr>
          <w:color w:val="auto"/>
          <w:highlight w:val="none"/>
        </w:rPr>
      </w:pPr>
      <w:r>
        <w:rPr>
          <w:rFonts w:hint="eastAsia" w:ascii="宋体" w:eastAsia="宋体" w:cs="宋体"/>
          <w:bCs w:val="0"/>
          <w:i w:val="0"/>
          <w:iCs w:val="0"/>
          <w:color w:val="auto"/>
          <w:szCs w:val="24"/>
          <w:highlight w:val="none"/>
        </w:rPr>
        <w:fldChar w:fldCharType="begin"/>
      </w:r>
      <w:r>
        <w:rPr>
          <w:rFonts w:hint="eastAsia" w:ascii="宋体" w:eastAsia="宋体" w:cs="宋体"/>
          <w:bCs w:val="0"/>
          <w:i w:val="0"/>
          <w:iCs w:val="0"/>
          <w:color w:val="auto"/>
          <w:szCs w:val="24"/>
          <w:highlight w:val="none"/>
        </w:rPr>
        <w:instrText xml:space="preserve"> HYPERLINK \l _Toc13078 </w:instrText>
      </w:r>
      <w:r>
        <w:rPr>
          <w:rFonts w:hint="eastAsia" w:ascii="宋体" w:eastAsia="宋体" w:cs="宋体"/>
          <w:bCs w:val="0"/>
          <w:i w:val="0"/>
          <w:iCs w:val="0"/>
          <w:color w:val="auto"/>
          <w:szCs w:val="24"/>
          <w:highlight w:val="none"/>
        </w:rPr>
        <w:fldChar w:fldCharType="separate"/>
      </w:r>
      <w:r>
        <w:rPr>
          <w:rFonts w:ascii="宋体" w:eastAsia="宋体" w:cs="宋体"/>
          <w:color w:val="auto"/>
          <w:szCs w:val="28"/>
          <w:highlight w:val="none"/>
        </w:rPr>
        <w:t>附表</w:t>
      </w:r>
      <w:r>
        <w:rPr>
          <w:rFonts w:hint="eastAsia" w:ascii="宋体" w:eastAsia="宋体" w:cs="宋体"/>
          <w:color w:val="auto"/>
          <w:szCs w:val="28"/>
          <w:highlight w:val="none"/>
        </w:rPr>
        <w:t>五</w:t>
      </w:r>
      <w:r>
        <w:rPr>
          <w:rFonts w:ascii="宋体" w:eastAsia="宋体" w:cs="宋体"/>
          <w:color w:val="auto"/>
          <w:szCs w:val="28"/>
          <w:highlight w:val="none"/>
        </w:rPr>
        <w:t>：确认通知</w:t>
      </w:r>
      <w:r>
        <w:rPr>
          <w:color w:val="auto"/>
          <w:highlight w:val="none"/>
        </w:rPr>
        <w:tab/>
      </w:r>
      <w:r>
        <w:rPr>
          <w:color w:val="auto"/>
          <w:highlight w:val="none"/>
        </w:rPr>
        <w:fldChar w:fldCharType="begin"/>
      </w:r>
      <w:r>
        <w:rPr>
          <w:color w:val="auto"/>
          <w:highlight w:val="none"/>
        </w:rPr>
        <w:instrText xml:space="preserve"> PAGEREF _Toc13078 \h </w:instrText>
      </w:r>
      <w:r>
        <w:rPr>
          <w:color w:val="auto"/>
          <w:highlight w:val="none"/>
        </w:rPr>
        <w:fldChar w:fldCharType="separate"/>
      </w:r>
      <w:r>
        <w:rPr>
          <w:color w:val="auto"/>
          <w:highlight w:val="none"/>
        </w:rPr>
        <w:t>39</w:t>
      </w:r>
      <w:r>
        <w:rPr>
          <w:color w:val="auto"/>
          <w:highlight w:val="none"/>
        </w:rPr>
        <w:fldChar w:fldCharType="end"/>
      </w:r>
      <w:r>
        <w:rPr>
          <w:rFonts w:hint="eastAsia" w:ascii="宋体" w:eastAsia="宋体" w:cs="宋体"/>
          <w:bCs w:val="0"/>
          <w:i w:val="0"/>
          <w:iCs w:val="0"/>
          <w:color w:val="auto"/>
          <w:szCs w:val="24"/>
          <w:highlight w:val="none"/>
        </w:rPr>
        <w:fldChar w:fldCharType="end"/>
      </w:r>
    </w:p>
    <w:p w14:paraId="38D6ABCE">
      <w:pPr>
        <w:pStyle w:val="22"/>
        <w:tabs>
          <w:tab w:val="right" w:leader="dot" w:pos="9072"/>
        </w:tabs>
        <w:rPr>
          <w:color w:val="auto"/>
          <w:highlight w:val="none"/>
        </w:rPr>
      </w:pPr>
      <w:r>
        <w:rPr>
          <w:rFonts w:hint="eastAsia" w:ascii="宋体" w:eastAsia="宋体" w:cs="宋体"/>
          <w:bCs w:val="0"/>
          <w:i w:val="0"/>
          <w:iCs w:val="0"/>
          <w:color w:val="auto"/>
          <w:szCs w:val="24"/>
          <w:highlight w:val="none"/>
        </w:rPr>
        <w:fldChar w:fldCharType="begin"/>
      </w:r>
      <w:r>
        <w:rPr>
          <w:rFonts w:hint="eastAsia" w:ascii="宋体" w:eastAsia="宋体" w:cs="宋体"/>
          <w:bCs w:val="0"/>
          <w:i w:val="0"/>
          <w:iCs w:val="0"/>
          <w:color w:val="auto"/>
          <w:szCs w:val="24"/>
          <w:highlight w:val="none"/>
        </w:rPr>
        <w:instrText xml:space="preserve"> HYPERLINK \l _Toc16280 </w:instrText>
      </w:r>
      <w:r>
        <w:rPr>
          <w:rFonts w:hint="eastAsia" w:ascii="宋体" w:eastAsia="宋体" w:cs="宋体"/>
          <w:bCs w:val="0"/>
          <w:i w:val="0"/>
          <w:iCs w:val="0"/>
          <w:color w:val="auto"/>
          <w:szCs w:val="24"/>
          <w:highlight w:val="none"/>
        </w:rPr>
        <w:fldChar w:fldCharType="separate"/>
      </w:r>
      <w:r>
        <w:rPr>
          <w:rFonts w:ascii="宋体" w:eastAsia="宋体" w:cs="宋体"/>
          <w:bCs w:val="0"/>
          <w:color w:val="auto"/>
          <w:szCs w:val="36"/>
          <w:highlight w:val="none"/>
        </w:rPr>
        <w:t>第三章</w:t>
      </w:r>
      <w:r>
        <w:rPr>
          <w:rFonts w:hint="eastAsia" w:ascii="宋体" w:eastAsia="宋体" w:cs="宋体"/>
          <w:bCs w:val="0"/>
          <w:color w:val="auto"/>
          <w:szCs w:val="36"/>
          <w:highlight w:val="none"/>
        </w:rPr>
        <w:t xml:space="preserve"> </w:t>
      </w:r>
      <w:r>
        <w:rPr>
          <w:rFonts w:hint="eastAsia" w:ascii="Times New Roman" w:hAnsi="Times New Roman" w:eastAsia="宋体" w:cs="Times New Roman"/>
          <w:bCs w:val="0"/>
          <w:snapToGrid/>
          <w:color w:val="auto"/>
          <w:szCs w:val="36"/>
          <w:highlight w:val="none"/>
        </w:rPr>
        <w:t>评标定标办法</w:t>
      </w:r>
      <w:r>
        <w:rPr>
          <w:color w:val="auto"/>
          <w:highlight w:val="none"/>
        </w:rPr>
        <w:tab/>
      </w:r>
      <w:r>
        <w:rPr>
          <w:color w:val="auto"/>
          <w:highlight w:val="none"/>
        </w:rPr>
        <w:fldChar w:fldCharType="begin"/>
      </w:r>
      <w:r>
        <w:rPr>
          <w:color w:val="auto"/>
          <w:highlight w:val="none"/>
        </w:rPr>
        <w:instrText xml:space="preserve"> PAGEREF _Toc16280 \h </w:instrText>
      </w:r>
      <w:r>
        <w:rPr>
          <w:color w:val="auto"/>
          <w:highlight w:val="none"/>
        </w:rPr>
        <w:fldChar w:fldCharType="separate"/>
      </w:r>
      <w:r>
        <w:rPr>
          <w:color w:val="auto"/>
          <w:highlight w:val="none"/>
        </w:rPr>
        <w:t>40</w:t>
      </w:r>
      <w:r>
        <w:rPr>
          <w:color w:val="auto"/>
          <w:highlight w:val="none"/>
        </w:rPr>
        <w:fldChar w:fldCharType="end"/>
      </w:r>
      <w:r>
        <w:rPr>
          <w:rFonts w:hint="eastAsia" w:ascii="宋体" w:eastAsia="宋体" w:cs="宋体"/>
          <w:bCs w:val="0"/>
          <w:i w:val="0"/>
          <w:iCs w:val="0"/>
          <w:color w:val="auto"/>
          <w:szCs w:val="24"/>
          <w:highlight w:val="none"/>
        </w:rPr>
        <w:fldChar w:fldCharType="end"/>
      </w:r>
    </w:p>
    <w:p w14:paraId="4D7F221E">
      <w:pPr>
        <w:pStyle w:val="22"/>
        <w:tabs>
          <w:tab w:val="right" w:leader="dot" w:pos="9072"/>
        </w:tabs>
        <w:rPr>
          <w:color w:val="auto"/>
          <w:highlight w:val="none"/>
        </w:rPr>
      </w:pPr>
      <w:r>
        <w:rPr>
          <w:rFonts w:hint="eastAsia" w:ascii="宋体" w:eastAsia="宋体" w:cs="宋体"/>
          <w:bCs w:val="0"/>
          <w:i w:val="0"/>
          <w:iCs w:val="0"/>
          <w:color w:val="auto"/>
          <w:szCs w:val="24"/>
          <w:highlight w:val="none"/>
        </w:rPr>
        <w:fldChar w:fldCharType="begin"/>
      </w:r>
      <w:r>
        <w:rPr>
          <w:rFonts w:hint="eastAsia" w:ascii="宋体" w:eastAsia="宋体" w:cs="宋体"/>
          <w:bCs w:val="0"/>
          <w:i w:val="0"/>
          <w:iCs w:val="0"/>
          <w:color w:val="auto"/>
          <w:szCs w:val="24"/>
          <w:highlight w:val="none"/>
        </w:rPr>
        <w:instrText xml:space="preserve"> HYPERLINK \l _Toc1141 </w:instrText>
      </w:r>
      <w:r>
        <w:rPr>
          <w:rFonts w:hint="eastAsia" w:ascii="宋体" w:eastAsia="宋体" w:cs="宋体"/>
          <w:bCs w:val="0"/>
          <w:i w:val="0"/>
          <w:iCs w:val="0"/>
          <w:color w:val="auto"/>
          <w:szCs w:val="24"/>
          <w:highlight w:val="none"/>
        </w:rPr>
        <w:fldChar w:fldCharType="separate"/>
      </w:r>
      <w:r>
        <w:rPr>
          <w:rFonts w:ascii="宋体" w:eastAsia="宋体" w:cs="宋体"/>
          <w:color w:val="auto"/>
          <w:szCs w:val="36"/>
          <w:highlight w:val="none"/>
        </w:rPr>
        <w:t>第四章</w:t>
      </w:r>
      <w:r>
        <w:rPr>
          <w:rFonts w:hint="eastAsia" w:ascii="宋体" w:eastAsia="宋体" w:cs="宋体"/>
          <w:color w:val="auto"/>
          <w:szCs w:val="36"/>
          <w:highlight w:val="none"/>
        </w:rPr>
        <w:t xml:space="preserve"> </w:t>
      </w:r>
      <w:r>
        <w:rPr>
          <w:rFonts w:ascii="宋体" w:eastAsia="宋体" w:cs="宋体"/>
          <w:color w:val="auto"/>
          <w:szCs w:val="36"/>
          <w:highlight w:val="none"/>
        </w:rPr>
        <w:t>合同条款及格式</w:t>
      </w:r>
      <w:r>
        <w:rPr>
          <w:color w:val="auto"/>
          <w:highlight w:val="none"/>
        </w:rPr>
        <w:tab/>
      </w:r>
      <w:r>
        <w:rPr>
          <w:color w:val="auto"/>
          <w:highlight w:val="none"/>
        </w:rPr>
        <w:fldChar w:fldCharType="begin"/>
      </w:r>
      <w:r>
        <w:rPr>
          <w:color w:val="auto"/>
          <w:highlight w:val="none"/>
        </w:rPr>
        <w:instrText xml:space="preserve"> PAGEREF _Toc1141 \h </w:instrText>
      </w:r>
      <w:r>
        <w:rPr>
          <w:color w:val="auto"/>
          <w:highlight w:val="none"/>
        </w:rPr>
        <w:fldChar w:fldCharType="separate"/>
      </w:r>
      <w:r>
        <w:rPr>
          <w:color w:val="auto"/>
          <w:highlight w:val="none"/>
        </w:rPr>
        <w:t>50</w:t>
      </w:r>
      <w:r>
        <w:rPr>
          <w:color w:val="auto"/>
          <w:highlight w:val="none"/>
        </w:rPr>
        <w:fldChar w:fldCharType="end"/>
      </w:r>
      <w:r>
        <w:rPr>
          <w:rFonts w:hint="eastAsia" w:ascii="宋体" w:eastAsia="宋体" w:cs="宋体"/>
          <w:bCs w:val="0"/>
          <w:i w:val="0"/>
          <w:iCs w:val="0"/>
          <w:color w:val="auto"/>
          <w:szCs w:val="24"/>
          <w:highlight w:val="none"/>
        </w:rPr>
        <w:fldChar w:fldCharType="end"/>
      </w:r>
    </w:p>
    <w:p w14:paraId="4F37C93B">
      <w:pPr>
        <w:pStyle w:val="22"/>
        <w:tabs>
          <w:tab w:val="right" w:leader="dot" w:pos="9072"/>
        </w:tabs>
        <w:rPr>
          <w:color w:val="auto"/>
          <w:highlight w:val="none"/>
        </w:rPr>
      </w:pPr>
      <w:r>
        <w:rPr>
          <w:rFonts w:hint="eastAsia" w:ascii="宋体" w:eastAsia="宋体" w:cs="宋体"/>
          <w:bCs w:val="0"/>
          <w:i w:val="0"/>
          <w:iCs w:val="0"/>
          <w:color w:val="auto"/>
          <w:szCs w:val="24"/>
          <w:highlight w:val="none"/>
        </w:rPr>
        <w:fldChar w:fldCharType="begin"/>
      </w:r>
      <w:r>
        <w:rPr>
          <w:rFonts w:hint="eastAsia" w:ascii="宋体" w:eastAsia="宋体" w:cs="宋体"/>
          <w:bCs w:val="0"/>
          <w:i w:val="0"/>
          <w:iCs w:val="0"/>
          <w:color w:val="auto"/>
          <w:szCs w:val="24"/>
          <w:highlight w:val="none"/>
        </w:rPr>
        <w:instrText xml:space="preserve"> HYPERLINK \l _Toc2786 </w:instrText>
      </w:r>
      <w:r>
        <w:rPr>
          <w:rFonts w:hint="eastAsia" w:ascii="宋体" w:eastAsia="宋体" w:cs="宋体"/>
          <w:bCs w:val="0"/>
          <w:i w:val="0"/>
          <w:iCs w:val="0"/>
          <w:color w:val="auto"/>
          <w:szCs w:val="24"/>
          <w:highlight w:val="none"/>
        </w:rPr>
        <w:fldChar w:fldCharType="separate"/>
      </w:r>
      <w:r>
        <w:rPr>
          <w:rFonts w:ascii="宋体" w:eastAsia="宋体" w:cs="宋体"/>
          <w:color w:val="auto"/>
          <w:szCs w:val="36"/>
          <w:highlight w:val="none"/>
        </w:rPr>
        <w:t>第五章</w:t>
      </w:r>
      <w:r>
        <w:rPr>
          <w:rFonts w:hint="eastAsia" w:ascii="宋体" w:eastAsia="宋体" w:cs="宋体"/>
          <w:color w:val="auto"/>
          <w:szCs w:val="36"/>
          <w:highlight w:val="none"/>
        </w:rPr>
        <w:t xml:space="preserve"> </w:t>
      </w:r>
      <w:r>
        <w:rPr>
          <w:rFonts w:ascii="宋体" w:eastAsia="宋体" w:cs="宋体"/>
          <w:color w:val="auto"/>
          <w:szCs w:val="36"/>
          <w:highlight w:val="none"/>
        </w:rPr>
        <w:t>招标内容和技术要求</w:t>
      </w:r>
      <w:r>
        <w:rPr>
          <w:color w:val="auto"/>
          <w:highlight w:val="none"/>
        </w:rPr>
        <w:tab/>
      </w:r>
      <w:r>
        <w:rPr>
          <w:rFonts w:hint="eastAsia"/>
          <w:color w:val="auto"/>
          <w:highlight w:val="none"/>
          <w:lang w:val="en-US" w:eastAsia="zh-CN"/>
        </w:rPr>
        <w:t>7</w:t>
      </w:r>
      <w:r>
        <w:rPr>
          <w:color w:val="auto"/>
          <w:highlight w:val="none"/>
        </w:rPr>
        <w:fldChar w:fldCharType="begin"/>
      </w:r>
      <w:r>
        <w:rPr>
          <w:color w:val="auto"/>
          <w:highlight w:val="none"/>
        </w:rPr>
        <w:instrText xml:space="preserve"> PAGEREF _Toc2786 \h </w:instrText>
      </w:r>
      <w:r>
        <w:rPr>
          <w:color w:val="auto"/>
          <w:highlight w:val="none"/>
        </w:rPr>
        <w:fldChar w:fldCharType="separate"/>
      </w:r>
      <w:r>
        <w:rPr>
          <w:color w:val="auto"/>
          <w:highlight w:val="none"/>
        </w:rPr>
        <w:t>5</w:t>
      </w:r>
      <w:r>
        <w:rPr>
          <w:color w:val="auto"/>
          <w:highlight w:val="none"/>
        </w:rPr>
        <w:fldChar w:fldCharType="end"/>
      </w:r>
      <w:r>
        <w:rPr>
          <w:rFonts w:hint="eastAsia" w:ascii="宋体" w:eastAsia="宋体" w:cs="宋体"/>
          <w:bCs w:val="0"/>
          <w:i w:val="0"/>
          <w:iCs w:val="0"/>
          <w:color w:val="auto"/>
          <w:szCs w:val="24"/>
          <w:highlight w:val="none"/>
        </w:rPr>
        <w:fldChar w:fldCharType="end"/>
      </w:r>
    </w:p>
    <w:p w14:paraId="67B61DF5">
      <w:pPr>
        <w:pStyle w:val="22"/>
        <w:tabs>
          <w:tab w:val="right" w:leader="dot" w:pos="9072"/>
        </w:tabs>
        <w:rPr>
          <w:color w:val="auto"/>
          <w:highlight w:val="none"/>
        </w:rPr>
      </w:pPr>
      <w:r>
        <w:rPr>
          <w:rFonts w:hint="eastAsia" w:ascii="宋体" w:eastAsia="宋体" w:cs="宋体"/>
          <w:bCs w:val="0"/>
          <w:i w:val="0"/>
          <w:iCs w:val="0"/>
          <w:color w:val="auto"/>
          <w:szCs w:val="24"/>
          <w:highlight w:val="none"/>
        </w:rPr>
        <w:fldChar w:fldCharType="begin"/>
      </w:r>
      <w:r>
        <w:rPr>
          <w:rFonts w:hint="eastAsia" w:ascii="宋体" w:eastAsia="宋体" w:cs="宋体"/>
          <w:bCs w:val="0"/>
          <w:i w:val="0"/>
          <w:iCs w:val="0"/>
          <w:color w:val="auto"/>
          <w:szCs w:val="24"/>
          <w:highlight w:val="none"/>
        </w:rPr>
        <w:instrText xml:space="preserve"> HYPERLINK \l _Toc4024 </w:instrText>
      </w:r>
      <w:r>
        <w:rPr>
          <w:rFonts w:hint="eastAsia" w:ascii="宋体" w:eastAsia="宋体" w:cs="宋体"/>
          <w:bCs w:val="0"/>
          <w:i w:val="0"/>
          <w:iCs w:val="0"/>
          <w:color w:val="auto"/>
          <w:szCs w:val="24"/>
          <w:highlight w:val="none"/>
        </w:rPr>
        <w:fldChar w:fldCharType="separate"/>
      </w:r>
      <w:r>
        <w:rPr>
          <w:rFonts w:ascii="宋体" w:eastAsia="宋体" w:cs="宋体"/>
          <w:color w:val="auto"/>
          <w:szCs w:val="36"/>
          <w:highlight w:val="none"/>
        </w:rPr>
        <w:t>第六章</w:t>
      </w:r>
      <w:r>
        <w:rPr>
          <w:rFonts w:hint="eastAsia" w:ascii="宋体" w:eastAsia="宋体" w:cs="宋体"/>
          <w:color w:val="auto"/>
          <w:szCs w:val="36"/>
          <w:highlight w:val="none"/>
        </w:rPr>
        <w:t xml:space="preserve"> </w:t>
      </w:r>
      <w:r>
        <w:rPr>
          <w:rFonts w:ascii="宋体" w:eastAsia="宋体" w:cs="宋体"/>
          <w:color w:val="auto"/>
          <w:szCs w:val="36"/>
          <w:highlight w:val="none"/>
        </w:rPr>
        <w:t>投标文件格式</w:t>
      </w:r>
      <w:r>
        <w:rPr>
          <w:color w:val="auto"/>
          <w:highlight w:val="none"/>
        </w:rPr>
        <w:tab/>
      </w:r>
      <w:r>
        <w:rPr>
          <w:color w:val="auto"/>
          <w:highlight w:val="none"/>
        </w:rPr>
        <w:fldChar w:fldCharType="begin"/>
      </w:r>
      <w:r>
        <w:rPr>
          <w:color w:val="auto"/>
          <w:highlight w:val="none"/>
        </w:rPr>
        <w:instrText xml:space="preserve"> PAGEREF _Toc4024 \h </w:instrText>
      </w:r>
      <w:r>
        <w:rPr>
          <w:color w:val="auto"/>
          <w:highlight w:val="none"/>
        </w:rPr>
        <w:fldChar w:fldCharType="separate"/>
      </w:r>
      <w:r>
        <w:rPr>
          <w:color w:val="auto"/>
          <w:highlight w:val="none"/>
        </w:rPr>
        <w:t>1</w:t>
      </w:r>
      <w:r>
        <w:rPr>
          <w:rFonts w:hint="eastAsia"/>
          <w:color w:val="auto"/>
          <w:highlight w:val="none"/>
          <w:lang w:val="en-US" w:eastAsia="zh-CN"/>
        </w:rPr>
        <w:t>01</w:t>
      </w:r>
      <w:r>
        <w:rPr>
          <w:color w:val="auto"/>
          <w:highlight w:val="none"/>
        </w:rPr>
        <w:fldChar w:fldCharType="end"/>
      </w:r>
      <w:r>
        <w:rPr>
          <w:rFonts w:hint="eastAsia" w:ascii="宋体" w:eastAsia="宋体" w:cs="宋体"/>
          <w:bCs w:val="0"/>
          <w:i w:val="0"/>
          <w:iCs w:val="0"/>
          <w:color w:val="auto"/>
          <w:szCs w:val="24"/>
          <w:highlight w:val="none"/>
        </w:rPr>
        <w:fldChar w:fldCharType="end"/>
      </w:r>
    </w:p>
    <w:p w14:paraId="6E5AEDB2">
      <w:pPr>
        <w:pStyle w:val="22"/>
        <w:spacing w:line="240" w:lineRule="auto"/>
        <w:rPr>
          <w:color w:val="auto"/>
          <w:highlight w:val="none"/>
        </w:rPr>
      </w:pPr>
      <w:r>
        <w:rPr>
          <w:rFonts w:hint="eastAsia" w:ascii="宋体" w:eastAsia="宋体" w:cs="宋体"/>
          <w:bCs w:val="0"/>
          <w:i w:val="0"/>
          <w:iCs w:val="0"/>
          <w:color w:val="auto"/>
          <w:szCs w:val="24"/>
          <w:highlight w:val="none"/>
        </w:rPr>
        <w:fldChar w:fldCharType="end"/>
      </w:r>
    </w:p>
    <w:p w14:paraId="0C1E1D4D">
      <w:pPr>
        <w:jc w:val="both"/>
        <w:rPr>
          <w:color w:val="auto"/>
          <w:highlight w:val="none"/>
        </w:rPr>
        <w:sectPr>
          <w:footerReference r:id="rId5" w:type="default"/>
          <w:pgSz w:w="11906" w:h="16839"/>
          <w:pgMar w:top="1417" w:right="1417" w:bottom="1417" w:left="1417" w:header="850" w:footer="992" w:gutter="0"/>
          <w:pgBorders>
            <w:top w:val="none" w:sz="0" w:space="0"/>
            <w:left w:val="none" w:sz="0" w:space="0"/>
            <w:bottom w:val="none" w:sz="0" w:space="0"/>
            <w:right w:val="none" w:sz="0" w:space="0"/>
          </w:pgBorders>
          <w:cols w:space="720" w:num="1"/>
          <w:docGrid w:linePitch="312" w:charSpace="0"/>
        </w:sectPr>
      </w:pPr>
    </w:p>
    <w:p w14:paraId="07F9145B">
      <w:pPr>
        <w:spacing w:before="0" w:line="440" w:lineRule="exact"/>
        <w:ind w:left="0"/>
        <w:jc w:val="center"/>
        <w:outlineLvl w:val="0"/>
        <w:rPr>
          <w:rFonts w:ascii="宋体" w:eastAsia="宋体" w:cs="宋体"/>
          <w:color w:val="auto"/>
          <w:sz w:val="36"/>
          <w:szCs w:val="36"/>
          <w:highlight w:val="none"/>
        </w:rPr>
      </w:pPr>
      <w:bookmarkStart w:id="36" w:name="_bookmark1"/>
      <w:bookmarkEnd w:id="36"/>
      <w:bookmarkStart w:id="37" w:name="_Toc18680"/>
      <w:bookmarkStart w:id="38" w:name="_Toc10285"/>
      <w:r>
        <w:rPr>
          <w:rFonts w:ascii="宋体" w:eastAsia="宋体" w:cs="宋体"/>
          <w:color w:val="auto"/>
          <w:sz w:val="36"/>
          <w:szCs w:val="36"/>
          <w:highlight w:val="none"/>
        </w:rPr>
        <w:t>第一章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招标公告</w:t>
      </w:r>
      <w:bookmarkEnd w:id="37"/>
      <w:bookmarkEnd w:id="38"/>
    </w:p>
    <w:p w14:paraId="38E2AA16">
      <w:pPr>
        <w:spacing w:before="0" w:line="440" w:lineRule="exact"/>
        <w:ind w:left="0" w:right="0" w:firstLine="0"/>
        <w:jc w:val="center"/>
        <w:rPr>
          <w:rFonts w:hint="default" w:ascii="宋体" w:eastAsia="宋体" w:cs="宋体"/>
          <w:color w:val="auto"/>
          <w:highlight w:val="none"/>
          <w:lang w:val="en-US" w:eastAsia="zh-CN"/>
        </w:rPr>
      </w:pPr>
      <w:r>
        <w:rPr>
          <w:rFonts w:ascii="宋体" w:eastAsia="宋体" w:cs="宋体"/>
          <w:color w:val="auto"/>
          <w:highlight w:val="none"/>
        </w:rPr>
        <w:t>项目编号：</w:t>
      </w:r>
      <w:r>
        <w:rPr>
          <w:rFonts w:hint="eastAsia" w:ascii="宋体" w:eastAsia="宋体" w:cs="宋体"/>
          <w:color w:val="auto"/>
          <w:highlight w:val="none"/>
          <w:u w:val="single"/>
          <w:lang w:val="en-US" w:eastAsia="zh-CN"/>
        </w:rPr>
        <w:t xml:space="preserve">        </w:t>
      </w:r>
    </w:p>
    <w:p w14:paraId="14FFADED">
      <w:pPr>
        <w:shd w:val="clear"/>
        <w:spacing w:line="394" w:lineRule="exact"/>
        <w:ind w:firstLine="420" w:firstLineChars="200"/>
        <w:rPr>
          <w:rFonts w:hint="eastAsia" w:ascii="宋体" w:eastAsia="宋体" w:cs="宋体"/>
          <w:color w:val="auto"/>
          <w:position w:val="2"/>
          <w:highlight w:val="none"/>
        </w:rPr>
      </w:pPr>
      <w:r>
        <w:rPr>
          <w:rFonts w:hint="eastAsia" w:ascii="宋体" w:eastAsia="宋体" w:cs="宋体"/>
          <w:color w:val="auto"/>
          <w:highlight w:val="none"/>
        </w:rPr>
        <w:t>本次招标项目</w:t>
      </w:r>
      <w:r>
        <w:rPr>
          <w:rFonts w:hint="eastAsia" w:ascii="宋体" w:eastAsia="宋体" w:cs="宋体"/>
          <w:color w:val="auto"/>
          <w:highlight w:val="none"/>
          <w:u w:val="single"/>
          <w:lang w:eastAsia="zh-CN"/>
        </w:rPr>
        <w:t>越城区流量仪表更新改造工程项目</w:t>
      </w:r>
      <w:r>
        <w:rPr>
          <w:rFonts w:hint="eastAsia" w:ascii="宋体" w:eastAsia="宋体" w:cs="宋体"/>
          <w:color w:val="auto"/>
          <w:highlight w:val="none"/>
          <w:u w:val="none"/>
        </w:rPr>
        <w:t>（项目名称）</w:t>
      </w:r>
      <w:r>
        <w:rPr>
          <w:rFonts w:hint="eastAsia" w:ascii="宋体" w:eastAsia="宋体" w:cs="宋体"/>
          <w:color w:val="auto"/>
          <w:highlight w:val="none"/>
        </w:rPr>
        <w:t>，已由</w:t>
      </w:r>
      <w:r>
        <w:rPr>
          <w:rFonts w:hint="eastAsia" w:ascii="宋体" w:eastAsia="宋体" w:cs="宋体"/>
          <w:color w:val="auto"/>
          <w:highlight w:val="none"/>
          <w:u w:val="single"/>
          <w:lang w:eastAsia="zh-CN"/>
        </w:rPr>
        <w:t>绍兴市越城区发展和改革局</w:t>
      </w:r>
      <w:r>
        <w:rPr>
          <w:rFonts w:hint="eastAsia" w:ascii="宋体" w:eastAsia="宋体" w:cs="宋体"/>
          <w:color w:val="auto"/>
          <w:highlight w:val="none"/>
          <w:u w:val="none"/>
        </w:rPr>
        <w:t>批准建设，项目业主为</w:t>
      </w:r>
      <w:r>
        <w:rPr>
          <w:rFonts w:hint="eastAsia" w:ascii="宋体" w:eastAsia="宋体" w:cs="宋体"/>
          <w:color w:val="auto"/>
          <w:highlight w:val="none"/>
          <w:u w:val="single"/>
          <w:lang w:eastAsia="zh-CN"/>
        </w:rPr>
        <w:t>绍兴市水务产业有限公司</w:t>
      </w:r>
      <w:r>
        <w:rPr>
          <w:rFonts w:hint="eastAsia" w:ascii="宋体" w:eastAsia="宋体" w:cs="宋体"/>
          <w:color w:val="auto"/>
          <w:highlight w:val="none"/>
          <w:u w:val="none"/>
        </w:rPr>
        <w:t>，建设资金</w:t>
      </w:r>
      <w:r>
        <w:rPr>
          <w:rFonts w:hint="eastAsia" w:ascii="宋体" w:eastAsia="宋体" w:cs="宋体"/>
          <w:color w:val="auto"/>
          <w:highlight w:val="none"/>
          <w:u w:val="single"/>
          <w:lang w:eastAsia="zh-CN"/>
        </w:rPr>
        <w:t>自筹资金</w:t>
      </w:r>
      <w:r>
        <w:rPr>
          <w:rFonts w:hint="eastAsia" w:ascii="宋体" w:eastAsia="宋体" w:cs="宋体"/>
          <w:color w:val="auto"/>
          <w:highlight w:val="none"/>
          <w:u w:val="single"/>
          <w:lang w:val="en-US" w:eastAsia="zh-CN"/>
        </w:rPr>
        <w:t>100%</w:t>
      </w:r>
      <w:r>
        <w:rPr>
          <w:rFonts w:hint="eastAsia" w:ascii="宋体" w:eastAsia="宋体" w:cs="宋体"/>
          <w:color w:val="auto"/>
          <w:highlight w:val="none"/>
          <w:u w:val="none"/>
        </w:rPr>
        <w:t>（资金来源），招标人为</w:t>
      </w:r>
      <w:r>
        <w:rPr>
          <w:rFonts w:hint="eastAsia" w:ascii="宋体" w:eastAsia="宋体" w:cs="宋体"/>
          <w:color w:val="auto"/>
          <w:highlight w:val="none"/>
          <w:u w:val="single"/>
          <w:lang w:eastAsia="zh-CN"/>
        </w:rPr>
        <w:t>绍兴市水务产业有限公司</w:t>
      </w:r>
      <w:r>
        <w:rPr>
          <w:rFonts w:hint="eastAsia" w:ascii="宋体" w:eastAsia="宋体" w:cs="宋体"/>
          <w:color w:val="auto"/>
          <w:highlight w:val="none"/>
          <w:u w:val="none"/>
        </w:rPr>
        <w:t>。项目已具备招标条件，</w:t>
      </w:r>
      <w:r>
        <w:rPr>
          <w:rFonts w:hint="eastAsia" w:ascii="宋体" w:hAnsi="宋体" w:eastAsia="宋体" w:cs="宋体"/>
          <w:color w:val="auto"/>
          <w:highlight w:val="none"/>
        </w:rPr>
        <w:t>现对该项目的设备材料采购进行</w:t>
      </w:r>
      <w:r>
        <w:rPr>
          <w:rFonts w:hint="eastAsia" w:ascii="宋体" w:hAnsi="宋体" w:eastAsia="宋体" w:cs="宋体"/>
          <w:color w:val="auto"/>
          <w:highlight w:val="none"/>
          <w:u w:val="single"/>
        </w:rPr>
        <w:t>公开</w:t>
      </w:r>
      <w:r>
        <w:rPr>
          <w:rFonts w:hint="eastAsia" w:ascii="宋体" w:hAnsi="宋体" w:eastAsia="宋体" w:cs="宋体"/>
          <w:color w:val="auto"/>
          <w:highlight w:val="none"/>
        </w:rPr>
        <w:t>招标</w:t>
      </w:r>
      <w:r>
        <w:rPr>
          <w:rFonts w:hint="eastAsia" w:ascii="宋体" w:hAnsi="宋体" w:eastAsia="宋体" w:cs="宋体"/>
          <w:color w:val="auto"/>
          <w:highlight w:val="none"/>
          <w:lang w:eastAsia="zh-CN"/>
        </w:rPr>
        <w:t>。</w:t>
      </w:r>
    </w:p>
    <w:p w14:paraId="0E8EECD5">
      <w:pPr>
        <w:spacing w:line="394" w:lineRule="exact"/>
        <w:ind w:left="493"/>
        <w:jc w:val="both"/>
        <w:outlineLvl w:val="1"/>
        <w:rPr>
          <w:rFonts w:ascii="宋体" w:eastAsia="宋体" w:cs="宋体"/>
          <w:color w:val="auto"/>
          <w:highlight w:val="none"/>
        </w:rPr>
      </w:pPr>
      <w:bookmarkStart w:id="39" w:name="_Toc22202"/>
      <w:bookmarkStart w:id="40" w:name="_Toc15192"/>
      <w:bookmarkStart w:id="41" w:name="_Toc1937"/>
      <w:bookmarkStart w:id="42" w:name="_Toc9294"/>
      <w:r>
        <w:rPr>
          <w:rFonts w:ascii="宋体" w:eastAsia="宋体" w:cs="宋体"/>
          <w:color w:val="auto"/>
          <w:position w:val="2"/>
          <w:highlight w:val="none"/>
        </w:rPr>
        <w:t>一、本次招标内容</w:t>
      </w:r>
      <w:bookmarkEnd w:id="39"/>
      <w:bookmarkEnd w:id="40"/>
      <w:bookmarkEnd w:id="41"/>
      <w:bookmarkEnd w:id="42"/>
    </w:p>
    <w:p w14:paraId="35355C13">
      <w:pPr>
        <w:tabs>
          <w:tab w:val="left" w:pos="3725"/>
        </w:tabs>
        <w:spacing w:before="43" w:line="334" w:lineRule="auto"/>
        <w:ind w:left="1" w:firstLine="420" w:firstLineChars="200"/>
        <w:jc w:val="both"/>
        <w:rPr>
          <w:rFonts w:hint="eastAsia" w:ascii="宋体" w:eastAsia="宋体" w:cs="宋体"/>
          <w:color w:val="auto"/>
          <w:highlight w:val="none"/>
        </w:rPr>
      </w:pPr>
      <w:r>
        <w:rPr>
          <w:rFonts w:hint="eastAsia" w:ascii="宋体" w:eastAsia="宋体" w:cs="宋体"/>
          <w:color w:val="auto"/>
          <w:highlight w:val="none"/>
        </w:rPr>
        <w:t>1.1</w:t>
      </w:r>
      <w:r>
        <w:rPr>
          <w:rFonts w:hint="eastAsia" w:ascii="宋体" w:eastAsia="宋体" w:cs="宋体"/>
          <w:color w:val="auto"/>
          <w:highlight w:val="none"/>
          <w:u w:val="single"/>
        </w:rPr>
        <w:t>本次招标范围包括仪表及配件的供货、运输、</w:t>
      </w:r>
      <w:r>
        <w:rPr>
          <w:rFonts w:hint="eastAsia" w:ascii="宋体" w:eastAsia="宋体" w:cs="宋体"/>
          <w:color w:val="auto"/>
          <w:highlight w:val="none"/>
          <w:u w:val="single"/>
          <w:lang w:eastAsia="zh-CN"/>
        </w:rPr>
        <w:t>安装</w:t>
      </w:r>
      <w:r>
        <w:rPr>
          <w:rFonts w:hint="eastAsia" w:ascii="宋体" w:eastAsia="宋体" w:cs="宋体"/>
          <w:color w:val="auto"/>
          <w:highlight w:val="none"/>
          <w:u w:val="single"/>
        </w:rPr>
        <w:t>、调试和售后服务等，具体详见招标文件。</w:t>
      </w:r>
    </w:p>
    <w:p w14:paraId="0E0CC3A1">
      <w:pPr>
        <w:tabs>
          <w:tab w:val="left" w:pos="3725"/>
        </w:tabs>
        <w:spacing w:before="43" w:line="334" w:lineRule="auto"/>
        <w:ind w:left="1" w:firstLine="420" w:firstLineChars="200"/>
        <w:jc w:val="both"/>
        <w:rPr>
          <w:rFonts w:ascii="宋体" w:eastAsia="宋体" w:cs="宋体"/>
          <w:color w:val="auto"/>
          <w:highlight w:val="none"/>
        </w:rPr>
      </w:pPr>
      <w:r>
        <w:rPr>
          <w:rFonts w:ascii="宋体" w:eastAsia="宋体" w:cs="宋体"/>
          <w:color w:val="auto"/>
          <w:highlight w:val="none"/>
        </w:rPr>
        <w:t>本次招标范围内的工程</w:t>
      </w:r>
      <w:r>
        <w:rPr>
          <w:rFonts w:hint="eastAsia" w:ascii="宋体" w:eastAsia="宋体" w:cs="宋体"/>
          <w:color w:val="auto"/>
          <w:highlight w:val="none"/>
          <w:lang w:eastAsia="zh-CN"/>
        </w:rPr>
        <w:t>☑</w:t>
      </w:r>
      <w:r>
        <w:rPr>
          <w:rFonts w:ascii="宋体" w:eastAsia="宋体" w:cs="宋体"/>
          <w:color w:val="auto"/>
          <w:highlight w:val="none"/>
        </w:rPr>
        <w:t>估算</w:t>
      </w:r>
      <w:r>
        <w:rPr>
          <w:rFonts w:hint="eastAsia" w:ascii="宋体" w:eastAsia="宋体" w:cs="宋体"/>
          <w:color w:val="auto"/>
          <w:highlight w:val="none"/>
          <w:lang w:eastAsia="zh-CN"/>
        </w:rPr>
        <w:t>（</w:t>
      </w:r>
      <w:r>
        <w:rPr>
          <w:rFonts w:ascii="宋体" w:eastAsia="宋体" w:cs="宋体"/>
          <w:color w:val="auto"/>
          <w:highlight w:val="none"/>
        </w:rPr>
        <w:t>或</w:t>
      </w:r>
      <w:r>
        <w:rPr>
          <w:rFonts w:hint="eastAsia" w:ascii="宋体" w:eastAsia="宋体" w:cs="宋体"/>
          <w:color w:val="auto"/>
          <w:highlight w:val="none"/>
          <w:lang w:eastAsia="zh-CN"/>
        </w:rPr>
        <w:t>□</w:t>
      </w:r>
      <w:r>
        <w:rPr>
          <w:rFonts w:ascii="宋体" w:eastAsia="宋体" w:cs="宋体"/>
          <w:color w:val="auto"/>
          <w:highlight w:val="none"/>
        </w:rPr>
        <w:t>概算</w:t>
      </w:r>
      <w:r>
        <w:rPr>
          <w:rFonts w:hint="eastAsia" w:ascii="宋体" w:eastAsia="宋体" w:cs="宋体"/>
          <w:color w:val="auto"/>
          <w:highlight w:val="none"/>
          <w:lang w:eastAsia="zh-CN"/>
        </w:rPr>
        <w:t>）</w:t>
      </w:r>
      <w:r>
        <w:rPr>
          <w:rFonts w:ascii="宋体" w:eastAsia="宋体" w:cs="宋体"/>
          <w:color w:val="auto"/>
          <w:highlight w:val="none"/>
        </w:rPr>
        <w:t>造价</w:t>
      </w:r>
      <w:r>
        <w:rPr>
          <w:rFonts w:hint="eastAsia" w:ascii="宋体" w:hAnsi="宋体" w:eastAsia="宋体" w:cs="宋体"/>
          <w:color w:val="auto"/>
          <w:highlight w:val="none"/>
          <w:u w:val="single"/>
          <w:lang w:val="en-US" w:eastAsia="zh-CN"/>
        </w:rPr>
        <w:t>34147699.88</w:t>
      </w:r>
      <w:r>
        <w:rPr>
          <w:rFonts w:ascii="宋体" w:eastAsia="宋体" w:cs="宋体"/>
          <w:color w:val="auto"/>
          <w:highlight w:val="none"/>
        </w:rPr>
        <w:t>元，采用投标资格后审方式招标。</w:t>
      </w:r>
    </w:p>
    <w:p w14:paraId="3CCB5121">
      <w:pPr>
        <w:spacing w:line="400" w:lineRule="exact"/>
        <w:ind w:firstLine="420" w:firstLineChars="200"/>
        <w:rPr>
          <w:rFonts w:hint="eastAsia" w:ascii="宋体" w:eastAsia="宋体" w:cs="宋体"/>
          <w:strike/>
          <w:color w:val="auto"/>
          <w:highlight w:val="none"/>
        </w:rPr>
      </w:pPr>
      <w:r>
        <w:rPr>
          <w:rFonts w:hint="eastAsia" w:ascii="宋体" w:eastAsia="宋体" w:cs="宋体"/>
          <w:strike/>
          <w:color w:val="auto"/>
          <w:highlight w:val="none"/>
        </w:rPr>
        <w:t>1.2是否属于政府采购工程：</w:t>
      </w:r>
      <w:r>
        <w:rPr>
          <w:rFonts w:hint="eastAsia" w:ascii="宋体" w:eastAsia="宋体" w:cs="宋体"/>
          <w:strike/>
          <w:color w:val="auto"/>
          <w:highlight w:val="none"/>
          <w:lang w:eastAsia="zh-CN"/>
        </w:rPr>
        <w:t>□</w:t>
      </w:r>
      <w:r>
        <w:rPr>
          <w:rFonts w:hint="eastAsia" w:ascii="宋体" w:eastAsia="宋体" w:cs="宋体"/>
          <w:strike/>
          <w:color w:val="auto"/>
          <w:highlight w:val="none"/>
        </w:rPr>
        <w:t>是  ☑否</w:t>
      </w:r>
    </w:p>
    <w:p w14:paraId="460803F9">
      <w:pPr>
        <w:spacing w:line="400" w:lineRule="exact"/>
        <w:ind w:firstLine="420" w:firstLineChars="200"/>
        <w:rPr>
          <w:rFonts w:hint="eastAsia" w:ascii="宋体" w:eastAsia="宋体" w:cs="宋体"/>
          <w:strike/>
          <w:color w:val="auto"/>
          <w:highlight w:val="none"/>
        </w:rPr>
      </w:pPr>
      <w:r>
        <w:rPr>
          <w:rFonts w:hint="eastAsia" w:ascii="宋体" w:eastAsia="宋体" w:cs="宋体"/>
          <w:strike/>
          <w:color w:val="auto"/>
          <w:highlight w:val="none"/>
        </w:rPr>
        <w:t>1.3是否专门面向中小企业预留</w:t>
      </w:r>
    </w:p>
    <w:p w14:paraId="79036532">
      <w:pPr>
        <w:spacing w:line="400" w:lineRule="exact"/>
        <w:ind w:firstLine="420" w:firstLineChars="200"/>
        <w:rPr>
          <w:rFonts w:hint="eastAsia" w:ascii="宋体" w:eastAsia="宋体" w:cs="宋体"/>
          <w:strike/>
          <w:color w:val="auto"/>
          <w:highlight w:val="none"/>
        </w:rPr>
      </w:pPr>
      <w:r>
        <w:rPr>
          <w:rFonts w:hint="eastAsia" w:ascii="宋体" w:eastAsia="宋体" w:cs="宋体"/>
          <w:strike/>
          <w:color w:val="auto"/>
          <w:highlight w:val="none"/>
          <w:lang w:eastAsia="zh-CN"/>
        </w:rPr>
        <w:t>□</w:t>
      </w:r>
      <w:r>
        <w:rPr>
          <w:rFonts w:hint="eastAsia" w:ascii="宋体" w:eastAsia="宋体" w:cs="宋体"/>
          <w:strike/>
          <w:color w:val="auto"/>
          <w:highlight w:val="none"/>
        </w:rPr>
        <w:t>是</w:t>
      </w:r>
    </w:p>
    <w:p w14:paraId="5FD0255D">
      <w:pPr>
        <w:spacing w:line="400" w:lineRule="exact"/>
        <w:ind w:firstLine="420" w:firstLineChars="200"/>
        <w:rPr>
          <w:rFonts w:hint="eastAsia" w:ascii="宋体" w:eastAsia="宋体" w:cs="宋体"/>
          <w:strike/>
          <w:color w:val="auto"/>
          <w:highlight w:val="none"/>
          <w:lang w:eastAsia="zh-CN"/>
        </w:rPr>
      </w:pPr>
      <w:r>
        <w:rPr>
          <w:rFonts w:hint="eastAsia" w:ascii="宋体" w:eastAsia="宋体" w:cs="宋体"/>
          <w:strike/>
          <w:color w:val="auto"/>
          <w:highlight w:val="none"/>
          <w:lang w:eastAsia="zh-CN"/>
        </w:rPr>
        <w:t>□</w:t>
      </w:r>
      <w:r>
        <w:rPr>
          <w:rFonts w:hint="eastAsia" w:ascii="宋体" w:eastAsia="宋体" w:cs="宋体"/>
          <w:strike/>
          <w:color w:val="auto"/>
          <w:highlight w:val="none"/>
        </w:rPr>
        <w:t>否（不专门面向中小企业采购的原因及适用条款）</w:t>
      </w:r>
    </w:p>
    <w:p w14:paraId="63F311D9">
      <w:pPr>
        <w:spacing w:line="400" w:lineRule="exact"/>
        <w:ind w:firstLine="420" w:firstLineChars="200"/>
        <w:rPr>
          <w:rFonts w:hint="eastAsia" w:ascii="宋体" w:eastAsia="宋体" w:cs="宋体"/>
          <w:strike/>
          <w:color w:val="auto"/>
          <w:highlight w:val="none"/>
        </w:rPr>
      </w:pPr>
      <w:r>
        <w:rPr>
          <w:rFonts w:hint="eastAsia" w:ascii="宋体" w:eastAsia="宋体" w:cs="宋体"/>
          <w:strike/>
          <w:color w:val="auto"/>
          <w:highlight w:val="none"/>
        </w:rPr>
        <w:t>1.4专门面向中小企业预留的实施方式</w:t>
      </w:r>
    </w:p>
    <w:p w14:paraId="72213647">
      <w:pPr>
        <w:spacing w:line="400" w:lineRule="exact"/>
        <w:ind w:firstLine="420" w:firstLineChars="200"/>
        <w:rPr>
          <w:rFonts w:hint="eastAsia" w:ascii="宋体" w:eastAsia="宋体" w:cs="宋体"/>
          <w:strike/>
          <w:color w:val="auto"/>
          <w:highlight w:val="none"/>
        </w:rPr>
      </w:pPr>
      <w:r>
        <w:rPr>
          <w:rFonts w:hint="eastAsia" w:ascii="宋体" w:eastAsia="宋体" w:cs="宋体"/>
          <w:strike/>
          <w:color w:val="auto"/>
          <w:highlight w:val="none"/>
          <w:lang w:eastAsia="zh-CN"/>
        </w:rPr>
        <w:t>□</w:t>
      </w:r>
      <w:r>
        <w:rPr>
          <w:rFonts w:hint="eastAsia" w:ascii="宋体" w:eastAsia="宋体" w:cs="宋体"/>
          <w:strike/>
          <w:color w:val="auto"/>
          <w:highlight w:val="none"/>
        </w:rPr>
        <w:t>1.4.1本标段整体面向中小企业；</w:t>
      </w:r>
    </w:p>
    <w:p w14:paraId="0B6185D0">
      <w:pPr>
        <w:tabs>
          <w:tab w:val="left" w:pos="3725"/>
        </w:tabs>
        <w:spacing w:before="43" w:line="334" w:lineRule="auto"/>
        <w:ind w:left="1" w:firstLine="420" w:firstLineChars="200"/>
        <w:jc w:val="both"/>
        <w:rPr>
          <w:rFonts w:ascii="宋体" w:eastAsia="宋体" w:cs="宋体"/>
          <w:strike/>
          <w:color w:val="auto"/>
          <w:highlight w:val="none"/>
        </w:rPr>
      </w:pPr>
      <w:r>
        <w:rPr>
          <w:rFonts w:hint="eastAsia" w:ascii="宋体" w:eastAsia="宋体" w:cs="宋体"/>
          <w:strike/>
          <w:color w:val="auto"/>
          <w:highlight w:val="none"/>
          <w:lang w:eastAsia="zh-CN"/>
        </w:rPr>
        <w:t>□</w:t>
      </w:r>
      <w:r>
        <w:rPr>
          <w:rFonts w:hint="eastAsia" w:ascii="宋体" w:eastAsia="宋体" w:cs="宋体"/>
          <w:strike/>
          <w:color w:val="auto"/>
          <w:highlight w:val="none"/>
        </w:rPr>
        <w:t>1.4.2本标段联合体形式面向中小企业，以联合体形式参加本次投标的，联合体中中小企业承担的合同份额需达到（不低于40%）以上。</w:t>
      </w:r>
    </w:p>
    <w:p w14:paraId="4487CF34">
      <w:pPr>
        <w:spacing w:line="315" w:lineRule="exact"/>
        <w:ind w:left="493"/>
        <w:jc w:val="both"/>
        <w:outlineLvl w:val="1"/>
        <w:rPr>
          <w:rFonts w:ascii="宋体" w:eastAsia="宋体" w:cs="宋体"/>
          <w:color w:val="auto"/>
          <w:highlight w:val="none"/>
        </w:rPr>
      </w:pPr>
      <w:bookmarkStart w:id="43" w:name="_Toc27166"/>
      <w:bookmarkStart w:id="44" w:name="_Toc27790"/>
      <w:bookmarkStart w:id="45" w:name="_Toc32742"/>
      <w:bookmarkStart w:id="46" w:name="_Toc27728"/>
      <w:r>
        <w:rPr>
          <w:rFonts w:ascii="宋体" w:eastAsia="宋体" w:cs="宋体"/>
          <w:color w:val="auto"/>
          <w:position w:val="1"/>
          <w:highlight w:val="none"/>
        </w:rPr>
        <w:t>二、投标资格条件、要求</w:t>
      </w:r>
      <w:bookmarkEnd w:id="43"/>
      <w:bookmarkEnd w:id="44"/>
      <w:bookmarkEnd w:id="45"/>
      <w:bookmarkEnd w:id="46"/>
    </w:p>
    <w:p w14:paraId="2ACD86B5">
      <w:pPr>
        <w:spacing w:before="125" w:line="353" w:lineRule="auto"/>
        <w:ind w:left="10" w:right="65" w:firstLine="497"/>
        <w:jc w:val="both"/>
        <w:rPr>
          <w:rFonts w:ascii="宋体" w:eastAsia="宋体" w:cs="宋体"/>
          <w:color w:val="auto"/>
          <w:highlight w:val="none"/>
        </w:rPr>
      </w:pPr>
      <w:r>
        <w:rPr>
          <w:rFonts w:ascii="宋体" w:eastAsia="宋体" w:cs="宋体"/>
          <w:color w:val="auto"/>
          <w:highlight w:val="none"/>
        </w:rPr>
        <w:t>1.</w:t>
      </w:r>
      <w:r>
        <w:rPr>
          <w:rFonts w:hint="eastAsia" w:ascii="宋体" w:eastAsia="宋体" w:cs="宋体"/>
          <w:color w:val="auto"/>
          <w:highlight w:val="none"/>
        </w:rPr>
        <w:t>投标人及其拟派项目负责人自</w:t>
      </w:r>
      <w:r>
        <w:rPr>
          <w:rFonts w:hint="eastAsia" w:ascii="宋体" w:eastAsia="宋体" w:cs="宋体"/>
          <w:color w:val="auto"/>
          <w:highlight w:val="none"/>
          <w:u w:val="single"/>
        </w:rPr>
        <w:t>202</w:t>
      </w:r>
      <w:r>
        <w:rPr>
          <w:rFonts w:hint="eastAsia" w:ascii="宋体" w:eastAsia="宋体" w:cs="宋体"/>
          <w:color w:val="auto"/>
          <w:highlight w:val="none"/>
          <w:u w:val="single"/>
          <w:lang w:val="en-US" w:eastAsia="zh-CN"/>
        </w:rPr>
        <w:t>3</w:t>
      </w:r>
      <w:r>
        <w:rPr>
          <w:rFonts w:hint="eastAsia" w:ascii="宋体" w:eastAsia="宋体" w:cs="宋体"/>
          <w:color w:val="auto"/>
          <w:highlight w:val="none"/>
        </w:rPr>
        <w:t>年</w:t>
      </w:r>
      <w:r>
        <w:rPr>
          <w:rFonts w:hint="eastAsia" w:ascii="宋体" w:eastAsia="宋体" w:cs="宋体"/>
          <w:color w:val="auto"/>
          <w:highlight w:val="none"/>
          <w:u w:val="single"/>
          <w:lang w:val="en-US" w:eastAsia="zh-CN"/>
        </w:rPr>
        <w:t>1</w:t>
      </w:r>
      <w:r>
        <w:rPr>
          <w:rFonts w:hint="eastAsia" w:ascii="宋体" w:eastAsia="宋体" w:cs="宋体"/>
          <w:color w:val="auto"/>
          <w:highlight w:val="none"/>
        </w:rPr>
        <w:t>月</w:t>
      </w:r>
      <w:r>
        <w:rPr>
          <w:rFonts w:hint="eastAsia" w:ascii="宋体" w:eastAsia="宋体" w:cs="宋体"/>
          <w:color w:val="auto"/>
          <w:highlight w:val="none"/>
          <w:u w:val="single"/>
        </w:rPr>
        <w:t>1</w:t>
      </w:r>
      <w:r>
        <w:rPr>
          <w:rFonts w:hint="eastAsia" w:ascii="宋体" w:eastAsia="宋体" w:cs="宋体"/>
          <w:color w:val="auto"/>
          <w:highlight w:val="none"/>
        </w:rPr>
        <w:t>日起至投标截止日止无行贿犯罪记录</w:t>
      </w:r>
      <w:r>
        <w:rPr>
          <w:rFonts w:ascii="宋体" w:eastAsia="宋体" w:cs="宋体"/>
          <w:color w:val="auto"/>
          <w:highlight w:val="none"/>
        </w:rPr>
        <w:t>；</w:t>
      </w:r>
    </w:p>
    <w:p w14:paraId="28F96797">
      <w:pPr>
        <w:spacing w:before="1" w:line="353" w:lineRule="auto"/>
        <w:ind w:left="15" w:right="154" w:firstLine="498"/>
        <w:jc w:val="both"/>
        <w:rPr>
          <w:rFonts w:ascii="宋体" w:eastAsia="宋体" w:cs="宋体"/>
          <w:color w:val="auto"/>
          <w:highlight w:val="none"/>
        </w:rPr>
      </w:pPr>
      <w:r>
        <w:rPr>
          <w:rFonts w:hint="eastAsia" w:ascii="宋体" w:eastAsia="宋体" w:cs="宋体"/>
          <w:color w:val="auto"/>
          <w:highlight w:val="none"/>
        </w:rPr>
        <w:t>☑</w:t>
      </w:r>
      <w:r>
        <w:rPr>
          <w:rFonts w:ascii="宋体" w:eastAsia="宋体" w:cs="宋体"/>
          <w:color w:val="auto"/>
          <w:highlight w:val="none"/>
        </w:rPr>
        <w:t>2.</w:t>
      </w:r>
      <w:r>
        <w:rPr>
          <w:rFonts w:hint="eastAsia" w:ascii="宋体" w:eastAsia="宋体" w:cs="宋体"/>
          <w:color w:val="auto"/>
          <w:highlight w:val="none"/>
        </w:rPr>
        <w:t>投标人及其拟派项目负责人未被列入建筑市场严重失信名单（以全国建筑市场监管公共服务平台黑名单记录、失信联合惩戒记录</w:t>
      </w:r>
      <w:r>
        <w:rPr>
          <w:rFonts w:hint="eastAsia" w:ascii="宋体" w:eastAsia="宋体" w:cs="宋体"/>
          <w:strike w:val="0"/>
          <w:dstrike w:val="0"/>
          <w:color w:val="auto"/>
          <w:highlight w:val="none"/>
        </w:rPr>
        <w:t>和浙江省建筑市场监管公共服务系统严重失信名单的信息为准）</w:t>
      </w:r>
      <w:r>
        <w:rPr>
          <w:rFonts w:hint="eastAsia" w:ascii="宋体" w:eastAsia="宋体" w:cs="宋体"/>
          <w:color w:val="auto"/>
          <w:highlight w:val="none"/>
        </w:rPr>
        <w:t>；</w:t>
      </w:r>
    </w:p>
    <w:p w14:paraId="4BD8BC3C">
      <w:pPr>
        <w:spacing w:before="2" w:line="338" w:lineRule="auto"/>
        <w:ind w:left="14" w:right="63" w:firstLine="474"/>
        <w:jc w:val="both"/>
        <w:rPr>
          <w:rFonts w:ascii="宋体" w:eastAsia="宋体" w:cs="宋体"/>
          <w:color w:val="auto"/>
          <w:highlight w:val="none"/>
          <w:u w:val="single"/>
        </w:rPr>
      </w:pPr>
      <w:r>
        <w:rPr>
          <w:rFonts w:hint="eastAsia" w:ascii="宋体" w:eastAsia="宋体" w:cs="宋体"/>
          <w:color w:val="auto"/>
          <w:highlight w:val="none"/>
        </w:rPr>
        <w:t>3.本</w:t>
      </w:r>
      <w:r>
        <w:rPr>
          <w:rFonts w:ascii="宋体" w:eastAsia="宋体" w:cs="宋体"/>
          <w:color w:val="auto"/>
          <w:highlight w:val="none"/>
        </w:rPr>
        <w:t>次招标</w:t>
      </w:r>
      <w:r>
        <w:rPr>
          <w:rFonts w:hint="eastAsia" w:ascii="宋体" w:eastAsia="宋体" w:cs="宋体"/>
          <w:color w:val="auto"/>
          <w:highlight w:val="none"/>
          <w:lang w:eastAsia="zh-CN"/>
        </w:rPr>
        <w:t>（□</w:t>
      </w:r>
      <w:r>
        <w:rPr>
          <w:rFonts w:ascii="宋体" w:eastAsia="宋体" w:cs="宋体"/>
          <w:color w:val="auto"/>
          <w:highlight w:val="none"/>
        </w:rPr>
        <w:t>接受</w:t>
      </w:r>
      <w:r>
        <w:rPr>
          <w:rFonts w:hint="eastAsia" w:ascii="宋体" w:eastAsia="宋体" w:cs="宋体"/>
          <w:color w:val="auto"/>
          <w:highlight w:val="none"/>
        </w:rPr>
        <w:t>☑</w:t>
      </w:r>
      <w:r>
        <w:rPr>
          <w:rFonts w:ascii="宋体" w:eastAsia="宋体" w:cs="宋体"/>
          <w:color w:val="auto"/>
          <w:highlight w:val="none"/>
        </w:rPr>
        <w:t>不接受</w:t>
      </w:r>
      <w:r>
        <w:rPr>
          <w:rFonts w:hint="eastAsia" w:ascii="宋体" w:eastAsia="宋体" w:cs="宋体"/>
          <w:color w:val="auto"/>
          <w:highlight w:val="none"/>
          <w:lang w:eastAsia="zh-CN"/>
        </w:rPr>
        <w:t>）</w:t>
      </w:r>
      <w:r>
        <w:rPr>
          <w:rFonts w:ascii="宋体" w:eastAsia="宋体" w:cs="宋体"/>
          <w:color w:val="auto"/>
          <w:highlight w:val="none"/>
        </w:rPr>
        <w:t>联合体投标，联合体投标的，应满足下列要求：</w:t>
      </w:r>
      <w:r>
        <w:rPr>
          <w:rFonts w:hint="eastAsia" w:ascii="宋体" w:eastAsia="宋体" w:cs="宋体"/>
          <w:color w:val="auto"/>
          <w:highlight w:val="none"/>
          <w:u w:val="single"/>
        </w:rPr>
        <w:t>/</w:t>
      </w:r>
      <w:r>
        <w:rPr>
          <w:rFonts w:hint="eastAsia" w:ascii="宋体" w:eastAsia="宋体" w:cs="宋体"/>
          <w:color w:val="auto"/>
          <w:highlight w:val="none"/>
        </w:rPr>
        <w:t>；</w:t>
      </w:r>
    </w:p>
    <w:p w14:paraId="3EB314DA">
      <w:pPr>
        <w:spacing w:line="360" w:lineRule="auto"/>
        <w:ind w:firstLine="420" w:firstLineChars="200"/>
        <w:rPr>
          <w:rFonts w:hint="eastAsia" w:ascii="宋体" w:eastAsia="宋体" w:cs="宋体"/>
          <w:color w:val="auto"/>
          <w:highlight w:val="none"/>
        </w:rPr>
      </w:pPr>
      <w:r>
        <w:rPr>
          <w:rFonts w:hint="eastAsia" w:ascii="宋体" w:eastAsia="宋体" w:cs="宋体"/>
          <w:color w:val="auto"/>
          <w:highlight w:val="none"/>
          <w:lang w:eastAsia="zh-CN"/>
        </w:rPr>
        <w:t>□</w:t>
      </w:r>
      <w:r>
        <w:rPr>
          <w:rFonts w:hint="eastAsia" w:ascii="宋体" w:eastAsia="宋体" w:cs="宋体"/>
          <w:color w:val="auto"/>
          <w:highlight w:val="none"/>
        </w:rPr>
        <w:t>4.面向中小企业招标的，投标人（或联合体中的中小企业）须为中小企业，并提供《中小企业声明函》。</w:t>
      </w:r>
    </w:p>
    <w:p w14:paraId="647C8D99">
      <w:pPr>
        <w:widowControl w:val="0"/>
        <w:spacing w:before="125" w:line="353" w:lineRule="auto"/>
        <w:ind w:left="11" w:right="62" w:firstLine="499"/>
        <w:jc w:val="both"/>
        <w:rPr>
          <w:rFonts w:hint="eastAsia" w:ascii="宋体" w:eastAsia="宋体" w:cs="宋体"/>
          <w:color w:val="auto"/>
          <w:highlight w:val="none"/>
        </w:rPr>
      </w:pPr>
      <w:r>
        <w:rPr>
          <w:rFonts w:hint="eastAsia" w:ascii="宋体" w:eastAsia="宋体" w:cs="宋体"/>
          <w:color w:val="auto"/>
          <w:highlight w:val="none"/>
        </w:rPr>
        <w:t>☑</w:t>
      </w:r>
      <w:r>
        <w:rPr>
          <w:rFonts w:hint="eastAsia" w:ascii="宋体" w:eastAsia="宋体" w:cs="宋体"/>
          <w:color w:val="auto"/>
          <w:highlight w:val="none"/>
          <w:u w:val="none"/>
        </w:rPr>
        <w:t>5</w:t>
      </w:r>
      <w:r>
        <w:rPr>
          <w:rFonts w:ascii="宋体" w:eastAsia="宋体" w:cs="宋体"/>
          <w:color w:val="auto"/>
          <w:highlight w:val="none"/>
          <w:u w:val="none"/>
        </w:rPr>
        <w:t>.</w:t>
      </w:r>
      <w:r>
        <w:rPr>
          <w:rFonts w:hint="eastAsia" w:ascii="宋体" w:eastAsia="宋体" w:cs="宋体"/>
          <w:color w:val="auto"/>
          <w:highlight w:val="none"/>
          <w:u w:val="none"/>
        </w:rPr>
        <w:t>1</w:t>
      </w:r>
      <w:r>
        <w:rPr>
          <w:rFonts w:hint="eastAsia" w:ascii="宋体" w:eastAsia="宋体" w:cs="宋体"/>
          <w:color w:val="auto"/>
          <w:highlight w:val="none"/>
          <w:u w:val="single"/>
        </w:rPr>
        <w:t>投标人具有独立承担民事责任能力的法人或者其他组织</w:t>
      </w:r>
      <w:r>
        <w:rPr>
          <w:rFonts w:ascii="宋体" w:eastAsia="宋体" w:cs="宋体"/>
          <w:color w:val="auto"/>
          <w:highlight w:val="none"/>
        </w:rPr>
        <w:t>；</w:t>
      </w:r>
    </w:p>
    <w:p w14:paraId="02CBFF09">
      <w:pPr>
        <w:widowControl w:val="0"/>
        <w:spacing w:before="125" w:line="353" w:lineRule="auto"/>
        <w:ind w:left="11" w:right="62" w:firstLine="499"/>
        <w:jc w:val="both"/>
        <w:rPr>
          <w:rFonts w:hint="eastAsia" w:ascii="宋体" w:eastAsia="宋体" w:cs="宋体"/>
          <w:color w:val="auto"/>
          <w:highlight w:val="none"/>
        </w:rPr>
      </w:pPr>
      <w:r>
        <w:rPr>
          <w:rFonts w:hint="eastAsia" w:ascii="宋体" w:eastAsia="宋体" w:cs="宋体"/>
          <w:color w:val="auto"/>
          <w:highlight w:val="none"/>
          <w:u w:val="single"/>
          <w:lang w:val="en-US" w:eastAsia="zh-CN"/>
        </w:rPr>
        <w:t>5.2投标人具有自2021年1月1日以来（以签订合同时间为准）单个合同金额100万元及以上的同类项目供货业绩。须提供中标通知书复制件、合同复制件，其所承载的证明内容应符合业绩要求的具体描述。</w:t>
      </w:r>
    </w:p>
    <w:p w14:paraId="529A1318">
      <w:pPr>
        <w:spacing w:line="320" w:lineRule="exact"/>
        <w:ind w:left="490"/>
        <w:jc w:val="both"/>
        <w:outlineLvl w:val="1"/>
        <w:rPr>
          <w:rFonts w:ascii="宋体" w:eastAsia="宋体" w:cs="宋体"/>
          <w:color w:val="auto"/>
          <w:highlight w:val="none"/>
        </w:rPr>
      </w:pPr>
      <w:bookmarkStart w:id="47" w:name="_Toc15020"/>
      <w:bookmarkStart w:id="48" w:name="_Toc20717"/>
      <w:bookmarkStart w:id="49" w:name="_Toc26688"/>
      <w:bookmarkStart w:id="50" w:name="_Toc9449"/>
      <w:r>
        <w:rPr>
          <w:rFonts w:ascii="宋体" w:eastAsia="宋体" w:cs="宋体"/>
          <w:color w:val="auto"/>
          <w:position w:val="1"/>
          <w:highlight w:val="none"/>
        </w:rPr>
        <w:t>三、招标文件的获取</w:t>
      </w:r>
      <w:bookmarkEnd w:id="47"/>
      <w:bookmarkEnd w:id="48"/>
      <w:bookmarkEnd w:id="49"/>
      <w:bookmarkEnd w:id="50"/>
    </w:p>
    <w:p w14:paraId="46BB8499">
      <w:pPr>
        <w:spacing w:line="440" w:lineRule="exact"/>
        <w:ind w:firstLine="420" w:firstLineChars="200"/>
        <w:rPr>
          <w:rFonts w:hint="eastAsia" w:ascii="宋体" w:eastAsia="宋体" w:cs="宋体"/>
          <w:color w:val="auto"/>
          <w:highlight w:val="none"/>
        </w:rPr>
      </w:pPr>
      <w:r>
        <w:rPr>
          <w:rFonts w:hint="eastAsia" w:ascii="宋体" w:eastAsia="宋体" w:cs="宋体"/>
          <w:color w:val="auto"/>
          <w:highlight w:val="none"/>
        </w:rPr>
        <w:t>1.本项目招标文件（含图纸）和补充（答疑、澄清）、修改文件以网上下载方式发放</w:t>
      </w:r>
      <w:r>
        <w:rPr>
          <w:rFonts w:hint="eastAsia" w:ascii="宋体" w:eastAsia="宋体" w:cs="宋体"/>
          <w:color w:val="auto"/>
          <w:highlight w:val="none"/>
          <w:u w:val="single"/>
        </w:rPr>
        <w:t>绍兴市公共资源交易中心电子招投标交易平台（</w:t>
      </w:r>
      <w:r>
        <w:rPr>
          <w:rFonts w:hint="eastAsia" w:ascii="宋体" w:eastAsia="宋体" w:cs="宋体"/>
          <w:color w:val="auto"/>
          <w:highlight w:val="none"/>
          <w:u w:val="single"/>
          <w:lang w:eastAsia="zh-CN"/>
        </w:rPr>
        <w:t>http://220.187.225.202:8088/TPBidder-ztk/memberLogin</w:t>
      </w:r>
      <w:r>
        <w:rPr>
          <w:rFonts w:hint="eastAsia" w:ascii="宋体" w:eastAsia="宋体" w:cs="宋体"/>
          <w:color w:val="auto"/>
          <w:highlight w:val="none"/>
          <w:u w:val="single"/>
        </w:rPr>
        <w:t>）</w:t>
      </w:r>
      <w:r>
        <w:rPr>
          <w:rFonts w:hint="eastAsia" w:ascii="宋体" w:eastAsia="宋体" w:cs="宋体"/>
          <w:color w:val="auto"/>
          <w:highlight w:val="none"/>
        </w:rPr>
        <w:t>，请各潜在投标人使用CA锁登录绍兴市公共资源交易中心电子招投标交易平台（</w:t>
      </w:r>
      <w:r>
        <w:rPr>
          <w:rFonts w:hint="eastAsia" w:ascii="宋体" w:eastAsia="宋体" w:cs="宋体"/>
          <w:color w:val="auto"/>
          <w:highlight w:val="none"/>
          <w:lang w:eastAsia="zh-CN"/>
        </w:rPr>
        <w:t>http://220.187.225.202:8088/TPBidder-ztk/memberLogin</w:t>
      </w:r>
      <w:r>
        <w:rPr>
          <w:rFonts w:hint="eastAsia" w:ascii="宋体" w:eastAsia="宋体" w:cs="宋体"/>
          <w:color w:val="auto"/>
          <w:highlight w:val="none"/>
        </w:rPr>
        <w:t>）获取</w:t>
      </w:r>
      <w:r>
        <w:rPr>
          <w:rFonts w:hint="eastAsia" w:ascii="宋体" w:eastAsia="宋体" w:cs="宋体"/>
          <w:color w:val="auto"/>
          <w:highlight w:val="none"/>
          <w:lang w:eastAsia="zh-CN"/>
        </w:rPr>
        <w:t>，</w:t>
      </w:r>
      <w:r>
        <w:rPr>
          <w:rFonts w:hint="eastAsia" w:ascii="宋体" w:eastAsia="宋体" w:cs="宋体"/>
          <w:color w:val="auto"/>
          <w:highlight w:val="none"/>
        </w:rPr>
        <w:t>未使用CA锁登录并获取招标文件的投标将被拒收。</w:t>
      </w:r>
    </w:p>
    <w:p w14:paraId="2E12F608">
      <w:pPr>
        <w:spacing w:line="380" w:lineRule="exact"/>
        <w:ind w:left="19" w:firstLine="478" w:firstLineChars="228"/>
        <w:jc w:val="both"/>
        <w:rPr>
          <w:rFonts w:ascii="宋体" w:eastAsia="宋体" w:cs="宋体"/>
          <w:snapToGrid/>
          <w:color w:val="auto"/>
          <w:highlight w:val="none"/>
        </w:rPr>
      </w:pPr>
      <w:r>
        <w:rPr>
          <w:rFonts w:hint="eastAsia" w:ascii="宋体" w:eastAsia="宋体" w:cs="宋体"/>
          <w:color w:val="auto"/>
          <w:highlight w:val="none"/>
        </w:rPr>
        <w:t>2.招标</w:t>
      </w:r>
      <w:r>
        <w:rPr>
          <w:rFonts w:hint="eastAsia" w:ascii="宋体" w:eastAsia="宋体" w:cs="宋体"/>
          <w:color w:val="auto"/>
          <w:highlight w:val="none"/>
          <w:lang w:eastAsia="zh-CN"/>
        </w:rPr>
        <w:t>文件</w:t>
      </w:r>
      <w:r>
        <w:rPr>
          <w:rFonts w:hint="eastAsia" w:ascii="宋体" w:eastAsia="宋体" w:cs="宋体"/>
          <w:color w:val="auto"/>
          <w:highlight w:val="none"/>
        </w:rPr>
        <w:t>获取下载网址：潜在投标人登录</w:t>
      </w:r>
      <w:r>
        <w:rPr>
          <w:rFonts w:hint="eastAsia" w:ascii="宋体" w:eastAsia="宋体" w:cs="宋体"/>
          <w:color w:val="auto"/>
          <w:highlight w:val="none"/>
          <w:u w:val="single"/>
        </w:rPr>
        <w:t>绍兴市公共资源交易中心电子招投标交易平台（</w:t>
      </w:r>
      <w:r>
        <w:rPr>
          <w:rFonts w:hint="eastAsia" w:ascii="宋体" w:eastAsia="宋体" w:cs="宋体"/>
          <w:color w:val="auto"/>
          <w:highlight w:val="none"/>
          <w:u w:val="single"/>
          <w:lang w:eastAsia="zh-CN"/>
        </w:rPr>
        <w:t>http://220.187.225.202:8088/TPBidder-ztk/memberLogin</w:t>
      </w:r>
      <w:r>
        <w:rPr>
          <w:rFonts w:hint="eastAsia" w:ascii="宋体" w:eastAsia="宋体" w:cs="宋体"/>
          <w:color w:val="auto"/>
          <w:highlight w:val="none"/>
          <w:u w:val="single"/>
        </w:rPr>
        <w:t>）</w:t>
      </w:r>
      <w:r>
        <w:rPr>
          <w:rFonts w:hint="eastAsia" w:ascii="宋体" w:eastAsia="宋体" w:cs="宋体"/>
          <w:color w:val="auto"/>
          <w:highlight w:val="none"/>
        </w:rPr>
        <w:t>，自行获取下载招标文件。</w:t>
      </w:r>
    </w:p>
    <w:p w14:paraId="1D090D43">
      <w:pPr>
        <w:spacing w:line="380" w:lineRule="exact"/>
        <w:ind w:left="499"/>
        <w:jc w:val="both"/>
        <w:rPr>
          <w:rFonts w:ascii="宋体" w:eastAsia="宋体" w:cs="宋体"/>
          <w:snapToGrid/>
          <w:color w:val="auto"/>
          <w:highlight w:val="none"/>
        </w:rPr>
      </w:pPr>
      <w:r>
        <w:rPr>
          <w:rFonts w:hint="eastAsia" w:ascii="宋体" w:eastAsia="宋体" w:cs="宋体"/>
          <w:snapToGrid/>
          <w:color w:val="auto"/>
          <w:highlight w:val="none"/>
        </w:rPr>
        <w:t>3.招标文件网上下载时间：</w:t>
      </w:r>
      <w:r>
        <w:rPr>
          <w:rFonts w:hint="eastAsia" w:ascii="宋体" w:eastAsia="宋体" w:cs="宋体"/>
          <w:snapToGrid/>
          <w:color w:val="auto"/>
          <w:highlight w:val="none"/>
          <w:u w:val="single"/>
        </w:rPr>
        <w:t>（公告发布之日起至投标文件递交截止时间）</w:t>
      </w:r>
      <w:r>
        <w:rPr>
          <w:rFonts w:hint="eastAsia" w:ascii="宋体" w:eastAsia="宋体" w:cs="宋体"/>
          <w:snapToGrid/>
          <w:color w:val="auto"/>
          <w:highlight w:val="none"/>
        </w:rPr>
        <w:t>。</w:t>
      </w:r>
    </w:p>
    <w:p w14:paraId="15FE03FE">
      <w:pPr>
        <w:spacing w:line="320" w:lineRule="exact"/>
        <w:ind w:left="501"/>
        <w:jc w:val="both"/>
        <w:outlineLvl w:val="1"/>
        <w:rPr>
          <w:rFonts w:ascii="宋体" w:eastAsia="宋体" w:cs="宋体"/>
          <w:color w:val="auto"/>
          <w:highlight w:val="none"/>
        </w:rPr>
      </w:pPr>
      <w:bookmarkStart w:id="51" w:name="_Toc15505"/>
      <w:bookmarkStart w:id="52" w:name="_Toc21813"/>
      <w:bookmarkStart w:id="53" w:name="_Toc21699"/>
      <w:bookmarkStart w:id="54" w:name="_Toc15797"/>
      <w:r>
        <w:rPr>
          <w:rFonts w:hint="eastAsia" w:ascii="宋体" w:eastAsia="宋体" w:cs="宋体"/>
          <w:color w:val="auto"/>
          <w:highlight w:val="none"/>
        </w:rPr>
        <w:t>四、投标保证金</w:t>
      </w:r>
      <w:bookmarkEnd w:id="51"/>
      <w:bookmarkEnd w:id="52"/>
      <w:bookmarkEnd w:id="53"/>
      <w:bookmarkEnd w:id="54"/>
    </w:p>
    <w:p w14:paraId="2FEC4E6D">
      <w:pPr>
        <w:widowControl w:val="0"/>
        <w:kinsoku/>
        <w:autoSpaceDE/>
        <w:autoSpaceDN/>
        <w:adjustRightInd/>
        <w:snapToGrid/>
        <w:spacing w:line="360" w:lineRule="auto"/>
        <w:ind w:firstLine="369" w:firstLineChars="176"/>
        <w:jc w:val="both"/>
        <w:textAlignment w:val="auto"/>
        <w:rPr>
          <w:rFonts w:hint="eastAsia" w:ascii="宋体" w:eastAsia="宋体" w:cs="宋体"/>
          <w:b/>
          <w:bCs/>
          <w:snapToGrid/>
          <w:color w:val="auto"/>
          <w:kern w:val="2"/>
          <w:highlight w:val="none"/>
        </w:rPr>
      </w:pPr>
      <w:r>
        <w:rPr>
          <w:rFonts w:hint="eastAsia" w:ascii="宋体" w:eastAsia="宋体" w:cs="宋体"/>
          <w:snapToGrid/>
          <w:color w:val="auto"/>
          <w:kern w:val="2"/>
          <w:highlight w:val="none"/>
        </w:rPr>
        <w:t>1.金额：</w:t>
      </w:r>
    </w:p>
    <w:p w14:paraId="5D7950DB">
      <w:pPr>
        <w:widowControl w:val="0"/>
        <w:kinsoku/>
        <w:autoSpaceDE/>
        <w:autoSpaceDN/>
        <w:adjustRightInd/>
        <w:snapToGrid/>
        <w:spacing w:line="360" w:lineRule="auto"/>
        <w:ind w:firstLine="420" w:firstLineChars="200"/>
        <w:jc w:val="both"/>
        <w:textAlignment w:val="auto"/>
        <w:rPr>
          <w:rFonts w:ascii="宋体" w:eastAsia="宋体" w:cs="宋体"/>
          <w:snapToGrid/>
          <w:color w:val="auto"/>
          <w:highlight w:val="none"/>
        </w:rPr>
      </w:pPr>
      <w:r>
        <w:rPr>
          <w:rFonts w:hint="eastAsia" w:ascii="宋体" w:eastAsia="宋体" w:cs="宋体"/>
          <w:snapToGrid/>
          <w:color w:val="auto"/>
          <w:highlight w:val="none"/>
          <w:lang w:eastAsia="zh-CN"/>
        </w:rPr>
        <w:t>□</w:t>
      </w:r>
      <w:r>
        <w:rPr>
          <w:rFonts w:hint="eastAsia" w:ascii="宋体" w:eastAsia="宋体" w:cs="宋体"/>
          <w:snapToGrid/>
          <w:color w:val="auto"/>
          <w:highlight w:val="none"/>
        </w:rPr>
        <w:t>本项目不缴纳投标保证金。</w:t>
      </w:r>
    </w:p>
    <w:p w14:paraId="4A7D5B09">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highlight w:val="none"/>
        </w:rPr>
        <w:t>☑</w:t>
      </w:r>
      <w:r>
        <w:rPr>
          <w:rFonts w:hint="eastAsia" w:ascii="宋体" w:eastAsia="宋体" w:cs="宋体"/>
          <w:snapToGrid/>
          <w:color w:val="auto"/>
          <w:kern w:val="2"/>
          <w:highlight w:val="none"/>
        </w:rPr>
        <w:t>本项目需缴纳投标保证金</w:t>
      </w:r>
      <w:r>
        <w:rPr>
          <w:rFonts w:hint="eastAsia" w:ascii="宋体" w:eastAsia="宋体" w:cs="宋体"/>
          <w:snapToGrid/>
          <w:color w:val="auto"/>
          <w:kern w:val="2"/>
          <w:highlight w:val="none"/>
          <w:u w:val="single"/>
          <w:lang w:val="en-US" w:eastAsia="zh-CN"/>
        </w:rPr>
        <w:t>50</w:t>
      </w:r>
      <w:r>
        <w:rPr>
          <w:rFonts w:hint="eastAsia" w:ascii="宋体" w:eastAsia="宋体" w:cs="宋体"/>
          <w:snapToGrid/>
          <w:color w:val="auto"/>
          <w:kern w:val="2"/>
          <w:highlight w:val="none"/>
        </w:rPr>
        <w:t>万元，投标保证金在投标人自行获取招标文件后，在</w:t>
      </w:r>
      <w:r>
        <w:rPr>
          <w:rFonts w:hint="eastAsia" w:ascii="宋体" w:eastAsia="宋体" w:cs="宋体"/>
          <w:b/>
          <w:bCs/>
          <w:snapToGrid/>
          <w:color w:val="auto"/>
          <w:kern w:val="2"/>
          <w:highlight w:val="none"/>
        </w:rPr>
        <w:t>投标文件递交截止时间</w:t>
      </w:r>
      <w:r>
        <w:rPr>
          <w:rFonts w:hint="eastAsia" w:ascii="宋体" w:eastAsia="宋体" w:cs="宋体"/>
          <w:snapToGrid/>
          <w:color w:val="auto"/>
          <w:kern w:val="2"/>
          <w:highlight w:val="none"/>
        </w:rPr>
        <w:t>前缴纳。</w:t>
      </w:r>
    </w:p>
    <w:p w14:paraId="0A419DAA">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2.缴纳方式：投标人基本账户银行转出的保函/保证保险/担保公司担保/转账/数字保函等</w:t>
      </w: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不包括现金）。</w:t>
      </w:r>
    </w:p>
    <w:p w14:paraId="05DC4DAA">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2.1缴纳要求</w:t>
      </w: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转账</w:t>
      </w: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w:t>
      </w:r>
    </w:p>
    <w:p w14:paraId="4D7E147F">
      <w:pPr>
        <w:spacing w:line="360" w:lineRule="auto"/>
        <w:ind w:firstLine="420" w:firstLineChars="200"/>
        <w:rPr>
          <w:rFonts w:hint="eastAsia" w:ascii="宋体" w:eastAsia="宋体" w:cs="宋体"/>
          <w:snapToGrid/>
          <w:color w:val="auto"/>
          <w:kern w:val="2"/>
          <w:highlight w:val="none"/>
        </w:rPr>
      </w:pPr>
      <w:r>
        <w:rPr>
          <w:rFonts w:hint="eastAsia" w:ascii="宋体" w:eastAsia="宋体" w:cs="宋体"/>
          <w:snapToGrid/>
          <w:color w:val="auto"/>
          <w:kern w:val="2"/>
          <w:highlight w:val="none"/>
        </w:rPr>
        <w:t>账户：</w:t>
      </w:r>
      <w:r>
        <w:rPr>
          <w:rFonts w:hint="eastAsia" w:ascii="宋体" w:eastAsia="宋体" w:cs="宋体"/>
          <w:snapToGrid/>
          <w:color w:val="auto"/>
          <w:kern w:val="2"/>
          <w:highlight w:val="none"/>
          <w:u w:val="single"/>
          <w:lang w:val="en-US" w:eastAsia="zh-CN"/>
        </w:rPr>
        <w:t xml:space="preserve">      </w:t>
      </w:r>
      <w:r>
        <w:rPr>
          <w:rFonts w:hint="eastAsia" w:ascii="宋体" w:eastAsia="宋体" w:cs="宋体"/>
          <w:snapToGrid/>
          <w:color w:val="auto"/>
          <w:kern w:val="2"/>
          <w:highlight w:val="none"/>
          <w:lang w:val="en-US" w:eastAsia="zh-CN"/>
        </w:rPr>
        <w:t>，</w:t>
      </w:r>
      <w:r>
        <w:rPr>
          <w:rFonts w:hint="eastAsia" w:ascii="宋体" w:eastAsia="宋体" w:cs="宋体"/>
          <w:snapToGrid/>
          <w:color w:val="auto"/>
          <w:kern w:val="2"/>
          <w:highlight w:val="none"/>
        </w:rPr>
        <w:t>开户单位名称：</w:t>
      </w:r>
      <w:r>
        <w:rPr>
          <w:rFonts w:hint="eastAsia" w:ascii="宋体" w:eastAsia="宋体" w:cs="宋体"/>
          <w:color w:val="auto"/>
          <w:highlight w:val="none"/>
          <w:u w:val="single"/>
          <w:lang w:val="en-US" w:eastAsia="zh-CN"/>
        </w:rPr>
        <w:t xml:space="preserve">    </w:t>
      </w:r>
      <w:r>
        <w:rPr>
          <w:rFonts w:hint="eastAsia" w:ascii="宋体" w:eastAsia="宋体" w:cs="宋体"/>
          <w:color w:val="auto"/>
          <w:highlight w:val="none"/>
          <w:u w:val="none"/>
        </w:rPr>
        <w:t>，开户行</w:t>
      </w:r>
      <w:r>
        <w:rPr>
          <w:rFonts w:hint="eastAsia" w:ascii="宋体" w:eastAsia="宋体" w:cs="宋体"/>
          <w:snapToGrid/>
          <w:color w:val="auto"/>
          <w:kern w:val="2"/>
          <w:highlight w:val="none"/>
        </w:rPr>
        <w:t>：</w:t>
      </w:r>
      <w:r>
        <w:rPr>
          <w:rFonts w:hint="eastAsia" w:ascii="宋体" w:eastAsia="宋体" w:cs="宋体"/>
          <w:color w:val="auto"/>
          <w:highlight w:val="none"/>
          <w:u w:val="single"/>
        </w:rPr>
        <w:t>绍兴银行股份有限公司营业部</w:t>
      </w:r>
      <w:r>
        <w:rPr>
          <w:rFonts w:hint="eastAsia" w:ascii="宋体" w:eastAsia="宋体" w:cs="宋体"/>
          <w:snapToGrid/>
          <w:color w:val="auto"/>
          <w:kern w:val="2"/>
          <w:highlight w:val="none"/>
        </w:rPr>
        <w:t>；账号</w:t>
      </w: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u w:val="single"/>
          <w:lang w:val="en-US" w:eastAsia="zh-CN"/>
        </w:rPr>
        <w:t xml:space="preserve">     </w:t>
      </w:r>
      <w:r>
        <w:rPr>
          <w:rFonts w:hint="eastAsia" w:ascii="宋体" w:eastAsia="宋体" w:cs="宋体"/>
          <w:snapToGrid/>
          <w:color w:val="auto"/>
          <w:kern w:val="2"/>
          <w:highlight w:val="none"/>
        </w:rPr>
        <w:t>；</w:t>
      </w:r>
    </w:p>
    <w:p w14:paraId="408236D8">
      <w:pPr>
        <w:widowControl w:val="0"/>
        <w:kinsoku/>
        <w:autoSpaceDE/>
        <w:autoSpaceDN/>
        <w:adjustRightInd/>
        <w:snapToGrid/>
        <w:spacing w:line="360" w:lineRule="auto"/>
        <w:ind w:firstLine="420" w:firstLineChars="200"/>
        <w:jc w:val="left"/>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2.2缴纳要求（银行保函/保证保险/担保公司担保/数字保函）：招标人接受投标保证金银行保函、电子保险保单、担保保函。投标人自行在电子招投标交易平台（</w:t>
      </w:r>
      <w:r>
        <w:rPr>
          <w:rFonts w:hint="eastAsia" w:ascii="宋体" w:eastAsia="宋体" w:cs="宋体"/>
          <w:snapToGrid/>
          <w:color w:val="auto"/>
          <w:kern w:val="2"/>
          <w:highlight w:val="none"/>
          <w:lang w:eastAsia="zh-CN"/>
        </w:rPr>
        <w:t>http://220.187.225.202:8088/TPBidder-ztk/memberLogin</w:t>
      </w:r>
      <w:r>
        <w:rPr>
          <w:rFonts w:hint="eastAsia" w:ascii="宋体" w:eastAsia="宋体" w:cs="宋体"/>
          <w:snapToGrid/>
          <w:color w:val="auto"/>
          <w:kern w:val="2"/>
          <w:highlight w:val="none"/>
        </w:rPr>
        <w:t>）中自主选择办理。</w:t>
      </w:r>
    </w:p>
    <w:p w14:paraId="1ADF49AD">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保函费用必须从投标人企业基本账户转出，并在投标保证金缴纳截止时间前办妥保函手续。</w:t>
      </w:r>
    </w:p>
    <w:p w14:paraId="2A4FE072">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lang w:eastAsia="zh-CN"/>
        </w:rPr>
        <w:t>□</w:t>
      </w:r>
      <w:r>
        <w:rPr>
          <w:rFonts w:hint="eastAsia" w:ascii="宋体" w:eastAsia="宋体" w:cs="宋体"/>
          <w:snapToGrid/>
          <w:color w:val="auto"/>
          <w:kern w:val="2"/>
          <w:highlight w:val="none"/>
        </w:rPr>
        <w:t>2.</w:t>
      </w:r>
      <w:r>
        <w:rPr>
          <w:rFonts w:hint="eastAsia" w:ascii="宋体" w:eastAsia="宋体" w:cs="宋体"/>
          <w:snapToGrid/>
          <w:color w:val="auto"/>
          <w:kern w:val="2"/>
          <w:highlight w:val="none"/>
          <w:lang w:val="en-US" w:eastAsia="zh-CN"/>
        </w:rPr>
        <w:t>3</w:t>
      </w:r>
      <w:r>
        <w:rPr>
          <w:rFonts w:hint="eastAsia" w:ascii="宋体" w:eastAsia="宋体" w:cs="宋体"/>
          <w:snapToGrid/>
          <w:color w:val="auto"/>
          <w:kern w:val="2"/>
          <w:highlight w:val="none"/>
        </w:rPr>
        <w:t>本项目对</w:t>
      </w:r>
      <w:r>
        <w:rPr>
          <w:rFonts w:hint="eastAsia" w:ascii="宋体" w:eastAsia="宋体" w:cs="宋体"/>
          <w:snapToGrid/>
          <w:color w:val="auto"/>
          <w:kern w:val="2"/>
          <w:highlight w:val="none"/>
          <w:u w:val="single"/>
        </w:rPr>
        <w:t xml:space="preserve"> / </w:t>
      </w:r>
      <w:r>
        <w:rPr>
          <w:rFonts w:hint="eastAsia" w:ascii="宋体" w:eastAsia="宋体" w:cs="宋体"/>
          <w:snapToGrid/>
          <w:color w:val="auto"/>
          <w:kern w:val="2"/>
          <w:highlight w:val="none"/>
        </w:rPr>
        <w:t>行业信用评价结果最高等级的投标人免收投标保证金，须具备</w:t>
      </w:r>
      <w:r>
        <w:rPr>
          <w:rFonts w:hint="eastAsia" w:ascii="宋体" w:eastAsia="宋体" w:cs="宋体"/>
          <w:snapToGrid/>
          <w:color w:val="auto"/>
          <w:kern w:val="2"/>
          <w:highlight w:val="none"/>
          <w:u w:val="single"/>
        </w:rPr>
        <w:t xml:space="preserve"> / </w:t>
      </w:r>
      <w:r>
        <w:rPr>
          <w:rFonts w:hint="eastAsia" w:ascii="宋体" w:eastAsia="宋体" w:cs="宋体"/>
          <w:snapToGrid/>
          <w:color w:val="auto"/>
          <w:kern w:val="2"/>
          <w:highlight w:val="none"/>
        </w:rPr>
        <w:t>条件。</w:t>
      </w:r>
    </w:p>
    <w:p w14:paraId="224DA4DF">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注：1.请各投标人在缴纳投标保证金前自行核对统一主体库内填写的基本账户信息，避免出现保证金缴纳后无法匹配的现象。</w:t>
      </w:r>
    </w:p>
    <w:p w14:paraId="6F2D6D72">
      <w:pPr>
        <w:widowControl w:val="0"/>
        <w:kinsoku/>
        <w:autoSpaceDE/>
        <w:autoSpaceDN/>
        <w:adjustRightInd/>
        <w:snapToGrid/>
        <w:spacing w:line="360" w:lineRule="auto"/>
        <w:ind w:firstLine="420" w:firstLineChars="200"/>
        <w:jc w:val="both"/>
        <w:textAlignment w:val="auto"/>
        <w:rPr>
          <w:rFonts w:hint="eastAsia" w:ascii="宋体" w:eastAsia="宋体" w:cs="宋体"/>
          <w:snapToGrid/>
          <w:color w:val="auto"/>
          <w:kern w:val="2"/>
          <w:highlight w:val="none"/>
        </w:rPr>
      </w:pPr>
      <w:r>
        <w:rPr>
          <w:rFonts w:hint="eastAsia" w:ascii="宋体" w:eastAsia="宋体" w:cs="宋体"/>
          <w:snapToGrid/>
          <w:color w:val="auto"/>
          <w:kern w:val="2"/>
          <w:highlight w:val="none"/>
        </w:rPr>
        <w:t>2.重新招标项目，参与投标的投标人仍需按上述规定要求重新递交投标保证金。如联合体投标的，其投标保证金由牵头人递交。</w:t>
      </w:r>
    </w:p>
    <w:p w14:paraId="12FF900B">
      <w:pPr>
        <w:spacing w:line="230" w:lineRule="auto"/>
        <w:ind w:left="501"/>
        <w:jc w:val="both"/>
        <w:outlineLvl w:val="1"/>
        <w:rPr>
          <w:rFonts w:ascii="宋体" w:eastAsia="宋体" w:cs="宋体"/>
          <w:color w:val="auto"/>
          <w:highlight w:val="none"/>
        </w:rPr>
      </w:pPr>
      <w:bookmarkStart w:id="55" w:name="_Toc12784"/>
      <w:bookmarkStart w:id="56" w:name="_Toc22494"/>
      <w:bookmarkStart w:id="57" w:name="_Toc21941"/>
      <w:bookmarkStart w:id="58" w:name="_Toc18733"/>
      <w:r>
        <w:rPr>
          <w:rFonts w:hint="eastAsia" w:ascii="宋体" w:eastAsia="宋体" w:cs="宋体"/>
          <w:color w:val="auto"/>
          <w:highlight w:val="none"/>
        </w:rPr>
        <w:t>五</w:t>
      </w:r>
      <w:r>
        <w:rPr>
          <w:rFonts w:ascii="宋体" w:eastAsia="宋体" w:cs="宋体"/>
          <w:color w:val="auto"/>
          <w:highlight w:val="none"/>
        </w:rPr>
        <w:t>、投标文件递交</w:t>
      </w:r>
      <w:bookmarkEnd w:id="55"/>
      <w:bookmarkEnd w:id="56"/>
      <w:bookmarkEnd w:id="57"/>
      <w:bookmarkEnd w:id="58"/>
    </w:p>
    <w:p w14:paraId="6AE8CCCC">
      <w:pPr>
        <w:spacing w:line="400" w:lineRule="exact"/>
        <w:ind w:firstLine="420" w:firstLineChars="200"/>
        <w:jc w:val="both"/>
        <w:rPr>
          <w:rFonts w:ascii="宋体" w:eastAsia="宋体" w:cs="宋体"/>
          <w:color w:val="auto"/>
          <w:highlight w:val="none"/>
        </w:rPr>
      </w:pPr>
      <w:r>
        <w:rPr>
          <w:rFonts w:ascii="宋体" w:eastAsia="宋体" w:cs="宋体"/>
          <w:color w:val="auto"/>
          <w:highlight w:val="none"/>
        </w:rPr>
        <w:t>1.投标文件递交截止时间</w:t>
      </w:r>
      <w:r>
        <w:rPr>
          <w:rFonts w:hint="eastAsia" w:ascii="宋体" w:eastAsia="宋体" w:cs="宋体"/>
          <w:color w:val="auto"/>
          <w:highlight w:val="none"/>
          <w:u w:val="single"/>
        </w:rPr>
        <w:t xml:space="preserve"> </w:t>
      </w:r>
      <w:r>
        <w:rPr>
          <w:rFonts w:hint="eastAsia" w:ascii="宋体" w:eastAsia="宋体" w:cs="宋体"/>
          <w:color w:val="auto"/>
          <w:highlight w:val="none"/>
          <w:u w:val="single"/>
          <w:lang w:val="en-US" w:eastAsia="zh-CN"/>
        </w:rPr>
        <w:t>2026</w:t>
      </w:r>
      <w:r>
        <w:rPr>
          <w:rFonts w:hint="eastAsia" w:ascii="宋体" w:eastAsia="宋体" w:cs="宋体"/>
          <w:color w:val="auto"/>
          <w:highlight w:val="none"/>
          <w:u w:val="single"/>
        </w:rPr>
        <w:t xml:space="preserve"> </w:t>
      </w:r>
      <w:r>
        <w:rPr>
          <w:rFonts w:ascii="宋体" w:eastAsia="宋体" w:cs="宋体"/>
          <w:color w:val="auto"/>
          <w:highlight w:val="none"/>
        </w:rPr>
        <w:t>年</w:t>
      </w:r>
      <w:r>
        <w:rPr>
          <w:rFonts w:hint="eastAsia" w:ascii="宋体" w:eastAsia="宋体" w:cs="宋体"/>
          <w:color w:val="auto"/>
          <w:highlight w:val="none"/>
          <w:u w:val="single"/>
        </w:rPr>
        <w:t xml:space="preserve">   </w:t>
      </w:r>
      <w:r>
        <w:rPr>
          <w:rFonts w:ascii="宋体" w:eastAsia="宋体" w:cs="宋体"/>
          <w:color w:val="auto"/>
          <w:highlight w:val="none"/>
        </w:rPr>
        <w:t>月</w:t>
      </w:r>
      <w:r>
        <w:rPr>
          <w:rFonts w:hint="eastAsia" w:ascii="宋体" w:eastAsia="宋体" w:cs="宋体"/>
          <w:color w:val="auto"/>
          <w:highlight w:val="none"/>
          <w:u w:val="single"/>
        </w:rPr>
        <w:t xml:space="preserve">   </w:t>
      </w:r>
      <w:r>
        <w:rPr>
          <w:rFonts w:ascii="宋体" w:eastAsia="宋体" w:cs="宋体"/>
          <w:color w:val="auto"/>
          <w:highlight w:val="none"/>
        </w:rPr>
        <w:t>日</w:t>
      </w:r>
      <w:r>
        <w:rPr>
          <w:rFonts w:hint="eastAsia" w:ascii="宋体" w:eastAsia="宋体" w:cs="宋体"/>
          <w:color w:val="auto"/>
          <w:highlight w:val="none"/>
          <w:u w:val="single"/>
          <w:lang w:val="en-US" w:eastAsia="zh-CN"/>
        </w:rPr>
        <w:t xml:space="preserve">  </w:t>
      </w:r>
      <w:r>
        <w:rPr>
          <w:rFonts w:ascii="宋体" w:eastAsia="宋体" w:cs="宋体"/>
          <w:color w:val="auto"/>
          <w:highlight w:val="none"/>
        </w:rPr>
        <w:t>时</w:t>
      </w:r>
      <w:r>
        <w:rPr>
          <w:rFonts w:hint="eastAsia" w:ascii="宋体" w:eastAsia="宋体" w:cs="宋体"/>
          <w:color w:val="auto"/>
          <w:highlight w:val="none"/>
          <w:u w:val="single"/>
          <w:lang w:val="en-US" w:eastAsia="zh-CN"/>
        </w:rPr>
        <w:t xml:space="preserve">  </w:t>
      </w:r>
      <w:r>
        <w:rPr>
          <w:rFonts w:ascii="宋体" w:eastAsia="宋体" w:cs="宋体"/>
          <w:color w:val="auto"/>
          <w:highlight w:val="none"/>
        </w:rPr>
        <w:t>分；</w:t>
      </w:r>
    </w:p>
    <w:p w14:paraId="6BABB6B2">
      <w:pPr>
        <w:pStyle w:val="25"/>
        <w:spacing w:after="0" w:line="400" w:lineRule="exact"/>
        <w:ind w:left="0" w:firstLine="424" w:firstLineChars="202"/>
        <w:rPr>
          <w:rFonts w:ascii="宋体" w:cs="宋体"/>
          <w:color w:val="auto"/>
          <w:sz w:val="21"/>
          <w:szCs w:val="21"/>
          <w:highlight w:val="none"/>
          <w:u w:val="single"/>
        </w:rPr>
      </w:pPr>
      <w:r>
        <w:rPr>
          <w:rFonts w:ascii="宋体" w:cs="宋体"/>
          <w:color w:val="auto"/>
          <w:sz w:val="21"/>
          <w:szCs w:val="21"/>
          <w:highlight w:val="none"/>
        </w:rPr>
        <w:t>2.投标文件递交</w:t>
      </w:r>
      <w:r>
        <w:rPr>
          <w:rFonts w:hint="eastAsia" w:ascii="宋体" w:cs="宋体"/>
          <w:color w:val="auto"/>
          <w:sz w:val="21"/>
          <w:szCs w:val="21"/>
          <w:highlight w:val="none"/>
        </w:rPr>
        <w:t>方式</w:t>
      </w:r>
      <w:r>
        <w:rPr>
          <w:rFonts w:ascii="宋体" w:cs="宋体"/>
          <w:color w:val="auto"/>
          <w:sz w:val="21"/>
          <w:szCs w:val="21"/>
          <w:highlight w:val="none"/>
        </w:rPr>
        <w:t>：</w:t>
      </w:r>
    </w:p>
    <w:p w14:paraId="088B7CE9">
      <w:pPr>
        <w:pStyle w:val="25"/>
        <w:spacing w:after="0" w:line="400" w:lineRule="exact"/>
        <w:ind w:left="0" w:firstLine="424" w:firstLineChars="202"/>
        <w:rPr>
          <w:rFonts w:hint="eastAsia" w:ascii="宋体" w:cs="宋体"/>
          <w:color w:val="auto"/>
          <w:sz w:val="21"/>
          <w:szCs w:val="21"/>
          <w:highlight w:val="none"/>
        </w:rPr>
      </w:pPr>
      <w:r>
        <w:rPr>
          <w:rFonts w:hint="eastAsia" w:ascii="宋体" w:cs="宋体"/>
          <w:color w:val="auto"/>
          <w:sz w:val="21"/>
          <w:szCs w:val="21"/>
          <w:highlight w:val="none"/>
          <w:lang w:eastAsia="zh-CN"/>
        </w:rPr>
        <w:t>☑</w:t>
      </w:r>
      <w:r>
        <w:rPr>
          <w:rFonts w:hint="eastAsia" w:ascii="宋体" w:cs="宋体"/>
          <w:color w:val="auto"/>
          <w:sz w:val="21"/>
          <w:szCs w:val="21"/>
          <w:highlight w:val="none"/>
        </w:rPr>
        <w:t>2.1</w:t>
      </w:r>
      <w:r>
        <w:rPr>
          <w:rFonts w:ascii="宋体" w:cs="宋体"/>
          <w:color w:val="auto"/>
          <w:sz w:val="21"/>
          <w:szCs w:val="21"/>
          <w:highlight w:val="none"/>
        </w:rPr>
        <w:t>电子招标投标交易平台：</w:t>
      </w:r>
      <w:r>
        <w:rPr>
          <w:rFonts w:hint="eastAsia" w:ascii="宋体" w:cs="宋体"/>
          <w:color w:val="auto"/>
          <w:sz w:val="21"/>
          <w:szCs w:val="21"/>
          <w:highlight w:val="none"/>
          <w:u w:val="single"/>
          <w:lang w:val="en-US" w:eastAsia="zh-CN"/>
        </w:rPr>
        <w:t>绍兴市公共资源交易中心电子招投标交易平台</w:t>
      </w:r>
      <w:r>
        <w:rPr>
          <w:rFonts w:hint="eastAsia" w:ascii="宋体" w:cs="宋体"/>
          <w:color w:val="auto"/>
          <w:sz w:val="21"/>
          <w:szCs w:val="21"/>
          <w:highlight w:val="none"/>
        </w:rPr>
        <w:t>。</w:t>
      </w:r>
    </w:p>
    <w:p w14:paraId="25599647">
      <w:pPr>
        <w:pStyle w:val="25"/>
        <w:spacing w:after="0" w:line="400" w:lineRule="exact"/>
        <w:ind w:left="0" w:firstLine="424" w:firstLineChars="202"/>
        <w:rPr>
          <w:rFonts w:ascii="宋体" w:cs="宋体"/>
          <w:color w:val="auto"/>
          <w:sz w:val="21"/>
          <w:szCs w:val="21"/>
          <w:highlight w:val="none"/>
        </w:rPr>
      </w:pPr>
      <w:r>
        <w:rPr>
          <w:rFonts w:hint="eastAsia" w:ascii="宋体" w:cs="宋体"/>
          <w:color w:val="auto"/>
          <w:sz w:val="21"/>
          <w:szCs w:val="21"/>
          <w:highlight w:val="none"/>
          <w:lang w:eastAsia="zh-CN"/>
        </w:rPr>
        <w:t>□</w:t>
      </w:r>
      <w:r>
        <w:rPr>
          <w:rFonts w:hint="eastAsia" w:ascii="宋体" w:cs="宋体"/>
          <w:color w:val="auto"/>
          <w:sz w:val="21"/>
          <w:szCs w:val="21"/>
          <w:highlight w:val="none"/>
        </w:rPr>
        <w:t>2.2纸质标书递交，地点为：绍兴市公共资源交易中心</w:t>
      </w:r>
      <w:r>
        <w:rPr>
          <w:rFonts w:hint="eastAsia" w:ascii="宋体" w:cs="宋体"/>
          <w:color w:val="auto"/>
          <w:sz w:val="21"/>
          <w:szCs w:val="21"/>
          <w:highlight w:val="none"/>
          <w:lang w:val="en-US" w:eastAsia="zh-CN"/>
        </w:rPr>
        <w:t>二</w:t>
      </w:r>
      <w:r>
        <w:rPr>
          <w:rFonts w:hint="eastAsia" w:ascii="宋体" w:cs="宋体"/>
          <w:color w:val="auto"/>
          <w:sz w:val="21"/>
          <w:szCs w:val="21"/>
          <w:highlight w:val="none"/>
        </w:rPr>
        <w:t>楼指定的开标室。</w:t>
      </w:r>
    </w:p>
    <w:p w14:paraId="25AF7938">
      <w:pPr>
        <w:spacing w:line="400" w:lineRule="exact"/>
        <w:ind w:firstLine="485"/>
        <w:jc w:val="both"/>
        <w:rPr>
          <w:rFonts w:ascii="宋体" w:eastAsia="宋体" w:cs="宋体"/>
          <w:color w:val="auto"/>
          <w:highlight w:val="none"/>
        </w:rPr>
      </w:pPr>
      <w:r>
        <w:rPr>
          <w:rFonts w:hint="eastAsia" w:ascii="宋体" w:eastAsia="宋体" w:cs="宋体"/>
          <w:color w:val="auto"/>
          <w:highlight w:val="none"/>
        </w:rPr>
        <w:t>3.</w:t>
      </w:r>
      <w:r>
        <w:rPr>
          <w:rFonts w:hint="eastAsia" w:ascii="宋体" w:eastAsia="宋体" w:cs="宋体"/>
          <w:color w:val="auto"/>
          <w:highlight w:val="none"/>
          <w:lang w:eastAsia="zh-CN"/>
        </w:rPr>
        <w:t>☑</w:t>
      </w:r>
      <w:r>
        <w:rPr>
          <w:rFonts w:hint="eastAsia" w:ascii="宋体" w:eastAsia="宋体" w:cs="宋体"/>
          <w:color w:val="auto"/>
          <w:highlight w:val="none"/>
        </w:rPr>
        <w:t>招标文件要求递交的</w:t>
      </w:r>
      <w:r>
        <w:rPr>
          <w:rFonts w:hint="eastAsia" w:ascii="宋体" w:eastAsia="宋体" w:cs="宋体"/>
          <w:strike/>
          <w:dstrike w:val="0"/>
          <w:color w:val="auto"/>
          <w:highlight w:val="none"/>
        </w:rPr>
        <w:t>光盘、</w:t>
      </w:r>
      <w:r>
        <w:rPr>
          <w:rFonts w:hint="eastAsia" w:ascii="宋体" w:eastAsia="宋体" w:cs="宋体"/>
          <w:color w:val="auto"/>
          <w:highlight w:val="none"/>
        </w:rPr>
        <w:t>样品等材料，投标人应在投标截止时间前递交至</w:t>
      </w:r>
      <w:r>
        <w:rPr>
          <w:rFonts w:hint="eastAsia" w:ascii="宋体" w:eastAsia="宋体" w:cs="宋体"/>
          <w:color w:val="auto"/>
          <w:highlight w:val="none"/>
          <w:u w:val="single"/>
        </w:rPr>
        <w:t>绍兴市公共资源交易中心二楼指定的开标室（绍兴市越城区洋江西路 699 号梅山春晓 2 楼）</w:t>
      </w:r>
      <w:r>
        <w:rPr>
          <w:rFonts w:hint="eastAsia" w:ascii="宋体" w:eastAsia="宋体" w:cs="宋体"/>
          <w:color w:val="auto"/>
          <w:highlight w:val="none"/>
        </w:rPr>
        <w:t>。递交</w:t>
      </w:r>
      <w:r>
        <w:rPr>
          <w:rFonts w:hint="eastAsia" w:ascii="宋体" w:eastAsia="宋体" w:cs="宋体"/>
          <w:strike/>
          <w:dstrike w:val="0"/>
          <w:color w:val="auto"/>
          <w:highlight w:val="none"/>
        </w:rPr>
        <w:t>光盘、</w:t>
      </w:r>
      <w:r>
        <w:rPr>
          <w:rFonts w:hint="eastAsia" w:ascii="宋体" w:eastAsia="宋体" w:cs="宋体"/>
          <w:color w:val="auto"/>
          <w:highlight w:val="none"/>
        </w:rPr>
        <w:t>样品等材料时应同时携带递交人</w:t>
      </w:r>
      <w:r>
        <w:rPr>
          <w:rFonts w:ascii="宋体" w:eastAsia="宋体" w:cs="宋体"/>
          <w:color w:val="auto"/>
          <w:highlight w:val="none"/>
        </w:rPr>
        <w:t>法定代表人</w:t>
      </w:r>
      <w:r>
        <w:rPr>
          <w:rFonts w:hint="eastAsia" w:ascii="宋体" w:eastAsia="宋体" w:cs="宋体"/>
          <w:color w:val="auto"/>
          <w:highlight w:val="none"/>
        </w:rPr>
        <w:t>授权委托书及身份证原件</w:t>
      </w:r>
      <w:r>
        <w:rPr>
          <w:rFonts w:hint="eastAsia" w:ascii="宋体" w:eastAsia="宋体" w:cs="宋体"/>
          <w:color w:val="auto"/>
          <w:highlight w:val="none"/>
          <w:lang w:eastAsia="zh-CN"/>
        </w:rPr>
        <w:t>（</w:t>
      </w:r>
      <w:r>
        <w:rPr>
          <w:rFonts w:hint="eastAsia" w:ascii="宋体" w:eastAsia="宋体" w:cs="宋体"/>
          <w:color w:val="auto"/>
          <w:highlight w:val="none"/>
        </w:rPr>
        <w:t>法定代表人递交的仅需提供身份证原件</w:t>
      </w:r>
      <w:r>
        <w:rPr>
          <w:rFonts w:hint="eastAsia" w:ascii="宋体" w:eastAsia="宋体" w:cs="宋体"/>
          <w:color w:val="auto"/>
          <w:highlight w:val="none"/>
          <w:lang w:eastAsia="zh-CN"/>
        </w:rPr>
        <w:t>）</w:t>
      </w:r>
      <w:r>
        <w:rPr>
          <w:rFonts w:hint="eastAsia" w:ascii="宋体" w:eastAsia="宋体" w:cs="宋体"/>
          <w:color w:val="auto"/>
          <w:highlight w:val="none"/>
        </w:rPr>
        <w:t>。</w:t>
      </w:r>
    </w:p>
    <w:p w14:paraId="433041EB">
      <w:pPr>
        <w:spacing w:line="440" w:lineRule="exact"/>
        <w:ind w:firstLine="420" w:firstLineChars="200"/>
        <w:jc w:val="both"/>
        <w:outlineLvl w:val="1"/>
        <w:rPr>
          <w:rFonts w:hint="eastAsia" w:ascii="宋体" w:eastAsia="宋体" w:cs="宋体"/>
          <w:color w:val="auto"/>
          <w:highlight w:val="none"/>
        </w:rPr>
      </w:pPr>
      <w:bookmarkStart w:id="59" w:name="_Toc12703"/>
      <w:bookmarkStart w:id="60" w:name="_Toc19917"/>
      <w:bookmarkStart w:id="61" w:name="_Toc10115"/>
      <w:bookmarkStart w:id="62" w:name="_Toc7992"/>
      <w:bookmarkStart w:id="63" w:name="_Toc7495"/>
      <w:r>
        <w:rPr>
          <w:rFonts w:hint="eastAsia" w:ascii="宋体" w:eastAsia="宋体" w:cs="宋体"/>
          <w:color w:val="auto"/>
          <w:highlight w:val="none"/>
        </w:rPr>
        <w:t>六、发布公告的媒介</w:t>
      </w:r>
      <w:bookmarkEnd w:id="59"/>
      <w:bookmarkEnd w:id="60"/>
    </w:p>
    <w:p w14:paraId="39A3538C">
      <w:pPr>
        <w:spacing w:line="440" w:lineRule="exact"/>
        <w:ind w:firstLine="420" w:firstLineChars="200"/>
        <w:jc w:val="both"/>
        <w:rPr>
          <w:rFonts w:hint="eastAsia" w:ascii="宋体" w:eastAsia="宋体" w:cs="宋体"/>
          <w:color w:val="auto"/>
          <w:highlight w:val="none"/>
        </w:rPr>
      </w:pPr>
      <w:r>
        <w:rPr>
          <w:rFonts w:hint="eastAsia" w:ascii="宋体" w:eastAsia="宋体" w:cs="宋体"/>
          <w:color w:val="auto"/>
          <w:highlight w:val="none"/>
        </w:rPr>
        <w:t>本次招标公告同时在</w:t>
      </w:r>
      <w:r>
        <w:rPr>
          <w:rFonts w:hint="eastAsia" w:ascii="宋体" w:eastAsia="宋体" w:cs="宋体"/>
          <w:color w:val="auto"/>
          <w:highlight w:val="none"/>
          <w:u w:val="single"/>
        </w:rPr>
        <w:t xml:space="preserve"> / </w:t>
      </w:r>
      <w:r>
        <w:rPr>
          <w:rFonts w:hint="eastAsia" w:ascii="宋体" w:eastAsia="宋体" w:cs="宋体"/>
          <w:color w:val="auto"/>
          <w:highlight w:val="none"/>
        </w:rPr>
        <w:t>（发布公告的媒介名称）上发布。</w:t>
      </w:r>
    </w:p>
    <w:p w14:paraId="3DD80A0C">
      <w:pPr>
        <w:spacing w:line="440" w:lineRule="exact"/>
        <w:ind w:firstLine="420" w:firstLineChars="200"/>
        <w:jc w:val="both"/>
        <w:outlineLvl w:val="1"/>
        <w:rPr>
          <w:rFonts w:hint="eastAsia" w:ascii="宋体" w:eastAsia="宋体" w:cs="宋体"/>
          <w:color w:val="auto"/>
          <w:highlight w:val="none"/>
          <w:lang w:eastAsia="zh-CN"/>
        </w:rPr>
      </w:pPr>
      <w:bookmarkStart w:id="64" w:name="_Toc12136"/>
      <w:bookmarkStart w:id="65" w:name="_Toc19556"/>
      <w:bookmarkStart w:id="66" w:name="_Toc3238"/>
      <w:r>
        <w:rPr>
          <w:rFonts w:hint="eastAsia" w:ascii="宋体" w:eastAsia="宋体" w:cs="宋体"/>
          <w:color w:val="auto"/>
          <w:highlight w:val="none"/>
        </w:rPr>
        <w:t>七、监管机构：绍兴市住房和城乡建设局</w:t>
      </w:r>
      <w:r>
        <w:rPr>
          <w:rFonts w:hint="eastAsia" w:ascii="宋体" w:eastAsia="宋体" w:cs="宋体"/>
          <w:color w:val="auto"/>
          <w:highlight w:val="none"/>
          <w:lang w:eastAsia="zh-CN"/>
        </w:rPr>
        <w:t>。</w:t>
      </w:r>
      <w:bookmarkEnd w:id="64"/>
      <w:bookmarkEnd w:id="65"/>
      <w:bookmarkEnd w:id="66"/>
    </w:p>
    <w:p w14:paraId="5AA0B4EF">
      <w:pPr>
        <w:spacing w:line="440" w:lineRule="exact"/>
        <w:ind w:firstLine="420" w:firstLineChars="200"/>
        <w:jc w:val="both"/>
        <w:outlineLvl w:val="1"/>
        <w:rPr>
          <w:rFonts w:hint="eastAsia" w:ascii="宋体" w:eastAsia="宋体" w:cs="宋体"/>
          <w:color w:val="auto"/>
          <w:highlight w:val="none"/>
          <w:lang w:val="en-US" w:eastAsia="zh-CN"/>
        </w:rPr>
      </w:pPr>
      <w:bookmarkStart w:id="67" w:name="_Toc16616"/>
      <w:bookmarkStart w:id="68" w:name="_Toc15583"/>
      <w:r>
        <w:rPr>
          <w:rFonts w:hint="eastAsia" w:ascii="宋体" w:eastAsia="宋体" w:cs="宋体"/>
          <w:color w:val="auto"/>
          <w:highlight w:val="none"/>
        </w:rPr>
        <w:t>八、联系方式</w:t>
      </w:r>
      <w:bookmarkEnd w:id="61"/>
      <w:bookmarkEnd w:id="67"/>
      <w:bookmarkEnd w:id="68"/>
    </w:p>
    <w:p w14:paraId="555C9189">
      <w:pPr>
        <w:spacing w:line="334" w:lineRule="auto"/>
        <w:ind w:left="0" w:leftChars="0" w:firstLine="420" w:firstLineChars="200"/>
        <w:jc w:val="both"/>
        <w:rPr>
          <w:rFonts w:hint="eastAsia" w:ascii="宋体" w:eastAsia="宋体" w:cs="宋体"/>
          <w:color w:val="auto"/>
          <w:highlight w:val="none"/>
          <w:u w:val="single"/>
          <w:lang w:eastAsia="zh-CN"/>
        </w:rPr>
      </w:pPr>
      <w:r>
        <w:rPr>
          <w:rFonts w:hint="eastAsia" w:ascii="宋体" w:eastAsia="宋体" w:cs="宋体"/>
          <w:color w:val="auto"/>
          <w:highlight w:val="none"/>
        </w:rPr>
        <w:t>招标人：</w:t>
      </w:r>
      <w:r>
        <w:rPr>
          <w:rFonts w:hint="eastAsia" w:ascii="宋体" w:eastAsia="宋体" w:cs="宋体"/>
          <w:color w:val="auto"/>
          <w:highlight w:val="none"/>
          <w:u w:val="single"/>
          <w:lang w:eastAsia="zh-CN"/>
        </w:rPr>
        <w:t>绍兴市水务产业有限公司</w:t>
      </w:r>
      <w:r>
        <w:rPr>
          <w:rFonts w:hint="eastAsia" w:ascii="宋体" w:eastAsia="宋体" w:cs="宋体"/>
          <w:color w:val="auto"/>
          <w:highlight w:val="none"/>
        </w:rPr>
        <w:t xml:space="preserve"> </w:t>
      </w:r>
      <w:r>
        <w:rPr>
          <w:rFonts w:hint="eastAsia" w:ascii="宋体" w:eastAsia="宋体" w:cs="宋体"/>
          <w:color w:val="auto"/>
          <w:highlight w:val="none"/>
          <w:lang w:val="en-US" w:eastAsia="zh-CN"/>
        </w:rPr>
        <w:t xml:space="preserve">   </w:t>
      </w:r>
      <w:r>
        <w:rPr>
          <w:rFonts w:hint="eastAsia" w:ascii="宋体" w:eastAsia="宋体" w:cs="宋体"/>
          <w:color w:val="auto"/>
          <w:highlight w:val="none"/>
        </w:rPr>
        <w:t>招标代理机构：</w:t>
      </w:r>
      <w:r>
        <w:rPr>
          <w:rFonts w:hint="eastAsia" w:ascii="宋体" w:eastAsia="宋体" w:cs="宋体"/>
          <w:color w:val="auto"/>
          <w:highlight w:val="none"/>
          <w:u w:val="single"/>
          <w:lang w:eastAsia="zh-CN"/>
        </w:rPr>
        <w:t>中冠工程管理咨询有限公司</w:t>
      </w:r>
    </w:p>
    <w:p w14:paraId="3D7DCD72">
      <w:pPr>
        <w:spacing w:line="334" w:lineRule="auto"/>
        <w:ind w:left="0" w:firstLine="420"/>
        <w:jc w:val="both"/>
        <w:rPr>
          <w:rFonts w:hint="eastAsia" w:ascii="宋体" w:eastAsia="宋体" w:cs="宋体"/>
          <w:color w:val="auto"/>
          <w:highlight w:val="none"/>
          <w:lang w:eastAsia="zh-CN"/>
        </w:rPr>
      </w:pPr>
      <w:r>
        <w:rPr>
          <w:rFonts w:hint="eastAsia" w:ascii="宋体" w:eastAsia="宋体" w:cs="宋体"/>
          <w:color w:val="auto"/>
          <w:highlight w:val="none"/>
        </w:rPr>
        <w:t>联系人：</w:t>
      </w:r>
      <w:r>
        <w:rPr>
          <w:rFonts w:hint="eastAsia" w:ascii="宋体" w:eastAsia="宋体" w:cs="宋体"/>
          <w:color w:val="auto"/>
          <w:highlight w:val="none"/>
          <w:u w:val="single"/>
          <w:lang w:val="en-US" w:eastAsia="zh-CN"/>
        </w:rPr>
        <w:t>唐小刚</w:t>
      </w:r>
      <w:r>
        <w:rPr>
          <w:rFonts w:hint="eastAsia" w:ascii="宋体" w:eastAsia="宋体" w:cs="宋体"/>
          <w:color w:val="auto"/>
          <w:highlight w:val="none"/>
        </w:rPr>
        <w:t xml:space="preserve">              </w:t>
      </w:r>
      <w:r>
        <w:rPr>
          <w:rFonts w:hint="eastAsia" w:ascii="宋体" w:eastAsia="宋体" w:cs="宋体"/>
          <w:color w:val="auto"/>
          <w:highlight w:val="none"/>
          <w:lang w:val="en-US" w:eastAsia="zh-CN"/>
        </w:rPr>
        <w:t xml:space="preserve">  </w:t>
      </w:r>
      <w:r>
        <w:rPr>
          <w:rFonts w:hint="eastAsia" w:ascii="宋体" w:eastAsia="宋体" w:cs="宋体"/>
          <w:color w:val="auto"/>
          <w:highlight w:val="none"/>
        </w:rPr>
        <w:t xml:space="preserve">   </w:t>
      </w:r>
      <w:r>
        <w:rPr>
          <w:rFonts w:hint="eastAsia" w:ascii="宋体" w:eastAsia="宋体" w:cs="宋体"/>
          <w:color w:val="auto"/>
          <w:highlight w:val="none"/>
          <w:lang w:val="en-US" w:eastAsia="zh-CN"/>
        </w:rPr>
        <w:t xml:space="preserve"> </w:t>
      </w:r>
      <w:r>
        <w:rPr>
          <w:rFonts w:hint="eastAsia" w:ascii="宋体" w:eastAsia="宋体" w:cs="宋体"/>
          <w:color w:val="auto"/>
          <w:highlight w:val="none"/>
        </w:rPr>
        <w:t>联系人：</w:t>
      </w:r>
      <w:r>
        <w:rPr>
          <w:rFonts w:hint="eastAsia" w:ascii="宋体" w:eastAsia="宋体" w:cs="宋体"/>
          <w:color w:val="auto"/>
          <w:highlight w:val="none"/>
          <w:u w:val="single"/>
          <w:lang w:eastAsia="zh-CN"/>
        </w:rPr>
        <w:t>沈吉</w:t>
      </w:r>
    </w:p>
    <w:p w14:paraId="1622AB37">
      <w:pPr>
        <w:spacing w:line="334" w:lineRule="auto"/>
        <w:ind w:left="0" w:firstLine="420" w:firstLineChars="200"/>
        <w:jc w:val="both"/>
        <w:rPr>
          <w:rFonts w:hint="default" w:ascii="宋体" w:eastAsia="宋体" w:cs="宋体"/>
          <w:color w:val="auto"/>
          <w:highlight w:val="none"/>
          <w:lang w:val="en-US" w:eastAsia="zh-CN"/>
        </w:rPr>
      </w:pPr>
      <w:r>
        <w:rPr>
          <w:rFonts w:hint="eastAsia" w:ascii="宋体" w:eastAsia="宋体" w:cs="宋体"/>
          <w:color w:val="auto"/>
          <w:highlight w:val="none"/>
        </w:rPr>
        <w:t>联系电话：</w:t>
      </w:r>
      <w:r>
        <w:rPr>
          <w:rFonts w:hint="eastAsia" w:ascii="宋体" w:eastAsia="宋体" w:cs="宋体"/>
          <w:color w:val="auto"/>
          <w:highlight w:val="none"/>
          <w:u w:val="single"/>
          <w:lang w:eastAsia="zh-CN"/>
        </w:rPr>
        <w:t>13675768156</w:t>
      </w:r>
      <w:r>
        <w:rPr>
          <w:rFonts w:hint="eastAsia" w:ascii="宋体" w:eastAsia="宋体" w:cs="宋体"/>
          <w:color w:val="auto"/>
          <w:highlight w:val="none"/>
        </w:rPr>
        <w:t xml:space="preserve">           </w:t>
      </w:r>
      <w:r>
        <w:rPr>
          <w:rFonts w:hint="eastAsia" w:ascii="宋体" w:eastAsia="宋体" w:cs="宋体"/>
          <w:color w:val="auto"/>
          <w:highlight w:val="none"/>
          <w:lang w:val="en-US" w:eastAsia="zh-CN"/>
        </w:rPr>
        <w:t xml:space="preserve">  </w:t>
      </w:r>
      <w:r>
        <w:rPr>
          <w:rFonts w:hint="eastAsia" w:ascii="宋体" w:eastAsia="宋体" w:cs="宋体"/>
          <w:color w:val="auto"/>
          <w:highlight w:val="none"/>
        </w:rPr>
        <w:t>联系电话：</w:t>
      </w:r>
      <w:r>
        <w:rPr>
          <w:rFonts w:hint="eastAsia" w:ascii="宋体" w:eastAsia="宋体" w:cs="宋体"/>
          <w:color w:val="auto"/>
          <w:highlight w:val="none"/>
          <w:u w:val="single"/>
          <w:lang w:val="en-US" w:eastAsia="zh-CN"/>
        </w:rPr>
        <w:t>18767598034</w:t>
      </w:r>
    </w:p>
    <w:p w14:paraId="1DB5176D">
      <w:pPr>
        <w:spacing w:line="334" w:lineRule="auto"/>
        <w:ind w:firstLine="420" w:firstLineChars="200"/>
        <w:jc w:val="both"/>
        <w:rPr>
          <w:rFonts w:hint="default" w:ascii="宋体" w:eastAsia="宋体" w:cs="宋体"/>
          <w:color w:val="auto"/>
          <w:highlight w:val="none"/>
          <w:lang w:val="en-US" w:eastAsia="zh-CN"/>
        </w:rPr>
      </w:pPr>
      <w:r>
        <w:rPr>
          <w:rFonts w:hint="eastAsia" w:ascii="宋体" w:eastAsia="宋体" w:cs="宋体"/>
          <w:color w:val="auto"/>
          <w:highlight w:val="none"/>
        </w:rPr>
        <w:t>地址：</w:t>
      </w:r>
      <w:r>
        <w:rPr>
          <w:rFonts w:hint="eastAsia" w:ascii="宋体" w:eastAsia="宋体" w:cs="宋体"/>
          <w:color w:val="auto"/>
          <w:highlight w:val="none"/>
          <w:u w:val="single"/>
        </w:rPr>
        <w:t>绍兴市越城区解放大道3</w:t>
      </w:r>
      <w:r>
        <w:rPr>
          <w:rFonts w:hint="eastAsia" w:ascii="宋体" w:eastAsia="宋体" w:cs="宋体"/>
          <w:color w:val="auto"/>
          <w:highlight w:val="none"/>
          <w:u w:val="single"/>
          <w:lang w:val="en-US" w:eastAsia="zh-CN"/>
        </w:rPr>
        <w:t>08</w:t>
      </w:r>
      <w:r>
        <w:rPr>
          <w:rFonts w:hint="eastAsia" w:ascii="宋体" w:eastAsia="宋体" w:cs="宋体"/>
          <w:color w:val="auto"/>
          <w:highlight w:val="none"/>
          <w:u w:val="single"/>
        </w:rPr>
        <w:t>号</w:t>
      </w:r>
      <w:r>
        <w:rPr>
          <w:rFonts w:hint="eastAsia" w:ascii="宋体" w:eastAsia="宋体" w:cs="宋体"/>
          <w:color w:val="auto"/>
          <w:highlight w:val="none"/>
        </w:rPr>
        <w:t xml:space="preserve">   地址：</w:t>
      </w:r>
      <w:r>
        <w:rPr>
          <w:rFonts w:hint="eastAsia" w:ascii="宋体" w:eastAsia="宋体" w:cs="宋体"/>
          <w:color w:val="auto"/>
          <w:highlight w:val="none"/>
          <w:u w:val="single"/>
          <w:lang w:eastAsia="zh-CN"/>
        </w:rPr>
        <w:t>绍兴市越城区玛格丽特西区一幢</w:t>
      </w:r>
      <w:r>
        <w:rPr>
          <w:rFonts w:hint="eastAsia" w:ascii="宋体" w:eastAsia="宋体" w:cs="宋体"/>
          <w:color w:val="auto"/>
          <w:highlight w:val="none"/>
          <w:u w:val="single"/>
          <w:lang w:val="en-US" w:eastAsia="zh-CN"/>
        </w:rPr>
        <w:t>3楼</w:t>
      </w:r>
    </w:p>
    <w:p w14:paraId="03A90CF2">
      <w:pPr>
        <w:tabs>
          <w:tab w:val="left" w:pos="6089"/>
        </w:tabs>
        <w:spacing w:line="334" w:lineRule="auto"/>
        <w:ind w:left="5597"/>
        <w:jc w:val="both"/>
        <w:rPr>
          <w:rFonts w:hint="eastAsia" w:ascii="宋体" w:eastAsia="宋体" w:cs="宋体"/>
          <w:color w:val="auto"/>
          <w:highlight w:val="none"/>
          <w:u w:val="single"/>
          <w:lang w:val="en-US" w:eastAsia="zh-CN"/>
        </w:rPr>
      </w:pPr>
    </w:p>
    <w:p w14:paraId="3A070ECB">
      <w:pPr>
        <w:tabs>
          <w:tab w:val="left" w:pos="6089"/>
        </w:tabs>
        <w:spacing w:line="334" w:lineRule="auto"/>
        <w:ind w:left="5597"/>
        <w:jc w:val="both"/>
        <w:rPr>
          <w:rFonts w:hint="eastAsia" w:ascii="宋体" w:eastAsia="宋体" w:cs="宋体"/>
          <w:color w:val="auto"/>
          <w:highlight w:val="none"/>
          <w:u w:val="single"/>
          <w:lang w:val="en-US" w:eastAsia="zh-CN"/>
        </w:rPr>
      </w:pPr>
    </w:p>
    <w:p w14:paraId="043D6402">
      <w:pPr>
        <w:tabs>
          <w:tab w:val="left" w:pos="6089"/>
        </w:tabs>
        <w:spacing w:line="334" w:lineRule="auto"/>
        <w:ind w:left="5597"/>
        <w:jc w:val="both"/>
        <w:rPr>
          <w:rFonts w:hint="eastAsia" w:ascii="宋体" w:eastAsia="宋体" w:cs="宋体"/>
          <w:color w:val="auto"/>
          <w:highlight w:val="none"/>
        </w:rPr>
      </w:pPr>
      <w:r>
        <w:rPr>
          <w:rFonts w:hint="eastAsia" w:ascii="宋体" w:eastAsia="宋体" w:cs="宋体"/>
          <w:color w:val="auto"/>
          <w:highlight w:val="none"/>
          <w:u w:val="single"/>
          <w:lang w:val="en-US" w:eastAsia="zh-CN"/>
        </w:rPr>
        <w:t xml:space="preserve"> 2026 </w:t>
      </w:r>
      <w:r>
        <w:rPr>
          <w:rFonts w:hint="eastAsia" w:ascii="宋体" w:eastAsia="宋体" w:cs="宋体"/>
          <w:color w:val="auto"/>
          <w:highlight w:val="none"/>
        </w:rPr>
        <w:t>年</w:t>
      </w:r>
      <w:r>
        <w:rPr>
          <w:rFonts w:hint="eastAsia" w:ascii="宋体" w:eastAsia="宋体" w:cs="宋体"/>
          <w:color w:val="auto"/>
          <w:highlight w:val="none"/>
          <w:u w:val="single"/>
        </w:rPr>
        <w:t xml:space="preserve">  </w:t>
      </w:r>
      <w:r>
        <w:rPr>
          <w:rFonts w:hint="eastAsia" w:ascii="宋体" w:eastAsia="宋体" w:cs="宋体"/>
          <w:color w:val="auto"/>
          <w:highlight w:val="none"/>
        </w:rPr>
        <w:t>月</w:t>
      </w:r>
      <w:r>
        <w:rPr>
          <w:rFonts w:hint="eastAsia" w:ascii="宋体" w:eastAsia="宋体" w:cs="宋体"/>
          <w:color w:val="auto"/>
          <w:highlight w:val="none"/>
          <w:u w:val="single"/>
        </w:rPr>
        <w:t xml:space="preserve">  </w:t>
      </w:r>
      <w:r>
        <w:rPr>
          <w:rFonts w:hint="eastAsia" w:ascii="宋体" w:eastAsia="宋体" w:cs="宋体"/>
          <w:color w:val="auto"/>
          <w:highlight w:val="none"/>
        </w:rPr>
        <w:t>日</w:t>
      </w:r>
    </w:p>
    <w:p w14:paraId="30335436">
      <w:pPr>
        <w:jc w:val="both"/>
        <w:rPr>
          <w:color w:val="auto"/>
          <w:highlight w:val="none"/>
        </w:rPr>
        <w:sectPr>
          <w:footerReference r:id="rId6" w:type="default"/>
          <w:pgSz w:w="11906" w:h="16839"/>
          <w:pgMar w:top="1417" w:right="1417" w:bottom="1417" w:left="1417" w:header="850" w:footer="992" w:gutter="0"/>
          <w:pgBorders>
            <w:top w:val="none" w:sz="0" w:space="0"/>
            <w:left w:val="none" w:sz="0" w:space="0"/>
            <w:bottom w:val="none" w:sz="0" w:space="0"/>
            <w:right w:val="none" w:sz="0" w:space="0"/>
          </w:pgBorders>
          <w:cols w:space="720" w:num="1"/>
          <w:docGrid w:linePitch="312" w:charSpace="0"/>
        </w:sectPr>
      </w:pPr>
    </w:p>
    <w:bookmarkEnd w:id="62"/>
    <w:bookmarkEnd w:id="63"/>
    <w:p w14:paraId="3D9FDE5F">
      <w:pPr>
        <w:spacing w:before="0" w:line="440" w:lineRule="exact"/>
        <w:ind w:left="0"/>
        <w:jc w:val="center"/>
        <w:outlineLvl w:val="0"/>
        <w:rPr>
          <w:rFonts w:ascii="宋体" w:eastAsia="宋体" w:cs="宋体"/>
          <w:color w:val="auto"/>
          <w:sz w:val="36"/>
          <w:szCs w:val="36"/>
          <w:highlight w:val="none"/>
        </w:rPr>
      </w:pPr>
      <w:bookmarkStart w:id="69" w:name="_bookmark2"/>
      <w:bookmarkEnd w:id="69"/>
      <w:bookmarkStart w:id="70" w:name="_Toc3278"/>
      <w:bookmarkStart w:id="71" w:name="_Toc3543"/>
      <w:r>
        <w:rPr>
          <w:rFonts w:ascii="宋体" w:eastAsia="宋体" w:cs="宋体"/>
          <w:color w:val="auto"/>
          <w:sz w:val="36"/>
          <w:szCs w:val="36"/>
          <w:highlight w:val="none"/>
        </w:rPr>
        <w:t>第二章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投标人须知</w:t>
      </w:r>
      <w:bookmarkEnd w:id="70"/>
      <w:bookmarkEnd w:id="71"/>
    </w:p>
    <w:p w14:paraId="0D293526">
      <w:pPr>
        <w:spacing w:before="0" w:line="440" w:lineRule="exact"/>
        <w:ind w:left="0"/>
        <w:jc w:val="center"/>
        <w:outlineLvl w:val="1"/>
        <w:rPr>
          <w:rFonts w:ascii="宋体" w:eastAsia="宋体" w:cs="宋体"/>
          <w:color w:val="auto"/>
          <w:sz w:val="28"/>
          <w:szCs w:val="28"/>
          <w:highlight w:val="none"/>
        </w:rPr>
      </w:pPr>
      <w:bookmarkStart w:id="72" w:name="_bookmark3"/>
      <w:bookmarkEnd w:id="72"/>
      <w:bookmarkStart w:id="73" w:name="_Toc15944"/>
      <w:bookmarkStart w:id="74" w:name="_Toc1287"/>
      <w:r>
        <w:rPr>
          <w:rFonts w:ascii="宋体" w:eastAsia="宋体" w:cs="宋体"/>
          <w:color w:val="auto"/>
          <w:sz w:val="28"/>
          <w:szCs w:val="28"/>
          <w:highlight w:val="none"/>
        </w:rPr>
        <w:t>第一节</w:t>
      </w:r>
      <w:r>
        <w:rPr>
          <w:rFonts w:hint="eastAsia" w:ascii="宋体" w:eastAsia="宋体" w:cs="宋体"/>
          <w:color w:val="auto"/>
          <w:sz w:val="28"/>
          <w:szCs w:val="28"/>
          <w:highlight w:val="none"/>
        </w:rPr>
        <w:t xml:space="preserve"> </w:t>
      </w:r>
      <w:r>
        <w:rPr>
          <w:rFonts w:ascii="宋体" w:eastAsia="宋体" w:cs="宋体"/>
          <w:color w:val="auto"/>
          <w:sz w:val="28"/>
          <w:szCs w:val="28"/>
          <w:highlight w:val="none"/>
        </w:rPr>
        <w:t>投标人须知前附表</w:t>
      </w:r>
      <w:bookmarkEnd w:id="73"/>
      <w:bookmarkEnd w:id="74"/>
    </w:p>
    <w:p w14:paraId="136BFF93">
      <w:pPr>
        <w:spacing w:line="170" w:lineRule="exact"/>
        <w:jc w:val="both"/>
        <w:rPr>
          <w:color w:val="auto"/>
          <w:highlight w:val="none"/>
        </w:rPr>
      </w:pPr>
    </w:p>
    <w:tbl>
      <w:tblPr>
        <w:tblStyle w:val="31"/>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2"/>
        <w:gridCol w:w="2305"/>
        <w:gridCol w:w="5920"/>
      </w:tblGrid>
      <w:tr w14:paraId="10F41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3EA7B505">
            <w:pPr>
              <w:spacing w:line="312" w:lineRule="auto"/>
              <w:ind w:left="105" w:leftChars="50" w:right="105" w:rightChars="50"/>
              <w:jc w:val="center"/>
              <w:rPr>
                <w:rFonts w:ascii="宋体" w:eastAsia="宋体" w:cs="宋体"/>
                <w:color w:val="auto"/>
                <w:highlight w:val="none"/>
              </w:rPr>
            </w:pPr>
            <w:r>
              <w:rPr>
                <w:rFonts w:ascii="宋体" w:eastAsia="宋体" w:cs="宋体"/>
                <w:color w:val="auto"/>
                <w:highlight w:val="none"/>
              </w:rPr>
              <w:t>条款号</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445CFB8D">
            <w:pPr>
              <w:tabs>
                <w:tab w:val="left" w:pos="1480"/>
              </w:tabs>
              <w:spacing w:line="312" w:lineRule="auto"/>
              <w:ind w:left="105" w:leftChars="50" w:right="105" w:rightChars="50"/>
              <w:jc w:val="center"/>
              <w:rPr>
                <w:rFonts w:ascii="宋体" w:eastAsia="宋体" w:cs="宋体"/>
                <w:color w:val="auto"/>
                <w:highlight w:val="none"/>
              </w:rPr>
            </w:pPr>
            <w:r>
              <w:rPr>
                <w:rFonts w:ascii="宋体" w:eastAsia="宋体" w:cs="宋体"/>
                <w:color w:val="auto"/>
                <w:highlight w:val="none"/>
              </w:rPr>
              <w:t>条款名称</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E5141B0">
            <w:pPr>
              <w:tabs>
                <w:tab w:val="left" w:pos="5680"/>
              </w:tabs>
              <w:spacing w:line="312" w:lineRule="auto"/>
              <w:ind w:left="105" w:leftChars="50" w:right="105" w:rightChars="50"/>
              <w:jc w:val="center"/>
              <w:rPr>
                <w:rFonts w:ascii="宋体" w:eastAsia="宋体" w:cs="宋体"/>
                <w:color w:val="auto"/>
                <w:highlight w:val="none"/>
              </w:rPr>
            </w:pPr>
            <w:r>
              <w:rPr>
                <w:rFonts w:ascii="宋体" w:eastAsia="宋体" w:cs="宋体"/>
                <w:color w:val="auto"/>
                <w:highlight w:val="none"/>
              </w:rPr>
              <w:t>编列内容</w:t>
            </w:r>
          </w:p>
        </w:tc>
      </w:tr>
      <w:tr w14:paraId="342EC9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3C41BB3B">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1.1.2</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7FF60934">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招标人</w:t>
            </w:r>
          </w:p>
        </w:tc>
        <w:tc>
          <w:tcPr>
            <w:tcW w:w="5920" w:type="dxa"/>
            <w:tcBorders>
              <w:top w:val="single" w:color="000000" w:sz="2" w:space="0"/>
              <w:left w:val="single" w:color="000000" w:sz="2" w:space="0"/>
              <w:bottom w:val="single" w:color="000000" w:sz="2" w:space="0"/>
              <w:right w:val="single" w:color="000000" w:sz="2" w:space="0"/>
            </w:tcBorders>
            <w:noWrap/>
          </w:tcPr>
          <w:p w14:paraId="3E00ED03">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hint="eastAsia" w:ascii="宋体" w:eastAsia="宋体" w:cs="宋体"/>
                <w:color w:val="auto"/>
                <w:highlight w:val="none"/>
              </w:rPr>
              <w:t>名称：</w:t>
            </w:r>
            <w:r>
              <w:rPr>
                <w:rFonts w:hint="eastAsia" w:ascii="宋体" w:eastAsia="宋体" w:cs="宋体"/>
                <w:color w:val="auto"/>
                <w:highlight w:val="none"/>
                <w:u w:val="single"/>
                <w:lang w:eastAsia="zh-CN"/>
              </w:rPr>
              <w:t>绍兴市水务产业有限公司</w:t>
            </w:r>
          </w:p>
          <w:p w14:paraId="3B05C4CC">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hint="eastAsia" w:ascii="宋体" w:eastAsia="宋体" w:cs="宋体"/>
                <w:color w:val="auto"/>
                <w:highlight w:val="none"/>
              </w:rPr>
              <w:t>地址：</w:t>
            </w:r>
            <w:r>
              <w:rPr>
                <w:rFonts w:hint="eastAsia" w:ascii="宋体" w:eastAsia="宋体" w:cs="宋体"/>
                <w:color w:val="auto"/>
                <w:highlight w:val="none"/>
                <w:u w:val="single"/>
                <w:lang w:eastAsia="zh-CN"/>
              </w:rPr>
              <w:t>绍兴市越城区解放大道308号</w:t>
            </w:r>
          </w:p>
          <w:p w14:paraId="12A61DEA">
            <w:pPr>
              <w:tabs>
                <w:tab w:val="left" w:pos="5680"/>
              </w:tabs>
              <w:spacing w:line="312" w:lineRule="auto"/>
              <w:ind w:left="105" w:leftChars="50" w:right="105" w:rightChars="50"/>
              <w:jc w:val="both"/>
              <w:rPr>
                <w:rFonts w:ascii="宋体" w:eastAsia="宋体" w:cs="宋体"/>
                <w:color w:val="auto"/>
                <w:highlight w:val="none"/>
                <w:lang w:val="en-US" w:eastAsia="zh-CN"/>
              </w:rPr>
            </w:pPr>
            <w:r>
              <w:rPr>
                <w:rFonts w:hint="eastAsia" w:ascii="宋体" w:eastAsia="宋体" w:cs="宋体"/>
                <w:color w:val="auto"/>
                <w:highlight w:val="none"/>
              </w:rPr>
              <w:t>联系人：</w:t>
            </w:r>
            <w:r>
              <w:rPr>
                <w:rFonts w:hint="eastAsia" w:ascii="宋体" w:eastAsia="宋体" w:cs="宋体"/>
                <w:color w:val="auto"/>
                <w:highlight w:val="none"/>
                <w:u w:val="single"/>
                <w:lang w:val="en-US" w:eastAsia="zh-CN"/>
              </w:rPr>
              <w:t>唐小刚</w:t>
            </w:r>
          </w:p>
          <w:p w14:paraId="32A11589">
            <w:pPr>
              <w:tabs>
                <w:tab w:val="left" w:pos="5680"/>
              </w:tabs>
              <w:spacing w:line="312" w:lineRule="auto"/>
              <w:ind w:left="105" w:leftChars="50" w:right="105" w:rightChars="50"/>
              <w:jc w:val="both"/>
              <w:rPr>
                <w:rFonts w:hint="eastAsia" w:ascii="宋体" w:eastAsia="宋体" w:cs="宋体"/>
                <w:color w:val="auto"/>
                <w:highlight w:val="none"/>
                <w:lang w:val="en-US" w:eastAsia="zh-CN"/>
              </w:rPr>
            </w:pPr>
            <w:r>
              <w:rPr>
                <w:rFonts w:hint="eastAsia" w:ascii="宋体" w:eastAsia="宋体" w:cs="宋体"/>
                <w:color w:val="auto"/>
                <w:highlight w:val="none"/>
              </w:rPr>
              <w:t>联系电话：</w:t>
            </w:r>
            <w:r>
              <w:rPr>
                <w:rFonts w:hint="eastAsia" w:ascii="宋体" w:eastAsia="宋体" w:cs="宋体"/>
                <w:color w:val="auto"/>
                <w:highlight w:val="none"/>
                <w:u w:val="single"/>
                <w:lang w:eastAsia="zh-CN"/>
              </w:rPr>
              <w:t>13675768156</w:t>
            </w:r>
          </w:p>
          <w:p w14:paraId="77DBD084">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电子邮箱：</w:t>
            </w:r>
            <w:r>
              <w:rPr>
                <w:rFonts w:hint="eastAsia" w:ascii="宋体" w:eastAsia="宋体" w:cs="宋体"/>
                <w:color w:val="auto"/>
                <w:highlight w:val="none"/>
                <w:u w:val="single"/>
              </w:rPr>
              <w:t>/</w:t>
            </w:r>
          </w:p>
        </w:tc>
      </w:tr>
      <w:tr w14:paraId="22E60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772AF2A3">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1.1.3</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4E2B7347">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招标代理机构</w:t>
            </w:r>
          </w:p>
        </w:tc>
        <w:tc>
          <w:tcPr>
            <w:tcW w:w="5920" w:type="dxa"/>
            <w:tcBorders>
              <w:top w:val="single" w:color="000000" w:sz="2" w:space="0"/>
              <w:left w:val="single" w:color="000000" w:sz="2" w:space="0"/>
              <w:bottom w:val="single" w:color="000000" w:sz="2" w:space="0"/>
              <w:right w:val="single" w:color="000000" w:sz="2" w:space="0"/>
            </w:tcBorders>
            <w:noWrap/>
          </w:tcPr>
          <w:p w14:paraId="78C861BE">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hint="eastAsia" w:ascii="宋体" w:eastAsia="宋体" w:cs="宋体"/>
                <w:color w:val="auto"/>
                <w:highlight w:val="none"/>
              </w:rPr>
              <w:t>名称：</w:t>
            </w:r>
            <w:r>
              <w:rPr>
                <w:rFonts w:hint="eastAsia" w:ascii="宋体" w:eastAsia="宋体" w:cs="宋体"/>
                <w:color w:val="auto"/>
                <w:highlight w:val="none"/>
                <w:u w:val="single"/>
                <w:lang w:eastAsia="zh-CN"/>
              </w:rPr>
              <w:t>中冠工程管理咨询有限公司</w:t>
            </w:r>
          </w:p>
          <w:p w14:paraId="4138EDEA">
            <w:pPr>
              <w:tabs>
                <w:tab w:val="left" w:pos="5680"/>
              </w:tabs>
              <w:spacing w:line="312" w:lineRule="auto"/>
              <w:ind w:left="105" w:leftChars="50" w:right="105" w:rightChars="50"/>
              <w:jc w:val="both"/>
              <w:rPr>
                <w:rFonts w:hint="eastAsia" w:ascii="宋体" w:eastAsia="宋体" w:cs="宋体"/>
                <w:color w:val="auto"/>
                <w:highlight w:val="none"/>
                <w:u w:val="single"/>
                <w:lang w:eastAsia="zh-CN"/>
              </w:rPr>
            </w:pPr>
            <w:r>
              <w:rPr>
                <w:rFonts w:hint="eastAsia" w:ascii="宋体" w:eastAsia="宋体" w:cs="宋体"/>
                <w:color w:val="auto"/>
                <w:highlight w:val="none"/>
              </w:rPr>
              <w:t>地址：</w:t>
            </w:r>
            <w:r>
              <w:rPr>
                <w:rFonts w:hint="eastAsia" w:ascii="宋体" w:eastAsia="宋体" w:cs="宋体"/>
                <w:color w:val="auto"/>
                <w:highlight w:val="none"/>
                <w:u w:val="single"/>
                <w:lang w:eastAsia="zh-CN"/>
              </w:rPr>
              <w:t>绍兴市越城区玛格丽特西区一幢3楼</w:t>
            </w:r>
          </w:p>
          <w:p w14:paraId="3F0E742A">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hint="eastAsia" w:ascii="宋体" w:eastAsia="宋体" w:cs="宋体"/>
                <w:color w:val="auto"/>
                <w:highlight w:val="none"/>
              </w:rPr>
              <w:t>联系人：</w:t>
            </w:r>
            <w:r>
              <w:rPr>
                <w:rFonts w:hint="eastAsia" w:ascii="宋体" w:eastAsia="宋体" w:cs="宋体"/>
                <w:color w:val="auto"/>
                <w:highlight w:val="none"/>
                <w:u w:val="single"/>
                <w:lang w:eastAsia="zh-CN"/>
              </w:rPr>
              <w:t>沈吉</w:t>
            </w:r>
          </w:p>
          <w:p w14:paraId="6AEB842C">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hint="eastAsia" w:ascii="宋体" w:eastAsia="宋体" w:cs="宋体"/>
                <w:color w:val="auto"/>
                <w:highlight w:val="none"/>
              </w:rPr>
              <w:t>联系电话：</w:t>
            </w:r>
            <w:r>
              <w:rPr>
                <w:rFonts w:hint="eastAsia" w:ascii="宋体" w:eastAsia="宋体" w:cs="宋体"/>
                <w:color w:val="auto"/>
                <w:highlight w:val="none"/>
                <w:u w:val="single"/>
                <w:lang w:eastAsia="zh-CN"/>
              </w:rPr>
              <w:t>18767598034</w:t>
            </w:r>
          </w:p>
          <w:p w14:paraId="02F45DC1">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电子邮箱：</w:t>
            </w:r>
            <w:r>
              <w:rPr>
                <w:rFonts w:hint="eastAsia" w:ascii="宋体" w:eastAsia="宋体" w:cs="宋体"/>
                <w:color w:val="auto"/>
                <w:highlight w:val="none"/>
                <w:u w:val="single"/>
                <w:lang w:eastAsia="zh-CN"/>
              </w:rPr>
              <w:t>1418619632@qq.com</w:t>
            </w:r>
          </w:p>
        </w:tc>
      </w:tr>
      <w:tr w14:paraId="2DB99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268A46F0">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1.1.4</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26E36673">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项目名称</w:t>
            </w:r>
          </w:p>
        </w:tc>
        <w:tc>
          <w:tcPr>
            <w:tcW w:w="5920" w:type="dxa"/>
            <w:tcBorders>
              <w:top w:val="single" w:color="000000" w:sz="2" w:space="0"/>
              <w:left w:val="single" w:color="000000" w:sz="2" w:space="0"/>
              <w:bottom w:val="single" w:color="000000" w:sz="2" w:space="0"/>
              <w:right w:val="single" w:color="000000" w:sz="2" w:space="0"/>
            </w:tcBorders>
            <w:noWrap/>
          </w:tcPr>
          <w:p w14:paraId="255F7083">
            <w:pPr>
              <w:tabs>
                <w:tab w:val="left" w:pos="5680"/>
              </w:tabs>
              <w:spacing w:line="312" w:lineRule="auto"/>
              <w:ind w:left="105" w:leftChars="50" w:right="105" w:rightChars="50"/>
              <w:jc w:val="both"/>
              <w:rPr>
                <w:rFonts w:hint="eastAsia" w:eastAsia="宋体"/>
                <w:color w:val="auto"/>
                <w:highlight w:val="none"/>
                <w:lang w:eastAsia="zh-CN"/>
              </w:rPr>
            </w:pPr>
            <w:r>
              <w:rPr>
                <w:rFonts w:hint="eastAsia" w:ascii="宋体" w:eastAsia="宋体" w:cs="宋体"/>
                <w:color w:val="auto"/>
                <w:highlight w:val="none"/>
                <w:lang w:eastAsia="zh-CN"/>
              </w:rPr>
              <w:t>越城区流量仪表更新改造工程项目</w:t>
            </w:r>
          </w:p>
        </w:tc>
      </w:tr>
      <w:tr w14:paraId="03996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64E37CEF">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1.1.5</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274A9E52">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建设地点</w:t>
            </w:r>
          </w:p>
        </w:tc>
        <w:tc>
          <w:tcPr>
            <w:tcW w:w="5920" w:type="dxa"/>
            <w:tcBorders>
              <w:top w:val="single" w:color="000000" w:sz="2" w:space="0"/>
              <w:left w:val="single" w:color="000000" w:sz="2" w:space="0"/>
              <w:bottom w:val="single" w:color="000000" w:sz="2" w:space="0"/>
              <w:right w:val="single" w:color="000000" w:sz="2" w:space="0"/>
            </w:tcBorders>
            <w:noWrap/>
          </w:tcPr>
          <w:p w14:paraId="09416446">
            <w:pPr>
              <w:tabs>
                <w:tab w:val="left" w:pos="5680"/>
              </w:tabs>
              <w:spacing w:line="312" w:lineRule="auto"/>
              <w:ind w:left="105" w:leftChars="50" w:right="105" w:rightChars="50"/>
              <w:jc w:val="both"/>
              <w:rPr>
                <w:color w:val="auto"/>
                <w:highlight w:val="none"/>
              </w:rPr>
            </w:pPr>
            <w:bookmarkStart w:id="75" w:name="EB39f8f5f206e74149954f5aac55f5782e"/>
            <w:r>
              <w:rPr>
                <w:rFonts w:hint="eastAsia" w:ascii="宋体" w:eastAsia="宋体" w:cs="宋体"/>
                <w:color w:val="auto"/>
                <w:highlight w:val="none"/>
              </w:rPr>
              <w:t>浙江省绍兴市</w:t>
            </w:r>
            <w:bookmarkEnd w:id="75"/>
          </w:p>
        </w:tc>
      </w:tr>
      <w:tr w14:paraId="202A4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3AC4DD43">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1.2.1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018E6DFF">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资金来源及比例</w:t>
            </w:r>
          </w:p>
        </w:tc>
        <w:tc>
          <w:tcPr>
            <w:tcW w:w="5920" w:type="dxa"/>
            <w:tcBorders>
              <w:top w:val="single" w:color="000000" w:sz="2" w:space="0"/>
              <w:left w:val="single" w:color="000000" w:sz="2" w:space="0"/>
              <w:bottom w:val="single" w:color="000000" w:sz="2" w:space="0"/>
              <w:right w:val="single" w:color="000000" w:sz="2" w:space="0"/>
            </w:tcBorders>
            <w:noWrap/>
          </w:tcPr>
          <w:p w14:paraId="6A001D37">
            <w:pPr>
              <w:tabs>
                <w:tab w:val="left" w:pos="5680"/>
              </w:tabs>
              <w:spacing w:line="312" w:lineRule="auto"/>
              <w:ind w:left="105" w:leftChars="50" w:right="105" w:rightChars="50"/>
              <w:jc w:val="both"/>
              <w:rPr>
                <w:color w:val="auto"/>
                <w:highlight w:val="none"/>
              </w:rPr>
            </w:pPr>
            <w:r>
              <w:rPr>
                <w:rFonts w:hint="eastAsia" w:ascii="宋体" w:eastAsia="宋体" w:cs="宋体"/>
                <w:color w:val="auto"/>
                <w:highlight w:val="none"/>
              </w:rPr>
              <w:t>自筹资金 100%</w:t>
            </w:r>
          </w:p>
        </w:tc>
      </w:tr>
      <w:tr w14:paraId="7BCFE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63DFAE1F">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1.2.2</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3376C74E">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资金落实情况</w:t>
            </w:r>
          </w:p>
        </w:tc>
        <w:tc>
          <w:tcPr>
            <w:tcW w:w="5920" w:type="dxa"/>
            <w:tcBorders>
              <w:top w:val="single" w:color="000000" w:sz="2" w:space="0"/>
              <w:left w:val="single" w:color="000000" w:sz="2" w:space="0"/>
              <w:bottom w:val="single" w:color="000000" w:sz="2" w:space="0"/>
              <w:right w:val="single" w:color="000000" w:sz="2" w:space="0"/>
            </w:tcBorders>
            <w:noWrap/>
          </w:tcPr>
          <w:p w14:paraId="32C84CC3">
            <w:pPr>
              <w:tabs>
                <w:tab w:val="left" w:pos="5680"/>
              </w:tabs>
              <w:spacing w:line="312" w:lineRule="auto"/>
              <w:ind w:left="105" w:leftChars="50" w:right="105" w:rightChars="50"/>
              <w:jc w:val="both"/>
              <w:rPr>
                <w:color w:val="auto"/>
                <w:highlight w:val="none"/>
              </w:rPr>
            </w:pPr>
            <w:bookmarkStart w:id="76" w:name="EB618712187dab4ed8aaa38e4b18093bcd"/>
            <w:r>
              <w:rPr>
                <w:rFonts w:hint="eastAsia" w:ascii="宋体" w:eastAsia="宋体" w:cs="宋体"/>
                <w:color w:val="auto"/>
                <w:highlight w:val="none"/>
              </w:rPr>
              <w:t>已落实</w:t>
            </w:r>
            <w:bookmarkEnd w:id="76"/>
          </w:p>
        </w:tc>
      </w:tr>
      <w:tr w14:paraId="7F086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088748E9">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1.3.1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4E3AF82A">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招标范围</w:t>
            </w:r>
          </w:p>
        </w:tc>
        <w:tc>
          <w:tcPr>
            <w:tcW w:w="5920" w:type="dxa"/>
            <w:tcBorders>
              <w:top w:val="single" w:color="000000" w:sz="2" w:space="0"/>
              <w:left w:val="single" w:color="000000" w:sz="2" w:space="0"/>
              <w:bottom w:val="single" w:color="000000" w:sz="2" w:space="0"/>
              <w:right w:val="single" w:color="000000" w:sz="2" w:space="0"/>
            </w:tcBorders>
            <w:noWrap/>
          </w:tcPr>
          <w:p w14:paraId="7510BBB0">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见招标公告内容</w:t>
            </w:r>
          </w:p>
        </w:tc>
      </w:tr>
      <w:tr w14:paraId="7CCC5A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4ECFC5A0">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1.3.2</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4E14EC7B">
            <w:pPr>
              <w:tabs>
                <w:tab w:val="left" w:pos="14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val="en-US" w:eastAsia="zh-CN"/>
              </w:rPr>
              <w:t>工</w:t>
            </w:r>
            <w:r>
              <w:rPr>
                <w:rFonts w:ascii="宋体" w:eastAsia="宋体" w:cs="宋体"/>
                <w:color w:val="auto"/>
                <w:highlight w:val="none"/>
              </w:rPr>
              <w:t>期</w:t>
            </w:r>
          </w:p>
        </w:tc>
        <w:tc>
          <w:tcPr>
            <w:tcW w:w="5920" w:type="dxa"/>
            <w:tcBorders>
              <w:top w:val="single" w:color="000000" w:sz="2" w:space="0"/>
              <w:left w:val="single" w:color="000000" w:sz="2" w:space="0"/>
              <w:bottom w:val="single" w:color="000000" w:sz="2" w:space="0"/>
              <w:right w:val="single" w:color="000000" w:sz="2" w:space="0"/>
            </w:tcBorders>
            <w:noWrap/>
          </w:tcPr>
          <w:p w14:paraId="131EA3C2">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val="en-US" w:eastAsia="zh-CN"/>
              </w:rPr>
              <w:t>450</w:t>
            </w:r>
            <w:r>
              <w:rPr>
                <w:rFonts w:ascii="宋体" w:eastAsia="宋体" w:cs="宋体"/>
                <w:color w:val="auto"/>
                <w:highlight w:val="none"/>
              </w:rPr>
              <w:t>日历天。</w:t>
            </w:r>
          </w:p>
        </w:tc>
      </w:tr>
      <w:tr w14:paraId="272F31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237FAFE2">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1.3.3</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7A0CCAED">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质量保证期</w:t>
            </w:r>
          </w:p>
        </w:tc>
        <w:tc>
          <w:tcPr>
            <w:tcW w:w="5920" w:type="dxa"/>
            <w:tcBorders>
              <w:top w:val="single" w:color="000000" w:sz="2" w:space="0"/>
              <w:left w:val="single" w:color="000000" w:sz="2" w:space="0"/>
              <w:bottom w:val="single" w:color="000000" w:sz="2" w:space="0"/>
              <w:right w:val="single" w:color="000000" w:sz="2" w:space="0"/>
            </w:tcBorders>
            <w:noWrap/>
          </w:tcPr>
          <w:p w14:paraId="354FB4D2">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hint="eastAsia" w:ascii="宋体" w:eastAsia="宋体" w:cs="宋体"/>
                <w:color w:val="auto"/>
                <w:highlight w:val="none"/>
              </w:rPr>
              <w:t>DN（15-25）水平旋翼式液封湿式水表质量保证期统一为6年</w:t>
            </w:r>
            <w:r>
              <w:rPr>
                <w:rFonts w:hint="eastAsia" w:ascii="宋体" w:eastAsia="宋体" w:cs="宋体"/>
                <w:color w:val="auto"/>
                <w:highlight w:val="none"/>
                <w:lang w:eastAsia="zh-CN"/>
              </w:rPr>
              <w:t>；</w:t>
            </w:r>
            <w:r>
              <w:rPr>
                <w:rFonts w:hint="eastAsia" w:ascii="宋体" w:eastAsia="宋体" w:cs="宋体"/>
                <w:color w:val="auto"/>
                <w:highlight w:val="none"/>
              </w:rPr>
              <w:t>DN（40-50）水平旋翼式液封湿式水表</w:t>
            </w:r>
            <w:r>
              <w:rPr>
                <w:rFonts w:hint="eastAsia" w:ascii="宋体" w:eastAsia="宋体" w:cs="宋体"/>
                <w:color w:val="auto"/>
                <w:highlight w:val="none"/>
                <w:lang w:eastAsia="zh-CN"/>
              </w:rPr>
              <w:t>基础</w:t>
            </w:r>
            <w:r>
              <w:rPr>
                <w:rFonts w:hint="eastAsia" w:ascii="宋体" w:eastAsia="宋体" w:cs="宋体"/>
                <w:color w:val="auto"/>
                <w:highlight w:val="none"/>
              </w:rPr>
              <w:t>质量保证期统一为4年</w:t>
            </w:r>
            <w:r>
              <w:rPr>
                <w:rFonts w:hint="eastAsia" w:ascii="宋体" w:eastAsia="宋体" w:cs="宋体"/>
                <w:color w:val="auto"/>
                <w:highlight w:val="none"/>
                <w:lang w:eastAsia="zh-CN"/>
              </w:rPr>
              <w:t>；</w:t>
            </w:r>
            <w:r>
              <w:rPr>
                <w:rFonts w:hint="eastAsia" w:ascii="宋体" w:eastAsia="宋体" w:cs="宋体"/>
                <w:color w:val="auto"/>
                <w:highlight w:val="none"/>
              </w:rPr>
              <w:t>DN（40-50）螺翼式冷水水表</w:t>
            </w:r>
            <w:r>
              <w:rPr>
                <w:rFonts w:hint="eastAsia" w:ascii="宋体" w:eastAsia="宋体" w:cs="宋体"/>
                <w:color w:val="auto"/>
                <w:highlight w:val="none"/>
                <w:lang w:eastAsia="zh-CN"/>
              </w:rPr>
              <w:t>基础</w:t>
            </w:r>
            <w:r>
              <w:rPr>
                <w:rFonts w:hint="eastAsia" w:ascii="宋体" w:eastAsia="宋体" w:cs="宋体"/>
                <w:color w:val="auto"/>
                <w:highlight w:val="none"/>
              </w:rPr>
              <w:t>质量保证期统一为4年</w:t>
            </w:r>
            <w:r>
              <w:rPr>
                <w:rFonts w:hint="eastAsia" w:ascii="宋体" w:eastAsia="宋体" w:cs="宋体"/>
                <w:color w:val="auto"/>
                <w:highlight w:val="none"/>
                <w:lang w:eastAsia="zh-CN"/>
              </w:rPr>
              <w:t>；</w:t>
            </w:r>
          </w:p>
          <w:p w14:paraId="294B1E21">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hint="eastAsia" w:ascii="宋体" w:eastAsia="宋体" w:cs="宋体"/>
                <w:color w:val="auto"/>
                <w:highlight w:val="none"/>
              </w:rPr>
              <w:t>DN（80-200）螺翼式冷水水表</w:t>
            </w:r>
            <w:r>
              <w:rPr>
                <w:rFonts w:hint="eastAsia" w:ascii="宋体" w:eastAsia="宋体" w:cs="宋体"/>
                <w:color w:val="auto"/>
                <w:highlight w:val="none"/>
                <w:lang w:eastAsia="zh-CN"/>
              </w:rPr>
              <w:t>基础</w:t>
            </w:r>
            <w:r>
              <w:rPr>
                <w:rFonts w:hint="eastAsia" w:ascii="宋体" w:eastAsia="宋体" w:cs="宋体"/>
                <w:color w:val="auto"/>
                <w:highlight w:val="none"/>
              </w:rPr>
              <w:t>质量保证期统一为2年</w:t>
            </w:r>
            <w:r>
              <w:rPr>
                <w:rFonts w:hint="eastAsia" w:ascii="宋体" w:eastAsia="宋体" w:cs="宋体"/>
                <w:color w:val="auto"/>
                <w:highlight w:val="none"/>
                <w:lang w:eastAsia="zh-CN"/>
              </w:rPr>
              <w:t>；</w:t>
            </w:r>
          </w:p>
          <w:p w14:paraId="161E3422">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hint="eastAsia" w:ascii="宋体" w:eastAsia="宋体" w:cs="宋体"/>
                <w:color w:val="auto"/>
                <w:highlight w:val="none"/>
              </w:rPr>
              <w:t>DN15旋翼式无磁远传水表质量保证期统一为6年</w:t>
            </w:r>
            <w:r>
              <w:rPr>
                <w:rFonts w:hint="eastAsia" w:ascii="宋体" w:eastAsia="宋体" w:cs="宋体"/>
                <w:color w:val="auto"/>
                <w:highlight w:val="none"/>
                <w:lang w:eastAsia="zh-CN"/>
              </w:rPr>
              <w:t>；</w:t>
            </w:r>
          </w:p>
          <w:p w14:paraId="5B64B4B9">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hint="eastAsia" w:ascii="宋体" w:eastAsia="宋体" w:cs="宋体"/>
                <w:color w:val="auto"/>
                <w:highlight w:val="none"/>
              </w:rPr>
              <w:t>超声波水表质量保证期统一为6年</w:t>
            </w:r>
            <w:r>
              <w:rPr>
                <w:rFonts w:hint="eastAsia" w:ascii="宋体" w:eastAsia="宋体" w:cs="宋体"/>
                <w:color w:val="auto"/>
                <w:highlight w:val="none"/>
                <w:lang w:eastAsia="zh-CN"/>
              </w:rPr>
              <w:t>；</w:t>
            </w:r>
          </w:p>
          <w:p w14:paraId="66DCCE37">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hint="eastAsia" w:ascii="宋体" w:eastAsia="宋体" w:cs="宋体"/>
                <w:color w:val="auto"/>
                <w:highlight w:val="none"/>
              </w:rPr>
              <w:t>外夹式超声波流量计</w:t>
            </w:r>
            <w:r>
              <w:rPr>
                <w:rFonts w:hint="eastAsia" w:ascii="宋体" w:eastAsia="宋体" w:cs="宋体"/>
                <w:color w:val="auto"/>
                <w:highlight w:val="none"/>
                <w:lang w:eastAsia="zh-CN"/>
              </w:rPr>
              <w:t>基础</w:t>
            </w:r>
            <w:r>
              <w:rPr>
                <w:rFonts w:hint="eastAsia" w:ascii="宋体" w:eastAsia="宋体" w:cs="宋体"/>
                <w:color w:val="auto"/>
                <w:highlight w:val="none"/>
              </w:rPr>
              <w:t>质量保证期统一为2年</w:t>
            </w:r>
            <w:r>
              <w:rPr>
                <w:rFonts w:hint="eastAsia" w:ascii="宋体" w:eastAsia="宋体" w:cs="宋体"/>
                <w:color w:val="auto"/>
                <w:highlight w:val="none"/>
                <w:lang w:eastAsia="zh-CN"/>
              </w:rPr>
              <w:t>；</w:t>
            </w:r>
          </w:p>
          <w:p w14:paraId="0F3DAA3D">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hint="eastAsia" w:ascii="宋体" w:eastAsia="宋体" w:cs="宋体"/>
                <w:color w:val="auto"/>
                <w:highlight w:val="none"/>
              </w:rPr>
              <w:t>管道式电磁流量计</w:t>
            </w:r>
            <w:r>
              <w:rPr>
                <w:rFonts w:hint="eastAsia" w:ascii="宋体" w:eastAsia="宋体" w:cs="宋体"/>
                <w:color w:val="auto"/>
                <w:highlight w:val="none"/>
                <w:lang w:eastAsia="zh-CN"/>
              </w:rPr>
              <w:t>基础</w:t>
            </w:r>
            <w:r>
              <w:rPr>
                <w:rFonts w:hint="eastAsia" w:ascii="宋体" w:eastAsia="宋体" w:cs="宋体"/>
                <w:color w:val="auto"/>
                <w:highlight w:val="none"/>
              </w:rPr>
              <w:t>质量保证期统一为2年</w:t>
            </w:r>
            <w:r>
              <w:rPr>
                <w:rFonts w:hint="eastAsia" w:ascii="宋体" w:eastAsia="宋体" w:cs="宋体"/>
                <w:color w:val="auto"/>
                <w:highlight w:val="none"/>
                <w:lang w:eastAsia="zh-CN"/>
              </w:rPr>
              <w:t>；</w:t>
            </w:r>
          </w:p>
          <w:p w14:paraId="6F189F9B">
            <w:pPr>
              <w:tabs>
                <w:tab w:val="left" w:pos="5680"/>
              </w:tabs>
              <w:spacing w:line="312" w:lineRule="auto"/>
              <w:ind w:left="105" w:leftChars="50" w:right="105" w:rightChars="50" w:firstLine="420" w:firstLineChars="200"/>
              <w:jc w:val="both"/>
              <w:rPr>
                <w:rFonts w:ascii="宋体" w:eastAsia="宋体" w:cs="宋体"/>
                <w:color w:val="auto"/>
                <w:highlight w:val="none"/>
              </w:rPr>
            </w:pPr>
            <w:r>
              <w:rPr>
                <w:rFonts w:hint="eastAsia" w:ascii="宋体" w:eastAsia="宋体" w:cs="宋体"/>
                <w:color w:val="auto"/>
                <w:highlight w:val="none"/>
              </w:rPr>
              <w:t>以上水表具体以投标承诺质保期为准，</w:t>
            </w:r>
            <w:r>
              <w:rPr>
                <w:rFonts w:hint="eastAsia" w:ascii="宋体" w:eastAsia="宋体" w:cs="宋体"/>
                <w:color w:val="auto"/>
                <w:highlight w:val="none"/>
                <w:lang w:val="en-US" w:eastAsia="zh-CN"/>
              </w:rPr>
              <w:t>投标人</w:t>
            </w:r>
            <w:r>
              <w:rPr>
                <w:rFonts w:hint="eastAsia" w:ascii="宋体" w:eastAsia="宋体" w:cs="宋体"/>
                <w:color w:val="auto"/>
                <w:highlight w:val="none"/>
              </w:rPr>
              <w:t>承诺超过本要求的，以投标文件质量保证期为准。</w:t>
            </w:r>
          </w:p>
        </w:tc>
      </w:tr>
      <w:tr w14:paraId="6D092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313B7D3E">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1.4.1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6A169E3E">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投标人资格条件、要求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8CA62C1">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见招标公告内容</w:t>
            </w:r>
          </w:p>
        </w:tc>
      </w:tr>
      <w:tr w14:paraId="50D7B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62CFB537">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1.4.2</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7297F219">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是否接受联合体投标</w:t>
            </w:r>
          </w:p>
        </w:tc>
        <w:tc>
          <w:tcPr>
            <w:tcW w:w="5920" w:type="dxa"/>
            <w:tcBorders>
              <w:top w:val="single" w:color="000000" w:sz="2" w:space="0"/>
              <w:left w:val="single" w:color="000000" w:sz="2" w:space="0"/>
              <w:bottom w:val="single" w:color="000000" w:sz="2" w:space="0"/>
              <w:right w:val="single" w:color="000000" w:sz="2" w:space="0"/>
            </w:tcBorders>
            <w:noWrap/>
          </w:tcPr>
          <w:p w14:paraId="1A706339">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w:t>
            </w:r>
            <w:r>
              <w:rPr>
                <w:rFonts w:ascii="宋体" w:eastAsia="宋体" w:cs="宋体"/>
                <w:color w:val="auto"/>
                <w:highlight w:val="none"/>
              </w:rPr>
              <w:t>不接受</w:t>
            </w:r>
          </w:p>
          <w:p w14:paraId="2346CED3">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□接受，应满足下列要求：</w:t>
            </w:r>
          </w:p>
        </w:tc>
      </w:tr>
      <w:tr w14:paraId="180C4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565EBDFC">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1.9.1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4D79ED70">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踏勘现场</w:t>
            </w:r>
          </w:p>
        </w:tc>
        <w:tc>
          <w:tcPr>
            <w:tcW w:w="5920" w:type="dxa"/>
            <w:tcBorders>
              <w:top w:val="single" w:color="000000" w:sz="2" w:space="0"/>
              <w:left w:val="single" w:color="000000" w:sz="2" w:space="0"/>
              <w:bottom w:val="single" w:color="000000" w:sz="2" w:space="0"/>
              <w:right w:val="single" w:color="000000" w:sz="2" w:space="0"/>
            </w:tcBorders>
            <w:noWrap/>
          </w:tcPr>
          <w:p w14:paraId="177D6735">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w:t>
            </w:r>
            <w:r>
              <w:rPr>
                <w:rFonts w:ascii="宋体" w:eastAsia="宋体" w:cs="宋体"/>
                <w:color w:val="auto"/>
                <w:highlight w:val="none"/>
              </w:rPr>
              <w:t>不组织。</w:t>
            </w:r>
          </w:p>
          <w:p w14:paraId="66502F90">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□组织。联系人：</w:t>
            </w:r>
            <w:r>
              <w:rPr>
                <w:rFonts w:hint="eastAsia" w:ascii="宋体" w:eastAsia="宋体" w:cs="宋体"/>
                <w:color w:val="auto"/>
                <w:highlight w:val="none"/>
                <w:u w:val="single"/>
              </w:rPr>
              <w:t xml:space="preserve">     </w:t>
            </w:r>
            <w:r>
              <w:rPr>
                <w:rFonts w:ascii="宋体" w:eastAsia="宋体" w:cs="宋体"/>
                <w:color w:val="auto"/>
                <w:highlight w:val="none"/>
              </w:rPr>
              <w:t>联系电话：</w:t>
            </w:r>
            <w:r>
              <w:rPr>
                <w:rFonts w:hint="eastAsia" w:ascii="宋体" w:eastAsia="宋体" w:cs="宋体"/>
                <w:color w:val="auto"/>
                <w:highlight w:val="none"/>
                <w:u w:val="single"/>
              </w:rPr>
              <w:t xml:space="preserve">     </w:t>
            </w:r>
            <w:r>
              <w:rPr>
                <w:rFonts w:ascii="宋体" w:eastAsia="宋体" w:cs="宋体"/>
                <w:color w:val="auto"/>
                <w:highlight w:val="none"/>
              </w:rPr>
              <w:t>踏勘时间：</w:t>
            </w:r>
            <w:r>
              <w:rPr>
                <w:rFonts w:hint="eastAsia" w:ascii="宋体" w:eastAsia="宋体" w:cs="宋体"/>
                <w:color w:val="auto"/>
                <w:highlight w:val="none"/>
                <w:u w:val="single"/>
              </w:rPr>
              <w:t xml:space="preserve">     </w:t>
            </w:r>
          </w:p>
          <w:p w14:paraId="19603FA1">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踏勘集中地点：</w:t>
            </w:r>
            <w:r>
              <w:rPr>
                <w:rFonts w:hint="eastAsia" w:ascii="宋体" w:eastAsia="宋体" w:cs="宋体"/>
                <w:color w:val="auto"/>
                <w:highlight w:val="none"/>
                <w:u w:val="single"/>
              </w:rPr>
              <w:t xml:space="preserve">     </w:t>
            </w:r>
          </w:p>
        </w:tc>
      </w:tr>
      <w:tr w14:paraId="34C27C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60FF6A53">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1.10.1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56026EE6">
            <w:pPr>
              <w:widowControl w:val="0"/>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投标预备会</w:t>
            </w:r>
          </w:p>
        </w:tc>
        <w:tc>
          <w:tcPr>
            <w:tcW w:w="5920" w:type="dxa"/>
            <w:tcBorders>
              <w:top w:val="single" w:color="000000" w:sz="2" w:space="0"/>
              <w:left w:val="single" w:color="000000" w:sz="2" w:space="0"/>
              <w:bottom w:val="single" w:color="000000" w:sz="2" w:space="0"/>
              <w:right w:val="single" w:color="000000" w:sz="2" w:space="0"/>
            </w:tcBorders>
            <w:noWrap/>
          </w:tcPr>
          <w:p w14:paraId="2DE75ACC">
            <w:pPr>
              <w:widowControl w:val="0"/>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w:t>
            </w:r>
            <w:r>
              <w:rPr>
                <w:rFonts w:ascii="宋体" w:eastAsia="宋体" w:cs="宋体"/>
                <w:color w:val="auto"/>
                <w:highlight w:val="none"/>
              </w:rPr>
              <w:t>不召开。</w:t>
            </w:r>
          </w:p>
          <w:p w14:paraId="095E5283">
            <w:pPr>
              <w:widowControl w:val="0"/>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□召开。召开时间：</w:t>
            </w:r>
            <w:r>
              <w:rPr>
                <w:rFonts w:hint="eastAsia" w:ascii="宋体" w:eastAsia="宋体" w:cs="宋体"/>
                <w:color w:val="auto"/>
                <w:highlight w:val="none"/>
                <w:u w:val="single"/>
              </w:rPr>
              <w:t xml:space="preserve">           </w:t>
            </w:r>
            <w:r>
              <w:rPr>
                <w:rFonts w:ascii="宋体" w:eastAsia="宋体" w:cs="宋体"/>
                <w:color w:val="auto"/>
                <w:highlight w:val="none"/>
              </w:rPr>
              <w:t>召开地点：</w:t>
            </w:r>
            <w:r>
              <w:rPr>
                <w:rFonts w:hint="eastAsia" w:ascii="宋体" w:eastAsia="宋体" w:cs="宋体"/>
                <w:color w:val="auto"/>
                <w:highlight w:val="none"/>
                <w:u w:val="single"/>
              </w:rPr>
              <w:t xml:space="preserve">      </w:t>
            </w:r>
          </w:p>
        </w:tc>
      </w:tr>
      <w:tr w14:paraId="14FF8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495C5A57">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1.10.2</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707BCCA6">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投标人提出问题的截止时间、上传疑问方式</w:t>
            </w:r>
          </w:p>
        </w:tc>
        <w:tc>
          <w:tcPr>
            <w:tcW w:w="5920" w:type="dxa"/>
            <w:tcBorders>
              <w:top w:val="single" w:color="000000" w:sz="2" w:space="0"/>
              <w:left w:val="single" w:color="000000" w:sz="2" w:space="0"/>
              <w:bottom w:val="single" w:color="000000" w:sz="2" w:space="0"/>
              <w:right w:val="single" w:color="000000" w:sz="2" w:space="0"/>
            </w:tcBorders>
            <w:noWrap/>
          </w:tcPr>
          <w:p w14:paraId="247F8D29">
            <w:pPr>
              <w:adjustRightInd w:val="0"/>
              <w:snapToGrid/>
              <w:spacing w:line="320" w:lineRule="exact"/>
              <w:rPr>
                <w:rFonts w:hint="eastAsia" w:ascii="宋体" w:eastAsia="宋体" w:cs="宋体"/>
                <w:color w:val="auto"/>
                <w:highlight w:val="none"/>
                <w:u w:val="single"/>
              </w:rPr>
            </w:pPr>
            <w:r>
              <w:rPr>
                <w:rFonts w:hint="eastAsia" w:ascii="宋体" w:hAnsi="宋体"/>
                <w:color w:val="auto"/>
                <w:highlight w:val="none"/>
              </w:rPr>
              <w:t>提问截止时间：</w:t>
            </w:r>
            <w:r>
              <w:rPr>
                <w:rFonts w:hint="eastAsia" w:ascii="宋体" w:hAnsi="宋体"/>
                <w:color w:val="auto"/>
                <w:highlight w:val="none"/>
                <w:u w:val="single"/>
              </w:rPr>
              <w:t xml:space="preserve"> </w:t>
            </w:r>
            <w:r>
              <w:rPr>
                <w:rFonts w:hint="eastAsia" w:ascii="宋体" w:hAnsi="宋体" w:eastAsia="宋体"/>
                <w:color w:val="auto"/>
                <w:highlight w:val="none"/>
                <w:u w:val="single"/>
                <w:lang w:val="en-US" w:eastAsia="zh-CN"/>
              </w:rPr>
              <w:t>2026</w:t>
            </w:r>
            <w:r>
              <w:rPr>
                <w:rFonts w:hint="eastAsia" w:ascii="宋体" w:eastAsia="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r>
              <w:rPr>
                <w:rFonts w:hint="eastAsia" w:ascii="宋体" w:hAnsi="宋体" w:eastAsia="宋体"/>
                <w:color w:val="auto"/>
                <w:highlight w:val="none"/>
                <w:u w:val="single"/>
                <w:lang w:val="en-US" w:eastAsia="zh-CN"/>
              </w:rPr>
              <w:t>17</w:t>
            </w:r>
            <w:r>
              <w:rPr>
                <w:rFonts w:hint="eastAsia" w:ascii="宋体" w:hAnsi="宋体"/>
                <w:color w:val="auto"/>
                <w:highlight w:val="none"/>
              </w:rPr>
              <w:t>时</w:t>
            </w:r>
            <w:r>
              <w:rPr>
                <w:rFonts w:hint="eastAsia" w:ascii="宋体" w:hAnsi="宋体" w:eastAsia="宋体"/>
                <w:color w:val="auto"/>
                <w:highlight w:val="none"/>
                <w:u w:val="single"/>
                <w:lang w:val="en-US" w:eastAsia="zh-CN"/>
              </w:rPr>
              <w:t>00</w:t>
            </w:r>
            <w:r>
              <w:rPr>
                <w:rFonts w:hint="eastAsia" w:ascii="宋体" w:hAnsi="宋体"/>
                <w:color w:val="auto"/>
                <w:highlight w:val="none"/>
              </w:rPr>
              <w:t>分。（投标人在截止时间以后提出的澄清招标文件的要求，招标人可以拒绝受理），提交方式</w:t>
            </w:r>
            <w:r>
              <w:rPr>
                <w:rFonts w:hint="eastAsia" w:ascii="宋体" w:hAnsi="宋体" w:eastAsia="宋体"/>
                <w:color w:val="auto"/>
                <w:highlight w:val="none"/>
                <w:lang w:eastAsia="zh-CN"/>
              </w:rPr>
              <w:t>：</w:t>
            </w:r>
            <w:r>
              <w:rPr>
                <w:rFonts w:hint="eastAsia" w:ascii="宋体" w:eastAsia="宋体" w:cs="宋体"/>
                <w:iCs/>
                <w:color w:val="auto"/>
                <w:highlight w:val="none"/>
                <w:u w:val="single"/>
              </w:rPr>
              <w:t>请在上述时间截止前将</w:t>
            </w:r>
            <w:r>
              <w:rPr>
                <w:rFonts w:hint="eastAsia" w:ascii="宋体" w:eastAsia="宋体" w:cs="宋体"/>
                <w:iCs/>
                <w:color w:val="auto"/>
                <w:highlight w:val="none"/>
                <w:u w:val="single"/>
                <w:lang w:val="en-US" w:eastAsia="zh-CN"/>
              </w:rPr>
              <w:t>word格式和</w:t>
            </w:r>
            <w:r>
              <w:rPr>
                <w:rFonts w:hint="eastAsia" w:ascii="宋体" w:eastAsia="宋体" w:cs="宋体"/>
                <w:iCs/>
                <w:color w:val="auto"/>
                <w:highlight w:val="none"/>
                <w:u w:val="single"/>
              </w:rPr>
              <w:t>加盖</w:t>
            </w:r>
            <w:r>
              <w:rPr>
                <w:rFonts w:hint="eastAsia" w:ascii="宋体" w:eastAsia="宋体" w:cs="宋体"/>
                <w:iCs/>
                <w:color w:val="auto"/>
                <w:highlight w:val="none"/>
                <w:u w:val="single"/>
                <w:lang w:val="en-US" w:eastAsia="zh-CN"/>
              </w:rPr>
              <w:t>电子</w:t>
            </w:r>
            <w:r>
              <w:rPr>
                <w:rFonts w:hint="eastAsia" w:ascii="宋体" w:eastAsia="宋体" w:cs="宋体"/>
                <w:iCs/>
                <w:color w:val="auto"/>
                <w:highlight w:val="none"/>
                <w:u w:val="single"/>
              </w:rPr>
              <w:t>公章的PDF格式的投标提问书发送至</w:t>
            </w:r>
            <w:r>
              <w:rPr>
                <w:rFonts w:hint="eastAsia" w:ascii="宋体" w:eastAsia="宋体" w:cs="宋体"/>
                <w:iCs/>
                <w:color w:val="auto"/>
                <w:highlight w:val="none"/>
                <w:u w:val="single"/>
                <w:lang w:eastAsia="zh-CN"/>
              </w:rPr>
              <w:t>1418619632</w:t>
            </w:r>
            <w:r>
              <w:rPr>
                <w:rFonts w:hint="eastAsia" w:ascii="宋体" w:eastAsia="宋体" w:cs="宋体"/>
                <w:iCs/>
                <w:color w:val="auto"/>
                <w:highlight w:val="none"/>
                <w:u w:val="single"/>
              </w:rPr>
              <w:t>@qq.com邮箱中</w:t>
            </w:r>
            <w:r>
              <w:rPr>
                <w:rFonts w:hint="eastAsia" w:ascii="宋体" w:eastAsia="宋体" w:cs="宋体"/>
                <w:i/>
                <w:color w:val="auto"/>
                <w:highlight w:val="none"/>
                <w:u w:val="single"/>
              </w:rPr>
              <w:t>。</w:t>
            </w:r>
          </w:p>
          <w:p w14:paraId="2C2795E5">
            <w:pPr>
              <w:spacing w:line="320" w:lineRule="exact"/>
              <w:rPr>
                <w:rFonts w:ascii="宋体" w:eastAsia="宋体" w:cs="宋体"/>
                <w:color w:val="auto"/>
                <w:highlight w:val="none"/>
              </w:rPr>
            </w:pPr>
            <w:r>
              <w:rPr>
                <w:rFonts w:hint="eastAsia" w:ascii="宋体" w:eastAsia="宋体" w:cs="宋体"/>
                <w:color w:val="auto"/>
                <w:highlight w:val="none"/>
              </w:rPr>
              <w:t>联系方式：</w:t>
            </w:r>
            <w:r>
              <w:rPr>
                <w:rFonts w:hint="eastAsia" w:ascii="宋体" w:eastAsia="宋体" w:cs="宋体"/>
                <w:color w:val="auto"/>
                <w:highlight w:val="none"/>
                <w:u w:val="single"/>
                <w:lang w:val="en-US" w:eastAsia="zh-CN"/>
              </w:rPr>
              <w:t>18767598034</w:t>
            </w:r>
            <w:r>
              <w:rPr>
                <w:rFonts w:hint="eastAsia" w:ascii="宋体" w:eastAsia="宋体" w:cs="宋体"/>
                <w:color w:val="auto"/>
                <w:highlight w:val="none"/>
              </w:rPr>
              <w:t>联系人：</w:t>
            </w:r>
            <w:r>
              <w:rPr>
                <w:rFonts w:hint="eastAsia" w:ascii="宋体" w:eastAsia="宋体" w:cs="宋体"/>
                <w:color w:val="auto"/>
                <w:highlight w:val="none"/>
                <w:u w:val="single"/>
                <w:lang w:val="en-US" w:eastAsia="zh-CN"/>
              </w:rPr>
              <w:t>沈吉</w:t>
            </w:r>
            <w:r>
              <w:rPr>
                <w:rFonts w:hint="eastAsia" w:ascii="宋体" w:hAnsi="宋体"/>
                <w:color w:val="auto"/>
                <w:highlight w:val="none"/>
              </w:rPr>
              <w:t>。</w:t>
            </w:r>
          </w:p>
        </w:tc>
      </w:tr>
      <w:tr w14:paraId="4DCCCF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7E1C32B1">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1.10.3</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77BB08B5">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招标文件的澄清、补充、修改的时间，澄清、修改、补充文件的下载网址</w:t>
            </w:r>
          </w:p>
        </w:tc>
        <w:tc>
          <w:tcPr>
            <w:tcW w:w="5920" w:type="dxa"/>
            <w:tcBorders>
              <w:top w:val="single" w:color="000000" w:sz="2" w:space="0"/>
              <w:left w:val="single" w:color="000000" w:sz="2" w:space="0"/>
              <w:bottom w:val="single" w:color="000000" w:sz="2" w:space="0"/>
              <w:right w:val="single" w:color="000000" w:sz="2" w:space="0"/>
            </w:tcBorders>
            <w:noWrap/>
          </w:tcPr>
          <w:p w14:paraId="2425E95D">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3D2BF2E8">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澄清、补充、修改的内容不影响投标文件编制的，将在投标文件递交截止时间</w:t>
            </w:r>
            <w:r>
              <w:rPr>
                <w:rFonts w:hint="eastAsia" w:ascii="宋体" w:eastAsia="宋体" w:cs="宋体"/>
                <w:color w:val="auto"/>
                <w:highlight w:val="none"/>
              </w:rPr>
              <w:t>5</w:t>
            </w:r>
            <w:r>
              <w:rPr>
                <w:rFonts w:ascii="宋体" w:eastAsia="宋体" w:cs="宋体"/>
                <w:color w:val="auto"/>
                <w:highlight w:val="none"/>
              </w:rPr>
              <w:t>天前，以上款相同的形式发布。</w:t>
            </w:r>
          </w:p>
          <w:p w14:paraId="50CDE4CE">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潜在投标人应自行关注绍兴公共资源交易网，招标人不再逐一通知。投标人因自身贻误行为导致投标失败的，责任自负。</w:t>
            </w:r>
          </w:p>
          <w:p w14:paraId="03FA5129">
            <w:pPr>
              <w:tabs>
                <w:tab w:val="left" w:pos="5680"/>
              </w:tabs>
              <w:spacing w:line="312" w:lineRule="auto"/>
              <w:ind w:left="105" w:leftChars="50" w:right="105" w:rightChars="50"/>
              <w:jc w:val="left"/>
              <w:rPr>
                <w:rFonts w:ascii="宋体" w:eastAsia="宋体" w:cs="宋体"/>
                <w:color w:val="auto"/>
                <w:highlight w:val="none"/>
              </w:rPr>
            </w:pPr>
            <w:r>
              <w:rPr>
                <w:rFonts w:hint="eastAsia" w:ascii="宋体" w:eastAsia="宋体" w:cs="宋体"/>
                <w:color w:val="auto"/>
                <w:highlight w:val="none"/>
              </w:rPr>
              <w:t>公布、</w:t>
            </w:r>
            <w:r>
              <w:rPr>
                <w:rFonts w:ascii="宋体" w:eastAsia="宋体" w:cs="宋体"/>
                <w:color w:val="auto"/>
                <w:highlight w:val="none"/>
              </w:rPr>
              <w:t>下载网址：</w:t>
            </w:r>
            <w:r>
              <w:rPr>
                <w:rFonts w:hint="eastAsia" w:ascii="宋体" w:eastAsia="宋体" w:cs="宋体"/>
                <w:color w:val="auto"/>
                <w:highlight w:val="none"/>
                <w:u w:val="single"/>
              </w:rPr>
              <w:t>绍兴市公共资源交易中心电子招投标交易平台</w:t>
            </w:r>
            <w:r>
              <w:rPr>
                <w:rFonts w:hint="eastAsia" w:ascii="宋体" w:eastAsia="宋体" w:cs="宋体"/>
                <w:color w:val="auto"/>
                <w:highlight w:val="none"/>
                <w:u w:val="single"/>
                <w:lang w:eastAsia="zh-CN"/>
              </w:rPr>
              <w:t>（</w:t>
            </w:r>
            <w:r>
              <w:rPr>
                <w:rFonts w:hint="eastAsia" w:ascii="宋体" w:eastAsia="宋体"/>
                <w:color w:val="auto"/>
                <w:highlight w:val="none"/>
                <w:u w:val="single"/>
                <w:lang w:eastAsia="zh-CN"/>
              </w:rPr>
              <w:t>http://220.187.225.202:8088/TPBidder-ztk/memberLogin）</w:t>
            </w:r>
          </w:p>
        </w:tc>
      </w:tr>
      <w:tr w14:paraId="264C8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35FBEB5B">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1.11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265B47C3">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分包</w:t>
            </w:r>
          </w:p>
        </w:tc>
        <w:tc>
          <w:tcPr>
            <w:tcW w:w="5920" w:type="dxa"/>
            <w:tcBorders>
              <w:top w:val="single" w:color="000000" w:sz="2" w:space="0"/>
              <w:left w:val="single" w:color="000000" w:sz="2" w:space="0"/>
              <w:bottom w:val="single" w:color="000000" w:sz="2" w:space="0"/>
              <w:right w:val="single" w:color="000000" w:sz="2" w:space="0"/>
            </w:tcBorders>
            <w:noWrap/>
          </w:tcPr>
          <w:p w14:paraId="5CD9EAB7">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不允许</w:t>
            </w:r>
          </w:p>
        </w:tc>
      </w:tr>
      <w:tr w14:paraId="6A687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72A43F85">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1.12</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5D915A64">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偏离</w:t>
            </w:r>
          </w:p>
        </w:tc>
        <w:tc>
          <w:tcPr>
            <w:tcW w:w="5920" w:type="dxa"/>
            <w:tcBorders>
              <w:top w:val="single" w:color="000000" w:sz="2" w:space="0"/>
              <w:left w:val="single" w:color="000000" w:sz="2" w:space="0"/>
              <w:bottom w:val="single" w:color="000000" w:sz="2" w:space="0"/>
              <w:right w:val="single" w:color="000000" w:sz="2" w:space="0"/>
            </w:tcBorders>
            <w:noWrap/>
          </w:tcPr>
          <w:p w14:paraId="494C4A4F">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eastAsia="zh-CN"/>
              </w:rPr>
              <w:t>□</w:t>
            </w:r>
            <w:r>
              <w:rPr>
                <w:rFonts w:ascii="宋体" w:eastAsia="宋体" w:cs="宋体"/>
                <w:color w:val="auto"/>
                <w:highlight w:val="none"/>
              </w:rPr>
              <w:t>不允许。</w:t>
            </w:r>
          </w:p>
          <w:p w14:paraId="168F0D29">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w:t>
            </w:r>
            <w:r>
              <w:rPr>
                <w:rFonts w:ascii="宋体" w:eastAsia="宋体" w:cs="宋体"/>
                <w:color w:val="auto"/>
                <w:highlight w:val="none"/>
              </w:rPr>
              <w:t>允许。允许偏离的内容、偏离范围和幅度：</w:t>
            </w:r>
            <w:r>
              <w:rPr>
                <w:rFonts w:hint="eastAsia" w:ascii="宋体" w:eastAsia="宋体" w:cs="宋体"/>
                <w:color w:val="auto"/>
                <w:highlight w:val="none"/>
                <w:u w:val="single"/>
              </w:rPr>
              <w:t>实质性要求允许正偏离</w:t>
            </w:r>
            <w:r>
              <w:rPr>
                <w:rFonts w:hint="eastAsia" w:ascii="宋体" w:eastAsia="宋体" w:cs="宋体"/>
                <w:color w:val="auto"/>
                <w:highlight w:val="none"/>
              </w:rPr>
              <w:t>。</w:t>
            </w:r>
          </w:p>
        </w:tc>
      </w:tr>
      <w:tr w14:paraId="1E1B7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06FFEBE3">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2.1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7DC95FF5">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构成招标文件的其他材料</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5483501">
            <w:pPr>
              <w:tabs>
                <w:tab w:val="left" w:pos="56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rPr>
              <w:t>/</w:t>
            </w:r>
          </w:p>
        </w:tc>
      </w:tr>
      <w:tr w14:paraId="31A4E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32123A09">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2.2.1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78E5D43C">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投标人要求澄清招标文件的截止时间</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ED00752">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同投标人须知前附表第1.10.2项</w:t>
            </w:r>
          </w:p>
        </w:tc>
      </w:tr>
      <w:tr w14:paraId="1A3576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7DE12833">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2.2.2</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2EF8D9C6">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投标截止时间</w:t>
            </w:r>
          </w:p>
        </w:tc>
        <w:tc>
          <w:tcPr>
            <w:tcW w:w="5920" w:type="dxa"/>
            <w:tcBorders>
              <w:top w:val="single" w:color="000000" w:sz="2" w:space="0"/>
              <w:left w:val="single" w:color="000000" w:sz="2" w:space="0"/>
              <w:bottom w:val="single" w:color="000000" w:sz="2" w:space="0"/>
              <w:right w:val="single" w:color="000000" w:sz="2" w:space="0"/>
            </w:tcBorders>
            <w:noWrap/>
          </w:tcPr>
          <w:p w14:paraId="36A68E59">
            <w:pPr>
              <w:tabs>
                <w:tab w:val="left" w:pos="558"/>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val="en-US" w:eastAsia="zh-CN"/>
              </w:rPr>
              <w:t>详见招标公告</w:t>
            </w:r>
          </w:p>
        </w:tc>
      </w:tr>
      <w:tr w14:paraId="6DE7E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06810DE1">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2.2.3</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61BE5EC4">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投标人确认收到招标文件澄清的时间</w:t>
            </w:r>
          </w:p>
        </w:tc>
        <w:tc>
          <w:tcPr>
            <w:tcW w:w="5920" w:type="dxa"/>
            <w:tcBorders>
              <w:top w:val="single" w:color="000000" w:sz="2" w:space="0"/>
              <w:left w:val="single" w:color="000000" w:sz="2" w:space="0"/>
              <w:bottom w:val="single" w:color="000000" w:sz="2" w:space="0"/>
              <w:right w:val="single" w:color="000000" w:sz="2" w:space="0"/>
            </w:tcBorders>
            <w:noWrap/>
          </w:tcPr>
          <w:p w14:paraId="5285FB65">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潜在投标人应自行关注</w:t>
            </w:r>
            <w:r>
              <w:rPr>
                <w:rFonts w:hint="eastAsia" w:ascii="宋体" w:eastAsia="宋体" w:cs="宋体"/>
                <w:color w:val="auto"/>
                <w:highlight w:val="none"/>
              </w:rPr>
              <w:t>绍兴公共资源交易网</w:t>
            </w:r>
            <w:r>
              <w:rPr>
                <w:rFonts w:hint="eastAsia" w:ascii="宋体" w:eastAsia="宋体" w:cs="宋体"/>
                <w:color w:val="auto"/>
                <w:highlight w:val="none"/>
                <w:lang w:eastAsia="zh-CN"/>
              </w:rPr>
              <w:t>（</w:t>
            </w:r>
            <w:r>
              <w:rPr>
                <w:rFonts w:hint="eastAsia" w:ascii="宋体" w:eastAsia="宋体" w:cs="宋体"/>
                <w:color w:val="auto"/>
                <w:highlight w:val="none"/>
              </w:rPr>
              <w:t>http://ggb.sx.gov.cn/</w:t>
            </w:r>
            <w:r>
              <w:rPr>
                <w:rFonts w:hint="eastAsia" w:ascii="宋体" w:eastAsia="宋体" w:cs="宋体"/>
                <w:color w:val="auto"/>
                <w:highlight w:val="none"/>
                <w:lang w:eastAsia="zh-CN"/>
              </w:rPr>
              <w:t>）</w:t>
            </w:r>
            <w:r>
              <w:rPr>
                <w:rFonts w:ascii="宋体" w:eastAsia="宋体" w:cs="宋体"/>
                <w:color w:val="auto"/>
                <w:highlight w:val="none"/>
              </w:rPr>
              <w:t>和</w:t>
            </w:r>
            <w:r>
              <w:rPr>
                <w:rFonts w:hint="eastAsia" w:ascii="宋体" w:eastAsia="宋体" w:cs="宋体"/>
                <w:color w:val="auto"/>
                <w:highlight w:val="none"/>
              </w:rPr>
              <w:t>绍兴市公共资源交易中心电子招投标交易平台</w:t>
            </w:r>
            <w:r>
              <w:rPr>
                <w:rFonts w:hint="eastAsia" w:ascii="宋体" w:eastAsia="宋体" w:cs="宋体"/>
                <w:color w:val="auto"/>
                <w:highlight w:val="none"/>
                <w:lang w:eastAsia="zh-CN"/>
              </w:rPr>
              <w:t>（</w:t>
            </w:r>
            <w:r>
              <w:rPr>
                <w:rFonts w:hint="eastAsia" w:ascii="宋体" w:eastAsia="宋体"/>
                <w:color w:val="auto"/>
                <w:highlight w:val="none"/>
                <w:lang w:eastAsia="zh-CN"/>
              </w:rPr>
              <w:t>http://220.187.225.202:8088/TPBidder-ztk/memberLogin）</w:t>
            </w:r>
            <w:r>
              <w:rPr>
                <w:rFonts w:ascii="宋体" w:eastAsia="宋体" w:cs="宋体"/>
                <w:color w:val="auto"/>
                <w:highlight w:val="none"/>
              </w:rPr>
              <w:t>，招标人不再一一通知。投标人因自身贻误行为导致投标失败的，责任自负。</w:t>
            </w:r>
          </w:p>
        </w:tc>
      </w:tr>
      <w:tr w14:paraId="34E56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29FA55B6">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3.1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6A4A7F6D">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构成投标文件</w:t>
            </w:r>
          </w:p>
          <w:p w14:paraId="5F8AB204">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其他材料</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0DA39AF2">
            <w:pPr>
              <w:tabs>
                <w:tab w:val="left" w:pos="5680"/>
              </w:tabs>
              <w:spacing w:line="312" w:lineRule="auto"/>
              <w:ind w:left="105" w:leftChars="50" w:right="105" w:rightChars="50"/>
              <w:jc w:val="both"/>
              <w:rPr>
                <w:rFonts w:hint="eastAsia" w:ascii="宋体" w:eastAsia="宋体" w:cs="宋体"/>
                <w:color w:val="auto"/>
                <w:highlight w:val="none"/>
                <w:lang w:val="en-US" w:eastAsia="zh-CN"/>
              </w:rPr>
            </w:pPr>
            <w:r>
              <w:rPr>
                <w:rFonts w:hint="eastAsia" w:ascii="宋体" w:eastAsia="宋体" w:cs="宋体"/>
                <w:color w:val="auto"/>
                <w:highlight w:val="none"/>
                <w:lang w:val="en-US" w:eastAsia="zh-CN"/>
              </w:rPr>
              <w:t>/</w:t>
            </w:r>
          </w:p>
        </w:tc>
      </w:tr>
      <w:tr w14:paraId="47D38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1DEC8F93">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3.2.3</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1FD7AE6F">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最高投标限价</w:t>
            </w:r>
          </w:p>
        </w:tc>
        <w:tc>
          <w:tcPr>
            <w:tcW w:w="5920" w:type="dxa"/>
            <w:tcBorders>
              <w:top w:val="single" w:color="000000" w:sz="2" w:space="0"/>
              <w:left w:val="single" w:color="000000" w:sz="2" w:space="0"/>
              <w:bottom w:val="single" w:color="000000" w:sz="2" w:space="0"/>
              <w:right w:val="single" w:color="000000" w:sz="2" w:space="0"/>
            </w:tcBorders>
            <w:noWrap/>
          </w:tcPr>
          <w:p w14:paraId="70A51B41">
            <w:pPr>
              <w:tabs>
                <w:tab w:val="left" w:pos="56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lang w:eastAsia="zh-CN"/>
              </w:rPr>
              <w:t>☑</w:t>
            </w:r>
            <w:r>
              <w:rPr>
                <w:rFonts w:ascii="宋体" w:eastAsia="宋体" w:cs="宋体"/>
                <w:color w:val="auto"/>
                <w:highlight w:val="none"/>
              </w:rPr>
              <w:t>本次招标最高投标限价为：</w:t>
            </w:r>
            <w:r>
              <w:rPr>
                <w:rFonts w:hint="eastAsia" w:ascii="宋体" w:eastAsia="宋体" w:cs="宋体"/>
                <w:color w:val="auto"/>
                <w:highlight w:val="none"/>
                <w:u w:val="single"/>
                <w:lang w:val="en-US" w:eastAsia="zh-CN"/>
              </w:rPr>
              <w:t>34147699.88</w:t>
            </w:r>
            <w:r>
              <w:rPr>
                <w:rFonts w:ascii="宋体" w:eastAsia="宋体" w:cs="宋体"/>
                <w:color w:val="auto"/>
                <w:highlight w:val="none"/>
              </w:rPr>
              <w:t>元</w:t>
            </w:r>
            <w:r>
              <w:rPr>
                <w:rFonts w:hint="eastAsia" w:ascii="宋体" w:eastAsia="宋体" w:cs="宋体"/>
                <w:color w:val="auto"/>
                <w:highlight w:val="none"/>
              </w:rPr>
              <w:t>；</w:t>
            </w:r>
          </w:p>
          <w:p w14:paraId="4910AE60">
            <w:pPr>
              <w:tabs>
                <w:tab w:val="left" w:pos="56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lang w:eastAsia="zh-CN"/>
              </w:rPr>
              <w:t>□</w:t>
            </w:r>
            <w:r>
              <w:rPr>
                <w:rFonts w:ascii="宋体" w:eastAsia="宋体" w:cs="宋体"/>
                <w:color w:val="auto"/>
                <w:highlight w:val="none"/>
              </w:rPr>
              <w:t>在投标截止时间15个日历天前以补充文件的形式公布</w:t>
            </w:r>
            <w:r>
              <w:rPr>
                <w:rFonts w:hint="eastAsia" w:ascii="宋体" w:eastAsia="宋体" w:cs="宋体"/>
                <w:color w:val="auto"/>
                <w:highlight w:val="none"/>
              </w:rPr>
              <w:t>；</w:t>
            </w:r>
          </w:p>
          <w:p w14:paraId="0A3C3822">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eastAsia="zh-CN"/>
              </w:rPr>
              <w:t>□</w:t>
            </w:r>
            <w:r>
              <w:rPr>
                <w:rFonts w:ascii="宋体" w:eastAsia="宋体" w:cs="宋体"/>
                <w:color w:val="auto"/>
                <w:highlight w:val="none"/>
              </w:rPr>
              <w:t>本次招标最高投标限价的计算方法：</w:t>
            </w:r>
            <w:r>
              <w:rPr>
                <w:rFonts w:hint="eastAsia" w:ascii="宋体" w:eastAsia="宋体" w:cs="宋体"/>
                <w:color w:val="auto"/>
                <w:highlight w:val="none"/>
                <w:u w:val="single"/>
              </w:rPr>
              <w:t xml:space="preserve">    </w:t>
            </w:r>
            <w:r>
              <w:rPr>
                <w:rFonts w:ascii="宋体" w:eastAsia="宋体" w:cs="宋体"/>
                <w:color w:val="auto"/>
                <w:highlight w:val="none"/>
              </w:rPr>
              <w:t>。</w:t>
            </w:r>
          </w:p>
        </w:tc>
      </w:tr>
      <w:tr w14:paraId="1EBE5F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013EFB68">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3.2.4</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45BCF362">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投标报价的</w:t>
            </w:r>
          </w:p>
          <w:p w14:paraId="00A1ABD6">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其他要求</w:t>
            </w:r>
          </w:p>
        </w:tc>
        <w:tc>
          <w:tcPr>
            <w:tcW w:w="5920" w:type="dxa"/>
            <w:tcBorders>
              <w:top w:val="single" w:color="000000" w:sz="2" w:space="0"/>
              <w:left w:val="single" w:color="000000" w:sz="2" w:space="0"/>
              <w:bottom w:val="single" w:color="000000" w:sz="2" w:space="0"/>
              <w:right w:val="single" w:color="000000" w:sz="2" w:space="0"/>
            </w:tcBorders>
            <w:noWrap/>
          </w:tcPr>
          <w:p w14:paraId="58D7BDF9">
            <w:pPr>
              <w:tabs>
                <w:tab w:val="left" w:pos="5680"/>
              </w:tabs>
              <w:spacing w:line="312" w:lineRule="auto"/>
              <w:ind w:right="105" w:rightChars="50"/>
              <w:jc w:val="both"/>
              <w:rPr>
                <w:rFonts w:hint="eastAsia" w:ascii="宋体" w:eastAsia="宋体" w:cs="宋体"/>
                <w:color w:val="auto"/>
                <w:highlight w:val="none"/>
              </w:rPr>
            </w:pPr>
            <w:r>
              <w:rPr>
                <w:rFonts w:hint="eastAsia" w:ascii="宋体" w:eastAsia="宋体" w:cs="宋体"/>
                <w:color w:val="auto"/>
                <w:highlight w:val="none"/>
              </w:rPr>
              <w:t>一、投标总价应为投标人为完成本项目所发生的一切费用，包括设备供货、运输、</w:t>
            </w:r>
            <w:r>
              <w:rPr>
                <w:rFonts w:hint="eastAsia" w:ascii="宋体" w:eastAsia="宋体" w:cs="宋体"/>
                <w:color w:val="auto"/>
                <w:highlight w:val="none"/>
                <w:lang w:eastAsia="zh-CN"/>
              </w:rPr>
              <w:t>安装</w:t>
            </w:r>
            <w:r>
              <w:rPr>
                <w:rFonts w:hint="eastAsia" w:ascii="宋体" w:eastAsia="宋体" w:cs="宋体"/>
                <w:color w:val="auto"/>
                <w:highlight w:val="none"/>
              </w:rPr>
              <w:t>、调试和售后服务等全过程产生的所有成本和费用以及一切税费。</w:t>
            </w:r>
          </w:p>
          <w:p w14:paraId="6A10A9A9">
            <w:pPr>
              <w:tabs>
                <w:tab w:val="left" w:pos="5680"/>
              </w:tabs>
              <w:spacing w:line="312" w:lineRule="auto"/>
              <w:ind w:right="105" w:rightChars="50"/>
              <w:jc w:val="both"/>
              <w:rPr>
                <w:rFonts w:hint="eastAsia" w:ascii="宋体" w:eastAsia="宋体" w:cs="宋体"/>
                <w:color w:val="auto"/>
                <w:highlight w:val="none"/>
              </w:rPr>
            </w:pPr>
            <w:r>
              <w:rPr>
                <w:rFonts w:hint="eastAsia" w:ascii="宋体" w:eastAsia="宋体" w:cs="宋体"/>
                <w:color w:val="auto"/>
                <w:highlight w:val="none"/>
              </w:rPr>
              <w:t>二、投标人应按“投标报价表”的要求报价，在投标报价表上写明拟提供货物的单价和总价。对同一规格型号的设备。</w:t>
            </w:r>
          </w:p>
          <w:p w14:paraId="09B07063">
            <w:pPr>
              <w:tabs>
                <w:tab w:val="left" w:pos="5680"/>
              </w:tabs>
              <w:spacing w:line="312" w:lineRule="auto"/>
              <w:ind w:right="105" w:rightChars="50"/>
              <w:jc w:val="both"/>
              <w:rPr>
                <w:rFonts w:hint="eastAsia" w:ascii="宋体" w:eastAsia="宋体" w:cs="宋体"/>
                <w:color w:val="auto"/>
                <w:highlight w:val="none"/>
              </w:rPr>
            </w:pPr>
            <w:r>
              <w:rPr>
                <w:rFonts w:hint="eastAsia" w:ascii="宋体" w:eastAsia="宋体" w:cs="宋体"/>
                <w:color w:val="auto"/>
                <w:highlight w:val="none"/>
              </w:rPr>
              <w:t>三、所有与本项目有关的未列入“投标报价表”的工作内容，均被认为已经包含在其他细目及投标总价中。</w:t>
            </w:r>
          </w:p>
          <w:p w14:paraId="19DB3549">
            <w:pPr>
              <w:keepNext w:val="0"/>
              <w:keepLines w:val="0"/>
              <w:pageBreakBefore w:val="0"/>
              <w:widowControl/>
              <w:tabs>
                <w:tab w:val="left" w:pos="5680"/>
              </w:tabs>
              <w:kinsoku/>
              <w:wordWrap/>
              <w:overflowPunct/>
              <w:topLinePunct w:val="0"/>
              <w:autoSpaceDE w:val="0"/>
              <w:autoSpaceDN w:val="0"/>
              <w:bidi w:val="0"/>
              <w:adjustRightInd w:val="0"/>
              <w:snapToGrid w:val="0"/>
              <w:spacing w:line="312" w:lineRule="auto"/>
              <w:ind w:right="105" w:rightChars="50"/>
              <w:jc w:val="both"/>
              <w:textAlignment w:val="baseline"/>
              <w:rPr>
                <w:rFonts w:hint="eastAsia" w:ascii="宋体" w:eastAsia="宋体" w:cs="宋体"/>
                <w:color w:val="auto"/>
                <w:highlight w:val="none"/>
              </w:rPr>
            </w:pPr>
            <w:r>
              <w:rPr>
                <w:rFonts w:hint="eastAsia" w:ascii="宋体" w:eastAsia="宋体" w:cs="宋体"/>
                <w:color w:val="auto"/>
                <w:highlight w:val="none"/>
              </w:rPr>
              <w:t>四、投标人所报的投标单价（不含税价</w:t>
            </w:r>
            <w:r>
              <w:rPr>
                <w:rFonts w:hint="eastAsia" w:ascii="宋体" w:eastAsia="宋体" w:cs="宋体"/>
                <w:color w:val="auto"/>
                <w:highlight w:val="none"/>
                <w:lang w:eastAsia="zh-CN"/>
              </w:rPr>
              <w:t>）</w:t>
            </w:r>
            <w:r>
              <w:rPr>
                <w:rFonts w:hint="eastAsia" w:ascii="宋体" w:eastAsia="宋体" w:cs="宋体"/>
                <w:color w:val="auto"/>
                <w:highlight w:val="none"/>
              </w:rPr>
              <w:t>在合同执行过程中是固定不变的，不得以任何理由予以变更，投标人应充分考虑各种风险因素</w:t>
            </w:r>
            <w:r>
              <w:rPr>
                <w:rFonts w:hint="eastAsia" w:ascii="宋体" w:eastAsia="宋体" w:cs="宋体"/>
                <w:color w:val="auto"/>
                <w:highlight w:val="none"/>
                <w:lang w:eastAsia="zh-CN"/>
              </w:rPr>
              <w:t>（</w:t>
            </w:r>
            <w:r>
              <w:rPr>
                <w:rFonts w:hint="eastAsia" w:ascii="宋体" w:eastAsia="宋体" w:cs="宋体"/>
                <w:color w:val="auto"/>
                <w:highlight w:val="none"/>
              </w:rPr>
              <w:t>如合同履行期延长、合同履行过程中的增购和变更等</w:t>
            </w:r>
            <w:r>
              <w:rPr>
                <w:rFonts w:hint="eastAsia" w:ascii="宋体" w:eastAsia="宋体" w:cs="宋体"/>
                <w:color w:val="auto"/>
                <w:highlight w:val="none"/>
                <w:lang w:eastAsia="zh-CN"/>
              </w:rPr>
              <w:t>）</w:t>
            </w:r>
            <w:r>
              <w:rPr>
                <w:rFonts w:hint="eastAsia" w:ascii="宋体" w:eastAsia="宋体" w:cs="宋体"/>
                <w:color w:val="auto"/>
                <w:highlight w:val="none"/>
              </w:rPr>
              <w:t>。</w:t>
            </w:r>
          </w:p>
          <w:p w14:paraId="272DE570">
            <w:pPr>
              <w:keepNext w:val="0"/>
              <w:keepLines w:val="0"/>
              <w:pageBreakBefore w:val="0"/>
              <w:widowControl/>
              <w:tabs>
                <w:tab w:val="left" w:pos="5680"/>
              </w:tabs>
              <w:kinsoku/>
              <w:wordWrap/>
              <w:overflowPunct/>
              <w:topLinePunct w:val="0"/>
              <w:autoSpaceDE w:val="0"/>
              <w:autoSpaceDN w:val="0"/>
              <w:bidi w:val="0"/>
              <w:adjustRightInd w:val="0"/>
              <w:snapToGrid w:val="0"/>
              <w:spacing w:line="312" w:lineRule="auto"/>
              <w:ind w:right="105" w:rightChars="50"/>
              <w:jc w:val="both"/>
              <w:textAlignment w:val="baseline"/>
              <w:rPr>
                <w:rFonts w:hint="default" w:ascii="宋体" w:eastAsia="宋体" w:cs="宋体"/>
                <w:color w:val="auto"/>
                <w:highlight w:val="none"/>
                <w:lang w:val="en-US" w:eastAsia="zh-CN"/>
              </w:rPr>
            </w:pPr>
            <w:r>
              <w:rPr>
                <w:rFonts w:hint="eastAsia" w:ascii="宋体" w:eastAsia="宋体" w:cs="宋体"/>
                <w:color w:val="auto"/>
                <w:highlight w:val="none"/>
                <w:lang w:val="en-US" w:eastAsia="zh-CN"/>
              </w:rPr>
              <w:t xml:space="preserve">五、投标报价包含招标范围内的设备材料供货、运输（二次搬运）、卸货、保管、安装、调试、人员培训、售后服务等一切相关费用，供货、安装需根据招标人要求分批实施，按中标单价和实际工程量按实结算。本项目所涉及供货、安装点多面广，道路运输不便需产生二次搬运费用，现场停水协调及相关的政策处理、用户投诉处理等所产生的相关费用等均由投标人自行负责，投标人需自行勘查现场并充分考虑本项目的复杂性，合理报价。且投标人的安装（更换）施工队伍须经招标人考核合格后，才能实施（电磁流量计不包括安装）。 </w:t>
            </w:r>
          </w:p>
        </w:tc>
      </w:tr>
      <w:tr w14:paraId="301F6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3E6B35F3">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3.3.1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6690AAFD">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投标有效期</w:t>
            </w:r>
          </w:p>
        </w:tc>
        <w:tc>
          <w:tcPr>
            <w:tcW w:w="5920" w:type="dxa"/>
            <w:tcBorders>
              <w:top w:val="single" w:color="000000" w:sz="2" w:space="0"/>
              <w:left w:val="single" w:color="000000" w:sz="2" w:space="0"/>
              <w:bottom w:val="single" w:color="000000" w:sz="2" w:space="0"/>
              <w:right w:val="single" w:color="000000" w:sz="2" w:space="0"/>
            </w:tcBorders>
            <w:noWrap/>
          </w:tcPr>
          <w:p w14:paraId="022BDC17">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不少于</w:t>
            </w:r>
            <w:r>
              <w:rPr>
                <w:rFonts w:hint="eastAsia" w:ascii="宋体" w:eastAsia="宋体" w:cs="宋体"/>
                <w:color w:val="auto"/>
                <w:highlight w:val="none"/>
                <w:u w:val="single"/>
              </w:rPr>
              <w:t>120</w:t>
            </w:r>
            <w:r>
              <w:rPr>
                <w:rFonts w:ascii="宋体" w:eastAsia="宋体" w:cs="宋体"/>
                <w:color w:val="auto"/>
                <w:highlight w:val="none"/>
              </w:rPr>
              <w:t>个日历天</w:t>
            </w:r>
            <w:r>
              <w:rPr>
                <w:rFonts w:hint="eastAsia" w:ascii="宋体" w:eastAsia="宋体" w:cs="宋体"/>
                <w:color w:val="auto"/>
                <w:highlight w:val="none"/>
                <w:lang w:eastAsia="zh-CN"/>
              </w:rPr>
              <w:t>（</w:t>
            </w:r>
            <w:r>
              <w:rPr>
                <w:rFonts w:ascii="宋体" w:eastAsia="宋体" w:cs="宋体"/>
                <w:color w:val="auto"/>
                <w:highlight w:val="none"/>
              </w:rPr>
              <w:t>从投标截止之日起算</w:t>
            </w:r>
            <w:r>
              <w:rPr>
                <w:rFonts w:hint="eastAsia" w:ascii="宋体" w:eastAsia="宋体" w:cs="宋体"/>
                <w:color w:val="auto"/>
                <w:highlight w:val="none"/>
                <w:lang w:eastAsia="zh-CN"/>
              </w:rPr>
              <w:t>）</w:t>
            </w:r>
            <w:r>
              <w:rPr>
                <w:rFonts w:ascii="宋体" w:eastAsia="宋体" w:cs="宋体"/>
                <w:color w:val="auto"/>
                <w:highlight w:val="none"/>
              </w:rPr>
              <w:t>。</w:t>
            </w:r>
          </w:p>
        </w:tc>
      </w:tr>
      <w:tr w14:paraId="3332D5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455B924F">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3.4</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618806B2">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投标保证金数额</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C17A880">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投标保证金的金额与形式：见公告。</w:t>
            </w:r>
          </w:p>
        </w:tc>
      </w:tr>
      <w:tr w14:paraId="2C8857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1DE4ADE1">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3.5.2</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588D6847">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近年财务状况的年份要求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5AE3408">
            <w:pPr>
              <w:tabs>
                <w:tab w:val="left" w:pos="56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rPr>
              <w:t>/</w:t>
            </w:r>
          </w:p>
        </w:tc>
      </w:tr>
      <w:tr w14:paraId="645185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3D611E69">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3.5.3</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5E8CF67E">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近年完成的类似项目的年份要求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5D83FBC">
            <w:pPr>
              <w:tabs>
                <w:tab w:val="left" w:pos="5680"/>
              </w:tabs>
              <w:spacing w:line="312" w:lineRule="auto"/>
              <w:ind w:left="105" w:leftChars="50" w:right="105" w:rightChars="50"/>
              <w:jc w:val="both"/>
              <w:rPr>
                <w:rFonts w:ascii="宋体" w:eastAsia="宋体" w:cs="宋体"/>
                <w:color w:val="auto"/>
                <w:highlight w:val="none"/>
              </w:rPr>
            </w:pPr>
            <w:bookmarkStart w:id="77" w:name="EBdba3d28d83e447b0b8d657e917a28616"/>
            <w:r>
              <w:rPr>
                <w:rFonts w:hint="eastAsia"/>
                <w:color w:val="auto"/>
                <w:highlight w:val="none"/>
              </w:rPr>
              <w:t>详见招标公告</w:t>
            </w:r>
            <w:bookmarkEnd w:id="77"/>
            <w:r>
              <w:rPr>
                <w:rFonts w:hint="eastAsia"/>
                <w:color w:val="auto"/>
                <w:highlight w:val="none"/>
              </w:rPr>
              <w:t>及评标办法</w:t>
            </w:r>
          </w:p>
        </w:tc>
      </w:tr>
      <w:tr w14:paraId="082202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0C556F44">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3.5.5</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3676E2D6">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近年发生的重大诉讼及仲裁情况的年份要求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0D221AEB">
            <w:pPr>
              <w:tabs>
                <w:tab w:val="left" w:pos="56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rPr>
              <w:t>/</w:t>
            </w:r>
          </w:p>
        </w:tc>
      </w:tr>
      <w:tr w14:paraId="1B08A1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1FA7372E">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3.5.7</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0B7F0142">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实质性响应招标文件及评审打分资料</w:t>
            </w:r>
          </w:p>
        </w:tc>
        <w:tc>
          <w:tcPr>
            <w:tcW w:w="5920" w:type="dxa"/>
            <w:tcBorders>
              <w:top w:val="single" w:color="000000" w:sz="2" w:space="0"/>
              <w:left w:val="single" w:color="000000" w:sz="2" w:space="0"/>
              <w:bottom w:val="single" w:color="000000" w:sz="2" w:space="0"/>
              <w:right w:val="single" w:color="000000" w:sz="2" w:space="0"/>
            </w:tcBorders>
            <w:noWrap/>
          </w:tcPr>
          <w:p w14:paraId="280AA727">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position w:val="2"/>
                <w:highlight w:val="none"/>
              </w:rPr>
              <w:t>一、实质性响应招标文件资料</w:t>
            </w:r>
          </w:p>
          <w:p w14:paraId="7F1D94C0">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position w:val="1"/>
                <w:highlight w:val="none"/>
              </w:rPr>
              <w:t>1.企业法人营业执照；</w:t>
            </w:r>
          </w:p>
          <w:p w14:paraId="232142A6">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2.法定代表人授权委托书</w:t>
            </w:r>
            <w:r>
              <w:rPr>
                <w:rFonts w:hint="eastAsia" w:ascii="宋体" w:eastAsia="宋体" w:cs="宋体"/>
                <w:color w:val="auto"/>
                <w:highlight w:val="none"/>
                <w:lang w:eastAsia="zh-CN"/>
              </w:rPr>
              <w:t>（</w:t>
            </w:r>
            <w:r>
              <w:rPr>
                <w:rFonts w:ascii="宋体" w:eastAsia="宋体" w:cs="宋体"/>
                <w:color w:val="auto"/>
                <w:highlight w:val="none"/>
              </w:rPr>
              <w:t>投标文件委托代理人签字的提供</w:t>
            </w:r>
            <w:r>
              <w:rPr>
                <w:rFonts w:hint="eastAsia" w:ascii="宋体" w:eastAsia="宋体" w:cs="宋体"/>
                <w:color w:val="auto"/>
                <w:highlight w:val="none"/>
                <w:lang w:eastAsia="zh-CN"/>
              </w:rPr>
              <w:t>）</w:t>
            </w:r>
            <w:r>
              <w:rPr>
                <w:rFonts w:ascii="宋体" w:eastAsia="宋体" w:cs="宋体"/>
                <w:color w:val="auto"/>
                <w:highlight w:val="none"/>
              </w:rPr>
              <w:t>；</w:t>
            </w:r>
          </w:p>
          <w:p w14:paraId="1B463D9A">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eastAsia="zh-CN"/>
              </w:rPr>
              <w:t>□</w:t>
            </w:r>
            <w:r>
              <w:rPr>
                <w:rFonts w:ascii="宋体" w:eastAsia="宋体" w:cs="宋体"/>
                <w:color w:val="auto"/>
                <w:highlight w:val="none"/>
              </w:rPr>
              <w:t>3.联合体各方签订的共同投标协议</w:t>
            </w:r>
            <w:r>
              <w:rPr>
                <w:rFonts w:hint="eastAsia" w:ascii="宋体" w:eastAsia="宋体" w:cs="宋体"/>
                <w:color w:val="auto"/>
                <w:highlight w:val="none"/>
                <w:lang w:eastAsia="zh-CN"/>
              </w:rPr>
              <w:t>（</w:t>
            </w:r>
            <w:r>
              <w:rPr>
                <w:rFonts w:ascii="宋体" w:eastAsia="宋体" w:cs="宋体"/>
                <w:color w:val="auto"/>
                <w:highlight w:val="none"/>
              </w:rPr>
              <w:t>联合体投标的提供</w:t>
            </w:r>
            <w:r>
              <w:rPr>
                <w:rFonts w:hint="eastAsia" w:ascii="宋体" w:eastAsia="宋体" w:cs="宋体"/>
                <w:color w:val="auto"/>
                <w:highlight w:val="none"/>
                <w:lang w:eastAsia="zh-CN"/>
              </w:rPr>
              <w:t>）</w:t>
            </w:r>
            <w:r>
              <w:rPr>
                <w:rFonts w:ascii="宋体" w:eastAsia="宋体" w:cs="宋体"/>
                <w:color w:val="auto"/>
                <w:highlight w:val="none"/>
              </w:rPr>
              <w:t>；</w:t>
            </w:r>
          </w:p>
          <w:p w14:paraId="707FB568">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4.投标保证金缴纳证明资料</w:t>
            </w:r>
            <w:r>
              <w:rPr>
                <w:rFonts w:hint="eastAsia" w:cs="Times New Roman"/>
                <w:bCs/>
                <w:color w:val="auto"/>
                <w:highlight w:val="none"/>
              </w:rPr>
              <w:t>（银行转账记录或银行保函或投标保险保单或担保保函</w:t>
            </w:r>
            <w:r>
              <w:rPr>
                <w:rFonts w:hint="eastAsia" w:ascii="Times New Roman" w:hAnsi="Times New Roman" w:cs="Times New Roman"/>
                <w:color w:val="auto"/>
                <w:highlight w:val="none"/>
              </w:rPr>
              <w:t>，</w:t>
            </w:r>
            <w:r>
              <w:rPr>
                <w:rFonts w:ascii="Times New Roman" w:hAnsi="Times New Roman" w:cs="Times New Roman"/>
                <w:color w:val="auto"/>
                <w:highlight w:val="none"/>
              </w:rPr>
              <w:t>购买保险或办理保函、担保等保证金相关费用从投标人基本账户转出的凭证，基本账户开</w:t>
            </w:r>
            <w:r>
              <w:rPr>
                <w:rFonts w:hint="eastAsia" w:ascii="Times New Roman" w:hAnsi="Times New Roman" w:cs="Times New Roman"/>
                <w:color w:val="auto"/>
                <w:highlight w:val="none"/>
              </w:rPr>
              <w:t>户证明</w:t>
            </w:r>
            <w:r>
              <w:rPr>
                <w:rFonts w:ascii="Times New Roman" w:hAnsi="Times New Roman" w:cs="Times New Roman"/>
                <w:color w:val="auto"/>
                <w:highlight w:val="none"/>
              </w:rPr>
              <w:t>）</w:t>
            </w:r>
            <w:r>
              <w:rPr>
                <w:rFonts w:ascii="宋体" w:eastAsia="宋体" w:cs="宋体"/>
                <w:color w:val="auto"/>
                <w:highlight w:val="none"/>
              </w:rPr>
              <w:t>；</w:t>
            </w:r>
          </w:p>
          <w:p w14:paraId="64FF4A7D">
            <w:pPr>
              <w:tabs>
                <w:tab w:val="left" w:pos="56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lang w:eastAsia="zh-CN"/>
              </w:rPr>
              <w:t>□</w:t>
            </w:r>
            <w:r>
              <w:rPr>
                <w:rFonts w:hint="eastAsia" w:ascii="宋体" w:eastAsia="宋体" w:cs="宋体"/>
                <w:color w:val="auto"/>
                <w:highlight w:val="none"/>
              </w:rPr>
              <w:t>5</w:t>
            </w:r>
            <w:r>
              <w:rPr>
                <w:rFonts w:ascii="宋体" w:eastAsia="宋体" w:cs="宋体"/>
                <w:color w:val="auto"/>
                <w:highlight w:val="none"/>
              </w:rPr>
              <w:t>.</w:t>
            </w:r>
            <w:r>
              <w:rPr>
                <w:rFonts w:hint="eastAsia" w:ascii="宋体" w:eastAsia="宋体" w:cs="宋体"/>
                <w:color w:val="auto"/>
                <w:highlight w:val="none"/>
              </w:rPr>
              <w:t>中小企业声明函；</w:t>
            </w:r>
          </w:p>
          <w:p w14:paraId="31D35158">
            <w:pPr>
              <w:tabs>
                <w:tab w:val="left" w:pos="5680"/>
              </w:tabs>
              <w:spacing w:line="312" w:lineRule="auto"/>
              <w:ind w:left="105" w:leftChars="50" w:right="105" w:rightChars="50"/>
              <w:jc w:val="both"/>
              <w:rPr>
                <w:rFonts w:hint="eastAsia" w:ascii="宋体" w:eastAsia="宋体" w:cs="宋体"/>
                <w:color w:val="auto"/>
                <w:highlight w:val="none"/>
                <w:lang w:val="en-US" w:eastAsia="zh-CN"/>
              </w:rPr>
            </w:pPr>
            <w:r>
              <w:rPr>
                <w:rFonts w:hint="eastAsia" w:ascii="宋体" w:eastAsia="宋体" w:cs="宋体"/>
                <w:color w:val="auto"/>
                <w:highlight w:val="none"/>
                <w:lang w:val="en-US" w:eastAsia="zh-CN"/>
              </w:rPr>
              <w:t>6.投标承诺书</w:t>
            </w:r>
            <w:r>
              <w:rPr>
                <w:rFonts w:hint="eastAsia" w:ascii="宋体" w:eastAsia="宋体" w:cs="宋体"/>
                <w:color w:val="auto"/>
                <w:highlight w:val="none"/>
                <w:lang w:eastAsia="zh-CN"/>
              </w:rPr>
              <w:t>；</w:t>
            </w:r>
          </w:p>
          <w:p w14:paraId="2AA394F5">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val="en-US" w:eastAsia="zh-CN"/>
              </w:rPr>
              <w:t>7.</w:t>
            </w:r>
            <w:r>
              <w:rPr>
                <w:rFonts w:hint="eastAsia" w:ascii="宋体" w:eastAsia="宋体" w:cs="宋体"/>
                <w:color w:val="auto"/>
                <w:highlight w:val="none"/>
              </w:rPr>
              <w:t>投标人符合招标公告要求的证明材料：</w:t>
            </w:r>
            <w:r>
              <w:rPr>
                <w:rFonts w:hint="eastAsia" w:ascii="宋体" w:eastAsia="宋体" w:cs="宋体"/>
                <w:color w:val="auto"/>
                <w:highlight w:val="none"/>
                <w:lang w:eastAsia="zh-CN"/>
              </w:rPr>
              <w:t>中标通知书</w:t>
            </w:r>
            <w:r>
              <w:rPr>
                <w:rFonts w:hint="eastAsia" w:ascii="宋体" w:eastAsia="宋体" w:cs="宋体"/>
                <w:color w:val="auto"/>
                <w:highlight w:val="none"/>
              </w:rPr>
              <w:t>复制件</w:t>
            </w:r>
            <w:r>
              <w:rPr>
                <w:rFonts w:hint="eastAsia" w:ascii="宋体" w:eastAsia="宋体" w:cs="宋体"/>
                <w:color w:val="auto"/>
                <w:highlight w:val="none"/>
                <w:lang w:eastAsia="zh-CN"/>
              </w:rPr>
              <w:t>、</w:t>
            </w:r>
            <w:r>
              <w:rPr>
                <w:rFonts w:hint="eastAsia" w:ascii="宋体" w:eastAsia="宋体" w:cs="宋体"/>
                <w:color w:val="auto"/>
                <w:highlight w:val="none"/>
              </w:rPr>
              <w:t>合同复制件，其所能承载的证明内容应符合业绩要求的具体表述</w:t>
            </w:r>
            <w:r>
              <w:rPr>
                <w:rFonts w:ascii="宋体" w:eastAsia="宋体" w:cs="宋体"/>
                <w:color w:val="auto"/>
                <w:highlight w:val="none"/>
              </w:rPr>
              <w:t>。</w:t>
            </w:r>
          </w:p>
          <w:p w14:paraId="21300712">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position w:val="1"/>
                <w:highlight w:val="none"/>
              </w:rPr>
              <w:t>二、评审打分资料</w:t>
            </w:r>
          </w:p>
          <w:p w14:paraId="06F62E59">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w:t>
            </w:r>
            <w:r>
              <w:rPr>
                <w:rFonts w:hint="eastAsia" w:ascii="宋体" w:eastAsia="宋体" w:cs="宋体"/>
                <w:color w:val="auto"/>
                <w:highlight w:val="none"/>
              </w:rPr>
              <w:t>符合评标办法要求的证明材料：</w:t>
            </w:r>
            <w:r>
              <w:rPr>
                <w:rFonts w:hint="eastAsia" w:ascii="宋体" w:eastAsia="宋体" w:cs="宋体"/>
                <w:color w:val="auto"/>
                <w:highlight w:val="none"/>
                <w:lang w:eastAsia="zh-CN"/>
              </w:rPr>
              <w:t>中标通知书</w:t>
            </w:r>
            <w:r>
              <w:rPr>
                <w:rFonts w:hint="eastAsia" w:ascii="宋体" w:eastAsia="宋体" w:cs="宋体"/>
                <w:color w:val="auto"/>
                <w:highlight w:val="none"/>
              </w:rPr>
              <w:t>复制件</w:t>
            </w:r>
            <w:r>
              <w:rPr>
                <w:rFonts w:hint="eastAsia" w:ascii="宋体" w:eastAsia="宋体" w:cs="宋体"/>
                <w:color w:val="auto"/>
                <w:highlight w:val="none"/>
                <w:lang w:eastAsia="zh-CN"/>
              </w:rPr>
              <w:t>、</w:t>
            </w:r>
            <w:r>
              <w:rPr>
                <w:rFonts w:hint="eastAsia" w:ascii="宋体" w:eastAsia="宋体" w:cs="宋体"/>
                <w:color w:val="auto"/>
                <w:highlight w:val="none"/>
              </w:rPr>
              <w:t>合同复制件，其所能承载的证明内容应符合业绩要求的具体表述。</w:t>
            </w:r>
          </w:p>
          <w:p w14:paraId="0AA5EF49">
            <w:pPr>
              <w:tabs>
                <w:tab w:val="left" w:pos="5680"/>
              </w:tabs>
              <w:spacing w:line="312" w:lineRule="auto"/>
              <w:ind w:left="105" w:leftChars="50" w:right="105" w:rightChars="50" w:firstLine="420" w:firstLineChars="200"/>
              <w:jc w:val="both"/>
              <w:rPr>
                <w:rFonts w:ascii="宋体" w:eastAsia="宋体" w:cs="宋体"/>
                <w:color w:val="auto"/>
                <w:highlight w:val="none"/>
              </w:rPr>
            </w:pPr>
            <w:r>
              <w:rPr>
                <w:rFonts w:ascii="宋体" w:eastAsia="宋体" w:cs="宋体"/>
                <w:color w:val="auto"/>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14:paraId="0AACC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7ACDC81A">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3.6</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7E8B89A1">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position w:val="12"/>
                <w:highlight w:val="none"/>
              </w:rPr>
              <w:t>是否允许递交</w:t>
            </w:r>
          </w:p>
          <w:p w14:paraId="352F36E9">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备选投标方案</w:t>
            </w:r>
          </w:p>
        </w:tc>
        <w:tc>
          <w:tcPr>
            <w:tcW w:w="5920" w:type="dxa"/>
            <w:tcBorders>
              <w:top w:val="single" w:color="000000" w:sz="2" w:space="0"/>
              <w:left w:val="single" w:color="000000" w:sz="2" w:space="0"/>
              <w:bottom w:val="single" w:color="000000" w:sz="2" w:space="0"/>
              <w:right w:val="single" w:color="000000" w:sz="2" w:space="0"/>
            </w:tcBorders>
            <w:noWrap/>
          </w:tcPr>
          <w:p w14:paraId="17332B56">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w:t>
            </w:r>
            <w:r>
              <w:rPr>
                <w:rFonts w:ascii="宋体" w:eastAsia="宋体" w:cs="宋体"/>
                <w:color w:val="auto"/>
                <w:highlight w:val="none"/>
              </w:rPr>
              <w:t>不允许。</w:t>
            </w:r>
          </w:p>
          <w:p w14:paraId="6A9C87BC">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w:t>
            </w:r>
            <w:r>
              <w:rPr>
                <w:rFonts w:ascii="宋体" w:eastAsia="宋体" w:cs="宋体"/>
                <w:color w:val="auto"/>
                <w:highlight w:val="none"/>
              </w:rPr>
              <w:t>允许。</w:t>
            </w:r>
          </w:p>
        </w:tc>
      </w:tr>
      <w:tr w14:paraId="501876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6291A358">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3.7.3</w:t>
            </w:r>
            <w:r>
              <w:rPr>
                <w:rFonts w:hint="eastAsia" w:ascii="宋体" w:eastAsia="宋体" w:cs="宋体"/>
                <w:color w:val="auto"/>
                <w:highlight w:val="none"/>
                <w:lang w:eastAsia="zh-CN"/>
              </w:rPr>
              <w:t>(</w:t>
            </w:r>
            <w:r>
              <w:rPr>
                <w:rFonts w:hint="eastAsia" w:ascii="宋体" w:eastAsia="宋体" w:cs="宋体"/>
                <w:color w:val="auto"/>
                <w:highlight w:val="none"/>
              </w:rPr>
              <w:t>1</w:t>
            </w:r>
            <w:r>
              <w:rPr>
                <w:rFonts w:hint="eastAsia" w:ascii="宋体" w:eastAsia="宋体" w:cs="宋体"/>
                <w:color w:val="auto"/>
                <w:highlight w:val="none"/>
                <w:lang w:eastAsia="zh-CN"/>
              </w:rPr>
              <w:t>)</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41BD9B77">
            <w:pPr>
              <w:tabs>
                <w:tab w:val="left" w:pos="14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lang w:eastAsia="zh-CN"/>
              </w:rPr>
              <w:t>□</w:t>
            </w:r>
            <w:r>
              <w:rPr>
                <w:rFonts w:hint="eastAsia" w:ascii="宋体" w:eastAsia="宋体" w:cs="宋体"/>
                <w:strike w:val="0"/>
                <w:dstrike w:val="0"/>
                <w:color w:val="auto"/>
                <w:highlight w:val="none"/>
              </w:rPr>
              <w:t>纸质投标文件</w:t>
            </w:r>
            <w:r>
              <w:rPr>
                <w:rFonts w:ascii="宋体" w:eastAsia="宋体" w:cs="宋体"/>
                <w:strike w:val="0"/>
                <w:dstrike w:val="0"/>
                <w:color w:val="auto"/>
                <w:highlight w:val="none"/>
              </w:rPr>
              <w:t>签字或盖章要求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6B7B690">
            <w:pPr>
              <w:tabs>
                <w:tab w:val="left" w:pos="56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rPr>
              <w:t>按招标文件要求盖单位公章、法定代表人签字或盖章。委托代理人签字的，投标文件应附法定代表人签署的授权委托书。</w:t>
            </w:r>
          </w:p>
        </w:tc>
      </w:tr>
      <w:tr w14:paraId="54A6B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vMerge w:val="restart"/>
            <w:tcBorders>
              <w:top w:val="single" w:color="000000" w:sz="2" w:space="0"/>
              <w:left w:val="single" w:color="000000" w:sz="2" w:space="0"/>
              <w:bottom w:val="single" w:color="000000" w:sz="2" w:space="0"/>
              <w:right w:val="single" w:color="000000" w:sz="2" w:space="0"/>
            </w:tcBorders>
            <w:noWrap/>
            <w:vAlign w:val="center"/>
          </w:tcPr>
          <w:p w14:paraId="0F7EAA93">
            <w:pPr>
              <w:spacing w:line="312" w:lineRule="auto"/>
              <w:ind w:left="105" w:leftChars="50" w:right="105" w:rightChars="50"/>
              <w:jc w:val="both"/>
              <w:rPr>
                <w:rFonts w:ascii="宋体" w:eastAsia="宋体" w:cs="宋体"/>
                <w:strike w:val="0"/>
                <w:dstrike w:val="0"/>
                <w:color w:val="auto"/>
                <w:highlight w:val="none"/>
              </w:rPr>
            </w:pPr>
            <w:r>
              <w:rPr>
                <w:rFonts w:ascii="宋体" w:eastAsia="宋体" w:cs="宋体"/>
                <w:strike w:val="0"/>
                <w:dstrike w:val="0"/>
                <w:color w:val="auto"/>
                <w:highlight w:val="none"/>
              </w:rPr>
              <w:t>3.7.3</w:t>
            </w:r>
            <w:r>
              <w:rPr>
                <w:rFonts w:hint="eastAsia" w:ascii="宋体" w:eastAsia="宋体" w:cs="宋体"/>
                <w:strike w:val="0"/>
                <w:dstrike w:val="0"/>
                <w:color w:val="auto"/>
                <w:highlight w:val="none"/>
                <w:lang w:eastAsia="zh-CN"/>
              </w:rPr>
              <w:t>(</w:t>
            </w:r>
            <w:r>
              <w:rPr>
                <w:rFonts w:hint="eastAsia" w:ascii="宋体" w:eastAsia="宋体" w:cs="宋体"/>
                <w:strike w:val="0"/>
                <w:dstrike w:val="0"/>
                <w:color w:val="auto"/>
                <w:highlight w:val="none"/>
              </w:rPr>
              <w:t>2</w:t>
            </w:r>
            <w:r>
              <w:rPr>
                <w:rFonts w:hint="eastAsia" w:ascii="宋体" w:eastAsia="宋体" w:cs="宋体"/>
                <w:strike w:val="0"/>
                <w:dstrike w:val="0"/>
                <w:color w:val="auto"/>
                <w:highlight w:val="none"/>
                <w:lang w:eastAsia="zh-CN"/>
              </w:rPr>
              <w:t>)</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50FB8B0C">
            <w:pPr>
              <w:pStyle w:val="48"/>
              <w:rPr>
                <w:strike w:val="0"/>
                <w:dstrike w:val="0"/>
                <w:color w:val="auto"/>
                <w:highlight w:val="none"/>
              </w:rPr>
            </w:pPr>
            <w:r>
              <w:rPr>
                <w:rFonts w:hint="eastAsia" w:ascii="宋体" w:eastAsia="宋体" w:cs="宋体"/>
                <w:strike w:val="0"/>
                <w:dstrike w:val="0"/>
                <w:color w:val="auto"/>
                <w:highlight w:val="none"/>
                <w:lang w:eastAsia="zh-CN"/>
              </w:rPr>
              <w:t>☑</w:t>
            </w:r>
            <w:r>
              <w:rPr>
                <w:rFonts w:hint="eastAsia"/>
                <w:strike w:val="0"/>
                <w:dstrike w:val="0"/>
                <w:color w:val="auto"/>
                <w:highlight w:val="none"/>
              </w:rPr>
              <w:t>电子投标文件盖章要求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29C4BDDD">
            <w:pPr>
              <w:pStyle w:val="48"/>
              <w:rPr>
                <w:strike w:val="0"/>
                <w:dstrike w:val="0"/>
                <w:color w:val="auto"/>
                <w:highlight w:val="none"/>
              </w:rPr>
            </w:pPr>
            <w:r>
              <w:rPr>
                <w:rFonts w:hint="eastAsia"/>
                <w:strike w:val="0"/>
                <w:dstrike w:val="0"/>
                <w:color w:val="auto"/>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3FB47CA2">
            <w:pPr>
              <w:tabs>
                <w:tab w:val="left" w:pos="56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rPr>
              <w:t>2.</w:t>
            </w:r>
            <w:r>
              <w:rPr>
                <w:rFonts w:hint="eastAsia" w:ascii="宋体" w:eastAsia="宋体" w:cs="宋体"/>
                <w:color w:val="auto"/>
                <w:highlight w:val="none"/>
              </w:rPr>
              <w:t>☑</w:t>
            </w:r>
            <w:r>
              <w:rPr>
                <w:rFonts w:hint="eastAsia" w:ascii="宋体" w:eastAsia="宋体" w:cs="宋体"/>
                <w:strike w:val="0"/>
                <w:dstrike w:val="0"/>
                <w:color w:val="auto"/>
                <w:highlight w:val="none"/>
              </w:rPr>
              <w:t>投标文件所附证书证件、业绩证明文件、投标保证金等证明材料用原件扫描件并加盖投标单位电子印章；</w:t>
            </w:r>
          </w:p>
        </w:tc>
      </w:tr>
      <w:tr w14:paraId="0F61E1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vMerge w:val="continue"/>
            <w:tcBorders>
              <w:top w:val="single" w:color="000000" w:sz="2" w:space="0"/>
              <w:left w:val="single" w:color="000000" w:sz="2" w:space="0"/>
              <w:bottom w:val="single" w:color="000000" w:sz="2" w:space="0"/>
              <w:right w:val="single" w:color="000000" w:sz="2" w:space="0"/>
            </w:tcBorders>
            <w:noWrap/>
            <w:vAlign w:val="center"/>
          </w:tcPr>
          <w:p w14:paraId="5504AD5A">
            <w:pPr>
              <w:rPr>
                <w:color w:val="auto"/>
                <w:highlight w:val="none"/>
              </w:rPr>
            </w:pP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394AAA9B">
            <w:pPr>
              <w:pStyle w:val="48"/>
              <w:rPr>
                <w:strike w:val="0"/>
                <w:dstrike w:val="0"/>
                <w:color w:val="auto"/>
                <w:highlight w:val="none"/>
              </w:rPr>
            </w:pPr>
            <w:r>
              <w:rPr>
                <w:rFonts w:hint="eastAsia" w:ascii="宋体" w:eastAsia="宋体" w:cs="宋体"/>
                <w:strike w:val="0"/>
                <w:dstrike w:val="0"/>
                <w:color w:val="auto"/>
                <w:highlight w:val="none"/>
                <w:lang w:eastAsia="zh-CN"/>
              </w:rPr>
              <w:t>☑</w:t>
            </w:r>
            <w:r>
              <w:rPr>
                <w:rFonts w:hint="eastAsia"/>
                <w:strike w:val="0"/>
                <w:dstrike w:val="0"/>
                <w:color w:val="auto"/>
                <w:highlight w:val="none"/>
              </w:rPr>
              <w:t>电子投标文件加密章要求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3AF4C0B">
            <w:pPr>
              <w:pStyle w:val="48"/>
              <w:rPr>
                <w:strike w:val="0"/>
                <w:dstrike w:val="0"/>
                <w:color w:val="auto"/>
                <w:highlight w:val="none"/>
              </w:rPr>
            </w:pPr>
            <w:r>
              <w:rPr>
                <w:rFonts w:hint="eastAsia"/>
                <w:strike w:val="0"/>
                <w:dstrike w:val="0"/>
                <w:color w:val="auto"/>
                <w:highlight w:val="none"/>
              </w:rPr>
              <w:t>电子投标的项目，在投标截止时间前，将由投标工具软件制作生成的加密投标文件上传至绍兴市公共资源交易中心电子招投标交易平台。</w:t>
            </w:r>
          </w:p>
          <w:p w14:paraId="03BB7835">
            <w:pPr>
              <w:pStyle w:val="48"/>
              <w:rPr>
                <w:strike w:val="0"/>
                <w:dstrike w:val="0"/>
                <w:color w:val="auto"/>
                <w:highlight w:val="none"/>
              </w:rPr>
            </w:pPr>
            <w:r>
              <w:rPr>
                <w:rFonts w:hint="eastAsia"/>
                <w:strike w:val="0"/>
                <w:dstrike w:val="0"/>
                <w:color w:val="auto"/>
                <w:highlight w:val="none"/>
              </w:rPr>
              <w:t>其他：</w:t>
            </w:r>
            <w:r>
              <w:rPr>
                <w:rFonts w:hint="eastAsia"/>
                <w:strike w:val="0"/>
                <w:dstrike w:val="0"/>
                <w:color w:val="auto"/>
                <w:highlight w:val="none"/>
                <w:u w:val="single"/>
              </w:rPr>
              <w:t>/</w:t>
            </w:r>
            <w:r>
              <w:rPr>
                <w:rFonts w:hint="eastAsia"/>
                <w:strike w:val="0"/>
                <w:dstrike w:val="0"/>
                <w:color w:val="auto"/>
                <w:highlight w:val="none"/>
              </w:rPr>
              <w:t>。</w:t>
            </w:r>
          </w:p>
        </w:tc>
      </w:tr>
      <w:tr w14:paraId="67488C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6AABD021">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3.7.4</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36A57839">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投标文件份数</w:t>
            </w:r>
          </w:p>
        </w:tc>
        <w:tc>
          <w:tcPr>
            <w:tcW w:w="5920" w:type="dxa"/>
            <w:tcBorders>
              <w:top w:val="single" w:color="000000" w:sz="2" w:space="0"/>
              <w:left w:val="single" w:color="000000" w:sz="2" w:space="0"/>
              <w:bottom w:val="single" w:color="000000" w:sz="2" w:space="0"/>
              <w:right w:val="single" w:color="000000" w:sz="2" w:space="0"/>
            </w:tcBorders>
            <w:noWrap/>
          </w:tcPr>
          <w:p w14:paraId="61129690">
            <w:pPr>
              <w:tabs>
                <w:tab w:val="left" w:pos="5680"/>
              </w:tabs>
              <w:spacing w:line="312" w:lineRule="auto"/>
              <w:ind w:left="105" w:leftChars="50" w:right="105" w:rightChars="50"/>
              <w:jc w:val="both"/>
              <w:rPr>
                <w:rFonts w:hint="eastAsia" w:ascii="宋体" w:eastAsia="宋体" w:cs="宋体"/>
                <w:color w:val="auto"/>
                <w:highlight w:val="none"/>
                <w:lang w:val="en-US" w:eastAsia="zh-CN"/>
              </w:rPr>
            </w:pPr>
            <w:r>
              <w:rPr>
                <w:rFonts w:hint="eastAsia" w:ascii="宋体" w:eastAsia="宋体" w:cs="宋体"/>
                <w:color w:val="auto"/>
                <w:highlight w:val="none"/>
                <w:lang w:val="en-US" w:eastAsia="zh-CN"/>
              </w:rPr>
              <w:t>/</w:t>
            </w:r>
          </w:p>
        </w:tc>
      </w:tr>
      <w:tr w14:paraId="209E5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0E2BEA72">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4.1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18055282">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光盘、样品等材料的包装和标记</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BB6924A">
            <w:pPr>
              <w:tabs>
                <w:tab w:val="left" w:pos="56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rPr>
              <w:t>4.1.1 根据技术标评审中“样品展示”评审要求进行制作。</w:t>
            </w:r>
          </w:p>
          <w:p w14:paraId="0E939023">
            <w:pPr>
              <w:tabs>
                <w:tab w:val="left" w:pos="56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rPr>
              <w:t>4.1.2样品须单独密封封装，在密封箱上须清楚标明“样品”字样，并在密封箱加盖投标人公章。</w:t>
            </w:r>
          </w:p>
          <w:p w14:paraId="429E0A40">
            <w:pPr>
              <w:tabs>
                <w:tab w:val="left" w:pos="56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rPr>
              <w:t>4.1.3本项目样品采用现场递交形式：在开标当日08:30时至09:00时递交至绍兴市公共资源交易中心</w:t>
            </w:r>
            <w:r>
              <w:rPr>
                <w:rFonts w:hint="eastAsia" w:ascii="宋体" w:eastAsia="宋体" w:cs="宋体"/>
                <w:color w:val="auto"/>
                <w:highlight w:val="none"/>
                <w:lang w:eastAsia="zh-CN"/>
              </w:rPr>
              <w:t>二楼</w:t>
            </w:r>
            <w:r>
              <w:rPr>
                <w:rFonts w:hint="eastAsia" w:ascii="宋体" w:eastAsia="宋体" w:cs="宋体"/>
                <w:color w:val="auto"/>
                <w:highlight w:val="none"/>
              </w:rPr>
              <w:t>指定开标室，递交后即交即走。</w:t>
            </w:r>
          </w:p>
        </w:tc>
      </w:tr>
      <w:tr w14:paraId="45F99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0D9C30EB">
            <w:pPr>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rPr>
              <w:t>4.2</w:t>
            </w:r>
          </w:p>
        </w:tc>
        <w:tc>
          <w:tcPr>
            <w:tcW w:w="2305" w:type="dxa"/>
            <w:tcBorders>
              <w:top w:val="single" w:color="000000" w:sz="2" w:space="0"/>
              <w:left w:val="single" w:color="000000" w:sz="2" w:space="0"/>
              <w:bottom w:val="single" w:color="000000" w:sz="2" w:space="0"/>
              <w:right w:val="single" w:color="000000" w:sz="2" w:space="0"/>
            </w:tcBorders>
            <w:noWrap/>
          </w:tcPr>
          <w:p w14:paraId="21CF0E72">
            <w:pPr>
              <w:tabs>
                <w:tab w:val="left" w:pos="14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lang w:eastAsia="zh-CN"/>
              </w:rPr>
              <w:t>☑</w:t>
            </w:r>
            <w:r>
              <w:rPr>
                <w:rFonts w:hint="eastAsia" w:ascii="宋体" w:eastAsia="宋体" w:cs="宋体"/>
                <w:strike w:val="0"/>
                <w:dstrike w:val="0"/>
                <w:color w:val="auto"/>
                <w:highlight w:val="none"/>
              </w:rPr>
              <w:t>电子投标文件加密要求</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1868153">
            <w:pPr>
              <w:tabs>
                <w:tab w:val="left" w:pos="5680"/>
              </w:tabs>
              <w:spacing w:line="312" w:lineRule="auto"/>
              <w:ind w:left="105" w:leftChars="50" w:right="105" w:rightChars="50"/>
              <w:rPr>
                <w:rFonts w:ascii="宋体" w:eastAsia="宋体" w:cs="宋体"/>
                <w:strike w:val="0"/>
                <w:dstrike w:val="0"/>
                <w:color w:val="auto"/>
                <w:highlight w:val="none"/>
              </w:rPr>
            </w:pPr>
            <w:r>
              <w:rPr>
                <w:rFonts w:hint="eastAsia" w:ascii="宋体" w:eastAsia="宋体" w:cs="宋体"/>
                <w:strike w:val="0"/>
                <w:dstrike w:val="0"/>
                <w:color w:val="auto"/>
                <w:highlight w:val="none"/>
              </w:rPr>
              <w:t>使用投标工具软件编制生成的电子投标文件。</w:t>
            </w:r>
          </w:p>
        </w:tc>
      </w:tr>
      <w:tr w14:paraId="0737BB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vMerge w:val="restart"/>
            <w:tcBorders>
              <w:top w:val="single" w:color="000000" w:sz="2" w:space="0"/>
              <w:left w:val="single" w:color="000000" w:sz="2" w:space="0"/>
              <w:bottom w:val="single" w:color="000000" w:sz="2" w:space="0"/>
              <w:right w:val="single" w:color="000000" w:sz="2" w:space="0"/>
            </w:tcBorders>
            <w:noWrap/>
            <w:vAlign w:val="center"/>
          </w:tcPr>
          <w:p w14:paraId="15240FFB">
            <w:pPr>
              <w:spacing w:line="312" w:lineRule="auto"/>
              <w:ind w:right="105" w:rightChars="50" w:firstLine="210" w:firstLineChars="100"/>
              <w:jc w:val="both"/>
              <w:rPr>
                <w:rFonts w:ascii="宋体" w:eastAsia="宋体" w:cs="宋体"/>
                <w:color w:val="auto"/>
                <w:highlight w:val="none"/>
              </w:rPr>
            </w:pPr>
            <w:r>
              <w:rPr>
                <w:rFonts w:ascii="宋体" w:eastAsia="宋体" w:cs="宋体"/>
                <w:color w:val="auto"/>
                <w:highlight w:val="none"/>
              </w:rPr>
              <w:t>4.2.2</w:t>
            </w:r>
          </w:p>
        </w:tc>
        <w:tc>
          <w:tcPr>
            <w:tcW w:w="2305" w:type="dxa"/>
            <w:vMerge w:val="restart"/>
            <w:tcBorders>
              <w:top w:val="single" w:color="000000" w:sz="2" w:space="0"/>
              <w:left w:val="single" w:color="000000" w:sz="2" w:space="0"/>
              <w:bottom w:val="single" w:color="000000" w:sz="2" w:space="0"/>
              <w:right w:val="single" w:color="000000" w:sz="2" w:space="0"/>
            </w:tcBorders>
            <w:noWrap/>
            <w:vAlign w:val="center"/>
          </w:tcPr>
          <w:p w14:paraId="5EC53CE7">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递交投标文件方式和地点</w:t>
            </w:r>
          </w:p>
        </w:tc>
        <w:tc>
          <w:tcPr>
            <w:tcW w:w="5920" w:type="dxa"/>
            <w:tcBorders>
              <w:top w:val="single" w:color="000000" w:sz="2" w:space="0"/>
              <w:left w:val="single" w:color="000000" w:sz="2" w:space="0"/>
              <w:bottom w:val="single" w:color="000000" w:sz="2" w:space="0"/>
              <w:right w:val="single" w:color="000000" w:sz="2" w:space="0"/>
            </w:tcBorders>
            <w:noWrap/>
          </w:tcPr>
          <w:p w14:paraId="2019EEB5">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截止时间：</w:t>
            </w:r>
            <w:r>
              <w:rPr>
                <w:rFonts w:hint="eastAsia" w:ascii="宋体" w:eastAsia="宋体" w:cs="宋体"/>
                <w:color w:val="auto"/>
                <w:highlight w:val="none"/>
                <w:lang w:val="en-US" w:eastAsia="zh-CN"/>
              </w:rPr>
              <w:t>详见招标公告</w:t>
            </w:r>
          </w:p>
        </w:tc>
      </w:tr>
      <w:tr w14:paraId="267396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vMerge w:val="continue"/>
            <w:tcBorders>
              <w:top w:val="single" w:color="000000" w:sz="2" w:space="0"/>
              <w:left w:val="single" w:color="000000" w:sz="2" w:space="0"/>
              <w:bottom w:val="single" w:color="000000" w:sz="2" w:space="0"/>
              <w:right w:val="single" w:color="000000" w:sz="2" w:space="0"/>
            </w:tcBorders>
            <w:noWrap/>
            <w:vAlign w:val="center"/>
          </w:tcPr>
          <w:p w14:paraId="52BC77FA">
            <w:pPr>
              <w:rPr>
                <w:color w:val="auto"/>
                <w:highlight w:val="none"/>
              </w:rPr>
            </w:pPr>
          </w:p>
        </w:tc>
        <w:tc>
          <w:tcPr>
            <w:tcW w:w="2305" w:type="dxa"/>
            <w:vMerge w:val="continue"/>
            <w:tcBorders>
              <w:top w:val="single" w:color="000000" w:sz="2" w:space="0"/>
              <w:left w:val="single" w:color="000000" w:sz="2" w:space="0"/>
              <w:bottom w:val="single" w:color="000000" w:sz="2" w:space="0"/>
              <w:right w:val="single" w:color="000000" w:sz="2" w:space="0"/>
            </w:tcBorders>
            <w:noWrap/>
            <w:vAlign w:val="center"/>
          </w:tcPr>
          <w:p w14:paraId="7E85EE51">
            <w:pPr>
              <w:rPr>
                <w:color w:val="auto"/>
                <w:highlight w:val="none"/>
              </w:rPr>
            </w:pPr>
          </w:p>
        </w:tc>
        <w:tc>
          <w:tcPr>
            <w:tcW w:w="5920" w:type="dxa"/>
            <w:tcBorders>
              <w:top w:val="single" w:color="000000" w:sz="2" w:space="0"/>
              <w:left w:val="single" w:color="000000" w:sz="2" w:space="0"/>
              <w:bottom w:val="single" w:color="000000" w:sz="2" w:space="0"/>
              <w:right w:val="single" w:color="000000" w:sz="2" w:space="0"/>
            </w:tcBorders>
            <w:noWrap/>
          </w:tcPr>
          <w:p w14:paraId="3E366013">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本项目投标文件投标人采用</w:t>
            </w:r>
            <w:r>
              <w:rPr>
                <w:rFonts w:hint="eastAsia" w:ascii="宋体" w:eastAsia="宋体" w:cs="宋体"/>
                <w:color w:val="auto"/>
                <w:highlight w:val="none"/>
                <w:lang w:eastAsia="zh-CN"/>
              </w:rPr>
              <w:t>□</w:t>
            </w:r>
            <w:r>
              <w:rPr>
                <w:rFonts w:hint="eastAsia" w:ascii="宋体" w:eastAsia="宋体" w:cs="宋体"/>
                <w:color w:val="auto"/>
                <w:highlight w:val="none"/>
              </w:rPr>
              <w:t>现场递交/</w:t>
            </w:r>
            <w:r>
              <w:rPr>
                <w:rFonts w:hint="eastAsia" w:ascii="宋体" w:eastAsia="宋体" w:cs="宋体"/>
                <w:color w:val="auto"/>
                <w:highlight w:val="none"/>
                <w:lang w:eastAsia="zh-CN"/>
              </w:rPr>
              <w:t>☑</w:t>
            </w:r>
            <w:r>
              <w:rPr>
                <w:rFonts w:hint="eastAsia" w:ascii="宋体" w:eastAsia="宋体" w:cs="宋体"/>
                <w:color w:val="auto"/>
                <w:highlight w:val="none"/>
              </w:rPr>
              <w:t>电子投标文件上传平台。</w:t>
            </w:r>
          </w:p>
          <w:p w14:paraId="737F2C71">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eastAsia="zh-CN"/>
              </w:rPr>
              <w:t>□</w:t>
            </w:r>
            <w:r>
              <w:rPr>
                <w:rFonts w:hint="eastAsia" w:ascii="宋体" w:eastAsia="宋体" w:cs="宋体"/>
                <w:color w:val="auto"/>
                <w:highlight w:val="none"/>
              </w:rPr>
              <w:t>现场递交：投标人将密封的投标文件在开标当日09:00时至09:30时递交至绍兴市公共资源交易中心</w:t>
            </w:r>
            <w:r>
              <w:rPr>
                <w:rFonts w:hint="eastAsia" w:ascii="宋体" w:eastAsia="宋体" w:cs="宋体"/>
                <w:color w:val="auto"/>
                <w:highlight w:val="none"/>
                <w:lang w:val="en-US" w:eastAsia="zh-CN"/>
              </w:rPr>
              <w:t>二</w:t>
            </w:r>
            <w:r>
              <w:rPr>
                <w:rFonts w:hint="eastAsia" w:ascii="宋体" w:eastAsia="宋体" w:cs="宋体"/>
                <w:color w:val="auto"/>
                <w:highlight w:val="none"/>
              </w:rPr>
              <w:t>楼指定开标室，投标文件递交后即交即走。投标文件递交地址：</w:t>
            </w:r>
            <w:r>
              <w:rPr>
                <w:rFonts w:hint="eastAsia" w:ascii="宋体" w:eastAsia="宋体" w:cs="宋体"/>
                <w:color w:val="auto"/>
                <w:highlight w:val="none"/>
                <w:lang w:eastAsia="zh-CN"/>
              </w:rPr>
              <w:t>绍兴市越城区洋江西路699号梅山春晓二楼</w:t>
            </w:r>
            <w:r>
              <w:rPr>
                <w:rFonts w:hint="eastAsia" w:ascii="宋体" w:eastAsia="宋体" w:cs="宋体"/>
                <w:color w:val="auto"/>
                <w:highlight w:val="none"/>
              </w:rPr>
              <w:t>指定开标室（绍兴市公共资源交易中心）。</w:t>
            </w:r>
          </w:p>
        </w:tc>
      </w:tr>
      <w:tr w14:paraId="40DE2E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vMerge w:val="continue"/>
            <w:tcBorders>
              <w:top w:val="single" w:color="000000" w:sz="2" w:space="0"/>
              <w:left w:val="single" w:color="000000" w:sz="2" w:space="0"/>
              <w:bottom w:val="single" w:color="000000" w:sz="2" w:space="0"/>
              <w:right w:val="single" w:color="000000" w:sz="2" w:space="0"/>
            </w:tcBorders>
            <w:noWrap/>
            <w:vAlign w:val="center"/>
          </w:tcPr>
          <w:p w14:paraId="23F0B931">
            <w:pPr>
              <w:rPr>
                <w:color w:val="auto"/>
                <w:highlight w:val="none"/>
              </w:rPr>
            </w:pPr>
          </w:p>
        </w:tc>
        <w:tc>
          <w:tcPr>
            <w:tcW w:w="2305" w:type="dxa"/>
            <w:vMerge w:val="continue"/>
            <w:tcBorders>
              <w:top w:val="single" w:color="000000" w:sz="2" w:space="0"/>
              <w:left w:val="single" w:color="000000" w:sz="2" w:space="0"/>
              <w:bottom w:val="single" w:color="000000" w:sz="2" w:space="0"/>
              <w:right w:val="single" w:color="000000" w:sz="2" w:space="0"/>
            </w:tcBorders>
            <w:noWrap/>
            <w:vAlign w:val="center"/>
          </w:tcPr>
          <w:p w14:paraId="498BF449">
            <w:pPr>
              <w:rPr>
                <w:color w:val="auto"/>
                <w:highlight w:val="none"/>
              </w:rPr>
            </w:pPr>
          </w:p>
        </w:tc>
        <w:tc>
          <w:tcPr>
            <w:tcW w:w="5920" w:type="dxa"/>
            <w:tcBorders>
              <w:top w:val="single" w:color="000000" w:sz="2" w:space="0"/>
              <w:left w:val="single" w:color="000000" w:sz="2" w:space="0"/>
              <w:bottom w:val="single" w:color="000000" w:sz="2" w:space="0"/>
              <w:right w:val="single" w:color="000000" w:sz="2" w:space="0"/>
            </w:tcBorders>
            <w:noWrap/>
          </w:tcPr>
          <w:p w14:paraId="32F2546C">
            <w:pPr>
              <w:tabs>
                <w:tab w:val="left" w:pos="5680"/>
              </w:tabs>
              <w:spacing w:line="312" w:lineRule="auto"/>
              <w:ind w:left="105" w:leftChars="50" w:right="105" w:rightChars="50"/>
              <w:jc w:val="both"/>
              <w:rPr>
                <w:rFonts w:ascii="宋体" w:eastAsia="宋体" w:cs="宋体"/>
                <w:strike/>
                <w:dstrike w:val="0"/>
                <w:color w:val="auto"/>
                <w:highlight w:val="none"/>
              </w:rPr>
            </w:pPr>
            <w:r>
              <w:rPr>
                <w:rFonts w:hint="eastAsia" w:ascii="宋体" w:eastAsia="宋体" w:cs="宋体"/>
                <w:strike w:val="0"/>
                <w:dstrike w:val="0"/>
                <w:color w:val="auto"/>
                <w:highlight w:val="none"/>
                <w:lang w:eastAsia="zh-CN"/>
              </w:rPr>
              <w:t>☑</w:t>
            </w:r>
            <w:r>
              <w:rPr>
                <w:rFonts w:hint="eastAsia" w:ascii="宋体" w:eastAsia="宋体" w:cs="宋体"/>
                <w:strike w:val="0"/>
                <w:dstrike w:val="0"/>
                <w:color w:val="auto"/>
                <w:highlight w:val="none"/>
              </w:rPr>
              <w:t>使用专用密钥上传至绍兴市公共资源交易中心电子招投标交易平台（</w:t>
            </w:r>
            <w:r>
              <w:rPr>
                <w:rFonts w:hint="eastAsia" w:ascii="宋体" w:eastAsia="宋体" w:cs="宋体"/>
                <w:strike w:val="0"/>
                <w:dstrike w:val="0"/>
                <w:color w:val="auto"/>
                <w:highlight w:val="none"/>
                <w:lang w:eastAsia="zh-CN"/>
              </w:rPr>
              <w:t>http://220.187.225.202:8088/TPBidder-ztk/memberLogin</w:t>
            </w:r>
            <w:r>
              <w:rPr>
                <w:rFonts w:hint="eastAsia" w:ascii="宋体" w:eastAsia="宋体" w:cs="宋体"/>
                <w:strike w:val="0"/>
                <w:dstrike w:val="0"/>
                <w:color w:val="auto"/>
                <w:highlight w:val="none"/>
              </w:rPr>
              <w:t>）</w:t>
            </w:r>
          </w:p>
        </w:tc>
      </w:tr>
      <w:tr w14:paraId="314CB7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20E290F4">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4.2.3</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0173CDC9">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是否退还投标文件</w:t>
            </w:r>
          </w:p>
        </w:tc>
        <w:tc>
          <w:tcPr>
            <w:tcW w:w="5920" w:type="dxa"/>
            <w:tcBorders>
              <w:top w:val="single" w:color="000000" w:sz="2" w:space="0"/>
              <w:left w:val="single" w:color="000000" w:sz="2" w:space="0"/>
              <w:bottom w:val="single" w:color="000000" w:sz="2" w:space="0"/>
              <w:right w:val="single" w:color="000000" w:sz="2" w:space="0"/>
            </w:tcBorders>
            <w:noWrap/>
          </w:tcPr>
          <w:p w14:paraId="2E60ACA2">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eastAsia="zh-CN"/>
              </w:rPr>
              <w:t>☑</w:t>
            </w:r>
            <w:r>
              <w:rPr>
                <w:rFonts w:ascii="宋体" w:eastAsia="宋体" w:cs="宋体"/>
                <w:color w:val="auto"/>
                <w:highlight w:val="none"/>
              </w:rPr>
              <w:t>否</w:t>
            </w:r>
          </w:p>
          <w:p w14:paraId="7AD01AFB">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w:t>
            </w:r>
            <w:r>
              <w:rPr>
                <w:rFonts w:ascii="宋体" w:eastAsia="宋体" w:cs="宋体"/>
                <w:color w:val="auto"/>
                <w:highlight w:val="none"/>
              </w:rPr>
              <w:t>是。未中标的投标文件将予以退还。</w:t>
            </w:r>
          </w:p>
        </w:tc>
      </w:tr>
      <w:tr w14:paraId="5153FA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vMerge w:val="restart"/>
            <w:tcBorders>
              <w:top w:val="single" w:color="000000" w:sz="2" w:space="0"/>
              <w:left w:val="single" w:color="000000" w:sz="2" w:space="0"/>
              <w:bottom w:val="single" w:color="000000" w:sz="2" w:space="0"/>
              <w:right w:val="single" w:color="000000" w:sz="2" w:space="0"/>
            </w:tcBorders>
            <w:noWrap/>
            <w:vAlign w:val="center"/>
          </w:tcPr>
          <w:p w14:paraId="73655175">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4.4</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24A77B6B">
            <w:pPr>
              <w:tabs>
                <w:tab w:val="left" w:pos="14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lang w:eastAsia="zh-CN"/>
              </w:rPr>
              <w:t>□</w:t>
            </w:r>
            <w:r>
              <w:rPr>
                <w:rFonts w:ascii="宋体" w:eastAsia="宋体" w:cs="宋体"/>
                <w:strike w:val="0"/>
                <w:dstrike w:val="0"/>
                <w:color w:val="auto"/>
                <w:highlight w:val="none"/>
              </w:rPr>
              <w:t>投标文件的拒收</w:t>
            </w:r>
          </w:p>
          <w:p w14:paraId="50927DFB">
            <w:pPr>
              <w:tabs>
                <w:tab w:val="left" w:pos="1480"/>
              </w:tabs>
              <w:spacing w:line="312" w:lineRule="auto"/>
              <w:ind w:left="105" w:leftChars="50" w:right="105" w:rightChars="50"/>
              <w:jc w:val="both"/>
              <w:rPr>
                <w:rFonts w:ascii="宋体" w:eastAsia="宋体" w:cs="宋体"/>
                <w:strike w:val="0"/>
                <w:dstrike w:val="0"/>
                <w:color w:val="auto"/>
                <w:highlight w:val="none"/>
              </w:rPr>
            </w:pPr>
            <w:r>
              <w:rPr>
                <w:rFonts w:ascii="宋体" w:eastAsia="宋体" w:cs="宋体"/>
                <w:strike w:val="0"/>
                <w:dstrike w:val="0"/>
                <w:color w:val="auto"/>
                <w:highlight w:val="none"/>
              </w:rPr>
              <w:t>情形</w:t>
            </w:r>
          </w:p>
        </w:tc>
        <w:tc>
          <w:tcPr>
            <w:tcW w:w="5920" w:type="dxa"/>
            <w:tcBorders>
              <w:top w:val="single" w:color="000000" w:sz="2" w:space="0"/>
              <w:left w:val="single" w:color="000000" w:sz="2" w:space="0"/>
              <w:bottom w:val="single" w:color="000000" w:sz="2" w:space="0"/>
              <w:right w:val="single" w:color="000000" w:sz="2" w:space="0"/>
            </w:tcBorders>
            <w:noWrap/>
          </w:tcPr>
          <w:p w14:paraId="4BFAB810">
            <w:pPr>
              <w:tabs>
                <w:tab w:val="left" w:pos="5680"/>
              </w:tabs>
              <w:spacing w:line="312" w:lineRule="auto"/>
              <w:ind w:left="105" w:leftChars="50" w:right="105" w:rightChars="50"/>
              <w:jc w:val="both"/>
              <w:rPr>
                <w:rFonts w:ascii="宋体" w:eastAsia="宋体" w:cs="宋体"/>
                <w:strike w:val="0"/>
                <w:dstrike w:val="0"/>
                <w:color w:val="auto"/>
                <w:position w:val="2"/>
                <w:highlight w:val="none"/>
              </w:rPr>
            </w:pPr>
            <w:r>
              <w:rPr>
                <w:rFonts w:ascii="宋体" w:eastAsia="宋体" w:cs="宋体"/>
                <w:strike w:val="0"/>
                <w:dstrike w:val="0"/>
                <w:color w:val="auto"/>
                <w:position w:val="2"/>
                <w:highlight w:val="none"/>
              </w:rPr>
              <w:t>一、投标人未按规定</w:t>
            </w:r>
            <w:r>
              <w:rPr>
                <w:rFonts w:hint="eastAsia" w:ascii="宋体" w:eastAsia="宋体" w:cs="宋体"/>
                <w:strike w:val="0"/>
                <w:dstrike w:val="0"/>
                <w:color w:val="auto"/>
                <w:position w:val="2"/>
                <w:highlight w:val="none"/>
              </w:rPr>
              <w:t>密封或封套外信息与所投标段内容不符</w:t>
            </w:r>
            <w:r>
              <w:rPr>
                <w:rFonts w:ascii="宋体" w:eastAsia="宋体" w:cs="宋体"/>
                <w:strike w:val="0"/>
                <w:dstrike w:val="0"/>
                <w:color w:val="auto"/>
                <w:position w:val="2"/>
                <w:highlight w:val="none"/>
              </w:rPr>
              <w:t>的投标文件。</w:t>
            </w:r>
          </w:p>
          <w:p w14:paraId="06F06BFF">
            <w:pPr>
              <w:tabs>
                <w:tab w:val="left" w:pos="5680"/>
              </w:tabs>
              <w:spacing w:line="312" w:lineRule="auto"/>
              <w:ind w:left="105" w:leftChars="50" w:right="105" w:rightChars="50"/>
              <w:jc w:val="both"/>
              <w:rPr>
                <w:rFonts w:ascii="宋体" w:eastAsia="宋体" w:cs="宋体"/>
                <w:strike w:val="0"/>
                <w:dstrike w:val="0"/>
                <w:color w:val="auto"/>
                <w:position w:val="2"/>
                <w:highlight w:val="none"/>
              </w:rPr>
            </w:pPr>
            <w:r>
              <w:rPr>
                <w:rFonts w:ascii="宋体" w:eastAsia="宋体" w:cs="宋体"/>
                <w:strike w:val="0"/>
                <w:dstrike w:val="0"/>
                <w:color w:val="auto"/>
                <w:position w:val="2"/>
                <w:highlight w:val="none"/>
              </w:rPr>
              <w:t>二、未在投标截止时间前</w:t>
            </w:r>
            <w:r>
              <w:rPr>
                <w:rFonts w:hint="eastAsia" w:ascii="宋体" w:eastAsia="宋体" w:cs="宋体"/>
                <w:strike w:val="0"/>
                <w:dstrike w:val="0"/>
                <w:color w:val="auto"/>
                <w:position w:val="2"/>
                <w:highlight w:val="none"/>
              </w:rPr>
              <w:t>递交的</w:t>
            </w:r>
            <w:r>
              <w:rPr>
                <w:rFonts w:ascii="宋体" w:eastAsia="宋体" w:cs="宋体"/>
                <w:strike w:val="0"/>
                <w:dstrike w:val="0"/>
                <w:color w:val="auto"/>
                <w:position w:val="2"/>
                <w:highlight w:val="none"/>
              </w:rPr>
              <w:t>投标文件。</w:t>
            </w:r>
          </w:p>
        </w:tc>
      </w:tr>
      <w:tr w14:paraId="26990B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vMerge w:val="continue"/>
            <w:tcBorders>
              <w:top w:val="single" w:color="000000" w:sz="2" w:space="0"/>
              <w:left w:val="single" w:color="000000" w:sz="2" w:space="0"/>
              <w:bottom w:val="single" w:color="000000" w:sz="2" w:space="0"/>
              <w:right w:val="single" w:color="000000" w:sz="2" w:space="0"/>
            </w:tcBorders>
            <w:noWrap/>
            <w:vAlign w:val="center"/>
          </w:tcPr>
          <w:p w14:paraId="173ABC78">
            <w:pPr>
              <w:rPr>
                <w:color w:val="auto"/>
                <w:highlight w:val="none"/>
              </w:rPr>
            </w:pP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4EE5DA6F">
            <w:pPr>
              <w:tabs>
                <w:tab w:val="left" w:pos="14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lang w:eastAsia="zh-CN"/>
              </w:rPr>
              <w:t>☑</w:t>
            </w:r>
            <w:r>
              <w:rPr>
                <w:rFonts w:hint="eastAsia" w:ascii="宋体" w:eastAsia="宋体" w:cs="宋体"/>
                <w:strike w:val="0"/>
                <w:dstrike w:val="0"/>
                <w:color w:val="auto"/>
                <w:highlight w:val="none"/>
              </w:rPr>
              <w:t>电子投标文件的拒收情形</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E068E4D">
            <w:pPr>
              <w:tabs>
                <w:tab w:val="left" w:pos="56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rPr>
              <w:t>1.投标截止时间后送达（上传）的投标文件、未按招标文件要求上传的；</w:t>
            </w:r>
          </w:p>
          <w:p w14:paraId="28F2D003">
            <w:pPr>
              <w:tabs>
                <w:tab w:val="left" w:pos="56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rPr>
              <w:t>2.投标人未按规定加密的投标文件，应当拒收并提示。</w:t>
            </w:r>
            <w:r>
              <w:rPr>
                <w:rFonts w:hint="eastAsia" w:ascii="宋体" w:eastAsia="宋体" w:cs="宋体"/>
                <w:strike w:val="0"/>
                <w:dstrike w:val="0"/>
                <w:color w:val="auto"/>
                <w:highlight w:val="none"/>
              </w:rPr>
              <w:br w:type="textWrapping"/>
            </w:r>
            <w:r>
              <w:rPr>
                <w:rFonts w:hint="eastAsia" w:ascii="宋体" w:eastAsia="宋体" w:cs="宋体"/>
                <w:strike w:val="0"/>
                <w:dstrike w:val="0"/>
                <w:color w:val="auto"/>
                <w:highlight w:val="none"/>
              </w:rPr>
              <w:t>3.存在下列情况之一的，视为拒收：</w:t>
            </w:r>
          </w:p>
          <w:p w14:paraId="46898983">
            <w:pPr>
              <w:tabs>
                <w:tab w:val="left" w:pos="56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rPr>
              <w:t>（1）电子投标文件无法解密的；</w:t>
            </w:r>
          </w:p>
          <w:p w14:paraId="420C03D9">
            <w:pPr>
              <w:tabs>
                <w:tab w:val="left" w:pos="56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rPr>
              <w:t>（2）电子投标文件解密后无法正确读取的；</w:t>
            </w:r>
          </w:p>
          <w:p w14:paraId="1EBA2ACF">
            <w:pPr>
              <w:tabs>
                <w:tab w:val="left" w:pos="56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rPr>
              <w:t>（3）电子投标文件无法导入成功的；</w:t>
            </w:r>
          </w:p>
          <w:p w14:paraId="3C0AD44C">
            <w:pPr>
              <w:tabs>
                <w:tab w:val="left" w:pos="56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rPr>
              <w:t>4.□未被邀请的申请人提交的投标文件</w:t>
            </w:r>
          </w:p>
          <w:p w14:paraId="5BBE4ECD">
            <w:pPr>
              <w:tabs>
                <w:tab w:val="left" w:pos="56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rPr>
              <w:t>5.其他</w:t>
            </w:r>
            <w:r>
              <w:rPr>
                <w:rFonts w:hint="eastAsia" w:ascii="宋体" w:eastAsia="宋体" w:cs="宋体"/>
                <w:strike w:val="0"/>
                <w:dstrike w:val="0"/>
                <w:color w:val="auto"/>
                <w:highlight w:val="none"/>
                <w:lang w:eastAsia="zh-CN"/>
              </w:rPr>
              <w:t>：</w:t>
            </w:r>
            <w:r>
              <w:rPr>
                <w:rFonts w:hint="eastAsia" w:ascii="宋体" w:eastAsia="宋体" w:cs="宋体"/>
                <w:strike w:val="0"/>
                <w:dstrike w:val="0"/>
                <w:color w:val="auto"/>
                <w:highlight w:val="none"/>
              </w:rPr>
              <w:t>法律、法规所规定的其他情形。</w:t>
            </w:r>
          </w:p>
        </w:tc>
      </w:tr>
      <w:tr w14:paraId="3CD5F2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2CEB9F75">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5.1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526E9548">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开标时间和地点、参加开标会议的要求</w:t>
            </w:r>
          </w:p>
        </w:tc>
        <w:tc>
          <w:tcPr>
            <w:tcW w:w="5920" w:type="dxa"/>
            <w:tcBorders>
              <w:top w:val="single" w:color="000000" w:sz="2" w:space="0"/>
              <w:left w:val="single" w:color="000000" w:sz="2" w:space="0"/>
              <w:bottom w:val="single" w:color="000000" w:sz="2" w:space="0"/>
              <w:right w:val="single" w:color="000000" w:sz="2" w:space="0"/>
            </w:tcBorders>
            <w:noWrap/>
          </w:tcPr>
          <w:p w14:paraId="0E20C1FD">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position w:val="2"/>
                <w:highlight w:val="none"/>
              </w:rPr>
              <w:t>一、开标时间：</w:t>
            </w:r>
            <w:r>
              <w:rPr>
                <w:rFonts w:hint="eastAsia" w:ascii="宋体" w:eastAsia="宋体" w:cs="宋体"/>
                <w:color w:val="auto"/>
                <w:position w:val="2"/>
                <w:highlight w:val="none"/>
              </w:rPr>
              <w:t>同电子投标文件上传截止时间</w:t>
            </w:r>
            <w:r>
              <w:rPr>
                <w:rFonts w:ascii="宋体" w:eastAsia="宋体" w:cs="宋体"/>
                <w:color w:val="auto"/>
                <w:position w:val="2"/>
                <w:highlight w:val="none"/>
              </w:rPr>
              <w:t>。</w:t>
            </w:r>
          </w:p>
          <w:p w14:paraId="58ED03B2">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二、</w:t>
            </w:r>
            <w:r>
              <w:rPr>
                <w:rFonts w:hint="eastAsia" w:ascii="宋体" w:eastAsia="宋体" w:cs="宋体"/>
                <w:color w:val="auto"/>
                <w:highlight w:val="none"/>
              </w:rPr>
              <w:t>开标地点：绍兴市公共资源交易中心四楼指定开标室</w:t>
            </w:r>
            <w:r>
              <w:rPr>
                <w:rFonts w:ascii="宋体" w:eastAsia="宋体" w:cs="宋体"/>
                <w:color w:val="auto"/>
                <w:highlight w:val="none"/>
              </w:rPr>
              <w:t>。</w:t>
            </w:r>
          </w:p>
          <w:p w14:paraId="43297BB0">
            <w:pPr>
              <w:tabs>
                <w:tab w:val="left" w:pos="5680"/>
              </w:tabs>
              <w:spacing w:line="312" w:lineRule="auto"/>
              <w:ind w:left="105" w:leftChars="50" w:right="105" w:rightChars="50"/>
              <w:jc w:val="both"/>
              <w:rPr>
                <w:rFonts w:hint="eastAsia" w:eastAsia="宋体"/>
                <w:color w:val="auto"/>
                <w:highlight w:val="none"/>
                <w:lang w:eastAsia="zh-CN"/>
              </w:rPr>
            </w:pPr>
            <w:r>
              <w:rPr>
                <w:rFonts w:hint="eastAsia" w:ascii="宋体" w:eastAsia="宋体" w:cs="宋体"/>
                <w:color w:val="auto"/>
                <w:highlight w:val="none"/>
                <w:lang w:eastAsia="zh-CN"/>
              </w:rPr>
              <w:t>☑</w:t>
            </w:r>
            <w:r>
              <w:rPr>
                <w:rFonts w:hint="eastAsia" w:ascii="宋体" w:eastAsia="宋体" w:cs="宋体"/>
                <w:color w:val="auto"/>
                <w:highlight w:val="none"/>
              </w:rPr>
              <w:t>三、开标平台</w:t>
            </w:r>
            <w:r>
              <w:rPr>
                <w:rFonts w:hint="eastAsia" w:ascii="宋体" w:eastAsia="宋体" w:cs="宋体"/>
                <w:color w:val="auto"/>
                <w:highlight w:val="none"/>
                <w:lang w:eastAsia="zh-CN"/>
              </w:rPr>
              <w:t>：</w:t>
            </w:r>
            <w:r>
              <w:rPr>
                <w:rFonts w:hint="eastAsia" w:ascii="宋体" w:eastAsia="宋体" w:cs="宋体"/>
                <w:color w:val="auto"/>
                <w:highlight w:val="none"/>
              </w:rPr>
              <w:t>本项目采用“不见面”开标方式，不强制要求投标人参加现场开标会。不见面开标大厅网址为：</w:t>
            </w:r>
            <w:r>
              <w:rPr>
                <w:rFonts w:hint="eastAsia" w:ascii="宋体" w:eastAsia="宋体" w:cs="宋体"/>
                <w:color w:val="auto"/>
                <w:highlight w:val="none"/>
                <w:u w:val="single"/>
              </w:rPr>
              <w:t>http://220.187.225.202:18088/BidOpening/bidopeninghallaction/hall/login</w:t>
            </w:r>
            <w:r>
              <w:rPr>
                <w:rFonts w:hint="eastAsia" w:ascii="宋体" w:eastAsia="宋体" w:cs="宋体"/>
                <w:color w:val="auto"/>
                <w:highlight w:val="none"/>
                <w:lang w:eastAsia="zh-CN"/>
              </w:rPr>
              <w:t>。</w:t>
            </w:r>
          </w:p>
          <w:p w14:paraId="0B71D19F">
            <w:pPr>
              <w:tabs>
                <w:tab w:val="left" w:pos="5680"/>
              </w:tabs>
              <w:spacing w:line="312" w:lineRule="auto"/>
              <w:ind w:left="105" w:leftChars="50" w:right="105" w:rightChars="50"/>
              <w:jc w:val="both"/>
              <w:rPr>
                <w:rFonts w:ascii="宋体" w:eastAsia="宋体" w:cs="宋体"/>
                <w:i/>
                <w:color w:val="auto"/>
                <w:highlight w:val="none"/>
              </w:rPr>
            </w:pPr>
            <w:r>
              <w:rPr>
                <w:rFonts w:hint="eastAsia" w:ascii="宋体" w:eastAsia="宋体" w:cs="宋体"/>
                <w:color w:val="auto"/>
                <w:position w:val="1"/>
                <w:highlight w:val="none"/>
              </w:rPr>
              <w:t>四</w:t>
            </w:r>
            <w:r>
              <w:rPr>
                <w:rFonts w:ascii="宋体" w:eastAsia="宋体" w:cs="宋体"/>
                <w:color w:val="auto"/>
                <w:position w:val="1"/>
                <w:highlight w:val="none"/>
              </w:rPr>
              <w:t>、参加开标会议的要求</w:t>
            </w:r>
            <w:r>
              <w:rPr>
                <w:rFonts w:hint="eastAsia" w:ascii="宋体" w:eastAsia="宋体" w:cs="宋体"/>
                <w:i/>
                <w:color w:val="auto"/>
                <w:position w:val="2"/>
                <w:highlight w:val="none"/>
              </w:rPr>
              <w:t>（各区县市可根据时间情况修改）</w:t>
            </w:r>
          </w:p>
          <w:p w14:paraId="585407F3">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302DA95E">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2、开标过程中要求投标人进行澄清、说明或者补正的，须通过指定的电子邮箱</w:t>
            </w:r>
            <w:r>
              <w:rPr>
                <w:rFonts w:hint="eastAsia" w:ascii="宋体" w:eastAsia="宋体" w:cs="宋体"/>
                <w:color w:val="auto"/>
                <w:highlight w:val="none"/>
                <w:u w:val="single"/>
                <w:lang w:val="en-US" w:eastAsia="zh-CN"/>
              </w:rPr>
              <w:t>1418619632</w:t>
            </w:r>
            <w:r>
              <w:rPr>
                <w:rFonts w:hint="eastAsia" w:ascii="宋体" w:eastAsia="宋体" w:cs="宋体"/>
                <w:color w:val="auto"/>
                <w:highlight w:val="none"/>
                <w:u w:val="single"/>
              </w:rPr>
              <w:t>@qq.com</w:t>
            </w:r>
            <w:r>
              <w:rPr>
                <w:rFonts w:hint="eastAsia" w:ascii="宋体" w:eastAsia="宋体" w:cs="宋体"/>
                <w:color w:val="auto"/>
                <w:highlight w:val="none"/>
              </w:rPr>
              <w:t>作出澄清、说明或者补正，提交澄清、说明或补正的时间为接到工作人员电话通知后半小时内。请投标单位期间电话保持畅通，如未及时接听电话，视为放弃澄清、说明或补正的权利；</w:t>
            </w:r>
          </w:p>
          <w:p w14:paraId="7CDBD67E">
            <w:pPr>
              <w:tabs>
                <w:tab w:val="left" w:pos="56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rPr>
              <w:t>3、取消投标人法定代表人或授权委托人到场签字要求，取消开标记录表签字要求；</w:t>
            </w:r>
          </w:p>
          <w:p w14:paraId="7F195D00">
            <w:pPr>
              <w:tabs>
                <w:tab w:val="left" w:pos="5680"/>
              </w:tabs>
              <w:spacing w:line="312" w:lineRule="auto"/>
              <w:ind w:left="105" w:leftChars="50" w:right="105" w:rightChars="50"/>
              <w:jc w:val="both"/>
              <w:rPr>
                <w:rFonts w:ascii="宋体" w:eastAsia="宋体" w:cs="宋体"/>
                <w:i/>
                <w:color w:val="auto"/>
                <w:highlight w:val="none"/>
              </w:rPr>
            </w:pPr>
            <w:r>
              <w:rPr>
                <w:rFonts w:hint="eastAsia" w:ascii="宋体" w:eastAsia="宋体" w:cs="宋体"/>
                <w:strike w:val="0"/>
                <w:dstrike w:val="0"/>
                <w:color w:val="auto"/>
                <w:highlight w:val="none"/>
              </w:rPr>
              <w:t>4、由代理机构工作人员现场在监督部门、公证处监督下核验投标文件密封性并开启投标文件，组织评审，并对开评标活动进行全程录音录像</w:t>
            </w:r>
            <w:r>
              <w:rPr>
                <w:rFonts w:ascii="宋体" w:eastAsia="宋体" w:cs="宋体"/>
                <w:strike w:val="0"/>
                <w:dstrike w:val="0"/>
                <w:color w:val="auto"/>
                <w:highlight w:val="none"/>
              </w:rPr>
              <w:t>。</w:t>
            </w:r>
          </w:p>
        </w:tc>
      </w:tr>
      <w:tr w14:paraId="46EEE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7B7FC70F">
            <w:pPr>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val="en-US" w:eastAsia="zh-CN"/>
              </w:rPr>
              <w:t>5.2</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1FFCD608">
            <w:pPr>
              <w:tabs>
                <w:tab w:val="left" w:pos="14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开标程序</w:t>
            </w:r>
          </w:p>
        </w:tc>
        <w:tc>
          <w:tcPr>
            <w:tcW w:w="5920" w:type="dxa"/>
            <w:tcBorders>
              <w:top w:val="single" w:color="000000" w:sz="2" w:space="0"/>
              <w:left w:val="single" w:color="000000" w:sz="2" w:space="0"/>
              <w:bottom w:val="single" w:color="000000" w:sz="2" w:space="0"/>
              <w:right w:val="single" w:color="000000" w:sz="2" w:space="0"/>
            </w:tcBorders>
            <w:noWrap/>
            <w:vAlign w:val="top"/>
          </w:tcPr>
          <w:p w14:paraId="78251156">
            <w:pPr>
              <w:tabs>
                <w:tab w:val="left" w:pos="56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rPr>
              <w:t>（一）宣布开标</w:t>
            </w:r>
          </w:p>
          <w:p w14:paraId="30C1C3B2">
            <w:pPr>
              <w:tabs>
                <w:tab w:val="left" w:pos="56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rPr>
              <w:t>（二）公布投标人数量</w:t>
            </w:r>
          </w:p>
          <w:p w14:paraId="4340C1B0">
            <w:pPr>
              <w:tabs>
                <w:tab w:val="left" w:pos="56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rPr>
              <w:t>（三）投标人解密（投标文件解密在</w:t>
            </w:r>
            <w:r>
              <w:rPr>
                <w:rFonts w:hint="eastAsia" w:ascii="宋体" w:eastAsia="宋体" w:cs="宋体"/>
                <w:color w:val="auto"/>
                <w:highlight w:val="none"/>
                <w:lang w:val="en-US" w:eastAsia="zh-CN"/>
              </w:rPr>
              <w:t>60</w:t>
            </w:r>
            <w:r>
              <w:rPr>
                <w:rFonts w:hint="eastAsia" w:ascii="宋体" w:eastAsia="宋体" w:cs="宋体"/>
                <w:color w:val="auto"/>
                <w:highlight w:val="none"/>
              </w:rPr>
              <w:t>分钟内完成，具体以电子招投标交易平台系统时间为准）</w:t>
            </w:r>
          </w:p>
          <w:p w14:paraId="0F13C7E1">
            <w:pPr>
              <w:tabs>
                <w:tab w:val="left" w:pos="56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rPr>
              <w:t>（四）参数录入。</w:t>
            </w:r>
          </w:p>
          <w:p w14:paraId="1E7E2105">
            <w:pPr>
              <w:tabs>
                <w:tab w:val="left" w:pos="56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rPr>
              <w:t>（五）公布开标结果</w:t>
            </w:r>
          </w:p>
          <w:p w14:paraId="40E969CD">
            <w:pPr>
              <w:tabs>
                <w:tab w:val="left" w:pos="5680"/>
              </w:tabs>
              <w:spacing w:line="312" w:lineRule="auto"/>
              <w:ind w:left="105" w:leftChars="50" w:right="105" w:rightChars="50"/>
              <w:jc w:val="both"/>
              <w:rPr>
                <w:rFonts w:hint="eastAsia" w:ascii="宋体" w:eastAsia="宋体" w:cs="宋体"/>
                <w:strike w:val="0"/>
                <w:dstrike w:val="0"/>
                <w:color w:val="auto"/>
                <w:highlight w:val="none"/>
              </w:rPr>
            </w:pPr>
            <w:r>
              <w:rPr>
                <w:rFonts w:hint="eastAsia" w:ascii="宋体" w:eastAsia="宋体" w:cs="宋体"/>
                <w:color w:val="auto"/>
                <w:highlight w:val="none"/>
              </w:rPr>
              <w:t>（六）开标结束</w:t>
            </w:r>
          </w:p>
        </w:tc>
      </w:tr>
      <w:tr w14:paraId="3C60EC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655918EC">
            <w:pPr>
              <w:pStyle w:val="48"/>
              <w:rPr>
                <w:strike/>
                <w:dstrike w:val="0"/>
                <w:color w:val="auto"/>
                <w:highlight w:val="none"/>
              </w:rPr>
            </w:pPr>
            <w:r>
              <w:rPr>
                <w:rFonts w:hint="eastAsia"/>
                <w:strike w:val="0"/>
                <w:dstrike w:val="0"/>
                <w:color w:val="auto"/>
                <w:highlight w:val="none"/>
              </w:rPr>
              <w:t>5.4</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2EA69EE4">
            <w:pPr>
              <w:pStyle w:val="48"/>
              <w:rPr>
                <w:strike w:val="0"/>
                <w:dstrike w:val="0"/>
                <w:color w:val="auto"/>
                <w:highlight w:val="none"/>
              </w:rPr>
            </w:pPr>
            <w:r>
              <w:rPr>
                <w:rFonts w:hint="eastAsia" w:ascii="宋体" w:eastAsia="宋体" w:cs="宋体"/>
                <w:strike w:val="0"/>
                <w:dstrike w:val="0"/>
                <w:color w:val="auto"/>
                <w:highlight w:val="none"/>
                <w:lang w:eastAsia="zh-CN"/>
              </w:rPr>
              <w:t>☑</w:t>
            </w:r>
            <w:r>
              <w:rPr>
                <w:rFonts w:hint="eastAsia"/>
                <w:strike w:val="0"/>
                <w:dstrike w:val="0"/>
                <w:color w:val="auto"/>
                <w:highlight w:val="none"/>
              </w:rPr>
              <w:t>特殊情况处置</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4A981756">
            <w:pPr>
              <w:tabs>
                <w:tab w:val="left" w:pos="5680"/>
              </w:tabs>
              <w:spacing w:line="312" w:lineRule="auto"/>
              <w:ind w:left="105" w:leftChars="50" w:right="105" w:rightChars="50"/>
              <w:jc w:val="both"/>
              <w:textAlignment w:val="auto"/>
              <w:rPr>
                <w:rFonts w:ascii="宋体" w:eastAsia="宋体" w:cs="宋体"/>
                <w:strike w:val="0"/>
                <w:dstrike w:val="0"/>
                <w:color w:val="auto"/>
                <w:highlight w:val="none"/>
              </w:rPr>
            </w:pPr>
            <w:r>
              <w:rPr>
                <w:rFonts w:hint="eastAsia" w:ascii="宋体" w:eastAsia="宋体" w:cs="宋体"/>
                <w:strike w:val="0"/>
                <w:dstrike w:val="0"/>
                <w:color w:val="auto"/>
                <w:highlight w:val="none"/>
              </w:rPr>
              <w:t>1.因网络、系统、电力等不可抗力因素延期开标的，需更新制作投标文件并按招标文件要求重新递交。</w:t>
            </w:r>
          </w:p>
          <w:p w14:paraId="0BD7BC8C">
            <w:pPr>
              <w:tabs>
                <w:tab w:val="left" w:pos="5680"/>
              </w:tabs>
              <w:spacing w:line="312" w:lineRule="auto"/>
              <w:ind w:left="105" w:leftChars="50" w:right="105" w:rightChars="50"/>
              <w:jc w:val="both"/>
              <w:textAlignment w:val="auto"/>
              <w:rPr>
                <w:rFonts w:ascii="宋体" w:eastAsia="宋体" w:cs="宋体"/>
                <w:strike w:val="0"/>
                <w:dstrike w:val="0"/>
                <w:color w:val="auto"/>
                <w:highlight w:val="none"/>
              </w:rPr>
            </w:pPr>
            <w:r>
              <w:rPr>
                <w:rFonts w:hint="eastAsia" w:ascii="宋体" w:eastAsia="宋体" w:cs="宋体"/>
                <w:strike w:val="0"/>
                <w:dstrike w:val="0"/>
                <w:color w:val="auto"/>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4CEE2C44">
            <w:pPr>
              <w:tabs>
                <w:tab w:val="left" w:pos="5680"/>
              </w:tabs>
              <w:spacing w:line="312" w:lineRule="auto"/>
              <w:ind w:left="105" w:leftChars="50" w:right="105" w:rightChars="50"/>
              <w:jc w:val="both"/>
              <w:textAlignment w:val="auto"/>
              <w:rPr>
                <w:rFonts w:ascii="宋体" w:eastAsia="宋体" w:cs="宋体"/>
                <w:strike w:val="0"/>
                <w:dstrike w:val="0"/>
                <w:color w:val="auto"/>
                <w:highlight w:val="none"/>
              </w:rPr>
            </w:pPr>
            <w:r>
              <w:rPr>
                <w:rFonts w:hint="eastAsia" w:ascii="宋体" w:eastAsia="宋体" w:cs="宋体"/>
                <w:strike w:val="0"/>
                <w:dstrike w:val="0"/>
                <w:color w:val="auto"/>
                <w:highlight w:val="none"/>
              </w:rPr>
              <w:t>（2）投标人必须使用生成电子投标文件的CA数字证书加密电子投标文件，未加密的视为撤销其投标文件。</w:t>
            </w:r>
          </w:p>
          <w:p w14:paraId="08548468">
            <w:pPr>
              <w:tabs>
                <w:tab w:val="left" w:pos="5680"/>
              </w:tabs>
              <w:spacing w:line="312" w:lineRule="auto"/>
              <w:ind w:left="105" w:leftChars="50" w:right="105" w:rightChars="50"/>
              <w:jc w:val="both"/>
              <w:textAlignment w:val="auto"/>
              <w:rPr>
                <w:rFonts w:ascii="宋体" w:eastAsia="宋体" w:cs="宋体"/>
                <w:strike w:val="0"/>
                <w:dstrike w:val="0"/>
                <w:color w:val="auto"/>
                <w:highlight w:val="none"/>
              </w:rPr>
            </w:pPr>
            <w:r>
              <w:rPr>
                <w:rFonts w:hint="eastAsia" w:ascii="宋体" w:eastAsia="宋体" w:cs="宋体"/>
                <w:strike w:val="0"/>
                <w:dstrike w:val="0"/>
                <w:color w:val="auto"/>
                <w:highlight w:val="none"/>
              </w:rPr>
              <w:t>3.其他：电子投标项目开标的其他相关程序按照我市相关规定《绍兴市区工程建设项目电子招标投标管理暂行办法》执行。</w:t>
            </w:r>
          </w:p>
        </w:tc>
      </w:tr>
      <w:tr w14:paraId="1951D0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942" w:type="dxa"/>
            <w:tcBorders>
              <w:top w:val="single" w:color="000000" w:sz="2" w:space="0"/>
              <w:left w:val="single" w:color="000000" w:sz="2" w:space="0"/>
              <w:bottom w:val="single" w:color="000000" w:sz="2" w:space="0"/>
              <w:right w:val="single" w:color="000000" w:sz="2" w:space="0"/>
            </w:tcBorders>
            <w:noWrap/>
            <w:vAlign w:val="center"/>
          </w:tcPr>
          <w:p w14:paraId="326A9032">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6.1.1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00CDE700">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评标委员会的组建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50C0C6B7">
            <w:pPr>
              <w:snapToGrid w:val="0"/>
              <w:spacing w:line="400" w:lineRule="exact"/>
              <w:ind w:firstLine="472" w:firstLineChars="200"/>
              <w:jc w:val="both"/>
              <w:rPr>
                <w:rFonts w:ascii="宋体" w:hAnsi="宋体"/>
                <w:color w:val="auto"/>
                <w:highlight w:val="none"/>
              </w:rPr>
            </w:pPr>
            <w:r>
              <w:rPr>
                <w:rFonts w:hint="eastAsia" w:cs="Times New Roman"/>
                <w:color w:val="auto"/>
                <w:spacing w:val="-2"/>
                <w:sz w:val="24"/>
                <w:szCs w:val="24"/>
                <w:highlight w:val="none"/>
              </w:rPr>
              <w:t>评标委员会构成：</w:t>
            </w:r>
            <w:r>
              <w:rPr>
                <w:rFonts w:hint="eastAsia" w:ascii="宋体" w:hAnsi="宋体"/>
                <w:color w:val="auto"/>
                <w:highlight w:val="none"/>
              </w:rPr>
              <w:t>共</w:t>
            </w:r>
            <w:r>
              <w:rPr>
                <w:rFonts w:hint="eastAsia" w:ascii="黑体" w:hAnsi="宋体" w:eastAsia="黑体"/>
                <w:b/>
                <w:color w:val="auto"/>
                <w:highlight w:val="none"/>
                <w:u w:val="single"/>
              </w:rPr>
              <w:t xml:space="preserve"> </w:t>
            </w:r>
            <w:r>
              <w:rPr>
                <w:rFonts w:hint="eastAsia" w:ascii="宋体" w:hAnsi="宋体" w:eastAsia="宋体"/>
                <w:b w:val="0"/>
                <w:bCs w:val="0"/>
                <w:color w:val="auto"/>
                <w:highlight w:val="none"/>
                <w:u w:val="single"/>
                <w:lang w:val="en-US" w:eastAsia="zh-CN"/>
              </w:rPr>
              <w:t>7</w:t>
            </w:r>
            <w:r>
              <w:rPr>
                <w:rFonts w:hint="eastAsia" w:ascii="黑体" w:hAnsi="宋体" w:eastAsia="黑体"/>
                <w:b/>
                <w:color w:val="auto"/>
                <w:highlight w:val="none"/>
                <w:u w:val="single"/>
              </w:rPr>
              <w:t xml:space="preserve"> </w:t>
            </w:r>
            <w:r>
              <w:rPr>
                <w:rFonts w:hint="eastAsia" w:ascii="宋体" w:hAnsi="宋体"/>
                <w:color w:val="auto"/>
                <w:highlight w:val="none"/>
              </w:rPr>
              <w:t>人，其中招标人代表</w:t>
            </w:r>
            <w:r>
              <w:rPr>
                <w:rFonts w:hint="eastAsia" w:ascii="黑体" w:hAnsi="宋体" w:eastAsia="黑体"/>
                <w:b/>
                <w:color w:val="auto"/>
                <w:highlight w:val="none"/>
                <w:u w:val="single"/>
              </w:rPr>
              <w:t xml:space="preserve"> </w:t>
            </w:r>
            <w:r>
              <w:rPr>
                <w:rFonts w:hint="eastAsia" w:ascii="宋体" w:hAnsi="宋体" w:eastAsia="宋体"/>
                <w:b w:val="0"/>
                <w:bCs w:val="0"/>
                <w:color w:val="auto"/>
                <w:highlight w:val="none"/>
                <w:u w:val="single"/>
                <w:lang w:val="en-US" w:eastAsia="zh-CN"/>
              </w:rPr>
              <w:t>2</w:t>
            </w:r>
            <w:r>
              <w:rPr>
                <w:rFonts w:hint="eastAsia" w:ascii="黑体" w:hAnsi="宋体" w:eastAsia="黑体"/>
                <w:b/>
                <w:color w:val="auto"/>
                <w:highlight w:val="none"/>
                <w:u w:val="single"/>
                <w:lang w:val="en-US" w:eastAsia="zh-CN"/>
              </w:rPr>
              <w:t xml:space="preserve"> </w:t>
            </w:r>
            <w:r>
              <w:rPr>
                <w:rFonts w:hint="eastAsia" w:ascii="宋体" w:hAnsi="宋体"/>
                <w:color w:val="auto"/>
                <w:highlight w:val="none"/>
              </w:rPr>
              <w:t>人，库选经济、技术专家</w:t>
            </w:r>
            <w:r>
              <w:rPr>
                <w:rFonts w:hint="eastAsia" w:ascii="黑体" w:hAnsi="宋体" w:eastAsia="黑体"/>
                <w:b/>
                <w:color w:val="auto"/>
                <w:highlight w:val="none"/>
                <w:u w:val="single"/>
              </w:rPr>
              <w:t xml:space="preserve"> </w:t>
            </w:r>
            <w:r>
              <w:rPr>
                <w:rFonts w:hint="eastAsia" w:ascii="宋体" w:hAnsi="宋体" w:eastAsia="宋体"/>
                <w:b w:val="0"/>
                <w:bCs w:val="0"/>
                <w:color w:val="auto"/>
                <w:highlight w:val="none"/>
                <w:u w:val="single"/>
                <w:lang w:val="en-US" w:eastAsia="zh-CN"/>
              </w:rPr>
              <w:t>5</w:t>
            </w:r>
            <w:r>
              <w:rPr>
                <w:rFonts w:hint="eastAsia" w:ascii="黑体" w:hAnsi="宋体" w:eastAsia="黑体"/>
                <w:b/>
                <w:color w:val="auto"/>
                <w:highlight w:val="none"/>
                <w:u w:val="single"/>
              </w:rPr>
              <w:t xml:space="preserve"> </w:t>
            </w:r>
            <w:r>
              <w:rPr>
                <w:rFonts w:hint="eastAsia" w:ascii="宋体" w:hAnsi="宋体"/>
                <w:color w:val="auto"/>
                <w:highlight w:val="none"/>
              </w:rPr>
              <w:t>人（库选经济、技术专家不得少于专家人数的2/3）；</w:t>
            </w:r>
          </w:p>
          <w:p w14:paraId="7CFA42E8">
            <w:pPr>
              <w:snapToGrid w:val="0"/>
              <w:spacing w:line="400" w:lineRule="exact"/>
              <w:ind w:firstLine="420" w:firstLineChars="200"/>
              <w:jc w:val="both"/>
              <w:rPr>
                <w:rFonts w:ascii="宋体" w:hAnsi="宋体"/>
                <w:color w:val="auto"/>
                <w:highlight w:val="none"/>
              </w:rPr>
            </w:pPr>
            <w:r>
              <w:rPr>
                <w:rFonts w:hint="eastAsia" w:ascii="宋体" w:hAnsi="宋体"/>
                <w:color w:val="auto"/>
                <w:highlight w:val="none"/>
              </w:rPr>
              <w:t>库选经济、技术专家确定方式：执行《浙江省综合性评标专家库管理办法实施细则》相关规定。</w:t>
            </w:r>
          </w:p>
          <w:p w14:paraId="6CC4D3F9">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eastAsia="zh-CN"/>
              </w:rPr>
              <w:t>□</w:t>
            </w:r>
            <w:r>
              <w:rPr>
                <w:rFonts w:hint="eastAsia"/>
                <w:color w:val="auto"/>
                <w:szCs w:val="24"/>
                <w:highlight w:val="none"/>
              </w:rPr>
              <w:t>评标过程中，评标专家被发现有回避事由、擅离职守或因健康等原因不能继续评标的，1位专家不能参与评标的，自动从评标委员会中取消1名招标人代表；2位专家不能参与评标的，不再补抽由其余人员组成评标委员会进行评标；最终的评标专家不得少于5人，并符合《中华人民共和国招标投标法》第三十七条的规定。</w:t>
            </w:r>
          </w:p>
        </w:tc>
      </w:tr>
      <w:tr w14:paraId="4E7364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942" w:type="dxa"/>
            <w:tcBorders>
              <w:top w:val="single" w:color="000000" w:sz="2" w:space="0"/>
              <w:left w:val="single" w:color="000000" w:sz="2" w:space="0"/>
              <w:bottom w:val="single" w:color="000000" w:sz="2" w:space="0"/>
              <w:right w:val="single" w:color="000000" w:sz="2" w:space="0"/>
            </w:tcBorders>
            <w:noWrap/>
            <w:vAlign w:val="center"/>
          </w:tcPr>
          <w:p w14:paraId="0AB48FC7">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6.3</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49386010">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评标方法</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01248155">
            <w:pPr>
              <w:widowControl w:val="0"/>
              <w:tabs>
                <w:tab w:val="left" w:pos="5680"/>
              </w:tabs>
              <w:ind w:left="105" w:leftChars="50" w:right="105" w:rightChars="50"/>
              <w:jc w:val="both"/>
              <w:rPr>
                <w:rFonts w:ascii="宋体" w:eastAsia="宋体" w:cs="宋体"/>
                <w:color w:val="auto"/>
                <w:highlight w:val="none"/>
              </w:rPr>
            </w:pPr>
            <w:r>
              <w:rPr>
                <w:rFonts w:hint="eastAsia" w:ascii="宋体" w:eastAsia="宋体" w:cs="宋体"/>
                <w:color w:val="auto"/>
                <w:position w:val="-1"/>
                <w:highlight w:val="none"/>
              </w:rPr>
              <w:t>□</w:t>
            </w:r>
            <w:r>
              <w:rPr>
                <w:rFonts w:ascii="宋体" w:eastAsia="宋体" w:cs="宋体"/>
                <w:color w:val="auto"/>
                <w:position w:val="3"/>
                <w:highlight w:val="none"/>
              </w:rPr>
              <w:fldChar w:fldCharType="begin"/>
            </w:r>
            <w:r>
              <w:rPr>
                <w:color w:val="auto"/>
                <w:highlight w:val="none"/>
              </w:rPr>
              <w:instrText xml:space="preserve">HYPERLINK "http://218.108.28.22/zjgcjy/infodetail/?infoid=25b0d8ef-782f-44f1-a7c2-cdfa059b2aa2&amp;siteid=1&amp;categoryNum=032003"</w:instrText>
            </w:r>
            <w:r>
              <w:rPr>
                <w:rFonts w:ascii="宋体" w:eastAsia="宋体" w:cs="宋体"/>
                <w:color w:val="auto"/>
                <w:position w:val="3"/>
                <w:highlight w:val="none"/>
              </w:rPr>
              <w:fldChar w:fldCharType="separate"/>
            </w:r>
            <w:r>
              <w:rPr>
                <w:rFonts w:ascii="宋体" w:eastAsia="宋体" w:cs="宋体"/>
                <w:color w:val="auto"/>
                <w:position w:val="3"/>
                <w:highlight w:val="none"/>
              </w:rPr>
              <w:t>经评审的最低投标价法</w:t>
            </w:r>
            <w:r>
              <w:rPr>
                <w:rFonts w:ascii="宋体" w:eastAsia="宋体" w:cs="宋体"/>
                <w:color w:val="auto"/>
                <w:position w:val="3"/>
                <w:highlight w:val="none"/>
              </w:rPr>
              <w:fldChar w:fldCharType="end"/>
            </w:r>
            <w:r>
              <w:rPr>
                <w:rFonts w:ascii="宋体" w:eastAsia="宋体" w:cs="宋体"/>
                <w:color w:val="auto"/>
                <w:position w:val="3"/>
                <w:highlight w:val="none"/>
              </w:rPr>
              <w:t>。</w:t>
            </w:r>
          </w:p>
          <w:p w14:paraId="7DC557E1">
            <w:pPr>
              <w:widowControl w:val="0"/>
              <w:tabs>
                <w:tab w:val="left" w:pos="5680"/>
              </w:tabs>
              <w:ind w:left="105" w:leftChars="50" w:right="105" w:rightChars="50"/>
              <w:jc w:val="both"/>
              <w:rPr>
                <w:rFonts w:ascii="宋体" w:eastAsia="宋体" w:cs="宋体"/>
                <w:color w:val="auto"/>
                <w:highlight w:val="none"/>
              </w:rPr>
            </w:pPr>
            <w:r>
              <w:rPr>
                <w:rFonts w:hint="eastAsia" w:ascii="宋体" w:eastAsia="宋体" w:cs="宋体"/>
                <w:color w:val="auto"/>
                <w:position w:val="4"/>
                <w:highlight w:val="none"/>
              </w:rPr>
              <w:t>☑</w:t>
            </w:r>
            <w:r>
              <w:rPr>
                <w:rFonts w:ascii="宋体" w:eastAsia="宋体" w:cs="宋体"/>
                <w:color w:val="auto"/>
                <w:position w:val="4"/>
                <w:highlight w:val="none"/>
              </w:rPr>
              <w:fldChar w:fldCharType="begin"/>
            </w:r>
            <w:r>
              <w:rPr>
                <w:color w:val="auto"/>
                <w:highlight w:val="none"/>
              </w:rPr>
              <w:instrText xml:space="preserve">HYPERLINK "http://218.108.28.22/zjgcjy/infodetail/?infoid=3561d4c5-1965-4914-8d10-bfd371957ee6&amp;siteid=1&amp;categoryNum=032003"</w:instrText>
            </w:r>
            <w:r>
              <w:rPr>
                <w:rFonts w:ascii="宋体" w:eastAsia="宋体" w:cs="宋体"/>
                <w:color w:val="auto"/>
                <w:position w:val="4"/>
                <w:highlight w:val="none"/>
              </w:rPr>
              <w:fldChar w:fldCharType="separate"/>
            </w:r>
            <w:r>
              <w:rPr>
                <w:rFonts w:ascii="宋体" w:eastAsia="宋体" w:cs="宋体"/>
                <w:color w:val="auto"/>
                <w:position w:val="4"/>
                <w:highlight w:val="none"/>
              </w:rPr>
              <w:t>综合评估法</w:t>
            </w:r>
            <w:r>
              <w:rPr>
                <w:rFonts w:ascii="宋体" w:eastAsia="宋体" w:cs="宋体"/>
                <w:color w:val="auto"/>
                <w:position w:val="4"/>
                <w:highlight w:val="none"/>
              </w:rPr>
              <w:fldChar w:fldCharType="end"/>
            </w:r>
            <w:r>
              <w:rPr>
                <w:rFonts w:ascii="宋体" w:eastAsia="宋体" w:cs="宋体"/>
                <w:color w:val="auto"/>
                <w:position w:val="4"/>
                <w:highlight w:val="none"/>
              </w:rPr>
              <w:t>。</w:t>
            </w:r>
          </w:p>
        </w:tc>
      </w:tr>
      <w:tr w14:paraId="20032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29F506D1">
            <w:pPr>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6.4.2</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79829778">
            <w:pPr>
              <w:tabs>
                <w:tab w:val="left" w:pos="1480"/>
              </w:tabs>
              <w:spacing w:line="312" w:lineRule="auto"/>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rPr>
              <w:t>评标委员会推荐</w:t>
            </w:r>
          </w:p>
          <w:p w14:paraId="48C9B011">
            <w:pPr>
              <w:tabs>
                <w:tab w:val="left" w:pos="14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中标候选人</w:t>
            </w:r>
          </w:p>
        </w:tc>
        <w:tc>
          <w:tcPr>
            <w:tcW w:w="5920" w:type="dxa"/>
            <w:tcBorders>
              <w:top w:val="single" w:color="000000" w:sz="2" w:space="0"/>
              <w:left w:val="single" w:color="000000" w:sz="2" w:space="0"/>
              <w:bottom w:val="single" w:color="000000" w:sz="2" w:space="0"/>
              <w:right w:val="single" w:color="000000" w:sz="2" w:space="0"/>
            </w:tcBorders>
            <w:noWrap/>
          </w:tcPr>
          <w:p w14:paraId="75DF1120">
            <w:pPr>
              <w:pStyle w:val="22"/>
              <w:tabs>
                <w:tab w:val="left" w:pos="5680"/>
              </w:tabs>
              <w:adjustRightInd/>
              <w:snapToGrid w:val="0"/>
              <w:spacing w:after="0" w:line="312" w:lineRule="auto"/>
              <w:ind w:left="105" w:leftChars="50" w:right="105" w:rightChars="50"/>
              <w:rPr>
                <w:rFonts w:ascii="宋体" w:cs="宋体"/>
                <w:color w:val="auto"/>
                <w:sz w:val="21"/>
                <w:szCs w:val="21"/>
                <w:highlight w:val="none"/>
              </w:rPr>
            </w:pPr>
            <w:r>
              <w:rPr>
                <w:rFonts w:hint="eastAsia" w:ascii="宋体" w:cs="宋体"/>
                <w:color w:val="auto"/>
                <w:sz w:val="21"/>
                <w:szCs w:val="21"/>
                <w:highlight w:val="none"/>
              </w:rPr>
              <w:t>☑</w:t>
            </w:r>
            <w:r>
              <w:rPr>
                <w:rFonts w:ascii="宋体" w:cs="宋体"/>
                <w:color w:val="auto"/>
                <w:sz w:val="21"/>
                <w:szCs w:val="21"/>
                <w:highlight w:val="none"/>
              </w:rPr>
              <w:t>推荐的中标候选人数量：</w:t>
            </w:r>
            <w:r>
              <w:rPr>
                <w:rFonts w:hint="eastAsia" w:ascii="宋体" w:cs="宋体"/>
                <w:color w:val="auto"/>
                <w:sz w:val="21"/>
                <w:szCs w:val="21"/>
                <w:highlight w:val="none"/>
                <w:u w:val="single"/>
              </w:rPr>
              <w:t>1</w:t>
            </w:r>
            <w:r>
              <w:rPr>
                <w:rFonts w:hint="eastAsia" w:ascii="宋体" w:cs="宋体"/>
                <w:color w:val="auto"/>
                <w:sz w:val="21"/>
                <w:szCs w:val="21"/>
                <w:highlight w:val="none"/>
              </w:rPr>
              <w:t>家</w:t>
            </w:r>
            <w:r>
              <w:rPr>
                <w:rFonts w:ascii="宋体" w:cs="宋体"/>
                <w:color w:val="auto"/>
                <w:sz w:val="21"/>
                <w:szCs w:val="21"/>
                <w:highlight w:val="none"/>
              </w:rPr>
              <w:t>。</w:t>
            </w:r>
          </w:p>
          <w:p w14:paraId="39754A7E">
            <w:pPr>
              <w:pStyle w:val="22"/>
              <w:tabs>
                <w:tab w:val="left" w:pos="5680"/>
              </w:tabs>
              <w:adjustRightInd/>
              <w:snapToGrid w:val="0"/>
              <w:spacing w:after="0" w:line="312" w:lineRule="auto"/>
              <w:ind w:left="105" w:leftChars="50" w:right="105" w:rightChars="50"/>
              <w:rPr>
                <w:rFonts w:hint="eastAsia" w:ascii="宋体" w:cs="宋体"/>
                <w:color w:val="auto"/>
                <w:sz w:val="21"/>
                <w:szCs w:val="21"/>
                <w:highlight w:val="none"/>
              </w:rPr>
            </w:pPr>
            <w:r>
              <w:rPr>
                <w:rFonts w:hint="eastAsia" w:ascii="宋体" w:cs="宋体"/>
                <w:color w:val="auto"/>
                <w:sz w:val="21"/>
                <w:szCs w:val="21"/>
                <w:highlight w:val="none"/>
              </w:rPr>
              <w:t>□推荐入围定标的中标候选人：</w:t>
            </w:r>
            <w:r>
              <w:rPr>
                <w:rFonts w:hint="eastAsia" w:ascii="宋体" w:cs="宋体"/>
                <w:color w:val="auto"/>
                <w:sz w:val="21"/>
                <w:szCs w:val="21"/>
                <w:highlight w:val="none"/>
                <w:u w:val="single"/>
              </w:rPr>
              <w:t xml:space="preserve">     </w:t>
            </w:r>
            <w:r>
              <w:rPr>
                <w:rFonts w:hint="eastAsia" w:ascii="宋体" w:cs="宋体"/>
                <w:color w:val="auto"/>
                <w:sz w:val="21"/>
                <w:szCs w:val="21"/>
                <w:highlight w:val="none"/>
              </w:rPr>
              <w:t>人。（适用于“评定分离”。注：原则上推荐3名中标候选人，最多不超过5个。推荐名单的中标候选人不排名次。）</w:t>
            </w:r>
          </w:p>
        </w:tc>
      </w:tr>
      <w:tr w14:paraId="42630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62BF4082">
            <w:pPr>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7.1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7C172508">
            <w:pPr>
              <w:pStyle w:val="48"/>
              <w:rPr>
                <w:color w:val="auto"/>
                <w:highlight w:val="none"/>
              </w:rPr>
            </w:pPr>
            <w:r>
              <w:rPr>
                <w:color w:val="auto"/>
                <w:highlight w:val="none"/>
              </w:rPr>
              <w:t>确定中标人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626B5D68">
            <w:pPr>
              <w:pStyle w:val="48"/>
              <w:rPr>
                <w:rFonts w:hint="eastAsia" w:ascii="宋体" w:eastAsia="宋体" w:cs="宋体"/>
                <w:color w:val="auto"/>
                <w:highlight w:val="none"/>
              </w:rPr>
            </w:pPr>
            <w:r>
              <w:rPr>
                <w:rFonts w:hint="eastAsia" w:ascii="宋体" w:eastAsia="宋体" w:cs="宋体"/>
                <w:color w:val="auto"/>
                <w:highlight w:val="none"/>
              </w:rPr>
              <w:t>□授权评标委员会确定中标人。</w:t>
            </w:r>
          </w:p>
          <w:p w14:paraId="46EAF622">
            <w:pPr>
              <w:pStyle w:val="48"/>
              <w:rPr>
                <w:rFonts w:hint="eastAsia" w:ascii="宋体" w:eastAsia="宋体" w:cs="宋体"/>
                <w:color w:val="auto"/>
                <w:highlight w:val="none"/>
              </w:rPr>
            </w:pPr>
            <w:r>
              <w:rPr>
                <w:rFonts w:hint="eastAsia" w:ascii="宋体" w:eastAsia="宋体" w:cs="宋体"/>
                <w:color w:val="auto"/>
                <w:highlight w:val="none"/>
              </w:rPr>
              <w:t>☑根据评标委员会推荐，由招标人确定中标人。</w:t>
            </w:r>
          </w:p>
          <w:p w14:paraId="2ED8E366">
            <w:pPr>
              <w:pStyle w:val="48"/>
              <w:rPr>
                <w:rFonts w:hint="eastAsia" w:ascii="宋体" w:eastAsia="宋体" w:cs="宋体"/>
                <w:color w:val="auto"/>
                <w:highlight w:val="none"/>
              </w:rPr>
            </w:pPr>
            <w:r>
              <w:rPr>
                <w:rFonts w:hint="eastAsia" w:ascii="宋体" w:eastAsia="宋体" w:cs="宋体"/>
                <w:color w:val="auto"/>
                <w:highlight w:val="none"/>
              </w:rPr>
              <w:t>□评定分离，根据评标委员会推荐，另行组织定标会议，由定标委员会确定中标人。</w:t>
            </w:r>
          </w:p>
          <w:p w14:paraId="3BC0353D">
            <w:pPr>
              <w:pStyle w:val="48"/>
              <w:rPr>
                <w:color w:val="auto"/>
                <w:highlight w:val="none"/>
              </w:rPr>
            </w:pPr>
            <w:r>
              <w:rPr>
                <w:rFonts w:hint="eastAsia" w:ascii="宋体" w:eastAsia="宋体" w:cs="宋体"/>
                <w:color w:val="auto"/>
                <w:highlight w:val="none"/>
              </w:rPr>
              <w:t>□其他：</w:t>
            </w:r>
            <w:r>
              <w:rPr>
                <w:rFonts w:hint="eastAsia" w:ascii="宋体" w:eastAsia="宋体" w:cs="宋体"/>
                <w:color w:val="auto"/>
                <w:highlight w:val="none"/>
                <w:u w:val="single"/>
              </w:rPr>
              <w:t xml:space="preserve">              </w:t>
            </w:r>
            <w:r>
              <w:rPr>
                <w:rFonts w:hint="eastAsia" w:ascii="宋体" w:eastAsia="宋体" w:cs="宋体"/>
                <w:color w:val="auto"/>
                <w:highlight w:val="none"/>
              </w:rPr>
              <w:t>。</w:t>
            </w:r>
          </w:p>
        </w:tc>
      </w:tr>
      <w:tr w14:paraId="5D69F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1E4C10FB">
            <w:pPr>
              <w:spacing w:line="312" w:lineRule="auto"/>
              <w:ind w:left="105" w:leftChars="50" w:right="105" w:rightChars="50"/>
              <w:jc w:val="both"/>
              <w:rPr>
                <w:rFonts w:hint="eastAsia" w:ascii="宋体" w:eastAsia="宋体" w:cs="宋体"/>
                <w:color w:val="auto"/>
                <w:highlight w:val="none"/>
                <w:lang w:val="en-US" w:eastAsia="zh-CN"/>
              </w:rPr>
            </w:pPr>
            <w:r>
              <w:rPr>
                <w:rFonts w:hint="eastAsia" w:ascii="宋体" w:eastAsia="宋体" w:cs="宋体"/>
                <w:color w:val="auto"/>
                <w:highlight w:val="none"/>
              </w:rPr>
              <w:t>7.1.</w:t>
            </w:r>
            <w:r>
              <w:rPr>
                <w:rFonts w:hint="eastAsia" w:ascii="宋体" w:eastAsia="宋体" w:cs="宋体"/>
                <w:color w:val="auto"/>
                <w:highlight w:val="none"/>
                <w:lang w:val="en-US" w:eastAsia="zh-CN"/>
              </w:rPr>
              <w:t>6</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3D48AB63">
            <w:pPr>
              <w:pStyle w:val="48"/>
              <w:ind w:firstLine="0" w:firstLineChars="0"/>
              <w:rPr>
                <w:color w:val="auto"/>
                <w:highlight w:val="none"/>
              </w:rPr>
            </w:pPr>
            <w:r>
              <w:rPr>
                <w:rFonts w:hint="eastAsia" w:ascii="Calibri" w:hAnsi="Calibri" w:eastAsia="宋体" w:cs="Times New Roman"/>
                <w:snapToGrid/>
                <w:color w:val="auto"/>
                <w:highlight w:val="none"/>
              </w:rPr>
              <w:t>☑中</w:t>
            </w:r>
            <w:r>
              <w:rPr>
                <w:rFonts w:hint="eastAsia" w:ascii="宋体" w:eastAsia="宋体" w:cs="宋体"/>
                <w:color w:val="auto"/>
                <w:highlight w:val="none"/>
              </w:rPr>
              <w:t>标公告媒介及期限</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0295ADEA">
            <w:pPr>
              <w:spacing w:line="400" w:lineRule="exact"/>
              <w:rPr>
                <w:color w:val="auto"/>
                <w:highlight w:val="none"/>
              </w:rPr>
            </w:pPr>
            <w:r>
              <w:rPr>
                <w:rFonts w:hint="eastAsia" w:ascii="宋体" w:eastAsia="宋体" w:cs="宋体"/>
                <w:color w:val="auto"/>
                <w:highlight w:val="none"/>
              </w:rPr>
              <w:t>公</w:t>
            </w:r>
            <w:r>
              <w:rPr>
                <w:rFonts w:hint="eastAsia" w:ascii="宋体" w:eastAsia="宋体" w:cs="宋体"/>
                <w:color w:val="auto"/>
                <w:spacing w:val="-2"/>
                <w:highlight w:val="none"/>
              </w:rPr>
              <w:t>告</w:t>
            </w:r>
            <w:r>
              <w:rPr>
                <w:rFonts w:hint="eastAsia" w:ascii="宋体" w:eastAsia="宋体" w:cs="宋体"/>
                <w:color w:val="auto"/>
                <w:highlight w:val="none"/>
              </w:rPr>
              <w:t>媒介：</w:t>
            </w:r>
            <w:r>
              <w:rPr>
                <w:rFonts w:hint="eastAsia"/>
                <w:color w:val="auto"/>
                <w:highlight w:val="none"/>
                <w:u w:val="single"/>
              </w:rPr>
              <w:t>绍兴公共资源交易网</w:t>
            </w:r>
            <w:r>
              <w:rPr>
                <w:rFonts w:hint="eastAsia" w:eastAsia="宋体"/>
                <w:color w:val="auto"/>
                <w:highlight w:val="none"/>
              </w:rPr>
              <w:t>。</w:t>
            </w:r>
          </w:p>
          <w:p w14:paraId="17DD697B">
            <w:pPr>
              <w:spacing w:line="400" w:lineRule="exact"/>
              <w:rPr>
                <w:color w:val="auto"/>
                <w:highlight w:val="none"/>
              </w:rPr>
            </w:pPr>
            <w:r>
              <w:rPr>
                <w:rFonts w:hint="eastAsia" w:ascii="宋体" w:eastAsia="宋体" w:cs="宋体"/>
                <w:color w:val="auto"/>
                <w:spacing w:val="-2"/>
                <w:highlight w:val="none"/>
              </w:rPr>
              <w:t>公告期限：不少于</w:t>
            </w:r>
            <w:r>
              <w:rPr>
                <w:rFonts w:hint="eastAsia"/>
                <w:color w:val="auto"/>
                <w:spacing w:val="-2"/>
                <w:highlight w:val="none"/>
              </w:rPr>
              <w:t>3</w:t>
            </w:r>
            <w:r>
              <w:rPr>
                <w:rFonts w:hint="eastAsia" w:ascii="宋体" w:eastAsia="宋体" w:cs="宋体"/>
                <w:color w:val="auto"/>
                <w:spacing w:val="-2"/>
                <w:highlight w:val="none"/>
              </w:rPr>
              <w:t>日。如遇国家法定休假日，应顺延至法定休假日后第一个工作日。</w:t>
            </w:r>
          </w:p>
        </w:tc>
      </w:tr>
      <w:tr w14:paraId="1EA69B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7565A0BE">
            <w:pPr>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7.2.1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431D6F43">
            <w:pPr>
              <w:tabs>
                <w:tab w:val="left" w:pos="14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中标候选人公示</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718B8EC4">
            <w:pPr>
              <w:tabs>
                <w:tab w:val="left" w:pos="2150"/>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1336B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341CD16A">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7.4.1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70840D1B">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履约保证金</w:t>
            </w:r>
          </w:p>
        </w:tc>
        <w:tc>
          <w:tcPr>
            <w:tcW w:w="5920" w:type="dxa"/>
            <w:tcBorders>
              <w:top w:val="single" w:color="000000" w:sz="2" w:space="0"/>
              <w:left w:val="single" w:color="000000" w:sz="2" w:space="0"/>
              <w:bottom w:val="single" w:color="000000" w:sz="2" w:space="0"/>
              <w:right w:val="single" w:color="000000" w:sz="2" w:space="0"/>
            </w:tcBorders>
            <w:noWrap/>
          </w:tcPr>
          <w:p w14:paraId="0373E595">
            <w:pPr>
              <w:pStyle w:val="9"/>
              <w:ind w:left="105" w:leftChars="50" w:right="105" w:rightChars="50"/>
              <w:jc w:val="both"/>
              <w:rPr>
                <w:rFonts w:hint="eastAsia" w:ascii="宋体" w:eastAsia="宋体" w:cs="宋体"/>
                <w:color w:val="auto"/>
                <w:highlight w:val="none"/>
              </w:rPr>
            </w:pPr>
            <w:r>
              <w:rPr>
                <w:rFonts w:hint="eastAsia" w:ascii="宋体" w:eastAsia="宋体" w:cs="宋体"/>
                <w:color w:val="auto"/>
                <w:highlight w:val="none"/>
              </w:rPr>
              <w:t>履约保证金的形式：现金、支票、汇票、转账、银行保函、融资担保公司保函或者保险机构保证、保险、保单。</w:t>
            </w:r>
          </w:p>
          <w:p w14:paraId="651E9258">
            <w:pPr>
              <w:pStyle w:val="9"/>
              <w:ind w:left="105" w:leftChars="50" w:right="105" w:rightChars="50"/>
              <w:jc w:val="both"/>
              <w:rPr>
                <w:rFonts w:ascii="宋体" w:eastAsia="宋体" w:cs="宋体"/>
                <w:color w:val="auto"/>
                <w:highlight w:val="none"/>
              </w:rPr>
            </w:pPr>
            <w:r>
              <w:rPr>
                <w:rFonts w:ascii="宋体" w:eastAsia="宋体" w:cs="宋体"/>
                <w:color w:val="auto"/>
                <w:highlight w:val="none"/>
              </w:rPr>
              <w:t>履约保证金的金额：合同总价的</w:t>
            </w:r>
            <w:r>
              <w:rPr>
                <w:rFonts w:hint="eastAsia" w:ascii="宋体" w:eastAsia="宋体" w:cs="宋体"/>
                <w:color w:val="auto"/>
                <w:highlight w:val="none"/>
                <w:u w:val="single"/>
              </w:rPr>
              <w:t>2</w:t>
            </w:r>
            <w:r>
              <w:rPr>
                <w:rFonts w:ascii="宋体" w:eastAsia="宋体" w:cs="宋体"/>
                <w:color w:val="auto"/>
                <w:highlight w:val="none"/>
              </w:rPr>
              <w:t>%</w:t>
            </w:r>
            <w:r>
              <w:rPr>
                <w:rFonts w:hint="eastAsia" w:ascii="宋体" w:eastAsia="宋体" w:cs="宋体"/>
                <w:color w:val="auto"/>
                <w:highlight w:val="none"/>
                <w:lang w:eastAsia="zh-CN"/>
              </w:rPr>
              <w:t>（</w:t>
            </w:r>
            <w:r>
              <w:rPr>
                <w:rFonts w:ascii="宋体" w:eastAsia="宋体" w:cs="宋体"/>
                <w:color w:val="auto"/>
                <w:highlight w:val="none"/>
              </w:rPr>
              <w:t>不得超过2%</w:t>
            </w:r>
            <w:r>
              <w:rPr>
                <w:rFonts w:hint="eastAsia" w:ascii="宋体" w:eastAsia="宋体" w:cs="宋体"/>
                <w:color w:val="auto"/>
                <w:highlight w:val="none"/>
                <w:lang w:eastAsia="zh-CN"/>
              </w:rPr>
              <w:t>）</w:t>
            </w:r>
            <w:r>
              <w:rPr>
                <w:rFonts w:hint="eastAsia"/>
                <w:color w:val="auto"/>
                <w:highlight w:val="none"/>
                <w:lang w:eastAsia="zh-CN"/>
              </w:rPr>
              <w:t>，</w:t>
            </w:r>
            <w:r>
              <w:rPr>
                <w:rFonts w:hint="eastAsia"/>
                <w:color w:val="auto"/>
                <w:highlight w:val="none"/>
                <w:lang w:val="en-US" w:eastAsia="zh-CN"/>
              </w:rPr>
              <w:t>合同签订时缴纳</w:t>
            </w:r>
            <w:r>
              <w:rPr>
                <w:rFonts w:ascii="宋体" w:eastAsia="宋体" w:cs="宋体"/>
                <w:color w:val="auto"/>
                <w:highlight w:val="none"/>
              </w:rPr>
              <w:t>。</w:t>
            </w:r>
          </w:p>
        </w:tc>
      </w:tr>
      <w:tr w14:paraId="3E8E97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07856C63">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8.2</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5060934D">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不再招标的情形</w:t>
            </w:r>
          </w:p>
        </w:tc>
        <w:tc>
          <w:tcPr>
            <w:tcW w:w="5920" w:type="dxa"/>
            <w:tcBorders>
              <w:top w:val="single" w:color="000000" w:sz="2" w:space="0"/>
              <w:left w:val="single" w:color="000000" w:sz="2" w:space="0"/>
              <w:bottom w:val="single" w:color="000000" w:sz="2" w:space="0"/>
              <w:right w:val="single" w:color="000000" w:sz="2" w:space="0"/>
            </w:tcBorders>
            <w:noWrap/>
          </w:tcPr>
          <w:p w14:paraId="62023781">
            <w:pPr>
              <w:tabs>
                <w:tab w:val="left" w:pos="5680"/>
              </w:tabs>
              <w:spacing w:line="312" w:lineRule="auto"/>
              <w:ind w:left="105" w:leftChars="50" w:right="105" w:rightChars="50"/>
              <w:rPr>
                <w:rFonts w:ascii="宋体" w:eastAsia="宋体" w:cs="宋体"/>
                <w:color w:val="auto"/>
                <w:highlight w:val="none"/>
              </w:rPr>
            </w:pPr>
            <w:r>
              <w:rPr>
                <w:rFonts w:hint="eastAsia" w:ascii="宋体" w:eastAsia="宋体" w:cs="宋体"/>
                <w:color w:val="auto"/>
                <w:highlight w:val="none"/>
              </w:rPr>
              <w:t>重新招标后投标人仍少于</w:t>
            </w:r>
            <w:r>
              <w:rPr>
                <w:rFonts w:hint="eastAsia" w:ascii="宋体" w:hAnsi="宋体"/>
                <w:color w:val="auto"/>
                <w:highlight w:val="none"/>
              </w:rPr>
              <w:t>3</w:t>
            </w:r>
            <w:r>
              <w:rPr>
                <w:rFonts w:hint="eastAsia" w:ascii="宋体" w:eastAsia="宋体" w:cs="宋体"/>
                <w:color w:val="auto"/>
                <w:highlight w:val="none"/>
              </w:rPr>
              <w:t>个，属于必须审批、核准的工程建设项目，经报相关部门批准后，可以不再进行招标。</w:t>
            </w:r>
          </w:p>
        </w:tc>
      </w:tr>
      <w:tr w14:paraId="5E6F96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763E312E">
            <w:pPr>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9.5</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0E07EA04">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异议和投诉</w:t>
            </w:r>
          </w:p>
        </w:tc>
        <w:tc>
          <w:tcPr>
            <w:tcW w:w="5920" w:type="dxa"/>
            <w:tcBorders>
              <w:top w:val="single" w:color="000000" w:sz="2" w:space="0"/>
              <w:left w:val="single" w:color="000000" w:sz="2" w:space="0"/>
              <w:bottom w:val="single" w:color="000000" w:sz="2" w:space="0"/>
              <w:right w:val="single" w:color="000000" w:sz="2" w:space="0"/>
            </w:tcBorders>
            <w:noWrap/>
          </w:tcPr>
          <w:p w14:paraId="348BC7B3">
            <w:pPr>
              <w:rPr>
                <w:rFonts w:ascii="Times New Roman" w:hAnsi="Times New Roman"/>
                <w:color w:val="auto"/>
                <w:highlight w:val="none"/>
              </w:rPr>
            </w:pPr>
            <w:r>
              <w:rPr>
                <w:rFonts w:ascii="Times New Roman" w:hAnsi="Times New Roman"/>
                <w:color w:val="auto"/>
                <w:highlight w:val="none"/>
              </w:rPr>
              <w:t>9.5.1异议</w:t>
            </w:r>
          </w:p>
          <w:p w14:paraId="780821AF">
            <w:pPr>
              <w:ind w:firstLine="420" w:firstLineChars="200"/>
              <w:rPr>
                <w:rFonts w:ascii="Times New Roman" w:hAnsi="Times New Roman"/>
                <w:color w:val="auto"/>
                <w:highlight w:val="none"/>
              </w:rPr>
            </w:pPr>
            <w:r>
              <w:rPr>
                <w:rFonts w:ascii="Times New Roman" w:hAnsi="Times New Roman"/>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20766CF3">
            <w:pPr>
              <w:ind w:firstLine="420" w:firstLineChars="200"/>
              <w:rPr>
                <w:rFonts w:ascii="Times New Roman" w:hAnsi="Times New Roman"/>
                <w:color w:val="auto"/>
                <w:highlight w:val="none"/>
              </w:rPr>
            </w:pPr>
            <w:r>
              <w:rPr>
                <w:rFonts w:ascii="Times New Roman" w:hAnsi="Times New Roman"/>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62ED1F84">
            <w:pPr>
              <w:ind w:firstLine="420" w:firstLineChars="200"/>
              <w:rPr>
                <w:rFonts w:ascii="Times New Roman" w:hAnsi="Times New Roman"/>
                <w:color w:val="auto"/>
                <w:highlight w:val="none"/>
              </w:rPr>
            </w:pPr>
            <w:r>
              <w:rPr>
                <w:rFonts w:ascii="Times New Roman" w:hAnsi="Times New Roman"/>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3A91571A">
            <w:pPr>
              <w:rPr>
                <w:rFonts w:ascii="Times New Roman" w:hAnsi="Times New Roman"/>
                <w:color w:val="auto"/>
                <w:highlight w:val="none"/>
              </w:rPr>
            </w:pPr>
            <w:r>
              <w:rPr>
                <w:rFonts w:ascii="Times New Roman" w:hAnsi="Times New Roman"/>
                <w:color w:val="auto"/>
                <w:highlight w:val="none"/>
              </w:rPr>
              <w:t>9.5.2投诉</w:t>
            </w:r>
          </w:p>
          <w:p w14:paraId="16073157">
            <w:pPr>
              <w:ind w:firstLine="420" w:firstLineChars="200"/>
              <w:rPr>
                <w:rFonts w:ascii="Times New Roman" w:hAnsi="Times New Roman"/>
                <w:color w:val="auto"/>
                <w:highlight w:val="none"/>
              </w:rPr>
            </w:pPr>
            <w:r>
              <w:rPr>
                <w:rFonts w:ascii="Times New Roman" w:hAnsi="Times New Roman"/>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7235473D">
            <w:pPr>
              <w:ind w:firstLine="420" w:firstLineChars="200"/>
              <w:rPr>
                <w:rFonts w:ascii="宋体" w:eastAsia="宋体" w:cs="宋体"/>
                <w:b/>
                <w:color w:val="auto"/>
                <w:highlight w:val="none"/>
              </w:rPr>
            </w:pPr>
            <w:r>
              <w:rPr>
                <w:rFonts w:ascii="Times New Roman" w:hAnsi="Times New Roman"/>
                <w:color w:val="auto"/>
                <w:highlight w:val="none"/>
              </w:rPr>
              <w:t>上述时限最后一日如遇国家法定休假日的，顺延至法定休假日后的第一个工作日。</w:t>
            </w:r>
          </w:p>
        </w:tc>
      </w:tr>
      <w:tr w14:paraId="7F270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005CCD79">
            <w:pPr>
              <w:pStyle w:val="48"/>
              <w:rPr>
                <w:rFonts w:ascii="Times New Roman" w:hAnsi="Times New Roman"/>
                <w:color w:val="auto"/>
                <w:highlight w:val="none"/>
              </w:rPr>
            </w:pPr>
            <w:r>
              <w:rPr>
                <w:rFonts w:ascii="Times New Roman" w:hAnsi="Times New Roman"/>
                <w:color w:val="auto"/>
                <w:highlight w:val="none"/>
              </w:rPr>
              <w:t>10</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54CDA865">
            <w:pPr>
              <w:pStyle w:val="48"/>
              <w:ind w:firstLine="0" w:firstLineChars="0"/>
              <w:rPr>
                <w:rFonts w:ascii="Times New Roman" w:hAnsi="Times New Roman"/>
                <w:color w:val="auto"/>
                <w:highlight w:val="none"/>
              </w:rPr>
            </w:pPr>
            <w:r>
              <w:rPr>
                <w:rFonts w:hint="eastAsia" w:ascii="宋体" w:eastAsia="宋体" w:cs="宋体"/>
                <w:color w:val="auto"/>
                <w:highlight w:val="none"/>
              </w:rPr>
              <w:t>需要补充的其他内容</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FC8F2D2">
            <w:pPr>
              <w:jc w:val="both"/>
              <w:rPr>
                <w:rFonts w:ascii="Times New Roman" w:hAnsi="Times New Roman"/>
                <w:color w:val="auto"/>
                <w:highlight w:val="none"/>
              </w:rPr>
            </w:pPr>
            <w:r>
              <w:rPr>
                <w:rFonts w:ascii="Times New Roman" w:hAnsi="Times New Roman"/>
                <w:color w:val="auto"/>
                <w:highlight w:val="none"/>
              </w:rPr>
              <w:t>投诉受理的具体部门</w:t>
            </w:r>
            <w:r>
              <w:rPr>
                <w:rFonts w:hint="eastAsia" w:ascii="Times New Roman" w:hAnsi="Times New Roman" w:eastAsia="宋体"/>
                <w:color w:val="auto"/>
                <w:highlight w:val="none"/>
              </w:rPr>
              <w:t>：绍兴市住房和城乡建设局，</w:t>
            </w:r>
            <w:r>
              <w:rPr>
                <w:rFonts w:ascii="Times New Roman" w:hAnsi="Times New Roman"/>
                <w:color w:val="auto"/>
                <w:highlight w:val="none"/>
              </w:rPr>
              <w:t>电话</w:t>
            </w:r>
            <w:r>
              <w:rPr>
                <w:rFonts w:hint="eastAsia" w:ascii="Times New Roman" w:hAnsi="Times New Roman" w:eastAsia="宋体"/>
                <w:color w:val="auto"/>
                <w:highlight w:val="none"/>
              </w:rPr>
              <w:t>：</w:t>
            </w:r>
            <w:r>
              <w:rPr>
                <w:rFonts w:hint="eastAsia" w:ascii="Times New Roman" w:hAnsi="Times New Roman" w:eastAsia="宋体"/>
                <w:color w:val="auto"/>
                <w:highlight w:val="none"/>
                <w:u w:val="single"/>
              </w:rPr>
              <w:t>0575-85115633</w:t>
            </w:r>
            <w:r>
              <w:rPr>
                <w:rFonts w:ascii="Times New Roman" w:hAnsi="Times New Roman"/>
                <w:color w:val="auto"/>
                <w:highlight w:val="none"/>
              </w:rPr>
              <w:t>。</w:t>
            </w:r>
          </w:p>
        </w:tc>
      </w:tr>
      <w:tr w14:paraId="2ABAFB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02D89B10">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10.1</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327E78B4">
            <w:pPr>
              <w:tabs>
                <w:tab w:val="left" w:pos="14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否决投标的情形</w:t>
            </w:r>
          </w:p>
        </w:tc>
        <w:tc>
          <w:tcPr>
            <w:tcW w:w="5920" w:type="dxa"/>
            <w:tcBorders>
              <w:top w:val="single" w:color="000000" w:sz="2" w:space="0"/>
              <w:left w:val="single" w:color="000000" w:sz="2" w:space="0"/>
              <w:bottom w:val="single" w:color="000000" w:sz="2" w:space="0"/>
              <w:right w:val="single" w:color="000000" w:sz="2" w:space="0"/>
            </w:tcBorders>
            <w:noWrap/>
          </w:tcPr>
          <w:p w14:paraId="57774729">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59B78412">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二、投标文件存在以下情形之一的，由评标委员会审核并经过询标程序，其投标文件将被否决：</w:t>
            </w:r>
          </w:p>
          <w:p w14:paraId="6CDA2550">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eastAsia="zh-CN"/>
              </w:rPr>
              <w:t>（一）</w:t>
            </w:r>
            <w:r>
              <w:rPr>
                <w:rFonts w:ascii="宋体" w:eastAsia="宋体" w:cs="宋体"/>
                <w:color w:val="auto"/>
                <w:highlight w:val="none"/>
              </w:rPr>
              <w:t>符合性内容</w:t>
            </w:r>
          </w:p>
          <w:p w14:paraId="39681904">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1.投标人的资质、业绩、人员、</w:t>
            </w:r>
            <w:r>
              <w:rPr>
                <w:rFonts w:hint="eastAsia" w:ascii="宋体" w:eastAsia="宋体" w:cs="宋体"/>
                <w:color w:val="auto"/>
                <w:highlight w:val="none"/>
              </w:rPr>
              <w:t>设备</w:t>
            </w:r>
            <w:r>
              <w:rPr>
                <w:rFonts w:hint="eastAsia" w:ascii="宋体" w:eastAsia="宋体" w:cs="宋体"/>
                <w:color w:val="auto"/>
                <w:highlight w:val="none"/>
                <w:lang w:eastAsia="zh-CN"/>
              </w:rPr>
              <w:t>（</w:t>
            </w:r>
            <w:r>
              <w:rPr>
                <w:rFonts w:hint="eastAsia" w:ascii="宋体" w:eastAsia="宋体" w:cs="宋体"/>
                <w:color w:val="auto"/>
                <w:highlight w:val="none"/>
              </w:rPr>
              <w:t>材料</w:t>
            </w:r>
            <w:r>
              <w:rPr>
                <w:rFonts w:hint="eastAsia" w:ascii="宋体" w:eastAsia="宋体" w:cs="宋体"/>
                <w:color w:val="auto"/>
                <w:highlight w:val="none"/>
                <w:lang w:eastAsia="zh-CN"/>
              </w:rPr>
              <w:t>）</w:t>
            </w:r>
            <w:r>
              <w:rPr>
                <w:rFonts w:ascii="宋体" w:eastAsia="宋体" w:cs="宋体"/>
                <w:color w:val="auto"/>
                <w:highlight w:val="none"/>
              </w:rPr>
              <w:t>等条件未满足招标文件实质性响应要求的</w:t>
            </w:r>
            <w:r>
              <w:rPr>
                <w:rFonts w:hint="eastAsia" w:ascii="宋体" w:eastAsia="宋体" w:cs="宋体"/>
                <w:color w:val="auto"/>
                <w:highlight w:val="none"/>
                <w:lang w:eastAsia="zh-CN"/>
              </w:rPr>
              <w:t>（</w:t>
            </w:r>
            <w:r>
              <w:rPr>
                <w:rFonts w:ascii="宋体" w:eastAsia="宋体" w:cs="宋体"/>
                <w:color w:val="auto"/>
                <w:highlight w:val="none"/>
              </w:rPr>
              <w:t>以投标人须知前附表3.5.7中“一、实质性响应招标文件资料”内容为准</w:t>
            </w:r>
            <w:r>
              <w:rPr>
                <w:rFonts w:hint="eastAsia" w:ascii="宋体" w:eastAsia="宋体" w:cs="宋体"/>
                <w:color w:val="auto"/>
                <w:highlight w:val="none"/>
                <w:lang w:eastAsia="zh-CN"/>
              </w:rPr>
              <w:t>）</w:t>
            </w:r>
            <w:r>
              <w:rPr>
                <w:rFonts w:ascii="宋体" w:eastAsia="宋体" w:cs="宋体"/>
                <w:color w:val="auto"/>
                <w:highlight w:val="none"/>
              </w:rPr>
              <w:t>；</w:t>
            </w:r>
          </w:p>
          <w:p w14:paraId="56CF6177">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2.投标文件未按招标文件的要求</w:t>
            </w:r>
            <w:r>
              <w:rPr>
                <w:rFonts w:hint="eastAsia" w:ascii="宋体" w:eastAsia="宋体" w:cs="宋体"/>
                <w:color w:val="auto"/>
                <w:highlight w:val="none"/>
                <w:lang w:eastAsia="zh-CN"/>
              </w:rPr>
              <w:t>（</w:t>
            </w:r>
            <w:r>
              <w:rPr>
                <w:rFonts w:ascii="宋体" w:eastAsia="宋体" w:cs="宋体"/>
                <w:color w:val="auto"/>
                <w:highlight w:val="none"/>
              </w:rPr>
              <w:t>以投标人须知前附表第3.7.3项规定为准</w:t>
            </w:r>
            <w:r>
              <w:rPr>
                <w:rFonts w:hint="eastAsia" w:ascii="宋体" w:eastAsia="宋体" w:cs="宋体"/>
                <w:color w:val="auto"/>
                <w:highlight w:val="none"/>
                <w:lang w:eastAsia="zh-CN"/>
              </w:rPr>
              <w:t>）</w:t>
            </w:r>
            <w:r>
              <w:rPr>
                <w:rFonts w:ascii="宋体" w:eastAsia="宋体" w:cs="宋体"/>
                <w:color w:val="auto"/>
                <w:highlight w:val="none"/>
              </w:rPr>
              <w:t>签字或盖章的；</w:t>
            </w:r>
          </w:p>
          <w:p w14:paraId="12E1F4DB">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position w:val="1"/>
                <w:highlight w:val="none"/>
              </w:rPr>
              <w:t>☑</w:t>
            </w:r>
            <w:r>
              <w:rPr>
                <w:rFonts w:ascii="宋体" w:eastAsia="宋体" w:cs="宋体"/>
                <w:color w:val="auto"/>
                <w:position w:val="1"/>
                <w:highlight w:val="none"/>
              </w:rPr>
              <w:t>3.委托代理人无有效的</w:t>
            </w:r>
            <w:r>
              <w:rPr>
                <w:rFonts w:ascii="宋体" w:eastAsia="宋体" w:cs="宋体"/>
                <w:color w:val="auto"/>
                <w:highlight w:val="none"/>
              </w:rPr>
              <w:t>法定代表人</w:t>
            </w:r>
            <w:r>
              <w:rPr>
                <w:rFonts w:ascii="宋体" w:eastAsia="宋体" w:cs="宋体"/>
                <w:color w:val="auto"/>
                <w:position w:val="1"/>
                <w:highlight w:val="none"/>
              </w:rPr>
              <w:t>授权委托书的；</w:t>
            </w:r>
          </w:p>
          <w:p w14:paraId="75CA64AC">
            <w:pPr>
              <w:tabs>
                <w:tab w:val="left" w:pos="5680"/>
              </w:tabs>
              <w:spacing w:line="312" w:lineRule="auto"/>
              <w:ind w:left="105" w:leftChars="50" w:right="105" w:rightChars="50"/>
              <w:jc w:val="both"/>
              <w:rPr>
                <w:rFonts w:hint="eastAsia" w:ascii="宋体" w:eastAsia="宋体" w:cs="宋体"/>
                <w:color w:val="auto"/>
                <w:highlight w:val="none"/>
              </w:rPr>
            </w:pPr>
            <w:r>
              <w:rPr>
                <w:rFonts w:ascii="宋体" w:eastAsia="宋体" w:cs="宋体"/>
                <w:color w:val="auto"/>
                <w:highlight w:val="none"/>
              </w:rPr>
              <w:t>4.投标人存在投标人须知第1.4.3项和投标人须知前附表第10.</w:t>
            </w:r>
            <w:r>
              <w:rPr>
                <w:rFonts w:hint="eastAsia" w:ascii="宋体" w:eastAsia="宋体" w:cs="宋体"/>
                <w:color w:val="auto"/>
                <w:highlight w:val="none"/>
              </w:rPr>
              <w:t>3</w:t>
            </w:r>
            <w:r>
              <w:rPr>
                <w:rFonts w:ascii="宋体" w:eastAsia="宋体" w:cs="宋体"/>
                <w:color w:val="auto"/>
                <w:highlight w:val="none"/>
              </w:rPr>
              <w:t>款第五点规定情形的</w:t>
            </w:r>
            <w:r>
              <w:rPr>
                <w:rFonts w:hint="eastAsia" w:ascii="宋体" w:eastAsia="宋体" w:cs="宋体"/>
                <w:color w:val="auto"/>
                <w:highlight w:val="none"/>
              </w:rPr>
              <w:t>；</w:t>
            </w:r>
          </w:p>
          <w:p w14:paraId="067989D3">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5.投标函载明的</w:t>
            </w:r>
            <w:r>
              <w:rPr>
                <w:rFonts w:hint="eastAsia" w:ascii="宋体" w:eastAsia="宋体" w:cs="宋体"/>
                <w:color w:val="auto"/>
                <w:highlight w:val="none"/>
                <w:lang w:val="en-US" w:eastAsia="zh-CN"/>
              </w:rPr>
              <w:t>工期</w:t>
            </w:r>
            <w:r>
              <w:rPr>
                <w:rFonts w:ascii="宋体" w:eastAsia="宋体" w:cs="宋体"/>
                <w:color w:val="auto"/>
                <w:highlight w:val="none"/>
              </w:rPr>
              <w:t>不响应招标文件要求的；</w:t>
            </w:r>
          </w:p>
          <w:p w14:paraId="2272B9B0">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6.投标人不以自己的名义或未按招标文件要求提供投标保证金，或提供的投标保证金有缺陷而不能接受的；</w:t>
            </w:r>
          </w:p>
          <w:p w14:paraId="7532879A">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position w:val="1"/>
                <w:highlight w:val="none"/>
              </w:rPr>
              <w:t>7.投标报价高于招标文件设定的最高投标限价的；</w:t>
            </w:r>
          </w:p>
          <w:p w14:paraId="049256C6">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8.改变招标人提供的</w:t>
            </w:r>
            <w:r>
              <w:rPr>
                <w:rFonts w:hint="eastAsia" w:ascii="宋体" w:eastAsia="宋体" w:cs="宋体"/>
                <w:color w:val="auto"/>
                <w:highlight w:val="none"/>
              </w:rPr>
              <w:t>设备</w:t>
            </w:r>
            <w:r>
              <w:rPr>
                <w:rFonts w:hint="eastAsia" w:ascii="宋体" w:eastAsia="宋体" w:cs="宋体"/>
                <w:color w:val="auto"/>
                <w:highlight w:val="none"/>
                <w:lang w:eastAsia="zh-CN"/>
              </w:rPr>
              <w:t>（</w:t>
            </w:r>
            <w:r>
              <w:rPr>
                <w:rFonts w:hint="eastAsia" w:ascii="宋体" w:eastAsia="宋体" w:cs="宋体"/>
                <w:color w:val="auto"/>
                <w:highlight w:val="none"/>
              </w:rPr>
              <w:t>材料</w:t>
            </w:r>
            <w:r>
              <w:rPr>
                <w:rFonts w:hint="eastAsia" w:ascii="宋体" w:eastAsia="宋体" w:cs="宋体"/>
                <w:color w:val="auto"/>
                <w:highlight w:val="none"/>
                <w:lang w:eastAsia="zh-CN"/>
              </w:rPr>
              <w:t>）</w:t>
            </w:r>
            <w:r>
              <w:rPr>
                <w:rFonts w:ascii="宋体" w:eastAsia="宋体" w:cs="宋体"/>
                <w:color w:val="auto"/>
                <w:highlight w:val="none"/>
              </w:rPr>
              <w:t>清单内容的</w:t>
            </w:r>
            <w:r>
              <w:rPr>
                <w:rFonts w:hint="eastAsia" w:ascii="宋体" w:eastAsia="宋体" w:cs="宋体"/>
                <w:color w:val="auto"/>
                <w:highlight w:val="none"/>
                <w:lang w:eastAsia="zh-CN"/>
              </w:rPr>
              <w:t>（</w:t>
            </w:r>
            <w:r>
              <w:rPr>
                <w:rFonts w:ascii="宋体" w:eastAsia="宋体" w:cs="宋体"/>
                <w:color w:val="auto"/>
                <w:highlight w:val="none"/>
              </w:rPr>
              <w:t>货物名称、单位、数量</w:t>
            </w:r>
            <w:r>
              <w:rPr>
                <w:rFonts w:hint="eastAsia" w:ascii="宋体" w:eastAsia="宋体" w:cs="宋体"/>
                <w:color w:val="auto"/>
                <w:highlight w:val="none"/>
                <w:lang w:eastAsia="zh-CN"/>
              </w:rPr>
              <w:t>）</w:t>
            </w:r>
            <w:r>
              <w:rPr>
                <w:rFonts w:ascii="宋体" w:eastAsia="宋体" w:cs="宋体"/>
                <w:color w:val="auto"/>
                <w:highlight w:val="none"/>
              </w:rPr>
              <w:t>；</w:t>
            </w:r>
          </w:p>
          <w:p w14:paraId="1CC54894">
            <w:pPr>
              <w:tabs>
                <w:tab w:val="left" w:pos="56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color w:val="auto"/>
                <w:position w:val="1"/>
                <w:highlight w:val="none"/>
              </w:rPr>
              <w:t>☑</w:t>
            </w:r>
            <w:r>
              <w:rPr>
                <w:rFonts w:hint="eastAsia" w:ascii="宋体" w:eastAsia="宋体" w:cs="宋体"/>
                <w:strike w:val="0"/>
                <w:dstrike w:val="0"/>
                <w:color w:val="auto"/>
                <w:highlight w:val="none"/>
              </w:rPr>
              <w:t>9</w:t>
            </w:r>
            <w:r>
              <w:rPr>
                <w:rFonts w:ascii="宋体" w:eastAsia="宋体" w:cs="宋体"/>
                <w:strike w:val="0"/>
                <w:dstrike w:val="0"/>
                <w:color w:val="auto"/>
                <w:highlight w:val="none"/>
              </w:rPr>
              <w:t>.</w:t>
            </w:r>
            <w:r>
              <w:rPr>
                <w:rFonts w:hint="eastAsia" w:ascii="宋体" w:eastAsia="宋体" w:cs="宋体"/>
                <w:strike w:val="0"/>
                <w:dstrike w:val="0"/>
                <w:color w:val="auto"/>
                <w:highlight w:val="none"/>
              </w:rPr>
              <w:t>投标人及其拟派项目负责人未被列入建筑市场严重失信名单（以全国建筑市场监管公共服务平台黑名单记录、失信联合惩戒记录</w:t>
            </w:r>
            <w:r>
              <w:rPr>
                <w:rFonts w:hint="eastAsia" w:ascii="宋体" w:eastAsia="宋体" w:cs="宋体"/>
                <w:strike w:val="0"/>
                <w:dstrike w:val="0"/>
                <w:color w:val="auto"/>
                <w:highlight w:val="none"/>
                <w:u w:val="none"/>
              </w:rPr>
              <w:t>和浙江省建筑市场监管公共服务系统严重失信名单的信息为准）</w:t>
            </w:r>
            <w:r>
              <w:rPr>
                <w:rFonts w:ascii="宋体" w:eastAsia="宋体" w:cs="宋体"/>
                <w:strike w:val="0"/>
                <w:dstrike w:val="0"/>
                <w:color w:val="auto"/>
                <w:highlight w:val="none"/>
              </w:rPr>
              <w:t>；</w:t>
            </w:r>
          </w:p>
          <w:p w14:paraId="6955B5E8">
            <w:pPr>
              <w:tabs>
                <w:tab w:val="left" w:pos="56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rPr>
              <w:sym w:font="Wingdings 2" w:char="00A3"/>
            </w:r>
            <w:r>
              <w:rPr>
                <w:rFonts w:hint="eastAsia" w:ascii="宋体" w:eastAsia="宋体" w:cs="宋体"/>
                <w:strike w:val="0"/>
                <w:dstrike w:val="0"/>
                <w:color w:val="auto"/>
                <w:highlight w:val="none"/>
              </w:rPr>
              <w:t>10.投标人为非中小企业的，投标人未提供《中小企业声明函》或未按照招标文件所附的《中小企业声明函》格式提供的；</w:t>
            </w:r>
          </w:p>
          <w:p w14:paraId="263F695C">
            <w:pPr>
              <w:tabs>
                <w:tab w:val="left" w:pos="5680"/>
              </w:tabs>
              <w:spacing w:line="312" w:lineRule="auto"/>
              <w:ind w:left="105" w:leftChars="50" w:right="105" w:rightChars="50"/>
              <w:jc w:val="both"/>
              <w:rPr>
                <w:rFonts w:ascii="宋体" w:eastAsia="宋体" w:cs="宋体"/>
                <w:strike w:val="0"/>
                <w:dstrike w:val="0"/>
                <w:color w:val="auto"/>
                <w:highlight w:val="none"/>
              </w:rPr>
            </w:pPr>
            <w:r>
              <w:rPr>
                <w:rFonts w:hint="eastAsia" w:ascii="宋体" w:eastAsia="宋体" w:cs="宋体"/>
                <w:strike w:val="0"/>
                <w:dstrike w:val="0"/>
                <w:color w:val="auto"/>
                <w:highlight w:val="none"/>
              </w:rPr>
              <w:t>11</w:t>
            </w:r>
            <w:r>
              <w:rPr>
                <w:rFonts w:ascii="宋体" w:eastAsia="宋体" w:cs="宋体"/>
                <w:strike w:val="0"/>
                <w:dstrike w:val="0"/>
                <w:color w:val="auto"/>
                <w:highlight w:val="none"/>
              </w:rPr>
              <w:t>.</w:t>
            </w:r>
            <w:r>
              <w:rPr>
                <w:rFonts w:hint="eastAsia" w:ascii="宋体" w:eastAsia="宋体" w:cs="宋体"/>
                <w:strike w:val="0"/>
                <w:dstrike w:val="0"/>
                <w:color w:val="auto"/>
                <w:highlight w:val="none"/>
              </w:rPr>
              <w:t>投标人存在行贿犯罪记录的；</w:t>
            </w:r>
          </w:p>
          <w:p w14:paraId="687CCAE4">
            <w:pPr>
              <w:pStyle w:val="47"/>
              <w:tabs>
                <w:tab w:val="left" w:pos="3376"/>
                <w:tab w:val="left" w:pos="5680"/>
              </w:tabs>
              <w:kinsoku w:val="0"/>
              <w:topLinePunct/>
              <w:autoSpaceDE w:val="0"/>
              <w:autoSpaceDN w:val="0"/>
              <w:spacing w:line="312" w:lineRule="auto"/>
              <w:ind w:left="105" w:leftChars="50" w:right="105" w:rightChars="50" w:firstLine="0" w:firstLineChars="0"/>
              <w:rPr>
                <w:strike w:val="0"/>
                <w:dstrike w:val="0"/>
                <w:color w:val="auto"/>
                <w:highlight w:val="none"/>
              </w:rPr>
            </w:pPr>
            <w:r>
              <w:rPr>
                <w:rFonts w:hint="eastAsia" w:eastAsia="宋体"/>
                <w:strike w:val="0"/>
                <w:dstrike w:val="0"/>
                <w:color w:val="auto"/>
                <w:highlight w:val="none"/>
              </w:rPr>
              <w:t>12</w:t>
            </w:r>
            <w:r>
              <w:rPr>
                <w:rFonts w:hint="eastAsia"/>
                <w:strike w:val="0"/>
                <w:dstrike w:val="0"/>
                <w:color w:val="auto"/>
                <w:highlight w:val="none"/>
              </w:rPr>
              <w:t>.不同投标人的投标文件制作机器码、文件创建标识码一致的；（具体说明：</w:t>
            </w:r>
            <w:r>
              <w:rPr>
                <w:rFonts w:hint="default"/>
                <w:color w:val="auto"/>
                <w:highlight w:val="none"/>
                <w:lang w:val="en-US"/>
              </w:rPr>
              <w:t>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w:t>
            </w:r>
            <w:r>
              <w:rPr>
                <w:rFonts w:hint="eastAsia"/>
                <w:strike w:val="0"/>
                <w:dstrike w:val="0"/>
                <w:color w:val="auto"/>
                <w:highlight w:val="none"/>
              </w:rPr>
              <w:t>）</w:t>
            </w:r>
          </w:p>
          <w:p w14:paraId="1051694D">
            <w:pPr>
              <w:pStyle w:val="47"/>
              <w:tabs>
                <w:tab w:val="left" w:pos="3376"/>
                <w:tab w:val="left" w:pos="5680"/>
              </w:tabs>
              <w:kinsoku w:val="0"/>
              <w:topLinePunct/>
              <w:autoSpaceDE w:val="0"/>
              <w:autoSpaceDN w:val="0"/>
              <w:spacing w:line="312" w:lineRule="auto"/>
              <w:ind w:left="105" w:leftChars="50" w:right="105" w:rightChars="50" w:firstLine="0" w:firstLineChars="0"/>
              <w:rPr>
                <w:rFonts w:ascii="Times New Roman" w:hAnsi="Times New Roman" w:eastAsia="宋体"/>
                <w:strike w:val="0"/>
                <w:dstrike w:val="0"/>
                <w:color w:val="auto"/>
                <w:highlight w:val="none"/>
              </w:rPr>
            </w:pPr>
            <w:r>
              <w:rPr>
                <w:rFonts w:hint="eastAsia" w:eastAsia="宋体"/>
                <w:strike w:val="0"/>
                <w:dstrike w:val="0"/>
                <w:color w:val="auto"/>
                <w:highlight w:val="none"/>
              </w:rPr>
              <w:t>□13</w:t>
            </w:r>
            <w:r>
              <w:rPr>
                <w:rFonts w:hint="eastAsia"/>
                <w:strike w:val="0"/>
                <w:dstrike w:val="0"/>
                <w:color w:val="auto"/>
                <w:highlight w:val="none"/>
              </w:rPr>
              <w:t>.</w:t>
            </w:r>
            <w:r>
              <w:rPr>
                <w:rFonts w:ascii="Times New Roman" w:hAnsi="Times New Roman"/>
                <w:strike w:val="0"/>
                <w:dstrike w:val="0"/>
                <w:color w:val="auto"/>
                <w:highlight w:val="none"/>
              </w:rPr>
              <w:t>投标人提供的纸质投标文件水印码与电子投标文件不一致的；</w:t>
            </w:r>
          </w:p>
          <w:p w14:paraId="0AF7DC0E">
            <w:pPr>
              <w:pStyle w:val="47"/>
              <w:tabs>
                <w:tab w:val="left" w:pos="3376"/>
                <w:tab w:val="left" w:pos="5680"/>
              </w:tabs>
              <w:kinsoku w:val="0"/>
              <w:topLinePunct/>
              <w:autoSpaceDE w:val="0"/>
              <w:autoSpaceDN w:val="0"/>
              <w:spacing w:line="312" w:lineRule="auto"/>
              <w:ind w:left="105" w:leftChars="50" w:right="105" w:rightChars="50" w:firstLine="0" w:firstLineChars="0"/>
              <w:rPr>
                <w:rFonts w:eastAsia="宋体"/>
                <w:strike w:val="0"/>
                <w:dstrike w:val="0"/>
                <w:color w:val="auto"/>
                <w:highlight w:val="none"/>
              </w:rPr>
            </w:pPr>
            <w:r>
              <w:rPr>
                <w:rFonts w:hint="eastAsia" w:ascii="Times New Roman" w:hAnsi="Times New Roman" w:eastAsia="宋体"/>
                <w:strike w:val="0"/>
                <w:dstrike w:val="0"/>
                <w:color w:val="auto"/>
                <w:highlight w:val="none"/>
              </w:rPr>
              <w:t>□14.经招标人核实，投标人不符合“免缴投标保证金的”的条件，视同为未缴纳投标保证金；</w:t>
            </w:r>
          </w:p>
          <w:p w14:paraId="11C1A277">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w:t>
            </w:r>
            <w:r>
              <w:rPr>
                <w:rFonts w:hint="eastAsia" w:ascii="宋体" w:eastAsia="宋体" w:cs="宋体"/>
                <w:color w:val="auto"/>
                <w:highlight w:val="none"/>
              </w:rPr>
              <w:t>5</w:t>
            </w:r>
            <w:r>
              <w:rPr>
                <w:rFonts w:ascii="宋体" w:eastAsia="宋体" w:cs="宋体"/>
                <w:color w:val="auto"/>
                <w:highlight w:val="none"/>
              </w:rPr>
              <w:t>.存在法律、法规、规章规定的其它无效投标情况的。</w:t>
            </w:r>
          </w:p>
          <w:p w14:paraId="38C74E68">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eastAsia="zh-CN"/>
              </w:rPr>
              <w:t>（二）</w:t>
            </w:r>
            <w:r>
              <w:rPr>
                <w:rFonts w:ascii="宋体" w:eastAsia="宋体" w:cs="宋体"/>
                <w:color w:val="auto"/>
                <w:highlight w:val="none"/>
              </w:rPr>
              <w:t>技术标内容</w:t>
            </w:r>
          </w:p>
          <w:p w14:paraId="269FB718">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1.采用的验收标准和方法、主要技术指标达不到国家强制性标准或要求的；</w:t>
            </w:r>
          </w:p>
          <w:p w14:paraId="3FDAB97B">
            <w:pPr>
              <w:tabs>
                <w:tab w:val="left" w:pos="5680"/>
              </w:tabs>
              <w:spacing w:line="312" w:lineRule="auto"/>
              <w:ind w:left="105" w:leftChars="50" w:right="105" w:rightChars="50"/>
              <w:jc w:val="both"/>
              <w:rPr>
                <w:rFonts w:hint="eastAsia" w:ascii="宋体" w:eastAsia="宋体" w:cs="宋体"/>
                <w:color w:val="auto"/>
                <w:highlight w:val="none"/>
                <w:u w:val="single"/>
                <w:lang w:eastAsia="zh-CN"/>
              </w:rPr>
            </w:pPr>
            <w:r>
              <w:rPr>
                <w:rFonts w:ascii="宋体" w:eastAsia="宋体" w:cs="宋体"/>
                <w:color w:val="auto"/>
                <w:highlight w:val="none"/>
              </w:rPr>
              <w:t>2.不符合以下技术规格、标准或性能指标的</w:t>
            </w:r>
            <w:r>
              <w:rPr>
                <w:rFonts w:hint="eastAsia" w:ascii="宋体" w:eastAsia="宋体" w:cs="宋体"/>
                <w:color w:val="auto"/>
                <w:highlight w:val="none"/>
                <w:lang w:eastAsia="zh-CN"/>
              </w:rPr>
              <w:t>（</w:t>
            </w:r>
            <w:r>
              <w:rPr>
                <w:rFonts w:ascii="宋体" w:eastAsia="宋体" w:cs="宋体"/>
                <w:color w:val="auto"/>
                <w:highlight w:val="none"/>
              </w:rPr>
              <w:t>招标人认为需要增加的，无则删除本条</w:t>
            </w:r>
            <w:r>
              <w:rPr>
                <w:rFonts w:hint="eastAsia" w:ascii="宋体" w:eastAsia="宋体" w:cs="宋体"/>
                <w:color w:val="auto"/>
                <w:highlight w:val="none"/>
                <w:lang w:eastAsia="zh-CN"/>
              </w:rPr>
              <w:t>）</w:t>
            </w:r>
            <w:r>
              <w:rPr>
                <w:rFonts w:ascii="宋体" w:eastAsia="宋体" w:cs="宋体"/>
                <w:color w:val="auto"/>
                <w:highlight w:val="none"/>
              </w:rPr>
              <w:t>：</w:t>
            </w:r>
            <w:r>
              <w:rPr>
                <w:rFonts w:hint="eastAsia" w:ascii="宋体" w:eastAsia="宋体" w:cs="宋体"/>
                <w:color w:val="auto"/>
                <w:highlight w:val="none"/>
              </w:rPr>
              <w:t>/</w:t>
            </w:r>
            <w:r>
              <w:rPr>
                <w:rFonts w:hint="eastAsia" w:ascii="宋体" w:eastAsia="宋体" w:cs="宋体"/>
                <w:color w:val="auto"/>
                <w:highlight w:val="none"/>
                <w:lang w:eastAsia="zh-CN"/>
              </w:rPr>
              <w:t>；</w:t>
            </w:r>
          </w:p>
          <w:p w14:paraId="454838EA">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ascii="宋体" w:eastAsia="宋体" w:cs="宋体"/>
                <w:color w:val="auto"/>
                <w:highlight w:val="none"/>
              </w:rPr>
              <w:t>3.投标文件载明的货物包装方式、检验标准和方法等不符合以下要求的</w:t>
            </w:r>
            <w:r>
              <w:rPr>
                <w:rFonts w:hint="eastAsia" w:ascii="宋体" w:eastAsia="宋体" w:cs="宋体"/>
                <w:color w:val="auto"/>
                <w:highlight w:val="none"/>
                <w:lang w:eastAsia="zh-CN"/>
              </w:rPr>
              <w:t>（</w:t>
            </w:r>
            <w:r>
              <w:rPr>
                <w:rFonts w:ascii="宋体" w:eastAsia="宋体" w:cs="宋体"/>
                <w:color w:val="auto"/>
                <w:highlight w:val="none"/>
              </w:rPr>
              <w:t>招标人需要增加的其他内容，无则删除本条</w:t>
            </w:r>
            <w:r>
              <w:rPr>
                <w:rFonts w:hint="eastAsia" w:ascii="宋体" w:eastAsia="宋体" w:cs="宋体"/>
                <w:color w:val="auto"/>
                <w:highlight w:val="none"/>
                <w:lang w:eastAsia="zh-CN"/>
              </w:rPr>
              <w:t>）</w:t>
            </w:r>
            <w:r>
              <w:rPr>
                <w:rFonts w:ascii="宋体" w:eastAsia="宋体" w:cs="宋体"/>
                <w:color w:val="auto"/>
                <w:highlight w:val="none"/>
              </w:rPr>
              <w:t>：</w:t>
            </w:r>
            <w:r>
              <w:rPr>
                <w:rFonts w:hint="eastAsia" w:ascii="宋体" w:eastAsia="宋体" w:cs="宋体"/>
                <w:color w:val="auto"/>
                <w:highlight w:val="none"/>
              </w:rPr>
              <w:t>/</w:t>
            </w:r>
            <w:r>
              <w:rPr>
                <w:rFonts w:hint="eastAsia" w:ascii="宋体" w:eastAsia="宋体" w:cs="宋体"/>
                <w:color w:val="auto"/>
                <w:highlight w:val="none"/>
                <w:lang w:eastAsia="zh-CN"/>
              </w:rPr>
              <w:t>；</w:t>
            </w:r>
          </w:p>
          <w:p w14:paraId="50751A7C">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rPr>
              <w:t>4.存在评标办法规定的否决投标情况的；</w:t>
            </w:r>
          </w:p>
          <w:p w14:paraId="047D49B6">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hint="eastAsia" w:ascii="宋体" w:eastAsia="宋体" w:cs="宋体"/>
                <w:color w:val="auto"/>
                <w:highlight w:val="none"/>
              </w:rPr>
              <w:t>5</w:t>
            </w:r>
            <w:r>
              <w:rPr>
                <w:rFonts w:ascii="宋体" w:eastAsia="宋体" w:cs="宋体"/>
                <w:color w:val="auto"/>
                <w:highlight w:val="none"/>
              </w:rPr>
              <w:t>.</w:t>
            </w:r>
            <w:r>
              <w:rPr>
                <w:rFonts w:hint="eastAsia" w:ascii="宋体" w:eastAsia="宋体" w:cs="宋体"/>
                <w:color w:val="auto"/>
                <w:highlight w:val="none"/>
              </w:rPr>
              <w:t>评标委员会认为投标文件存在重大偏离的</w:t>
            </w:r>
            <w:r>
              <w:rPr>
                <w:rFonts w:hint="eastAsia" w:ascii="宋体" w:eastAsia="宋体" w:cs="宋体"/>
                <w:color w:val="auto"/>
                <w:highlight w:val="none"/>
                <w:lang w:eastAsia="zh-CN"/>
              </w:rPr>
              <w:t>；</w:t>
            </w:r>
          </w:p>
          <w:p w14:paraId="439B311B">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val="en-US" w:eastAsia="zh-CN"/>
              </w:rPr>
              <w:t>6.</w:t>
            </w:r>
            <w:r>
              <w:rPr>
                <w:rFonts w:hint="eastAsia" w:ascii="宋体" w:eastAsia="宋体" w:cs="宋体"/>
                <w:color w:val="auto"/>
                <w:highlight w:val="none"/>
              </w:rPr>
              <w:t>/</w:t>
            </w:r>
            <w:r>
              <w:rPr>
                <w:rFonts w:hint="eastAsia" w:ascii="宋体" w:eastAsia="宋体" w:cs="宋体"/>
                <w:color w:val="auto"/>
                <w:highlight w:val="none"/>
                <w:lang w:eastAsia="zh-CN"/>
              </w:rPr>
              <w:t>（</w:t>
            </w:r>
            <w:r>
              <w:rPr>
                <w:rFonts w:ascii="宋体" w:eastAsia="宋体" w:cs="宋体"/>
                <w:color w:val="auto"/>
                <w:highlight w:val="none"/>
              </w:rPr>
              <w:t>招标人需要增加的符合法律法规规定的其他内容，无则删除本条</w:t>
            </w:r>
            <w:r>
              <w:rPr>
                <w:rFonts w:hint="eastAsia" w:ascii="宋体" w:eastAsia="宋体" w:cs="宋体"/>
                <w:color w:val="auto"/>
                <w:highlight w:val="none"/>
                <w:lang w:eastAsia="zh-CN"/>
              </w:rPr>
              <w:t>）</w:t>
            </w:r>
            <w:r>
              <w:rPr>
                <w:rFonts w:ascii="宋体" w:eastAsia="宋体" w:cs="宋体"/>
                <w:color w:val="auto"/>
                <w:highlight w:val="none"/>
              </w:rPr>
              <w:t>。</w:t>
            </w:r>
          </w:p>
          <w:p w14:paraId="0DE5E230">
            <w:pPr>
              <w:tabs>
                <w:tab w:val="left" w:pos="5680"/>
              </w:tabs>
              <w:spacing w:line="312" w:lineRule="auto"/>
              <w:ind w:left="105" w:leftChars="50" w:right="105" w:rightChars="50"/>
              <w:jc w:val="both"/>
              <w:rPr>
                <w:rFonts w:ascii="宋体" w:eastAsia="宋体" w:cs="宋体"/>
                <w:color w:val="auto"/>
                <w:highlight w:val="none"/>
              </w:rPr>
            </w:pPr>
            <w:r>
              <w:rPr>
                <w:rFonts w:hint="eastAsia" w:ascii="宋体" w:eastAsia="宋体" w:cs="宋体"/>
                <w:color w:val="auto"/>
                <w:highlight w:val="none"/>
                <w:lang w:eastAsia="zh-CN"/>
              </w:rPr>
              <w:t>（三）</w:t>
            </w:r>
            <w:r>
              <w:rPr>
                <w:rFonts w:ascii="宋体" w:eastAsia="宋体" w:cs="宋体"/>
                <w:color w:val="auto"/>
                <w:highlight w:val="none"/>
              </w:rPr>
              <w:t>商务标内容</w:t>
            </w:r>
          </w:p>
          <w:p w14:paraId="6DB0B3F8">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1.同一投标人提交两个以上不同的投标文件或者投标报价的</w:t>
            </w:r>
            <w:r>
              <w:rPr>
                <w:rFonts w:hint="eastAsia" w:ascii="宋体" w:eastAsia="宋体" w:cs="宋体"/>
                <w:color w:val="auto"/>
                <w:highlight w:val="none"/>
                <w:lang w:eastAsia="zh-CN"/>
              </w:rPr>
              <w:t>（</w:t>
            </w:r>
            <w:r>
              <w:rPr>
                <w:rFonts w:ascii="宋体" w:eastAsia="宋体" w:cs="宋体"/>
                <w:color w:val="auto"/>
                <w:highlight w:val="none"/>
              </w:rPr>
              <w:t>招标文件要求提交备选投标的除外</w:t>
            </w:r>
            <w:r>
              <w:rPr>
                <w:rFonts w:hint="eastAsia" w:ascii="宋体" w:eastAsia="宋体" w:cs="宋体"/>
                <w:color w:val="auto"/>
                <w:highlight w:val="none"/>
                <w:lang w:eastAsia="zh-CN"/>
              </w:rPr>
              <w:t>）</w:t>
            </w:r>
            <w:r>
              <w:rPr>
                <w:rFonts w:ascii="宋体" w:eastAsia="宋体" w:cs="宋体"/>
                <w:color w:val="auto"/>
                <w:highlight w:val="none"/>
              </w:rPr>
              <w:t>；</w:t>
            </w:r>
          </w:p>
          <w:p w14:paraId="05DE0FCA">
            <w:pPr>
              <w:tabs>
                <w:tab w:val="left" w:pos="5680"/>
              </w:tabs>
              <w:spacing w:line="312" w:lineRule="auto"/>
              <w:ind w:left="105" w:leftChars="50" w:right="105" w:rightChars="50"/>
              <w:jc w:val="both"/>
              <w:rPr>
                <w:rFonts w:ascii="宋体" w:eastAsia="宋体" w:cs="宋体"/>
                <w:color w:val="auto"/>
                <w:position w:val="1"/>
                <w:highlight w:val="none"/>
              </w:rPr>
            </w:pPr>
            <w:r>
              <w:rPr>
                <w:rFonts w:ascii="宋体" w:eastAsia="宋体" w:cs="宋体"/>
                <w:color w:val="auto"/>
                <w:position w:val="1"/>
                <w:highlight w:val="none"/>
              </w:rPr>
              <w:t>2.报价评审时，投标人拒绝按以下条款修正的：</w:t>
            </w:r>
          </w:p>
          <w:p w14:paraId="0DBE6C3A">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hint="eastAsia" w:ascii="宋体" w:eastAsia="宋体" w:cs="宋体"/>
                <w:color w:val="auto"/>
                <w:highlight w:val="none"/>
              </w:rPr>
              <w:t>ⅰ如果数字表示的金额和用文字表示的金额不一致时，将以文字表示的金额为准；ⅱ当合价与投标总价不一致时，以投标总价为准，调整相关合价；ⅲ当单价与数量的乘积与合价不一致时，以合价为准，并调整单价</w:t>
            </w:r>
            <w:r>
              <w:rPr>
                <w:rFonts w:hint="eastAsia" w:ascii="宋体" w:eastAsia="宋体" w:cs="宋体"/>
                <w:color w:val="auto"/>
                <w:highlight w:val="none"/>
                <w:lang w:eastAsia="zh-CN"/>
              </w:rPr>
              <w:t>；</w:t>
            </w:r>
          </w:p>
          <w:p w14:paraId="6865C710">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3.投标函载明的投标报价或其它关键内容不全或有瑕疵的；</w:t>
            </w:r>
          </w:p>
          <w:p w14:paraId="0C2551CE">
            <w:pPr>
              <w:tabs>
                <w:tab w:val="left" w:pos="5680"/>
              </w:tabs>
              <w:spacing w:line="312" w:lineRule="auto"/>
              <w:ind w:left="105" w:leftChars="50" w:right="105" w:rightChars="50"/>
              <w:jc w:val="both"/>
              <w:rPr>
                <w:rFonts w:hint="eastAsia" w:ascii="宋体" w:eastAsia="宋体" w:cs="宋体"/>
                <w:color w:val="auto"/>
                <w:highlight w:val="none"/>
                <w:lang w:eastAsia="zh-CN"/>
              </w:rPr>
            </w:pPr>
            <w:r>
              <w:rPr>
                <w:rFonts w:ascii="宋体" w:eastAsia="宋体" w:cs="宋体"/>
                <w:color w:val="auto"/>
                <w:highlight w:val="none"/>
              </w:rPr>
              <w:t>4.未按以下要求进行报价的</w:t>
            </w:r>
            <w:r>
              <w:rPr>
                <w:rFonts w:hint="eastAsia" w:ascii="宋体" w:eastAsia="宋体" w:cs="宋体"/>
                <w:color w:val="auto"/>
                <w:highlight w:val="none"/>
                <w:lang w:eastAsia="zh-CN"/>
              </w:rPr>
              <w:t>（</w:t>
            </w:r>
            <w:r>
              <w:rPr>
                <w:rFonts w:ascii="宋体" w:eastAsia="宋体" w:cs="宋体"/>
                <w:color w:val="auto"/>
                <w:highlight w:val="none"/>
              </w:rPr>
              <w:t>招标人认为需要增加的，无则删除本条</w:t>
            </w:r>
            <w:r>
              <w:rPr>
                <w:rFonts w:hint="eastAsia" w:ascii="宋体" w:eastAsia="宋体" w:cs="宋体"/>
                <w:color w:val="auto"/>
                <w:highlight w:val="none"/>
                <w:lang w:eastAsia="zh-CN"/>
              </w:rPr>
              <w:t>）</w:t>
            </w:r>
            <w:r>
              <w:rPr>
                <w:rFonts w:ascii="宋体" w:eastAsia="宋体" w:cs="宋体"/>
                <w:color w:val="auto"/>
                <w:highlight w:val="none"/>
              </w:rPr>
              <w:t>：</w:t>
            </w:r>
            <w:r>
              <w:rPr>
                <w:rFonts w:hint="eastAsia" w:ascii="宋体" w:eastAsia="宋体" w:cs="宋体"/>
                <w:color w:val="auto"/>
                <w:highlight w:val="none"/>
              </w:rPr>
              <w:t>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w:t>
            </w:r>
            <w:r>
              <w:rPr>
                <w:rFonts w:hint="eastAsia" w:ascii="宋体" w:hAnsi="宋体" w:cs="宋体"/>
                <w:color w:val="auto"/>
                <w:highlight w:val="none"/>
              </w:rPr>
              <w:t>；增值税税率按13%报价</w:t>
            </w:r>
            <w:r>
              <w:rPr>
                <w:rFonts w:hint="eastAsia" w:ascii="宋体" w:eastAsia="宋体" w:cs="宋体"/>
                <w:color w:val="auto"/>
                <w:highlight w:val="none"/>
                <w:lang w:eastAsia="zh-CN"/>
              </w:rPr>
              <w:t>；</w:t>
            </w:r>
          </w:p>
          <w:p w14:paraId="3DAF6D82">
            <w:pPr>
              <w:tabs>
                <w:tab w:val="left" w:pos="5680"/>
              </w:tabs>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5.</w:t>
            </w:r>
            <w:r>
              <w:rPr>
                <w:rFonts w:hint="eastAsia" w:ascii="宋体" w:eastAsia="宋体" w:cs="宋体"/>
                <w:color w:val="auto"/>
                <w:highlight w:val="none"/>
              </w:rPr>
              <w:t>付款方式不响应招标文件第四章“合同条款及格式”中“付款”要求的</w:t>
            </w:r>
            <w:r>
              <w:rPr>
                <w:rFonts w:hint="eastAsia" w:ascii="宋体" w:eastAsia="宋体" w:cs="宋体"/>
                <w:color w:val="auto"/>
                <w:highlight w:val="none"/>
                <w:lang w:eastAsia="zh-CN"/>
              </w:rPr>
              <w:t>（</w:t>
            </w:r>
            <w:r>
              <w:rPr>
                <w:rFonts w:ascii="宋体" w:eastAsia="宋体" w:cs="宋体"/>
                <w:color w:val="auto"/>
                <w:highlight w:val="none"/>
              </w:rPr>
              <w:t>招标人需要增加的其他商务标内容，无则删除本条</w:t>
            </w:r>
            <w:r>
              <w:rPr>
                <w:rFonts w:hint="eastAsia" w:ascii="宋体" w:eastAsia="宋体" w:cs="宋体"/>
                <w:color w:val="auto"/>
                <w:highlight w:val="none"/>
                <w:lang w:eastAsia="zh-CN"/>
              </w:rPr>
              <w:t>）</w:t>
            </w:r>
            <w:r>
              <w:rPr>
                <w:rFonts w:ascii="宋体" w:eastAsia="宋体" w:cs="宋体"/>
                <w:color w:val="auto"/>
                <w:highlight w:val="none"/>
              </w:rPr>
              <w:t>。</w:t>
            </w:r>
          </w:p>
        </w:tc>
      </w:tr>
      <w:tr w14:paraId="601D5C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603B864D">
            <w:pPr>
              <w:spacing w:line="312" w:lineRule="auto"/>
              <w:ind w:left="105" w:leftChars="50" w:right="105" w:rightChars="50"/>
              <w:jc w:val="both"/>
              <w:rPr>
                <w:rFonts w:ascii="宋体" w:eastAsia="宋体" w:cs="宋体"/>
                <w:strike w:val="0"/>
                <w:dstrike w:val="0"/>
                <w:color w:val="auto"/>
                <w:highlight w:val="none"/>
              </w:rPr>
            </w:pPr>
            <w:r>
              <w:rPr>
                <w:rFonts w:ascii="宋体" w:eastAsia="宋体" w:cs="宋体"/>
                <w:strike w:val="0"/>
                <w:dstrike w:val="0"/>
                <w:color w:val="auto"/>
                <w:highlight w:val="none"/>
              </w:rPr>
              <w:t>10.</w:t>
            </w:r>
            <w:r>
              <w:rPr>
                <w:rFonts w:hint="eastAsia" w:ascii="宋体" w:eastAsia="宋体" w:cs="宋体"/>
                <w:strike w:val="0"/>
                <w:dstrike w:val="0"/>
                <w:color w:val="auto"/>
                <w:highlight w:val="none"/>
              </w:rPr>
              <w:t>2</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4A747517">
            <w:pPr>
              <w:kinsoku w:val="0"/>
              <w:wordWrap w:val="0"/>
              <w:topLinePunct/>
              <w:autoSpaceDE w:val="0"/>
              <w:autoSpaceDN w:val="0"/>
              <w:spacing w:line="400" w:lineRule="exact"/>
              <w:rPr>
                <w:rFonts w:ascii="宋体" w:hAnsi="宋体"/>
                <w:strike/>
                <w:dstrike w:val="0"/>
                <w:color w:val="auto"/>
                <w:highlight w:val="none"/>
              </w:rPr>
            </w:pPr>
            <w:r>
              <w:rPr>
                <w:rFonts w:hint="eastAsia" w:ascii="宋体" w:eastAsia="宋体" w:cs="宋体"/>
                <w:strike/>
                <w:dstrike w:val="0"/>
                <w:color w:val="auto"/>
                <w:highlight w:val="none"/>
              </w:rPr>
              <w:t>定标（适用于</w:t>
            </w:r>
            <w:r>
              <w:rPr>
                <w:strike/>
                <w:dstrike w:val="0"/>
                <w:color w:val="auto"/>
                <w:highlight w:val="none"/>
              </w:rPr>
              <w:t>“</w:t>
            </w:r>
            <w:r>
              <w:rPr>
                <w:rFonts w:hint="eastAsia" w:ascii="宋体" w:eastAsia="宋体" w:cs="宋体"/>
                <w:strike/>
                <w:dstrike w:val="0"/>
                <w:color w:val="auto"/>
                <w:highlight w:val="none"/>
              </w:rPr>
              <w:t>评定分离</w:t>
            </w:r>
            <w:r>
              <w:rPr>
                <w:strike/>
                <w:dstrike w:val="0"/>
                <w:color w:val="auto"/>
                <w:highlight w:val="none"/>
              </w:rPr>
              <w:t>”</w:t>
            </w:r>
            <w:r>
              <w:rPr>
                <w:rFonts w:hint="eastAsia" w:ascii="宋体" w:eastAsia="宋体" w:cs="宋体"/>
                <w:strike/>
                <w:dstrike w:val="0"/>
                <w:color w:val="auto"/>
                <w:highlight w:val="none"/>
              </w:rPr>
              <w:t>）</w:t>
            </w:r>
          </w:p>
        </w:tc>
        <w:tc>
          <w:tcPr>
            <w:tcW w:w="5920" w:type="dxa"/>
            <w:tcBorders>
              <w:top w:val="single" w:color="000000" w:sz="2" w:space="0"/>
              <w:left w:val="single" w:color="000000" w:sz="2" w:space="0"/>
              <w:bottom w:val="single" w:color="000000" w:sz="2" w:space="0"/>
              <w:right w:val="single" w:color="000000" w:sz="2" w:space="0"/>
            </w:tcBorders>
            <w:noWrap/>
            <w:vAlign w:val="center"/>
          </w:tcPr>
          <w:p w14:paraId="1B1052E6">
            <w:pPr>
              <w:pStyle w:val="48"/>
              <w:spacing w:line="360" w:lineRule="auto"/>
              <w:rPr>
                <w:strike/>
                <w:dstrike w:val="0"/>
                <w:color w:val="auto"/>
                <w:highlight w:val="none"/>
              </w:rPr>
            </w:pPr>
            <w:r>
              <w:rPr>
                <w:rFonts w:hint="eastAsia"/>
                <w:strike/>
                <w:dstrike w:val="0"/>
                <w:color w:val="auto"/>
                <w:highlight w:val="none"/>
              </w:rPr>
              <w:t>1.</w:t>
            </w:r>
            <w:r>
              <w:rPr>
                <w:rFonts w:hint="eastAsia" w:ascii="宋体" w:eastAsia="宋体" w:cs="宋体"/>
                <w:strike/>
                <w:dstrike w:val="0"/>
                <w:color w:val="auto"/>
                <w:highlight w:val="none"/>
              </w:rPr>
              <w:t>定标委员会：定标委员会由招标人负责组建，成员数量为</w:t>
            </w:r>
            <w:r>
              <w:rPr>
                <w:strike/>
                <w:dstrike w:val="0"/>
                <w:color w:val="auto"/>
                <w:highlight w:val="none"/>
              </w:rPr>
              <w:t>5</w:t>
            </w:r>
            <w:r>
              <w:rPr>
                <w:rFonts w:hint="eastAsia" w:ascii="宋体" w:eastAsia="宋体" w:cs="宋体"/>
                <w:strike/>
                <w:dstrike w:val="0"/>
                <w:color w:val="auto"/>
                <w:highlight w:val="none"/>
              </w:rPr>
              <w:t>人及以上单数。定标委员会成员与中标候选人有利害关系的应主动说明并申请回避。</w:t>
            </w:r>
          </w:p>
          <w:p w14:paraId="54A6F6E1">
            <w:pPr>
              <w:pStyle w:val="48"/>
              <w:spacing w:line="360" w:lineRule="auto"/>
              <w:rPr>
                <w:strike/>
                <w:dstrike w:val="0"/>
                <w:color w:val="auto"/>
                <w:highlight w:val="none"/>
              </w:rPr>
            </w:pPr>
            <w:r>
              <w:rPr>
                <w:rFonts w:hint="eastAsia"/>
                <w:strike/>
                <w:dstrike w:val="0"/>
                <w:color w:val="auto"/>
                <w:highlight w:val="none"/>
              </w:rPr>
              <w:t>2.</w:t>
            </w:r>
            <w:r>
              <w:rPr>
                <w:rFonts w:hint="eastAsia" w:ascii="宋体" w:eastAsia="宋体" w:cs="宋体"/>
                <w:strike/>
                <w:dstrike w:val="0"/>
                <w:color w:val="auto"/>
                <w:highlight w:val="none"/>
              </w:rPr>
              <w:t>定标会议地点和时间：</w:t>
            </w:r>
          </w:p>
          <w:p w14:paraId="369AEDED">
            <w:pPr>
              <w:pStyle w:val="48"/>
              <w:spacing w:line="360" w:lineRule="auto"/>
              <w:rPr>
                <w:strike/>
                <w:dstrike w:val="0"/>
                <w:color w:val="auto"/>
                <w:highlight w:val="none"/>
              </w:rPr>
            </w:pPr>
            <w:r>
              <w:rPr>
                <w:rFonts w:hint="eastAsia" w:ascii="宋体" w:eastAsia="宋体" w:cs="宋体"/>
                <w:strike/>
                <w:dstrike w:val="0"/>
                <w:color w:val="auto"/>
                <w:highlight w:val="none"/>
              </w:rPr>
              <w:sym w:font="Wingdings 2" w:char="00A3"/>
            </w:r>
            <w:r>
              <w:rPr>
                <w:rFonts w:hint="eastAsia"/>
                <w:strike/>
                <w:dstrike w:val="0"/>
                <w:color w:val="auto"/>
                <w:highlight w:val="none"/>
              </w:rPr>
              <w:t>2.1</w:t>
            </w:r>
            <w:r>
              <w:rPr>
                <w:rFonts w:hint="eastAsia" w:ascii="宋体" w:eastAsia="宋体" w:cs="宋体"/>
                <w:strike/>
                <w:dstrike w:val="0"/>
                <w:color w:val="auto"/>
                <w:highlight w:val="none"/>
              </w:rPr>
              <w:t>定标时间：</w:t>
            </w:r>
            <w:r>
              <w:rPr>
                <w:rFonts w:hint="eastAsia"/>
                <w:strike/>
                <w:dstrike w:val="0"/>
                <w:color w:val="auto"/>
                <w:highlight w:val="none"/>
              </w:rPr>
              <w:t xml:space="preserve">                 </w:t>
            </w:r>
            <w:r>
              <w:rPr>
                <w:rFonts w:hint="eastAsia" w:ascii="宋体" w:eastAsia="宋体" w:cs="宋体"/>
                <w:strike/>
                <w:dstrike w:val="0"/>
                <w:color w:val="auto"/>
                <w:highlight w:val="none"/>
              </w:rPr>
              <w:t>。</w:t>
            </w:r>
          </w:p>
          <w:p w14:paraId="03A4DD59">
            <w:pPr>
              <w:pStyle w:val="48"/>
              <w:spacing w:line="360" w:lineRule="auto"/>
              <w:rPr>
                <w:strike/>
                <w:dstrike w:val="0"/>
                <w:color w:val="auto"/>
                <w:highlight w:val="none"/>
              </w:rPr>
            </w:pPr>
            <w:r>
              <w:rPr>
                <w:rFonts w:hint="eastAsia" w:ascii="宋体" w:eastAsia="宋体" w:cs="宋体"/>
                <w:strike/>
                <w:dstrike w:val="0"/>
                <w:color w:val="auto"/>
                <w:highlight w:val="none"/>
              </w:rPr>
              <w:sym w:font="Wingdings 2" w:char="00A3"/>
            </w:r>
            <w:r>
              <w:rPr>
                <w:rFonts w:hint="eastAsia"/>
                <w:strike/>
                <w:dstrike w:val="0"/>
                <w:color w:val="auto"/>
                <w:highlight w:val="none"/>
              </w:rPr>
              <w:t>2.2</w:t>
            </w:r>
            <w:r>
              <w:rPr>
                <w:rFonts w:hint="eastAsia" w:ascii="宋体" w:eastAsia="宋体" w:cs="宋体"/>
                <w:strike/>
                <w:dstrike w:val="0"/>
                <w:color w:val="auto"/>
                <w:highlight w:val="none"/>
              </w:rPr>
              <w:t>定标地点：</w:t>
            </w:r>
            <w:r>
              <w:rPr>
                <w:strike/>
                <w:dstrike w:val="0"/>
                <w:color w:val="auto"/>
                <w:highlight w:val="none"/>
              </w:rPr>
              <w:t xml:space="preserve">       </w:t>
            </w:r>
            <w:r>
              <w:rPr>
                <w:rFonts w:hint="eastAsia"/>
                <w:strike/>
                <w:dstrike w:val="0"/>
                <w:color w:val="auto"/>
                <w:highlight w:val="none"/>
              </w:rPr>
              <w:t xml:space="preserve">    </w:t>
            </w:r>
            <w:r>
              <w:rPr>
                <w:strike/>
                <w:dstrike w:val="0"/>
                <w:color w:val="auto"/>
                <w:highlight w:val="none"/>
              </w:rPr>
              <w:t xml:space="preserve">      </w:t>
            </w:r>
            <w:r>
              <w:rPr>
                <w:rFonts w:hint="eastAsia" w:ascii="宋体" w:eastAsia="宋体" w:cs="宋体"/>
                <w:strike/>
                <w:dstrike w:val="0"/>
                <w:color w:val="auto"/>
                <w:highlight w:val="none"/>
              </w:rPr>
              <w:t>。</w:t>
            </w:r>
          </w:p>
          <w:p w14:paraId="0F319B88">
            <w:pPr>
              <w:pStyle w:val="48"/>
              <w:spacing w:line="360" w:lineRule="auto"/>
              <w:rPr>
                <w:strike/>
                <w:dstrike w:val="0"/>
                <w:color w:val="auto"/>
                <w:highlight w:val="none"/>
              </w:rPr>
            </w:pPr>
            <w:r>
              <w:rPr>
                <w:rFonts w:hint="eastAsia" w:ascii="宋体" w:eastAsia="宋体" w:cs="宋体"/>
                <w:strike/>
                <w:dstrike w:val="0"/>
                <w:color w:val="auto"/>
                <w:highlight w:val="none"/>
              </w:rPr>
              <w:sym w:font="Wingdings 2" w:char="00A3"/>
            </w:r>
            <w:r>
              <w:rPr>
                <w:strike/>
                <w:dstrike w:val="0"/>
                <w:color w:val="auto"/>
                <w:highlight w:val="none"/>
              </w:rPr>
              <w:t>2.3</w:t>
            </w:r>
            <w:r>
              <w:rPr>
                <w:rFonts w:hint="eastAsia" w:ascii="宋体" w:eastAsia="宋体" w:cs="宋体"/>
                <w:strike/>
                <w:dstrike w:val="0"/>
                <w:color w:val="auto"/>
                <w:highlight w:val="none"/>
              </w:rPr>
              <w:t>招标人根据相关规定在评标结果公示结束后</w:t>
            </w:r>
            <w:r>
              <w:rPr>
                <w:rFonts w:hint="eastAsia"/>
                <w:strike/>
                <w:dstrike w:val="0"/>
                <w:color w:val="auto"/>
                <w:highlight w:val="none"/>
              </w:rPr>
              <w:t>10</w:t>
            </w:r>
            <w:r>
              <w:rPr>
                <w:rFonts w:hint="eastAsia" w:ascii="宋体" w:eastAsia="宋体" w:cs="宋体"/>
                <w:strike/>
                <w:dstrike w:val="0"/>
                <w:color w:val="auto"/>
                <w:highlight w:val="none"/>
              </w:rPr>
              <w:t>日内召开定标会议。</w:t>
            </w:r>
          </w:p>
          <w:p w14:paraId="099C79D9">
            <w:pPr>
              <w:pStyle w:val="48"/>
              <w:spacing w:line="360" w:lineRule="auto"/>
              <w:rPr>
                <w:strike/>
                <w:dstrike w:val="0"/>
                <w:color w:val="auto"/>
                <w:highlight w:val="none"/>
              </w:rPr>
            </w:pPr>
            <w:r>
              <w:rPr>
                <w:rFonts w:hint="eastAsia" w:ascii="宋体" w:eastAsia="宋体" w:cs="宋体"/>
                <w:strike/>
                <w:dstrike w:val="0"/>
                <w:color w:val="auto"/>
                <w:highlight w:val="none"/>
              </w:rPr>
              <w:sym w:font="Wingdings 2" w:char="00A3"/>
            </w:r>
            <w:r>
              <w:rPr>
                <w:rFonts w:hint="eastAsia"/>
                <w:strike/>
                <w:dstrike w:val="0"/>
                <w:color w:val="auto"/>
                <w:highlight w:val="none"/>
              </w:rPr>
              <w:t>3.</w:t>
            </w:r>
            <w:r>
              <w:rPr>
                <w:rFonts w:hint="eastAsia" w:ascii="宋体" w:eastAsia="宋体" w:cs="宋体"/>
                <w:strike/>
                <w:dstrike w:val="0"/>
                <w:color w:val="auto"/>
                <w:highlight w:val="none"/>
              </w:rPr>
              <w:t>考察、质询</w:t>
            </w:r>
          </w:p>
          <w:p w14:paraId="39574D96">
            <w:pPr>
              <w:spacing w:line="360" w:lineRule="auto"/>
              <w:rPr>
                <w:strike/>
                <w:dstrike w:val="0"/>
                <w:color w:val="auto"/>
                <w:highlight w:val="none"/>
              </w:rPr>
            </w:pPr>
            <w:r>
              <w:rPr>
                <w:rFonts w:hint="eastAsia"/>
                <w:strike/>
                <w:dstrike w:val="0"/>
                <w:color w:val="auto"/>
                <w:highlight w:val="none"/>
              </w:rPr>
              <w:t>3.1</w:t>
            </w:r>
            <w:r>
              <w:rPr>
                <w:rFonts w:hint="eastAsia" w:ascii="宋体" w:eastAsia="宋体" w:cs="宋体"/>
                <w:strike/>
                <w:dstrike w:val="0"/>
                <w:color w:val="auto"/>
                <w:highlight w:val="none"/>
              </w:rPr>
              <w:t>在定标会议前（考察、质询应给予中标候选人合理的准备时间。）对所有中标候选人进行考察、质询。</w:t>
            </w:r>
          </w:p>
          <w:p w14:paraId="6FA073DD">
            <w:pPr>
              <w:pStyle w:val="48"/>
              <w:spacing w:line="360" w:lineRule="auto"/>
              <w:rPr>
                <w:strike/>
                <w:dstrike w:val="0"/>
                <w:color w:val="auto"/>
                <w:highlight w:val="none"/>
              </w:rPr>
            </w:pPr>
            <w:r>
              <w:rPr>
                <w:rFonts w:hint="eastAsia"/>
                <w:strike/>
                <w:dstrike w:val="0"/>
                <w:color w:val="auto"/>
                <w:highlight w:val="none"/>
              </w:rPr>
              <w:t>3.2</w:t>
            </w:r>
            <w:r>
              <w:rPr>
                <w:rFonts w:hint="eastAsia" w:ascii="宋体" w:eastAsia="宋体" w:cs="宋体"/>
                <w:strike/>
                <w:dstrike w:val="0"/>
                <w:color w:val="auto"/>
                <w:highlight w:val="none"/>
              </w:rPr>
              <w:t>考察、质询小组由</w:t>
            </w:r>
            <w:r>
              <w:rPr>
                <w:rFonts w:hint="eastAsia" w:ascii="宋体" w:eastAsia="宋体" w:cs="宋体"/>
                <w:i/>
                <w:iCs/>
                <w:strike/>
                <w:dstrike w:val="0"/>
                <w:color w:val="auto"/>
                <w:highlight w:val="none"/>
                <w:u w:val="single"/>
              </w:rPr>
              <w:t>（</w:t>
            </w:r>
            <w:r>
              <w:rPr>
                <w:i/>
                <w:iCs/>
                <w:strike/>
                <w:dstrike w:val="0"/>
                <w:color w:val="auto"/>
                <w:highlight w:val="none"/>
                <w:u w:val="single"/>
              </w:rPr>
              <w:t>3</w:t>
            </w:r>
            <w:r>
              <w:rPr>
                <w:rFonts w:hint="eastAsia" w:ascii="宋体" w:eastAsia="宋体" w:cs="宋体"/>
                <w:i/>
                <w:iCs/>
                <w:strike/>
                <w:dstrike w:val="0"/>
                <w:color w:val="auto"/>
                <w:highlight w:val="none"/>
                <w:u w:val="single"/>
              </w:rPr>
              <w:t>人及以上单数）</w:t>
            </w:r>
            <w:r>
              <w:rPr>
                <w:rFonts w:hint="eastAsia" w:ascii="宋体" w:eastAsia="宋体" w:cs="宋体"/>
                <w:strike/>
                <w:dstrike w:val="0"/>
                <w:color w:val="auto"/>
                <w:highlight w:val="none"/>
              </w:rPr>
              <w:t>组成。</w:t>
            </w:r>
          </w:p>
          <w:p w14:paraId="70EB1ECB">
            <w:pPr>
              <w:pStyle w:val="48"/>
              <w:spacing w:line="360" w:lineRule="auto"/>
              <w:rPr>
                <w:strike/>
                <w:dstrike w:val="0"/>
                <w:color w:val="auto"/>
                <w:highlight w:val="none"/>
              </w:rPr>
            </w:pPr>
            <w:r>
              <w:rPr>
                <w:rFonts w:hint="eastAsia" w:ascii="宋体" w:eastAsia="宋体" w:cs="宋体"/>
                <w:strike/>
                <w:dstrike w:val="0"/>
                <w:color w:val="auto"/>
                <w:highlight w:val="none"/>
              </w:rPr>
              <w:sym w:font="Wingdings 2" w:char="00A3"/>
            </w:r>
            <w:r>
              <w:rPr>
                <w:rFonts w:hint="eastAsia"/>
                <w:strike/>
                <w:dstrike w:val="0"/>
                <w:color w:val="auto"/>
                <w:highlight w:val="none"/>
              </w:rPr>
              <w:t>4.</w:t>
            </w:r>
            <w:r>
              <w:rPr>
                <w:rFonts w:hint="eastAsia" w:eastAsia="宋体" w:cs="宋体"/>
                <w:strike/>
                <w:dstrike w:val="0"/>
                <w:color w:val="auto"/>
                <w:highlight w:val="none"/>
              </w:rPr>
              <w:t>现场面试</w:t>
            </w:r>
          </w:p>
          <w:p w14:paraId="272C05D0">
            <w:pPr>
              <w:pStyle w:val="48"/>
              <w:spacing w:line="360" w:lineRule="auto"/>
              <w:rPr>
                <w:strike/>
                <w:dstrike w:val="0"/>
                <w:color w:val="auto"/>
                <w:highlight w:val="none"/>
              </w:rPr>
            </w:pPr>
            <w:r>
              <w:rPr>
                <w:rFonts w:hint="eastAsia"/>
                <w:strike/>
                <w:dstrike w:val="0"/>
                <w:color w:val="auto"/>
                <w:highlight w:val="none"/>
              </w:rPr>
              <w:t>4.1</w:t>
            </w:r>
            <w:r>
              <w:rPr>
                <w:rFonts w:hint="eastAsia" w:eastAsia="宋体" w:cs="宋体"/>
                <w:strike/>
                <w:dstrike w:val="0"/>
                <w:color w:val="auto"/>
                <w:highlight w:val="none"/>
              </w:rPr>
              <w:t>面试时间：</w:t>
            </w:r>
            <w:r>
              <w:rPr>
                <w:rFonts w:hint="eastAsia"/>
                <w:strike/>
                <w:dstrike w:val="0"/>
                <w:color w:val="auto"/>
                <w:highlight w:val="none"/>
              </w:rPr>
              <w:t xml:space="preserve">                               </w:t>
            </w:r>
            <w:r>
              <w:rPr>
                <w:rFonts w:hint="eastAsia" w:eastAsia="宋体" w:cs="宋体"/>
                <w:strike/>
                <w:dstrike w:val="0"/>
                <w:color w:val="auto"/>
                <w:highlight w:val="none"/>
              </w:rPr>
              <w:t>；</w:t>
            </w:r>
          </w:p>
          <w:p w14:paraId="2F84D20E">
            <w:pPr>
              <w:pStyle w:val="48"/>
              <w:spacing w:line="360" w:lineRule="auto"/>
              <w:rPr>
                <w:strike/>
                <w:dstrike w:val="0"/>
                <w:color w:val="auto"/>
                <w:highlight w:val="none"/>
              </w:rPr>
            </w:pPr>
            <w:r>
              <w:rPr>
                <w:rFonts w:hint="eastAsia"/>
                <w:strike/>
                <w:dstrike w:val="0"/>
                <w:color w:val="auto"/>
                <w:highlight w:val="none"/>
              </w:rPr>
              <w:t>4.2</w:t>
            </w:r>
            <w:r>
              <w:rPr>
                <w:rFonts w:hint="eastAsia" w:eastAsia="宋体" w:cs="宋体"/>
                <w:strike/>
                <w:dstrike w:val="0"/>
                <w:color w:val="auto"/>
                <w:highlight w:val="none"/>
              </w:rPr>
              <w:t>面试内容：</w:t>
            </w:r>
            <w:r>
              <w:rPr>
                <w:rFonts w:hint="eastAsia"/>
                <w:strike/>
                <w:dstrike w:val="0"/>
                <w:color w:val="auto"/>
                <w:highlight w:val="none"/>
              </w:rPr>
              <w:t xml:space="preserve">                               </w:t>
            </w:r>
            <w:r>
              <w:rPr>
                <w:rFonts w:hint="eastAsia" w:eastAsia="宋体" w:cs="宋体"/>
                <w:strike/>
                <w:dstrike w:val="0"/>
                <w:color w:val="auto"/>
                <w:highlight w:val="none"/>
              </w:rPr>
              <w:t>；</w:t>
            </w:r>
          </w:p>
          <w:p w14:paraId="64230F8A">
            <w:pPr>
              <w:pStyle w:val="48"/>
              <w:spacing w:line="360" w:lineRule="auto"/>
              <w:rPr>
                <w:strike/>
                <w:dstrike w:val="0"/>
                <w:color w:val="auto"/>
                <w:highlight w:val="none"/>
              </w:rPr>
            </w:pPr>
            <w:r>
              <w:rPr>
                <w:rFonts w:hint="eastAsia"/>
                <w:strike/>
                <w:dstrike w:val="0"/>
                <w:color w:val="auto"/>
                <w:highlight w:val="none"/>
              </w:rPr>
              <w:t>4.3</w:t>
            </w:r>
            <w:r>
              <w:rPr>
                <w:rFonts w:hint="eastAsia" w:ascii="宋体" w:eastAsia="宋体" w:cs="宋体"/>
                <w:strike/>
                <w:dstrike w:val="0"/>
                <w:color w:val="auto"/>
                <w:highlight w:val="none"/>
              </w:rPr>
              <w:t>面试方式：</w:t>
            </w:r>
          </w:p>
          <w:p w14:paraId="464822EB">
            <w:pPr>
              <w:pStyle w:val="48"/>
              <w:spacing w:line="360" w:lineRule="auto"/>
              <w:rPr>
                <w:strike/>
                <w:dstrike w:val="0"/>
                <w:color w:val="auto"/>
                <w:highlight w:val="none"/>
              </w:rPr>
            </w:pPr>
            <w:r>
              <w:rPr>
                <w:rFonts w:hint="eastAsia" w:ascii="宋体" w:eastAsia="宋体" w:cs="宋体"/>
                <w:strike/>
                <w:dstrike w:val="0"/>
                <w:color w:val="auto"/>
                <w:highlight w:val="none"/>
              </w:rPr>
              <w:sym w:font="Wingdings 2" w:char="00A3"/>
            </w:r>
            <w:r>
              <w:rPr>
                <w:rFonts w:hint="eastAsia"/>
                <w:strike/>
                <w:dstrike w:val="0"/>
                <w:color w:val="auto"/>
                <w:highlight w:val="none"/>
              </w:rPr>
              <w:t>4.3.1</w:t>
            </w:r>
            <w:r>
              <w:rPr>
                <w:rFonts w:hint="eastAsia" w:ascii="宋体" w:eastAsia="宋体" w:cs="宋体"/>
                <w:strike/>
                <w:dstrike w:val="0"/>
                <w:color w:val="auto"/>
                <w:highlight w:val="none"/>
              </w:rPr>
              <w:t>对中标候选人（联合体投标的，为联合体牵头人）持有安全生产考核合格证书的企业主要负责人（法定代表人、企业经理、企业分管安全生产的副经理、企业技术负责人）中任一一人和拟派项目负责人开展现场面试。</w:t>
            </w:r>
          </w:p>
          <w:p w14:paraId="59A05AFC">
            <w:pPr>
              <w:pStyle w:val="48"/>
              <w:spacing w:line="360" w:lineRule="auto"/>
              <w:rPr>
                <w:strike/>
                <w:dstrike w:val="0"/>
                <w:color w:val="auto"/>
                <w:highlight w:val="none"/>
              </w:rPr>
            </w:pPr>
            <w:r>
              <w:rPr>
                <w:rFonts w:hint="eastAsia" w:ascii="宋体" w:eastAsia="宋体" w:cs="宋体"/>
                <w:strike/>
                <w:dstrike w:val="0"/>
                <w:color w:val="auto"/>
                <w:highlight w:val="none"/>
              </w:rPr>
              <w:sym w:font="Wingdings 2" w:char="00A3"/>
            </w:r>
            <w:r>
              <w:rPr>
                <w:rFonts w:hint="eastAsia"/>
                <w:strike/>
                <w:dstrike w:val="0"/>
                <w:color w:val="auto"/>
                <w:highlight w:val="none"/>
              </w:rPr>
              <w:t>4.3.2</w:t>
            </w:r>
            <w:r>
              <w:rPr>
                <w:rFonts w:hint="eastAsia" w:eastAsia="宋体" w:cs="宋体"/>
                <w:strike/>
                <w:dstrike w:val="0"/>
                <w:color w:val="auto"/>
                <w:highlight w:val="none"/>
              </w:rPr>
              <w:t>其他方式：</w:t>
            </w:r>
            <w:r>
              <w:rPr>
                <w:rFonts w:hint="eastAsia"/>
                <w:strike/>
                <w:dstrike w:val="0"/>
                <w:color w:val="auto"/>
                <w:highlight w:val="none"/>
              </w:rPr>
              <w:t xml:space="preserve">                               </w:t>
            </w:r>
            <w:r>
              <w:rPr>
                <w:rFonts w:hint="eastAsia" w:eastAsia="宋体" w:cs="宋体"/>
                <w:strike/>
                <w:dstrike w:val="0"/>
                <w:color w:val="auto"/>
                <w:highlight w:val="none"/>
              </w:rPr>
              <w:t>。</w:t>
            </w:r>
          </w:p>
          <w:p w14:paraId="0F779412">
            <w:pPr>
              <w:pStyle w:val="48"/>
              <w:spacing w:line="360" w:lineRule="auto"/>
              <w:rPr>
                <w:strike/>
                <w:dstrike w:val="0"/>
                <w:color w:val="auto"/>
                <w:highlight w:val="none"/>
              </w:rPr>
            </w:pPr>
            <w:r>
              <w:rPr>
                <w:rFonts w:hint="eastAsia"/>
                <w:strike/>
                <w:dstrike w:val="0"/>
                <w:color w:val="auto"/>
                <w:highlight w:val="none"/>
              </w:rPr>
              <w:t>5.</w:t>
            </w:r>
            <w:r>
              <w:rPr>
                <w:rFonts w:hint="eastAsia" w:ascii="宋体" w:eastAsia="宋体" w:cs="宋体"/>
                <w:strike/>
                <w:dstrike w:val="0"/>
                <w:color w:val="auto"/>
                <w:highlight w:val="none"/>
              </w:rPr>
              <w:t>定标要素及具体内容</w:t>
            </w:r>
          </w:p>
          <w:p w14:paraId="07E7E7E5">
            <w:pPr>
              <w:pStyle w:val="48"/>
              <w:spacing w:line="360" w:lineRule="auto"/>
              <w:rPr>
                <w:strike/>
                <w:dstrike w:val="0"/>
                <w:color w:val="auto"/>
                <w:highlight w:val="none"/>
              </w:rPr>
            </w:pPr>
            <w:r>
              <w:rPr>
                <w:rFonts w:hint="eastAsia"/>
                <w:strike/>
                <w:dstrike w:val="0"/>
                <w:color w:val="auto"/>
                <w:highlight w:val="none"/>
              </w:rPr>
              <w:sym w:font="Wingdings 2" w:char="00A3"/>
            </w:r>
            <w:r>
              <w:rPr>
                <w:rFonts w:hint="eastAsia"/>
                <w:strike/>
                <w:dstrike w:val="0"/>
                <w:color w:val="auto"/>
                <w:highlight w:val="none"/>
              </w:rPr>
              <w:t>5.1</w:t>
            </w:r>
            <w:r>
              <w:rPr>
                <w:rFonts w:hint="eastAsia" w:ascii="宋体" w:eastAsia="宋体" w:cs="宋体"/>
                <w:strike/>
                <w:dstrike w:val="0"/>
                <w:color w:val="auto"/>
                <w:highlight w:val="none"/>
              </w:rPr>
              <w:t>评标报告；</w:t>
            </w:r>
          </w:p>
          <w:p w14:paraId="5C438237">
            <w:pPr>
              <w:pStyle w:val="48"/>
              <w:spacing w:line="360" w:lineRule="auto"/>
              <w:rPr>
                <w:strike/>
                <w:dstrike w:val="0"/>
                <w:color w:val="auto"/>
                <w:highlight w:val="none"/>
              </w:rPr>
            </w:pPr>
            <w:r>
              <w:rPr>
                <w:rFonts w:hint="eastAsia" w:ascii="宋体" w:eastAsia="宋体" w:cs="宋体"/>
                <w:strike/>
                <w:dstrike w:val="0"/>
                <w:color w:val="auto"/>
                <w:highlight w:val="none"/>
              </w:rPr>
              <w:sym w:font="Wingdings 2" w:char="00A3"/>
            </w:r>
            <w:r>
              <w:rPr>
                <w:rFonts w:hint="eastAsia"/>
                <w:strike/>
                <w:dstrike w:val="0"/>
                <w:color w:val="auto"/>
                <w:highlight w:val="none"/>
              </w:rPr>
              <w:t>5.2考察或质询情况；</w:t>
            </w:r>
          </w:p>
          <w:p w14:paraId="0D03C508">
            <w:pPr>
              <w:pStyle w:val="48"/>
              <w:spacing w:line="360" w:lineRule="auto"/>
              <w:rPr>
                <w:strike/>
                <w:dstrike w:val="0"/>
                <w:color w:val="auto"/>
                <w:highlight w:val="none"/>
              </w:rPr>
            </w:pPr>
            <w:r>
              <w:rPr>
                <w:rFonts w:hint="eastAsia" w:ascii="宋体" w:eastAsia="宋体" w:cs="宋体"/>
                <w:strike/>
                <w:dstrike w:val="0"/>
                <w:color w:val="auto"/>
                <w:highlight w:val="none"/>
              </w:rPr>
              <w:sym w:font="Wingdings 2" w:char="00A3"/>
            </w:r>
            <w:r>
              <w:rPr>
                <w:rFonts w:hint="eastAsia"/>
                <w:strike/>
                <w:dstrike w:val="0"/>
                <w:color w:val="auto"/>
                <w:highlight w:val="none"/>
              </w:rPr>
              <w:t>5.3现场面试情况；</w:t>
            </w:r>
          </w:p>
          <w:p w14:paraId="3F4DDACD">
            <w:pPr>
              <w:pStyle w:val="48"/>
              <w:spacing w:line="360" w:lineRule="auto"/>
              <w:rPr>
                <w:strike/>
                <w:dstrike w:val="0"/>
                <w:color w:val="auto"/>
                <w:highlight w:val="none"/>
              </w:rPr>
            </w:pPr>
            <w:r>
              <w:rPr>
                <w:rFonts w:hint="eastAsia"/>
                <w:strike/>
                <w:dstrike w:val="0"/>
                <w:color w:val="auto"/>
                <w:highlight w:val="none"/>
              </w:rPr>
              <w:sym w:font="Wingdings 2" w:char="00A3"/>
            </w:r>
            <w:r>
              <w:rPr>
                <w:rFonts w:hint="eastAsia"/>
                <w:strike/>
                <w:dstrike w:val="0"/>
                <w:color w:val="auto"/>
                <w:highlight w:val="none"/>
              </w:rPr>
              <w:t>5.4价格因素；</w:t>
            </w:r>
          </w:p>
          <w:p w14:paraId="038327E2">
            <w:pPr>
              <w:pStyle w:val="48"/>
              <w:spacing w:line="360" w:lineRule="auto"/>
              <w:rPr>
                <w:strike/>
                <w:dstrike w:val="0"/>
                <w:color w:val="auto"/>
                <w:highlight w:val="none"/>
              </w:rPr>
            </w:pPr>
            <w:r>
              <w:rPr>
                <w:rFonts w:hint="eastAsia" w:ascii="宋体" w:eastAsia="宋体" w:cs="宋体"/>
                <w:strike/>
                <w:dstrike w:val="0"/>
                <w:color w:val="auto"/>
                <w:highlight w:val="none"/>
              </w:rPr>
              <w:sym w:font="Wingdings 2" w:char="00A3"/>
            </w:r>
            <w:r>
              <w:rPr>
                <w:rFonts w:hint="eastAsia"/>
                <w:strike/>
                <w:dstrike w:val="0"/>
                <w:color w:val="auto"/>
                <w:highlight w:val="none"/>
              </w:rPr>
              <w:t>5.5企业实力；</w:t>
            </w:r>
          </w:p>
          <w:p w14:paraId="1C58656E">
            <w:pPr>
              <w:pStyle w:val="48"/>
              <w:spacing w:line="360" w:lineRule="auto"/>
              <w:rPr>
                <w:strike/>
                <w:dstrike w:val="0"/>
                <w:color w:val="auto"/>
                <w:highlight w:val="none"/>
              </w:rPr>
            </w:pPr>
            <w:r>
              <w:rPr>
                <w:rFonts w:hint="eastAsia" w:ascii="宋体" w:eastAsia="宋体" w:cs="宋体"/>
                <w:strike/>
                <w:dstrike w:val="0"/>
                <w:color w:val="auto"/>
                <w:highlight w:val="none"/>
              </w:rPr>
              <w:sym w:font="Wingdings 2" w:char="00A3"/>
            </w:r>
            <w:r>
              <w:rPr>
                <w:rFonts w:hint="eastAsia"/>
                <w:strike/>
                <w:dstrike w:val="0"/>
                <w:color w:val="auto"/>
                <w:highlight w:val="none"/>
              </w:rPr>
              <w:t>5.6企业信誉；</w:t>
            </w:r>
          </w:p>
          <w:p w14:paraId="0669F25B">
            <w:pPr>
              <w:pStyle w:val="48"/>
              <w:spacing w:line="360" w:lineRule="auto"/>
              <w:rPr>
                <w:strike/>
                <w:dstrike w:val="0"/>
                <w:color w:val="auto"/>
                <w:highlight w:val="none"/>
              </w:rPr>
            </w:pPr>
            <w:r>
              <w:rPr>
                <w:rFonts w:hint="eastAsia" w:ascii="宋体" w:eastAsia="宋体" w:cs="宋体"/>
                <w:strike/>
                <w:dstrike w:val="0"/>
                <w:color w:val="auto"/>
                <w:highlight w:val="none"/>
              </w:rPr>
              <w:sym w:font="Wingdings 2" w:char="00A3"/>
            </w:r>
            <w:r>
              <w:rPr>
                <w:rFonts w:hint="eastAsia"/>
                <w:strike/>
                <w:dstrike w:val="0"/>
                <w:color w:val="auto"/>
                <w:highlight w:val="none"/>
              </w:rPr>
              <w:t>5.7投</w:t>
            </w:r>
            <w:r>
              <w:rPr>
                <w:rFonts w:hint="eastAsia" w:ascii="宋体" w:eastAsia="宋体" w:cs="宋体"/>
                <w:strike/>
                <w:dstrike w:val="0"/>
                <w:color w:val="auto"/>
                <w:highlight w:val="none"/>
              </w:rPr>
              <w:t>标方案；</w:t>
            </w:r>
          </w:p>
          <w:p w14:paraId="7B3BABA2">
            <w:pPr>
              <w:pStyle w:val="48"/>
              <w:spacing w:line="360" w:lineRule="auto"/>
              <w:rPr>
                <w:strike/>
                <w:dstrike w:val="0"/>
                <w:color w:val="auto"/>
                <w:highlight w:val="none"/>
              </w:rPr>
            </w:pPr>
            <w:r>
              <w:rPr>
                <w:rFonts w:hint="eastAsia" w:ascii="宋体" w:eastAsia="宋体" w:cs="宋体"/>
                <w:strike/>
                <w:dstrike w:val="0"/>
                <w:color w:val="auto"/>
                <w:highlight w:val="none"/>
              </w:rPr>
              <w:sym w:font="Wingdings 2" w:char="00A3"/>
            </w:r>
            <w:r>
              <w:rPr>
                <w:rFonts w:hint="eastAsia"/>
                <w:strike/>
                <w:dstrike w:val="0"/>
                <w:color w:val="auto"/>
                <w:highlight w:val="none"/>
              </w:rPr>
              <w:t>5.8</w:t>
            </w:r>
            <w:r>
              <w:rPr>
                <w:rFonts w:hint="eastAsia" w:ascii="宋体" w:eastAsia="宋体" w:cs="宋体"/>
                <w:strike/>
                <w:dstrike w:val="0"/>
                <w:color w:val="auto"/>
                <w:highlight w:val="none"/>
              </w:rPr>
              <w:t>拟派团队能力与水平；</w:t>
            </w:r>
          </w:p>
          <w:p w14:paraId="584BC377">
            <w:pPr>
              <w:pStyle w:val="48"/>
              <w:spacing w:line="360" w:lineRule="auto"/>
              <w:rPr>
                <w:strike/>
                <w:dstrike w:val="0"/>
                <w:color w:val="auto"/>
                <w:highlight w:val="none"/>
              </w:rPr>
            </w:pPr>
            <w:r>
              <w:rPr>
                <w:rFonts w:hint="eastAsia" w:ascii="宋体" w:eastAsia="宋体" w:cs="宋体"/>
                <w:strike/>
                <w:dstrike w:val="0"/>
                <w:color w:val="auto"/>
                <w:highlight w:val="none"/>
              </w:rPr>
              <w:sym w:font="Wingdings 2" w:char="00A3"/>
            </w:r>
            <w:r>
              <w:rPr>
                <w:rFonts w:hint="eastAsia"/>
                <w:strike/>
                <w:dstrike w:val="0"/>
                <w:color w:val="auto"/>
                <w:highlight w:val="none"/>
              </w:rPr>
              <w:t>5.9</w:t>
            </w:r>
            <w:r>
              <w:rPr>
                <w:rFonts w:hint="eastAsia" w:ascii="宋体" w:eastAsia="宋体" w:cs="宋体"/>
                <w:strike/>
                <w:dstrike w:val="0"/>
                <w:color w:val="auto"/>
                <w:highlight w:val="none"/>
              </w:rPr>
              <w:t>联合体投标的，联合体组成情况；</w:t>
            </w:r>
          </w:p>
          <w:p w14:paraId="15640008">
            <w:pPr>
              <w:pStyle w:val="48"/>
              <w:spacing w:line="360" w:lineRule="auto"/>
              <w:rPr>
                <w:strike/>
                <w:dstrike w:val="0"/>
                <w:color w:val="auto"/>
                <w:highlight w:val="none"/>
              </w:rPr>
            </w:pPr>
            <w:r>
              <w:rPr>
                <w:strike/>
                <w:dstrike w:val="0"/>
                <w:color w:val="auto"/>
                <w:highlight w:val="none"/>
              </w:rPr>
              <w:sym w:font="Wingdings 2" w:char="F0A3"/>
            </w:r>
            <w:r>
              <w:rPr>
                <w:rFonts w:hint="eastAsia"/>
                <w:strike/>
                <w:dstrike w:val="0"/>
                <w:color w:val="auto"/>
                <w:highlight w:val="none"/>
              </w:rPr>
              <w:t>5.10</w:t>
            </w:r>
            <w:r>
              <w:rPr>
                <w:rFonts w:hint="eastAsia" w:ascii="宋体" w:eastAsia="宋体" w:cs="宋体"/>
                <w:strike/>
                <w:dstrike w:val="0"/>
                <w:color w:val="auto"/>
                <w:highlight w:val="none"/>
              </w:rPr>
              <w:t>招标人认为需要考量的其他因素。</w:t>
            </w:r>
          </w:p>
          <w:p w14:paraId="46FDD480">
            <w:pPr>
              <w:pStyle w:val="48"/>
              <w:spacing w:line="360" w:lineRule="auto"/>
              <w:rPr>
                <w:strike/>
                <w:dstrike w:val="0"/>
                <w:color w:val="auto"/>
                <w:highlight w:val="none"/>
              </w:rPr>
            </w:pPr>
            <w:r>
              <w:rPr>
                <w:rFonts w:hint="eastAsia"/>
                <w:strike/>
                <w:dstrike w:val="0"/>
                <w:color w:val="auto"/>
                <w:highlight w:val="none"/>
              </w:rPr>
              <w:t>6.</w:t>
            </w:r>
            <w:r>
              <w:rPr>
                <w:rFonts w:hint="eastAsia" w:ascii="宋体" w:eastAsia="宋体" w:cs="宋体"/>
                <w:strike/>
                <w:dstrike w:val="0"/>
                <w:color w:val="auto"/>
                <w:highlight w:val="none"/>
              </w:rPr>
              <w:t>定标方式</w:t>
            </w:r>
          </w:p>
          <w:p w14:paraId="21643A4D">
            <w:pPr>
              <w:kinsoku w:val="0"/>
              <w:wordWrap w:val="0"/>
              <w:topLinePunct/>
              <w:autoSpaceDE w:val="0"/>
              <w:autoSpaceDN w:val="0"/>
              <w:spacing w:line="360" w:lineRule="auto"/>
              <w:ind w:firstLine="420" w:firstLineChars="200"/>
              <w:rPr>
                <w:rFonts w:ascii="宋体" w:hAnsi="宋体" w:cs="宋体"/>
                <w:strike/>
                <w:dstrike w:val="0"/>
                <w:color w:val="auto"/>
                <w:highlight w:val="none"/>
              </w:rPr>
            </w:pPr>
            <w:r>
              <w:rPr>
                <w:rFonts w:hint="eastAsia" w:ascii="宋体" w:eastAsia="宋体" w:cs="宋体"/>
                <w:strike/>
                <w:dstrike w:val="0"/>
                <w:color w:val="auto"/>
                <w:highlight w:val="none"/>
              </w:rPr>
              <w:t>（注：定标办法按照《浙江省工程建设项目招标投标</w:t>
            </w:r>
            <w:r>
              <w:rPr>
                <w:strike/>
                <w:dstrike w:val="0"/>
                <w:color w:val="auto"/>
                <w:highlight w:val="none"/>
              </w:rPr>
              <w:t>“</w:t>
            </w:r>
            <w:r>
              <w:rPr>
                <w:rFonts w:hint="eastAsia" w:ascii="宋体" w:eastAsia="宋体" w:cs="宋体"/>
                <w:strike/>
                <w:dstrike w:val="0"/>
                <w:color w:val="auto"/>
                <w:highlight w:val="none"/>
              </w:rPr>
              <w:t>评定分离</w:t>
            </w:r>
            <w:r>
              <w:rPr>
                <w:strike/>
                <w:dstrike w:val="0"/>
                <w:color w:val="auto"/>
                <w:highlight w:val="none"/>
              </w:rPr>
              <w:t>”</w:t>
            </w:r>
            <w:r>
              <w:rPr>
                <w:rFonts w:hint="eastAsia" w:ascii="宋体" w:eastAsia="宋体" w:cs="宋体"/>
                <w:strike/>
                <w:dstrike w:val="0"/>
                <w:color w:val="auto"/>
                <w:highlight w:val="none"/>
              </w:rPr>
              <w:t>操作指引（试行）》（浙发改公管〔</w:t>
            </w:r>
            <w:r>
              <w:rPr>
                <w:rFonts w:hint="eastAsia" w:ascii="宋体" w:hAnsi="宋体" w:cs="宋体"/>
                <w:strike/>
                <w:dstrike w:val="0"/>
                <w:color w:val="auto"/>
                <w:highlight w:val="none"/>
              </w:rPr>
              <w:t>2023</w:t>
            </w:r>
            <w:r>
              <w:rPr>
                <w:rFonts w:hint="eastAsia" w:ascii="宋体" w:eastAsia="宋体" w:cs="宋体"/>
                <w:strike/>
                <w:dstrike w:val="0"/>
                <w:color w:val="auto"/>
                <w:highlight w:val="none"/>
              </w:rPr>
              <w:t>〕</w:t>
            </w:r>
            <w:r>
              <w:rPr>
                <w:rFonts w:hint="eastAsia" w:ascii="宋体" w:hAnsi="宋体" w:cs="宋体"/>
                <w:strike/>
                <w:dstrike w:val="0"/>
                <w:color w:val="auto"/>
                <w:highlight w:val="none"/>
              </w:rPr>
              <w:t xml:space="preserve">256 </w:t>
            </w:r>
            <w:r>
              <w:rPr>
                <w:rFonts w:hint="eastAsia" w:ascii="宋体" w:eastAsia="宋体" w:cs="宋体"/>
                <w:strike/>
                <w:dstrike w:val="0"/>
                <w:color w:val="auto"/>
                <w:highlight w:val="none"/>
              </w:rPr>
              <w:t>号）、《绍兴市工程建设项目招标投标</w:t>
            </w:r>
            <w:r>
              <w:rPr>
                <w:strike/>
                <w:dstrike w:val="0"/>
                <w:color w:val="auto"/>
                <w:highlight w:val="none"/>
              </w:rPr>
              <w:t>“</w:t>
            </w:r>
            <w:r>
              <w:rPr>
                <w:rFonts w:hint="eastAsia" w:ascii="宋体" w:eastAsia="宋体" w:cs="宋体"/>
                <w:strike/>
                <w:dstrike w:val="0"/>
                <w:color w:val="auto"/>
                <w:highlight w:val="none"/>
              </w:rPr>
              <w:t>评定分离</w:t>
            </w:r>
            <w:r>
              <w:rPr>
                <w:strike/>
                <w:dstrike w:val="0"/>
                <w:color w:val="auto"/>
                <w:highlight w:val="none"/>
              </w:rPr>
              <w:t>”</w:t>
            </w:r>
            <w:r>
              <w:rPr>
                <w:rFonts w:hint="eastAsia" w:ascii="宋体" w:eastAsia="宋体" w:cs="宋体"/>
                <w:strike/>
                <w:dstrike w:val="0"/>
                <w:color w:val="auto"/>
                <w:highlight w:val="none"/>
              </w:rPr>
              <w:t>试点定标操作指引（试行）》（绍市政服办〔</w:t>
            </w:r>
            <w:r>
              <w:rPr>
                <w:rFonts w:hint="eastAsia" w:ascii="宋体" w:hAnsi="宋体" w:cs="宋体"/>
                <w:strike/>
                <w:dstrike w:val="0"/>
                <w:color w:val="auto"/>
                <w:highlight w:val="none"/>
              </w:rPr>
              <w:t>2023</w:t>
            </w:r>
            <w:r>
              <w:rPr>
                <w:rFonts w:hint="eastAsia" w:ascii="宋体" w:eastAsia="宋体" w:cs="宋体"/>
                <w:strike/>
                <w:dstrike w:val="0"/>
                <w:color w:val="auto"/>
                <w:highlight w:val="none"/>
              </w:rPr>
              <w:t>〕</w:t>
            </w:r>
            <w:r>
              <w:rPr>
                <w:rFonts w:hint="eastAsia" w:ascii="宋体" w:hAnsi="宋体" w:cs="宋体"/>
                <w:strike/>
                <w:dstrike w:val="0"/>
                <w:color w:val="auto"/>
                <w:highlight w:val="none"/>
              </w:rPr>
              <w:t>17</w:t>
            </w:r>
            <w:r>
              <w:rPr>
                <w:rFonts w:hint="eastAsia" w:ascii="宋体" w:eastAsia="宋体" w:cs="宋体"/>
                <w:strike/>
                <w:dstrike w:val="0"/>
                <w:color w:val="auto"/>
                <w:highlight w:val="none"/>
              </w:rPr>
              <w:t>号）确定，由招标人在招标文件中明确）</w:t>
            </w:r>
          </w:p>
          <w:p w14:paraId="4C47B8F5">
            <w:pPr>
              <w:kinsoku w:val="0"/>
              <w:wordWrap w:val="0"/>
              <w:topLinePunct/>
              <w:autoSpaceDE w:val="0"/>
              <w:autoSpaceDN w:val="0"/>
              <w:spacing w:line="360" w:lineRule="auto"/>
              <w:rPr>
                <w:rFonts w:ascii="宋体" w:hAnsi="宋体" w:cs="宋体"/>
                <w:strike/>
                <w:dstrike w:val="0"/>
                <w:color w:val="auto"/>
                <w:highlight w:val="none"/>
              </w:rPr>
            </w:pPr>
            <w:r>
              <w:rPr>
                <w:rFonts w:hint="eastAsia" w:ascii="宋体" w:eastAsia="宋体" w:cs="宋体"/>
                <w:strike/>
                <w:dstrike w:val="0"/>
                <w:color w:val="auto"/>
                <w:highlight w:val="none"/>
              </w:rPr>
              <w:sym w:font="Wingdings 2" w:char="00A3"/>
            </w:r>
            <w:r>
              <w:rPr>
                <w:rFonts w:hint="eastAsia" w:ascii="宋体" w:hAnsi="宋体" w:cs="宋体"/>
                <w:strike/>
                <w:dstrike w:val="0"/>
                <w:color w:val="auto"/>
                <w:highlight w:val="none"/>
              </w:rPr>
              <w:t>6.1</w:t>
            </w:r>
            <w:r>
              <w:rPr>
                <w:rFonts w:hint="eastAsia" w:ascii="宋体" w:eastAsia="宋体" w:cs="宋体"/>
                <w:strike/>
                <w:dstrike w:val="0"/>
                <w:color w:val="auto"/>
                <w:highlight w:val="none"/>
              </w:rPr>
              <w:t>票决法：由定标委员会以直接票决或者逐轮票决的方式确定中标人。</w:t>
            </w:r>
          </w:p>
          <w:p w14:paraId="086DBE1E">
            <w:pPr>
              <w:kinsoku w:val="0"/>
              <w:wordWrap w:val="0"/>
              <w:topLinePunct/>
              <w:autoSpaceDE w:val="0"/>
              <w:autoSpaceDN w:val="0"/>
              <w:spacing w:line="360" w:lineRule="auto"/>
              <w:rPr>
                <w:rFonts w:ascii="宋体" w:hAnsi="宋体" w:cs="宋体"/>
                <w:strike/>
                <w:dstrike w:val="0"/>
                <w:color w:val="auto"/>
                <w:highlight w:val="none"/>
              </w:rPr>
            </w:pPr>
            <w:r>
              <w:rPr>
                <w:rFonts w:hint="eastAsia" w:ascii="宋体" w:eastAsia="宋体" w:cs="宋体"/>
                <w:strike/>
                <w:dstrike w:val="0"/>
                <w:color w:val="auto"/>
                <w:highlight w:val="none"/>
              </w:rPr>
              <w:sym w:font="Wingdings 2" w:char="00A3"/>
            </w:r>
            <w:r>
              <w:rPr>
                <w:rFonts w:hint="eastAsia" w:ascii="宋体" w:hAnsi="宋体" w:cs="宋体"/>
                <w:strike/>
                <w:dstrike w:val="0"/>
                <w:color w:val="auto"/>
                <w:highlight w:val="none"/>
              </w:rPr>
              <w:t>6.2</w:t>
            </w:r>
            <w:r>
              <w:rPr>
                <w:rFonts w:hint="eastAsia" w:ascii="宋体" w:eastAsia="宋体" w:cs="宋体"/>
                <w:strike/>
                <w:dstrike w:val="0"/>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76780BDE">
            <w:pPr>
              <w:pStyle w:val="48"/>
              <w:spacing w:line="360" w:lineRule="auto"/>
              <w:ind w:firstLine="0" w:firstLineChars="0"/>
              <w:rPr>
                <w:strike/>
                <w:dstrike w:val="0"/>
                <w:color w:val="auto"/>
                <w:highlight w:val="none"/>
              </w:rPr>
            </w:pPr>
            <w:r>
              <w:rPr>
                <w:rFonts w:hint="eastAsia" w:ascii="宋体" w:eastAsia="宋体" w:cs="宋体"/>
                <w:strike/>
                <w:dstrike w:val="0"/>
                <w:color w:val="auto"/>
                <w:highlight w:val="none"/>
              </w:rPr>
              <w:sym w:font="Wingdings 2" w:char="00A3"/>
            </w:r>
            <w:r>
              <w:rPr>
                <w:rFonts w:hint="eastAsia" w:ascii="宋体" w:hAnsi="宋体"/>
                <w:strike/>
                <w:dstrike w:val="0"/>
                <w:color w:val="auto"/>
                <w:highlight w:val="none"/>
              </w:rPr>
              <w:t>6.3</w:t>
            </w:r>
            <w:r>
              <w:rPr>
                <w:rFonts w:hint="eastAsia" w:ascii="宋体" w:eastAsia="宋体"/>
                <w:strike/>
                <w:dstrike w:val="0"/>
                <w:color w:val="auto"/>
                <w:highlight w:val="none"/>
              </w:rPr>
              <w:t>其他定标办法：</w:t>
            </w:r>
            <w:r>
              <w:rPr>
                <w:strike/>
                <w:dstrike w:val="0"/>
                <w:color w:val="auto"/>
                <w:highlight w:val="none"/>
              </w:rPr>
              <w:t xml:space="preserve">                             </w:t>
            </w:r>
            <w:r>
              <w:rPr>
                <w:rFonts w:hint="eastAsia" w:ascii="宋体" w:eastAsia="宋体"/>
                <w:strike/>
                <w:dstrike w:val="0"/>
                <w:color w:val="auto"/>
                <w:highlight w:val="none"/>
              </w:rPr>
              <w:t>。</w:t>
            </w:r>
          </w:p>
          <w:p w14:paraId="2A8F632B">
            <w:pPr>
              <w:spacing w:line="360" w:lineRule="auto"/>
              <w:rPr>
                <w:rFonts w:ascii="宋体" w:hAnsi="宋体"/>
                <w:strike/>
                <w:dstrike w:val="0"/>
                <w:color w:val="auto"/>
                <w:highlight w:val="none"/>
              </w:rPr>
            </w:pPr>
            <w:r>
              <w:rPr>
                <w:rFonts w:hint="eastAsia" w:ascii="宋体" w:hAnsi="宋体"/>
                <w:strike/>
                <w:dstrike w:val="0"/>
                <w:color w:val="auto"/>
                <w:highlight w:val="none"/>
              </w:rPr>
              <w:t>7.</w:t>
            </w:r>
            <w:r>
              <w:rPr>
                <w:rFonts w:hint="eastAsia" w:ascii="宋体" w:eastAsia="宋体" w:cs="宋体"/>
                <w:strike/>
                <w:dstrike w:val="0"/>
                <w:color w:val="auto"/>
                <w:highlight w:val="none"/>
              </w:rPr>
              <w:t>中标人公告媒介及期限</w:t>
            </w:r>
          </w:p>
          <w:p w14:paraId="49B9C0BA">
            <w:pPr>
              <w:spacing w:line="360" w:lineRule="auto"/>
              <w:ind w:firstLine="420" w:firstLineChars="200"/>
              <w:rPr>
                <w:rFonts w:ascii="宋体" w:hAnsi="宋体"/>
                <w:strike/>
                <w:dstrike w:val="0"/>
                <w:color w:val="auto"/>
                <w:highlight w:val="none"/>
              </w:rPr>
            </w:pPr>
            <w:r>
              <w:rPr>
                <w:rFonts w:hint="eastAsia" w:ascii="宋体" w:eastAsia="宋体" w:cs="宋体"/>
                <w:strike/>
                <w:dstrike w:val="0"/>
                <w:color w:val="auto"/>
                <w:highlight w:val="none"/>
              </w:rPr>
              <w:t>招标人应当将中标结果情况在投标须知前附表规定的媒介上公告不少于</w:t>
            </w:r>
            <w:r>
              <w:rPr>
                <w:rFonts w:ascii="宋体" w:hAnsi="宋体"/>
                <w:strike/>
                <w:dstrike w:val="0"/>
                <w:color w:val="auto"/>
                <w:highlight w:val="none"/>
              </w:rPr>
              <w:t>3</w:t>
            </w:r>
            <w:r>
              <w:rPr>
                <w:rFonts w:hint="eastAsia" w:ascii="宋体" w:eastAsia="宋体" w:cs="宋体"/>
                <w:strike/>
                <w:dstrike w:val="0"/>
                <w:color w:val="auto"/>
                <w:highlight w:val="none"/>
              </w:rPr>
              <w:t>日。</w:t>
            </w:r>
          </w:p>
          <w:p w14:paraId="47F83F18">
            <w:pPr>
              <w:spacing w:line="360" w:lineRule="auto"/>
              <w:rPr>
                <w:rFonts w:ascii="宋体" w:hAnsi="宋体"/>
                <w:strike/>
                <w:dstrike w:val="0"/>
                <w:color w:val="auto"/>
                <w:highlight w:val="none"/>
              </w:rPr>
            </w:pPr>
            <w:r>
              <w:rPr>
                <w:rFonts w:ascii="宋体" w:hAnsi="宋体"/>
                <w:strike/>
                <w:dstrike w:val="0"/>
                <w:color w:val="auto"/>
                <w:highlight w:val="none"/>
              </w:rPr>
              <w:t>7.</w:t>
            </w:r>
            <w:r>
              <w:rPr>
                <w:rFonts w:hint="eastAsia" w:ascii="宋体" w:hAnsi="宋体"/>
                <w:strike/>
                <w:dstrike w:val="0"/>
                <w:color w:val="auto"/>
                <w:highlight w:val="none"/>
              </w:rPr>
              <w:t>1</w:t>
            </w:r>
            <w:r>
              <w:rPr>
                <w:rFonts w:hint="eastAsia" w:ascii="宋体" w:eastAsia="宋体" w:cs="宋体"/>
                <w:strike/>
                <w:dstrike w:val="0"/>
                <w:color w:val="auto"/>
                <w:highlight w:val="none"/>
              </w:rPr>
              <w:t>定标后有下列情形之一的，招标人可以组织原定标委员会从其他中标候选人中按原定标方法确定中标人：</w:t>
            </w:r>
          </w:p>
          <w:p w14:paraId="1938785C">
            <w:pPr>
              <w:spacing w:line="360" w:lineRule="auto"/>
              <w:ind w:firstLine="420" w:firstLineChars="200"/>
              <w:rPr>
                <w:rFonts w:ascii="宋体" w:hAnsi="宋体"/>
                <w:strike/>
                <w:dstrike w:val="0"/>
                <w:color w:val="auto"/>
                <w:highlight w:val="none"/>
              </w:rPr>
            </w:pPr>
            <w:r>
              <w:rPr>
                <w:rFonts w:hint="eastAsia" w:ascii="宋体" w:eastAsia="宋体" w:cs="宋体"/>
                <w:strike/>
                <w:dstrike w:val="0"/>
                <w:color w:val="auto"/>
                <w:highlight w:val="none"/>
              </w:rPr>
              <w:t>（</w:t>
            </w:r>
            <w:r>
              <w:rPr>
                <w:rFonts w:ascii="宋体" w:hAnsi="宋体"/>
                <w:strike/>
                <w:dstrike w:val="0"/>
                <w:color w:val="auto"/>
                <w:highlight w:val="none"/>
              </w:rPr>
              <w:t>1</w:t>
            </w:r>
            <w:r>
              <w:rPr>
                <w:rFonts w:hint="eastAsia" w:ascii="宋体" w:eastAsia="宋体" w:cs="宋体"/>
                <w:strike/>
                <w:dstrike w:val="0"/>
                <w:color w:val="auto"/>
                <w:highlight w:val="none"/>
              </w:rPr>
              <w:t>）中标人放弃中标资格或者拒不签订合同的；</w:t>
            </w:r>
          </w:p>
          <w:p w14:paraId="29B41FC2">
            <w:pPr>
              <w:spacing w:line="360" w:lineRule="auto"/>
              <w:ind w:firstLine="420" w:firstLineChars="200"/>
              <w:rPr>
                <w:rFonts w:ascii="宋体" w:hAnsi="宋体"/>
                <w:strike/>
                <w:dstrike w:val="0"/>
                <w:color w:val="auto"/>
                <w:highlight w:val="none"/>
              </w:rPr>
            </w:pPr>
            <w:r>
              <w:rPr>
                <w:rFonts w:hint="eastAsia" w:ascii="宋体" w:eastAsia="宋体" w:cs="宋体"/>
                <w:strike/>
                <w:dstrike w:val="0"/>
                <w:color w:val="auto"/>
                <w:highlight w:val="none"/>
              </w:rPr>
              <w:t>（</w:t>
            </w:r>
            <w:r>
              <w:rPr>
                <w:rFonts w:ascii="宋体" w:hAnsi="宋体"/>
                <w:strike/>
                <w:dstrike w:val="0"/>
                <w:color w:val="auto"/>
                <w:highlight w:val="none"/>
              </w:rPr>
              <w:t>2</w:t>
            </w:r>
            <w:r>
              <w:rPr>
                <w:rFonts w:hint="eastAsia" w:ascii="宋体" w:eastAsia="宋体" w:cs="宋体"/>
                <w:strike/>
                <w:dstrike w:val="0"/>
                <w:color w:val="auto"/>
                <w:highlight w:val="none"/>
              </w:rPr>
              <w:t>）中标人被查实存在违法行为影响中标结果的；</w:t>
            </w:r>
          </w:p>
          <w:p w14:paraId="0648C052">
            <w:pPr>
              <w:spacing w:line="360" w:lineRule="auto"/>
              <w:ind w:firstLine="420" w:firstLineChars="200"/>
              <w:rPr>
                <w:rFonts w:ascii="宋体" w:hAnsi="宋体"/>
                <w:strike/>
                <w:dstrike w:val="0"/>
                <w:color w:val="auto"/>
                <w:highlight w:val="none"/>
              </w:rPr>
            </w:pPr>
            <w:r>
              <w:rPr>
                <w:rFonts w:hint="eastAsia" w:ascii="宋体" w:eastAsia="宋体" w:cs="宋体"/>
                <w:strike/>
                <w:dstrike w:val="0"/>
                <w:color w:val="auto"/>
                <w:highlight w:val="none"/>
              </w:rPr>
              <w:t>（</w:t>
            </w:r>
            <w:r>
              <w:rPr>
                <w:rFonts w:ascii="宋体" w:hAnsi="宋体"/>
                <w:strike/>
                <w:dstrike w:val="0"/>
                <w:color w:val="auto"/>
                <w:highlight w:val="none"/>
              </w:rPr>
              <w:t>3</w:t>
            </w:r>
            <w:r>
              <w:rPr>
                <w:rFonts w:hint="eastAsia" w:ascii="宋体" w:eastAsia="宋体" w:cs="宋体"/>
                <w:strike/>
                <w:dstrike w:val="0"/>
                <w:color w:val="auto"/>
                <w:highlight w:val="none"/>
              </w:rPr>
              <w:t>）投标须知前附表规定的其他情形。</w:t>
            </w:r>
          </w:p>
          <w:p w14:paraId="249785F8">
            <w:pPr>
              <w:spacing w:line="360" w:lineRule="auto"/>
              <w:rPr>
                <w:rFonts w:ascii="宋体" w:hAnsi="宋体"/>
                <w:strike/>
                <w:dstrike w:val="0"/>
                <w:color w:val="auto"/>
                <w:highlight w:val="none"/>
              </w:rPr>
            </w:pPr>
            <w:r>
              <w:rPr>
                <w:rFonts w:ascii="宋体" w:hAnsi="宋体"/>
                <w:strike/>
                <w:dstrike w:val="0"/>
                <w:color w:val="auto"/>
                <w:highlight w:val="none"/>
              </w:rPr>
              <w:t>7.</w:t>
            </w:r>
            <w:r>
              <w:rPr>
                <w:rFonts w:hint="eastAsia" w:ascii="宋体" w:hAnsi="宋体"/>
                <w:strike/>
                <w:dstrike w:val="0"/>
                <w:color w:val="auto"/>
                <w:highlight w:val="none"/>
              </w:rPr>
              <w:t>2</w:t>
            </w:r>
            <w:r>
              <w:rPr>
                <w:rFonts w:hint="eastAsia" w:ascii="宋体" w:eastAsia="宋体" w:cs="宋体"/>
                <w:strike/>
                <w:dstrike w:val="0"/>
                <w:color w:val="auto"/>
                <w:highlight w:val="none"/>
              </w:rPr>
              <w:t>定标后有下列情形之一的，应重新定标：</w:t>
            </w:r>
          </w:p>
          <w:p w14:paraId="2ACF9FC4">
            <w:pPr>
              <w:spacing w:line="360" w:lineRule="auto"/>
              <w:ind w:firstLine="420" w:firstLineChars="200"/>
              <w:rPr>
                <w:rFonts w:ascii="宋体" w:hAnsi="宋体"/>
                <w:strike/>
                <w:dstrike w:val="0"/>
                <w:color w:val="auto"/>
                <w:highlight w:val="none"/>
              </w:rPr>
            </w:pPr>
            <w:r>
              <w:rPr>
                <w:rFonts w:hint="eastAsia" w:ascii="宋体" w:eastAsia="宋体" w:cs="宋体"/>
                <w:strike/>
                <w:dstrike w:val="0"/>
                <w:color w:val="auto"/>
                <w:highlight w:val="none"/>
              </w:rPr>
              <w:t>（</w:t>
            </w:r>
            <w:r>
              <w:rPr>
                <w:rFonts w:ascii="宋体" w:hAnsi="宋体"/>
                <w:strike/>
                <w:dstrike w:val="0"/>
                <w:color w:val="auto"/>
                <w:highlight w:val="none"/>
              </w:rPr>
              <w:t>1</w:t>
            </w:r>
            <w:r>
              <w:rPr>
                <w:rFonts w:hint="eastAsia" w:ascii="宋体" w:eastAsia="宋体" w:cs="宋体"/>
                <w:strike/>
                <w:dstrike w:val="0"/>
                <w:color w:val="auto"/>
                <w:highlight w:val="none"/>
              </w:rPr>
              <w:t>）查实定标委员会未按定标办法公正履职的；</w:t>
            </w:r>
          </w:p>
          <w:p w14:paraId="19508984">
            <w:pPr>
              <w:spacing w:line="360" w:lineRule="auto"/>
              <w:ind w:firstLine="420" w:firstLineChars="200"/>
              <w:rPr>
                <w:rFonts w:ascii="宋体" w:hAnsi="宋体"/>
                <w:strike/>
                <w:dstrike w:val="0"/>
                <w:color w:val="auto"/>
                <w:highlight w:val="none"/>
              </w:rPr>
            </w:pPr>
            <w:r>
              <w:rPr>
                <w:rFonts w:hint="eastAsia" w:ascii="宋体" w:eastAsia="宋体" w:cs="宋体"/>
                <w:strike/>
                <w:dstrike w:val="0"/>
                <w:color w:val="auto"/>
                <w:highlight w:val="none"/>
              </w:rPr>
              <w:t>（</w:t>
            </w:r>
            <w:r>
              <w:rPr>
                <w:rFonts w:ascii="宋体" w:hAnsi="宋体"/>
                <w:strike/>
                <w:dstrike w:val="0"/>
                <w:color w:val="auto"/>
                <w:highlight w:val="none"/>
              </w:rPr>
              <w:t>2</w:t>
            </w:r>
            <w:r>
              <w:rPr>
                <w:rFonts w:hint="eastAsia" w:ascii="宋体" w:eastAsia="宋体" w:cs="宋体"/>
                <w:strike/>
                <w:dstrike w:val="0"/>
                <w:color w:val="auto"/>
                <w:highlight w:val="none"/>
              </w:rPr>
              <w:t>）有定标委员会成员与中标候选人有利害关系且未申请回避的；</w:t>
            </w:r>
          </w:p>
          <w:p w14:paraId="0FE33CAB">
            <w:pPr>
              <w:spacing w:line="360" w:lineRule="auto"/>
              <w:ind w:firstLine="420" w:firstLineChars="200"/>
              <w:rPr>
                <w:rFonts w:ascii="宋体" w:hAnsi="宋体"/>
                <w:strike/>
                <w:dstrike w:val="0"/>
                <w:color w:val="auto"/>
                <w:highlight w:val="none"/>
              </w:rPr>
            </w:pPr>
            <w:r>
              <w:rPr>
                <w:rFonts w:hint="eastAsia" w:ascii="宋体" w:eastAsia="宋体" w:cs="宋体"/>
                <w:strike/>
                <w:dstrike w:val="0"/>
                <w:color w:val="auto"/>
                <w:highlight w:val="none"/>
              </w:rPr>
              <w:t>（</w:t>
            </w:r>
            <w:r>
              <w:rPr>
                <w:rFonts w:ascii="宋体" w:hAnsi="宋体"/>
                <w:strike/>
                <w:dstrike w:val="0"/>
                <w:color w:val="auto"/>
                <w:highlight w:val="none"/>
              </w:rPr>
              <w:t>3</w:t>
            </w:r>
            <w:r>
              <w:rPr>
                <w:rFonts w:hint="eastAsia" w:ascii="宋体" w:eastAsia="宋体" w:cs="宋体"/>
                <w:strike/>
                <w:dstrike w:val="0"/>
                <w:color w:val="auto"/>
                <w:highlight w:val="none"/>
              </w:rPr>
              <w:t>）投标须知前附表规定的其他情形。</w:t>
            </w:r>
          </w:p>
        </w:tc>
      </w:tr>
      <w:tr w14:paraId="60AAA7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42" w:type="dxa"/>
            <w:tcBorders>
              <w:top w:val="single" w:color="000000" w:sz="2" w:space="0"/>
              <w:left w:val="single" w:color="000000" w:sz="2" w:space="0"/>
              <w:bottom w:val="single" w:color="000000" w:sz="2" w:space="0"/>
              <w:right w:val="single" w:color="000000" w:sz="2" w:space="0"/>
            </w:tcBorders>
            <w:noWrap/>
            <w:vAlign w:val="center"/>
          </w:tcPr>
          <w:p w14:paraId="490323D7">
            <w:pPr>
              <w:spacing w:line="312" w:lineRule="auto"/>
              <w:ind w:left="105" w:leftChars="50" w:right="105" w:rightChars="50"/>
              <w:jc w:val="both"/>
              <w:rPr>
                <w:rFonts w:ascii="宋体" w:eastAsia="宋体" w:cs="宋体"/>
                <w:color w:val="auto"/>
                <w:highlight w:val="none"/>
              </w:rPr>
            </w:pPr>
            <w:r>
              <w:rPr>
                <w:rFonts w:ascii="宋体" w:eastAsia="宋体" w:cs="宋体"/>
                <w:color w:val="auto"/>
                <w:highlight w:val="none"/>
              </w:rPr>
              <w:t>10.</w:t>
            </w:r>
            <w:r>
              <w:rPr>
                <w:rFonts w:hint="eastAsia" w:ascii="宋体" w:eastAsia="宋体" w:cs="宋体"/>
                <w:color w:val="auto"/>
                <w:highlight w:val="none"/>
              </w:rPr>
              <w:t>3</w:t>
            </w:r>
          </w:p>
        </w:tc>
        <w:tc>
          <w:tcPr>
            <w:tcW w:w="2305" w:type="dxa"/>
            <w:tcBorders>
              <w:top w:val="single" w:color="000000" w:sz="2" w:space="0"/>
              <w:left w:val="single" w:color="000000" w:sz="2" w:space="0"/>
              <w:bottom w:val="single" w:color="000000" w:sz="2" w:space="0"/>
              <w:right w:val="single" w:color="000000" w:sz="2" w:space="0"/>
            </w:tcBorders>
            <w:noWrap/>
            <w:vAlign w:val="center"/>
          </w:tcPr>
          <w:p w14:paraId="3E47F1C4">
            <w:pPr>
              <w:rPr>
                <w:color w:val="auto"/>
                <w:highlight w:val="none"/>
              </w:rPr>
            </w:pPr>
            <w:r>
              <w:rPr>
                <w:color w:val="auto"/>
                <w:highlight w:val="none"/>
              </w:rPr>
              <w:t>特别说明</w:t>
            </w:r>
          </w:p>
        </w:tc>
        <w:tc>
          <w:tcPr>
            <w:tcW w:w="5920" w:type="dxa"/>
            <w:tcBorders>
              <w:top w:val="single" w:color="000000" w:sz="2" w:space="0"/>
              <w:left w:val="single" w:color="000000" w:sz="2" w:space="0"/>
              <w:bottom w:val="single" w:color="000000" w:sz="2" w:space="0"/>
              <w:right w:val="single" w:color="000000" w:sz="2" w:space="0"/>
            </w:tcBorders>
            <w:noWrap/>
          </w:tcPr>
          <w:p w14:paraId="408D81AF">
            <w:pPr>
              <w:tabs>
                <w:tab w:val="left" w:pos="5680"/>
              </w:tabs>
              <w:rPr>
                <w:color w:val="auto"/>
                <w:highlight w:val="none"/>
              </w:rPr>
            </w:pPr>
            <w:r>
              <w:rPr>
                <w:color w:val="auto"/>
                <w:highlight w:val="none"/>
              </w:rPr>
              <w:t>一、本招标文件斜体字部分是根据本次招标内容的具体情况进行的相应填写。</w:t>
            </w:r>
          </w:p>
          <w:p w14:paraId="36069DA9">
            <w:pPr>
              <w:tabs>
                <w:tab w:val="left" w:pos="5680"/>
              </w:tabs>
              <w:rPr>
                <w:color w:val="auto"/>
                <w:highlight w:val="none"/>
              </w:rPr>
            </w:pPr>
            <w:r>
              <w:rPr>
                <w:color w:val="auto"/>
                <w:highlight w:val="none"/>
              </w:rPr>
              <w:t>二、投标人须知具体内容如与本前附表不一致的，以本前附表为准。</w:t>
            </w:r>
          </w:p>
          <w:p w14:paraId="78889790">
            <w:pPr>
              <w:tabs>
                <w:tab w:val="left" w:pos="5680"/>
              </w:tabs>
              <w:rPr>
                <w:color w:val="auto"/>
                <w:highlight w:val="none"/>
              </w:rPr>
            </w:pPr>
            <w:r>
              <w:rPr>
                <w:color w:val="auto"/>
                <w:highlight w:val="none"/>
              </w:rPr>
              <w:t>三、投标人投标函</w:t>
            </w:r>
            <w:r>
              <w:rPr>
                <w:rFonts w:hint="eastAsia"/>
                <w:color w:val="auto"/>
                <w:highlight w:val="none"/>
              </w:rPr>
              <w:t>与投标报价表</w:t>
            </w:r>
            <w:r>
              <w:rPr>
                <w:color w:val="auto"/>
                <w:highlight w:val="none"/>
              </w:rPr>
              <w:t>不一致的，以投标人投标函为准。</w:t>
            </w:r>
          </w:p>
          <w:p w14:paraId="3FA2E1B5">
            <w:pPr>
              <w:tabs>
                <w:tab w:val="left" w:pos="5680"/>
              </w:tabs>
              <w:rPr>
                <w:color w:val="auto"/>
                <w:highlight w:val="none"/>
              </w:rPr>
            </w:pPr>
            <w:r>
              <w:rPr>
                <w:color w:val="auto"/>
                <w:highlight w:val="none"/>
              </w:rPr>
              <w:t>四、除招标文件另有规定外，投标函的投标报价与清单汇总报价不一致时，以投标函报价为准。</w:t>
            </w:r>
          </w:p>
          <w:p w14:paraId="219EE309">
            <w:pPr>
              <w:tabs>
                <w:tab w:val="left" w:pos="5680"/>
              </w:tabs>
              <w:rPr>
                <w:rFonts w:hint="eastAsia" w:eastAsia="宋体"/>
                <w:color w:val="auto"/>
                <w:highlight w:val="none"/>
                <w:lang w:eastAsia="zh-CN"/>
              </w:rPr>
            </w:pPr>
            <w:r>
              <w:rPr>
                <w:rFonts w:hint="eastAsia" w:eastAsia="宋体"/>
                <w:color w:val="auto"/>
                <w:highlight w:val="none"/>
                <w:lang w:eastAsia="zh-CN"/>
              </w:rPr>
              <w:t>五、本项目代理费由招标人支付，中标人无需支付任何费用给代理机构或代理机构经办人。</w:t>
            </w:r>
          </w:p>
          <w:p w14:paraId="067E5A5B">
            <w:pPr>
              <w:tabs>
                <w:tab w:val="left" w:pos="5680"/>
              </w:tabs>
              <w:rPr>
                <w:rFonts w:hint="eastAsia" w:eastAsia="宋体"/>
                <w:color w:val="auto"/>
                <w:highlight w:val="none"/>
                <w:lang w:eastAsia="zh-CN"/>
              </w:rPr>
            </w:pPr>
            <w:r>
              <w:rPr>
                <w:rFonts w:hint="eastAsia" w:eastAsia="宋体"/>
                <w:color w:val="auto"/>
                <w:highlight w:val="none"/>
                <w:lang w:eastAsia="zh-CN"/>
              </w:rPr>
              <w:t>六、本项目招标文件内对开标现场原件核验不作要求，招标人有权在中标后对中标候选人进行原件核验。投标人对所提供的全部资料的真实性承担法律责任。</w:t>
            </w:r>
          </w:p>
          <w:p w14:paraId="5CB3876F">
            <w:pPr>
              <w:tabs>
                <w:tab w:val="left" w:pos="5680"/>
              </w:tabs>
              <w:rPr>
                <w:color w:val="auto"/>
                <w:highlight w:val="none"/>
              </w:rPr>
            </w:pPr>
            <w:r>
              <w:rPr>
                <w:rFonts w:hint="eastAsia" w:eastAsia="宋体"/>
                <w:color w:val="auto"/>
                <w:highlight w:val="none"/>
                <w:lang w:eastAsia="zh-CN"/>
              </w:rPr>
              <w:t>七</w:t>
            </w:r>
            <w:r>
              <w:rPr>
                <w:color w:val="auto"/>
                <w:highlight w:val="none"/>
              </w:rPr>
              <w:t>、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7802777D">
            <w:pPr>
              <w:tabs>
                <w:tab w:val="left" w:pos="5680"/>
              </w:tabs>
              <w:rPr>
                <w:color w:val="auto"/>
                <w:highlight w:val="none"/>
              </w:rPr>
            </w:pPr>
            <w:r>
              <w:rPr>
                <w:color w:val="auto"/>
                <w:highlight w:val="none"/>
              </w:rPr>
              <w:t>1.不同投标人的投标文件由同一单位或者个人编制</w:t>
            </w:r>
            <w:r>
              <w:rPr>
                <w:rFonts w:hint="eastAsia"/>
                <w:color w:val="auto"/>
                <w:highlight w:val="none"/>
              </w:rPr>
              <w:t>；</w:t>
            </w:r>
          </w:p>
          <w:p w14:paraId="0E2B72A0">
            <w:pPr>
              <w:tabs>
                <w:tab w:val="left" w:pos="5680"/>
              </w:tabs>
              <w:rPr>
                <w:color w:val="auto"/>
                <w:highlight w:val="none"/>
              </w:rPr>
            </w:pPr>
            <w:r>
              <w:rPr>
                <w:rFonts w:hint="eastAsia"/>
                <w:color w:val="auto"/>
                <w:highlight w:val="none"/>
              </w:rPr>
              <w:t>2</w:t>
            </w:r>
            <w:r>
              <w:rPr>
                <w:color w:val="auto"/>
                <w:highlight w:val="none"/>
              </w:rPr>
              <w:t>.不同投标人委托同一单位或者个人办理投标事宜</w:t>
            </w:r>
            <w:r>
              <w:rPr>
                <w:rFonts w:hint="eastAsia"/>
                <w:color w:val="auto"/>
                <w:highlight w:val="none"/>
              </w:rPr>
              <w:t>；</w:t>
            </w:r>
          </w:p>
          <w:p w14:paraId="706D2AD5">
            <w:pPr>
              <w:tabs>
                <w:tab w:val="left" w:pos="5680"/>
              </w:tabs>
              <w:rPr>
                <w:color w:val="auto"/>
                <w:highlight w:val="none"/>
              </w:rPr>
            </w:pPr>
            <w:r>
              <w:rPr>
                <w:rFonts w:hint="eastAsia"/>
                <w:color w:val="auto"/>
                <w:highlight w:val="none"/>
              </w:rPr>
              <w:t>3</w:t>
            </w:r>
            <w:r>
              <w:rPr>
                <w:color w:val="auto"/>
                <w:highlight w:val="none"/>
              </w:rPr>
              <w:t>.不同投标人的投标文件载明的项目管理成员为同一人；</w:t>
            </w:r>
          </w:p>
          <w:p w14:paraId="6EAC932B">
            <w:pPr>
              <w:tabs>
                <w:tab w:val="left" w:pos="5680"/>
              </w:tabs>
              <w:rPr>
                <w:color w:val="auto"/>
                <w:highlight w:val="none"/>
              </w:rPr>
            </w:pPr>
            <w:r>
              <w:rPr>
                <w:rFonts w:hint="eastAsia"/>
                <w:color w:val="auto"/>
                <w:highlight w:val="none"/>
              </w:rPr>
              <w:t>4</w:t>
            </w:r>
            <w:r>
              <w:rPr>
                <w:color w:val="auto"/>
                <w:highlight w:val="none"/>
              </w:rPr>
              <w:t>.不同投标人的投标文件异常一致或者投标报价呈规律性差异；</w:t>
            </w:r>
          </w:p>
          <w:p w14:paraId="6FDF08C5">
            <w:pPr>
              <w:tabs>
                <w:tab w:val="left" w:pos="5680"/>
              </w:tabs>
              <w:rPr>
                <w:color w:val="auto"/>
                <w:highlight w:val="none"/>
              </w:rPr>
            </w:pPr>
            <w:r>
              <w:rPr>
                <w:rFonts w:hint="eastAsia"/>
                <w:color w:val="auto"/>
                <w:highlight w:val="none"/>
              </w:rPr>
              <w:t>5</w:t>
            </w:r>
            <w:r>
              <w:rPr>
                <w:color w:val="auto"/>
                <w:highlight w:val="none"/>
              </w:rPr>
              <w:t>.不同投标人的投标文件相互混装；</w:t>
            </w:r>
          </w:p>
          <w:p w14:paraId="568339DB">
            <w:pPr>
              <w:tabs>
                <w:tab w:val="left" w:pos="5680"/>
              </w:tabs>
              <w:rPr>
                <w:color w:val="auto"/>
                <w:highlight w:val="none"/>
              </w:rPr>
            </w:pPr>
            <w:r>
              <w:rPr>
                <w:rFonts w:hint="eastAsia"/>
                <w:color w:val="auto"/>
                <w:highlight w:val="none"/>
              </w:rPr>
              <w:t>6</w:t>
            </w:r>
            <w:r>
              <w:rPr>
                <w:color w:val="auto"/>
                <w:highlight w:val="none"/>
              </w:rPr>
              <w:t>.不同投标人的投标保证金从同一单位或者个人的账户转出或者通过同一单位或者个人的账户购买电子保函；</w:t>
            </w:r>
          </w:p>
          <w:p w14:paraId="1FFD3D16">
            <w:pPr>
              <w:tabs>
                <w:tab w:val="left" w:pos="5680"/>
              </w:tabs>
              <w:rPr>
                <w:color w:val="auto"/>
                <w:highlight w:val="none"/>
              </w:rPr>
            </w:pPr>
            <w:r>
              <w:rPr>
                <w:rFonts w:hint="eastAsia"/>
                <w:color w:val="auto"/>
                <w:highlight w:val="none"/>
              </w:rPr>
              <w:t>7</w:t>
            </w:r>
            <w:r>
              <w:rPr>
                <w:color w:val="auto"/>
                <w:highlight w:val="none"/>
              </w:rPr>
              <w:t>.投标人之间协商投标报价等投标文件的实质性内容；</w:t>
            </w:r>
          </w:p>
          <w:p w14:paraId="2FCE4F08">
            <w:pPr>
              <w:tabs>
                <w:tab w:val="left" w:pos="5680"/>
              </w:tabs>
              <w:rPr>
                <w:color w:val="auto"/>
                <w:highlight w:val="none"/>
              </w:rPr>
            </w:pPr>
            <w:r>
              <w:rPr>
                <w:rFonts w:hint="eastAsia"/>
                <w:color w:val="auto"/>
                <w:highlight w:val="none"/>
              </w:rPr>
              <w:t>8</w:t>
            </w:r>
            <w:r>
              <w:rPr>
                <w:color w:val="auto"/>
                <w:highlight w:val="none"/>
              </w:rPr>
              <w:t>.投标人之间约定中标人；</w:t>
            </w:r>
          </w:p>
          <w:p w14:paraId="2ECB9059">
            <w:pPr>
              <w:tabs>
                <w:tab w:val="left" w:pos="5680"/>
              </w:tabs>
              <w:rPr>
                <w:color w:val="auto"/>
                <w:highlight w:val="none"/>
              </w:rPr>
            </w:pPr>
            <w:r>
              <w:rPr>
                <w:rFonts w:hint="eastAsia"/>
                <w:color w:val="auto"/>
                <w:highlight w:val="none"/>
              </w:rPr>
              <w:t>9</w:t>
            </w:r>
            <w:r>
              <w:rPr>
                <w:color w:val="auto"/>
                <w:highlight w:val="none"/>
              </w:rPr>
              <w:t>.投标人之间约定部分投标人放弃投标或者中标；</w:t>
            </w:r>
          </w:p>
          <w:p w14:paraId="2EEF7A9E">
            <w:pPr>
              <w:tabs>
                <w:tab w:val="left" w:pos="5680"/>
              </w:tabs>
              <w:rPr>
                <w:color w:val="auto"/>
                <w:highlight w:val="none"/>
              </w:rPr>
            </w:pPr>
            <w:r>
              <w:rPr>
                <w:rFonts w:hint="eastAsia"/>
                <w:color w:val="auto"/>
                <w:highlight w:val="none"/>
              </w:rPr>
              <w:t>10</w:t>
            </w:r>
            <w:r>
              <w:rPr>
                <w:color w:val="auto"/>
                <w:highlight w:val="none"/>
              </w:rPr>
              <w:t>.属于同一集团、协会、商会等组织成员的投标人按照该组织要求协同投标；</w:t>
            </w:r>
          </w:p>
          <w:p w14:paraId="23744661">
            <w:pPr>
              <w:tabs>
                <w:tab w:val="left" w:pos="5680"/>
              </w:tabs>
              <w:rPr>
                <w:color w:val="auto"/>
                <w:highlight w:val="none"/>
              </w:rPr>
            </w:pPr>
            <w:r>
              <w:rPr>
                <w:color w:val="auto"/>
                <w:highlight w:val="none"/>
              </w:rPr>
              <w:t>1</w:t>
            </w:r>
            <w:r>
              <w:rPr>
                <w:rFonts w:hint="eastAsia"/>
                <w:color w:val="auto"/>
                <w:highlight w:val="none"/>
              </w:rPr>
              <w:t>1</w:t>
            </w:r>
            <w:r>
              <w:rPr>
                <w:color w:val="auto"/>
                <w:highlight w:val="none"/>
              </w:rPr>
              <w:t>.投标人之间为谋取中标或者排斥特定投标人而采取的其他联合行动。</w:t>
            </w:r>
          </w:p>
          <w:p w14:paraId="4D4DAC50">
            <w:pPr>
              <w:tabs>
                <w:tab w:val="left" w:pos="5680"/>
              </w:tabs>
              <w:rPr>
                <w:color w:val="auto"/>
                <w:highlight w:val="none"/>
              </w:rPr>
            </w:pPr>
            <w:r>
              <w:rPr>
                <w:rFonts w:hint="eastAsia"/>
                <w:color w:val="auto"/>
                <w:highlight w:val="none"/>
              </w:rPr>
              <w:t>12.本招标文件由招标人负责解释。</w:t>
            </w:r>
          </w:p>
        </w:tc>
      </w:tr>
    </w:tbl>
    <w:p w14:paraId="1C6D425D">
      <w:pPr>
        <w:jc w:val="both"/>
        <w:rPr>
          <w:color w:val="auto"/>
          <w:highlight w:val="none"/>
        </w:rPr>
      </w:pPr>
    </w:p>
    <w:p w14:paraId="148A3E78">
      <w:pPr>
        <w:jc w:val="both"/>
        <w:rPr>
          <w:color w:val="auto"/>
          <w:highlight w:val="none"/>
        </w:rPr>
        <w:sectPr>
          <w:footerReference r:id="rId7" w:type="default"/>
          <w:pgSz w:w="11906" w:h="16839"/>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05C50AFA">
      <w:pPr>
        <w:spacing w:line="288" w:lineRule="auto"/>
        <w:jc w:val="both"/>
        <w:rPr>
          <w:color w:val="auto"/>
          <w:highlight w:val="none"/>
        </w:rPr>
      </w:pPr>
    </w:p>
    <w:p w14:paraId="45082B34">
      <w:pPr>
        <w:spacing w:before="91" w:line="221" w:lineRule="auto"/>
        <w:ind w:left="3171"/>
        <w:jc w:val="both"/>
        <w:rPr>
          <w:rFonts w:ascii="宋体" w:eastAsia="宋体" w:cs="宋体"/>
          <w:color w:val="auto"/>
          <w:sz w:val="28"/>
          <w:szCs w:val="28"/>
          <w:highlight w:val="none"/>
        </w:rPr>
      </w:pPr>
      <w:bookmarkStart w:id="78" w:name="_bookmark4"/>
      <w:bookmarkEnd w:id="78"/>
      <w:r>
        <w:rPr>
          <w:rFonts w:ascii="宋体" w:eastAsia="宋体" w:cs="宋体"/>
          <w:color w:val="auto"/>
          <w:sz w:val="28"/>
          <w:szCs w:val="28"/>
          <w:highlight w:val="none"/>
        </w:rPr>
        <w:t>第二节投标人须知</w:t>
      </w:r>
    </w:p>
    <w:p w14:paraId="7E4C78C8">
      <w:pPr>
        <w:spacing w:line="420" w:lineRule="exact"/>
        <w:jc w:val="both"/>
        <w:outlineLvl w:val="2"/>
        <w:rPr>
          <w:rFonts w:ascii="宋体" w:eastAsia="宋体" w:cs="宋体"/>
          <w:color w:val="auto"/>
          <w:sz w:val="24"/>
          <w:szCs w:val="24"/>
          <w:highlight w:val="none"/>
        </w:rPr>
      </w:pPr>
      <w:bookmarkStart w:id="79" w:name="_Toc1742"/>
      <w:r>
        <w:rPr>
          <w:rFonts w:ascii="宋体" w:eastAsia="宋体" w:cs="Calibri"/>
          <w:b/>
          <w:bCs/>
          <w:color w:val="auto"/>
          <w:sz w:val="24"/>
          <w:szCs w:val="24"/>
          <w:highlight w:val="none"/>
        </w:rPr>
        <w:t>1.</w:t>
      </w:r>
      <w:r>
        <w:rPr>
          <w:rFonts w:ascii="宋体" w:eastAsia="宋体" w:cs="宋体"/>
          <w:color w:val="auto"/>
          <w:sz w:val="24"/>
          <w:szCs w:val="24"/>
          <w:highlight w:val="none"/>
        </w:rPr>
        <w:t>总则</w:t>
      </w:r>
      <w:bookmarkEnd w:id="79"/>
    </w:p>
    <w:p w14:paraId="466E5A1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1.1</w:t>
      </w:r>
      <w:r>
        <w:rPr>
          <w:rFonts w:ascii="宋体" w:eastAsia="宋体" w:cs="宋体"/>
          <w:color w:val="auto"/>
          <w:sz w:val="24"/>
          <w:szCs w:val="24"/>
          <w:highlight w:val="none"/>
        </w:rPr>
        <w:t>项目概况</w:t>
      </w:r>
    </w:p>
    <w:p w14:paraId="4172375D">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2F338C32">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1.1.2本招标项目招标人：见投标人须知前附表。</w:t>
      </w:r>
    </w:p>
    <w:p w14:paraId="20F21AF3">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1.1.3本招标项目招标代理机构：见投标人须知前附表。</w:t>
      </w:r>
    </w:p>
    <w:p w14:paraId="76C7FE24">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1.1.4本招标项目名称：见投标人须知前附表。</w:t>
      </w:r>
    </w:p>
    <w:p w14:paraId="67B3BA73">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1.1.5本招标项目建设地点：见投标人须知前附表。</w:t>
      </w:r>
    </w:p>
    <w:p w14:paraId="57FAE51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1.2</w:t>
      </w:r>
      <w:r>
        <w:rPr>
          <w:rFonts w:ascii="宋体" w:eastAsia="宋体" w:cs="宋体"/>
          <w:color w:val="auto"/>
          <w:sz w:val="24"/>
          <w:szCs w:val="24"/>
          <w:highlight w:val="none"/>
        </w:rPr>
        <w:t>资金来源和落实情况</w:t>
      </w:r>
    </w:p>
    <w:p w14:paraId="72DF7D76">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1.2.1本招标项目的资金来源及出资比例：见投标人须知前附表。</w:t>
      </w:r>
    </w:p>
    <w:p w14:paraId="47D59C7C">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1.2.2本招标项目的资金落实情况：见投标人须知前附表。</w:t>
      </w:r>
    </w:p>
    <w:p w14:paraId="3CAAFCE9">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1.3</w:t>
      </w:r>
      <w:r>
        <w:rPr>
          <w:rFonts w:ascii="宋体" w:eastAsia="宋体" w:cs="宋体"/>
          <w:color w:val="auto"/>
          <w:sz w:val="24"/>
          <w:szCs w:val="24"/>
          <w:highlight w:val="none"/>
        </w:rPr>
        <w:t>招标范围及计划服务期</w:t>
      </w:r>
    </w:p>
    <w:p w14:paraId="6128AABB">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1.3.1本次招标范围：见投标人须知前附表。</w:t>
      </w:r>
    </w:p>
    <w:p w14:paraId="24EB587B">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1.3.2本招标项目</w:t>
      </w:r>
      <w:r>
        <w:rPr>
          <w:rFonts w:hint="eastAsia" w:ascii="宋体" w:eastAsia="宋体" w:cs="宋体"/>
          <w:color w:val="auto"/>
          <w:position w:val="1"/>
          <w:sz w:val="24"/>
          <w:szCs w:val="24"/>
          <w:highlight w:val="none"/>
          <w:lang w:eastAsia="zh-CN"/>
        </w:rPr>
        <w:t>工期</w:t>
      </w:r>
      <w:r>
        <w:rPr>
          <w:rFonts w:ascii="宋体" w:eastAsia="宋体" w:cs="宋体"/>
          <w:color w:val="auto"/>
          <w:position w:val="1"/>
          <w:sz w:val="24"/>
          <w:szCs w:val="24"/>
          <w:highlight w:val="none"/>
        </w:rPr>
        <w:t>：见投标人须知前附表。</w:t>
      </w:r>
    </w:p>
    <w:p w14:paraId="264FD96A">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1.3.3本招标项目质量保质期：见投标人须知前附表。</w:t>
      </w:r>
    </w:p>
    <w:p w14:paraId="1B365538">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1.4</w:t>
      </w:r>
      <w:r>
        <w:rPr>
          <w:rFonts w:ascii="宋体" w:eastAsia="宋体" w:cs="宋体"/>
          <w:color w:val="auto"/>
          <w:sz w:val="24"/>
          <w:szCs w:val="24"/>
          <w:highlight w:val="none"/>
        </w:rPr>
        <w:t>投标人资格要求</w:t>
      </w:r>
    </w:p>
    <w:p w14:paraId="565E4FD5">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1.4.1投标人应具备承担本标段服务的资格条件、要求。</w:t>
      </w:r>
    </w:p>
    <w:p w14:paraId="6A406237">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（1）</w:t>
      </w:r>
      <w:r>
        <w:rPr>
          <w:rFonts w:ascii="宋体" w:eastAsia="宋体" w:cs="宋体"/>
          <w:color w:val="auto"/>
          <w:position w:val="1"/>
          <w:sz w:val="24"/>
          <w:szCs w:val="24"/>
          <w:highlight w:val="none"/>
        </w:rPr>
        <w:t>资质条件：见投标人须知前附表；</w:t>
      </w:r>
    </w:p>
    <w:p w14:paraId="65D5E543">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（2）</w:t>
      </w:r>
      <w:r>
        <w:rPr>
          <w:rFonts w:ascii="宋体" w:eastAsia="宋体" w:cs="宋体"/>
          <w:color w:val="auto"/>
          <w:position w:val="1"/>
          <w:sz w:val="24"/>
          <w:szCs w:val="24"/>
          <w:highlight w:val="none"/>
        </w:rPr>
        <w:t>业绩要求：见投标人须知前附表；</w:t>
      </w:r>
    </w:p>
    <w:p w14:paraId="7F0440A4">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（3）</w:t>
      </w:r>
      <w:r>
        <w:rPr>
          <w:rFonts w:ascii="宋体" w:eastAsia="宋体" w:cs="宋体"/>
          <w:color w:val="auto"/>
          <w:position w:val="1"/>
          <w:sz w:val="24"/>
          <w:szCs w:val="24"/>
          <w:highlight w:val="none"/>
        </w:rPr>
        <w:t>信誉要求：见投标人须知前附表；</w:t>
      </w:r>
    </w:p>
    <w:p w14:paraId="1378D8DA">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（4）</w:t>
      </w:r>
      <w:r>
        <w:rPr>
          <w:rFonts w:ascii="宋体" w:eastAsia="宋体" w:cs="宋体"/>
          <w:color w:val="auto"/>
          <w:position w:val="1"/>
          <w:sz w:val="24"/>
          <w:szCs w:val="24"/>
          <w:highlight w:val="none"/>
        </w:rPr>
        <w:t>其他要求：见投标人须知前附表。</w:t>
      </w:r>
    </w:p>
    <w:p w14:paraId="76CC78BC">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1.4.2投标人须知前附表规定接受联合体投标的，除应符合本章第1.4.1项和投标人须知前附表的要求外，还应遵守以下规定：</w:t>
      </w:r>
    </w:p>
    <w:p w14:paraId="7511AC67">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（1）</w:t>
      </w:r>
      <w:r>
        <w:rPr>
          <w:rFonts w:ascii="宋体" w:eastAsia="宋体" w:cs="宋体"/>
          <w:color w:val="auto"/>
          <w:position w:val="1"/>
          <w:sz w:val="24"/>
          <w:szCs w:val="24"/>
          <w:highlight w:val="none"/>
        </w:rPr>
        <w:t>联合体各方应按招标文件提供的格式签订联合体协议书，明确联合体牵头人和各方权利义务；</w:t>
      </w:r>
    </w:p>
    <w:p w14:paraId="293E978D">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（2）</w:t>
      </w:r>
      <w:r>
        <w:rPr>
          <w:rFonts w:ascii="宋体" w:eastAsia="宋体" w:cs="宋体"/>
          <w:color w:val="auto"/>
          <w:position w:val="1"/>
          <w:sz w:val="24"/>
          <w:szCs w:val="24"/>
          <w:highlight w:val="none"/>
        </w:rPr>
        <w:t>由同一专业的单位组成的联合体，按照资质等级较低的单位确定资质等级；</w:t>
      </w:r>
    </w:p>
    <w:p w14:paraId="214B23A6">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（3）</w:t>
      </w:r>
      <w:r>
        <w:rPr>
          <w:rFonts w:ascii="宋体" w:eastAsia="宋体" w:cs="宋体"/>
          <w:color w:val="auto"/>
          <w:position w:val="1"/>
          <w:sz w:val="24"/>
          <w:szCs w:val="24"/>
          <w:highlight w:val="none"/>
        </w:rPr>
        <w:t>联合体各方不得再以自己名义单独或参加其他联合体在同一标段中投标。</w:t>
      </w:r>
    </w:p>
    <w:p w14:paraId="0D114CA1">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1.4.3投标人</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投标人是联合体的，指联合体各方</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不得存在下列情形之一：</w:t>
      </w:r>
    </w:p>
    <w:p w14:paraId="325E924D">
      <w:pPr>
        <w:spacing w:line="420" w:lineRule="exact"/>
        <w:ind w:firstLine="465" w:firstLineChars="194"/>
        <w:jc w:val="both"/>
        <w:rPr>
          <w:rFonts w:ascii="宋体" w:eastAsia="宋体" w:cs="宋体"/>
          <w:color w:val="auto"/>
          <w:position w:val="1"/>
          <w:sz w:val="24"/>
          <w:szCs w:val="24"/>
          <w:highlight w:val="none"/>
        </w:rPr>
        <w:sectPr>
          <w:footerReference r:id="rId8" w:type="default"/>
          <w:pgSz w:w="11906" w:h="16839"/>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5B7EB94A">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（1）</w:t>
      </w:r>
      <w:r>
        <w:rPr>
          <w:rFonts w:ascii="宋体" w:eastAsia="宋体" w:cs="宋体"/>
          <w:color w:val="auto"/>
          <w:position w:val="1"/>
          <w:sz w:val="24"/>
          <w:szCs w:val="24"/>
          <w:highlight w:val="none"/>
        </w:rPr>
        <w:t>为招标人不具有独立法人资格的附属机构</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单位</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w:t>
      </w:r>
    </w:p>
    <w:p w14:paraId="576D52FC">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（2）</w:t>
      </w:r>
      <w:r>
        <w:rPr>
          <w:rFonts w:ascii="宋体" w:eastAsia="宋体" w:cs="宋体"/>
          <w:color w:val="auto"/>
          <w:position w:val="1"/>
          <w:sz w:val="24"/>
          <w:szCs w:val="24"/>
          <w:highlight w:val="none"/>
        </w:rPr>
        <w:t>为本标段的代建人；</w:t>
      </w:r>
    </w:p>
    <w:p w14:paraId="20B2E35A">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（3）</w:t>
      </w:r>
      <w:r>
        <w:rPr>
          <w:rFonts w:ascii="宋体" w:eastAsia="宋体" w:cs="宋体"/>
          <w:color w:val="auto"/>
          <w:position w:val="1"/>
          <w:sz w:val="24"/>
          <w:szCs w:val="24"/>
          <w:highlight w:val="none"/>
        </w:rPr>
        <w:t>为本标段提供招标代理服务的；</w:t>
      </w:r>
    </w:p>
    <w:p w14:paraId="492128F6">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（4）</w:t>
      </w:r>
      <w:r>
        <w:rPr>
          <w:rFonts w:ascii="宋体" w:eastAsia="宋体" w:cs="宋体"/>
          <w:color w:val="auto"/>
          <w:position w:val="1"/>
          <w:sz w:val="24"/>
          <w:szCs w:val="24"/>
          <w:highlight w:val="none"/>
        </w:rPr>
        <w:t>单位负责人为同一人或者存在控股、管理关系的不同单位，同时参加本标段投标的；</w:t>
      </w:r>
    </w:p>
    <w:p w14:paraId="2D5F657C">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（5）</w:t>
      </w:r>
      <w:r>
        <w:rPr>
          <w:rFonts w:ascii="宋体" w:eastAsia="宋体" w:cs="宋体"/>
          <w:color w:val="auto"/>
          <w:position w:val="1"/>
          <w:sz w:val="24"/>
          <w:szCs w:val="24"/>
          <w:highlight w:val="none"/>
        </w:rPr>
        <w:t>投标人及其法定代表人控股的其他公司，同时参加本标段投标的；</w:t>
      </w:r>
    </w:p>
    <w:p w14:paraId="79F86008">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（6）</w:t>
      </w:r>
      <w:r>
        <w:rPr>
          <w:rFonts w:ascii="宋体" w:eastAsia="宋体" w:cs="宋体"/>
          <w:color w:val="auto"/>
          <w:position w:val="1"/>
          <w:sz w:val="24"/>
          <w:szCs w:val="24"/>
          <w:highlight w:val="none"/>
        </w:rPr>
        <w:t>与招标人存在利害关系可能影响招标公正性的法人、其他组织或者个人参加投标的；</w:t>
      </w:r>
    </w:p>
    <w:p w14:paraId="2B3901F8">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（7）</w:t>
      </w:r>
      <w:r>
        <w:rPr>
          <w:rFonts w:ascii="宋体" w:eastAsia="宋体" w:cs="宋体"/>
          <w:color w:val="auto"/>
          <w:position w:val="1"/>
          <w:sz w:val="24"/>
          <w:szCs w:val="24"/>
          <w:highlight w:val="none"/>
        </w:rPr>
        <w:t>被责令停业的；</w:t>
      </w:r>
    </w:p>
    <w:p w14:paraId="2291B5AE">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（8）</w:t>
      </w:r>
      <w:r>
        <w:rPr>
          <w:rFonts w:ascii="宋体" w:eastAsia="宋体" w:cs="宋体"/>
          <w:color w:val="auto"/>
          <w:position w:val="1"/>
          <w:sz w:val="24"/>
          <w:szCs w:val="24"/>
          <w:highlight w:val="none"/>
        </w:rPr>
        <w:t>被暂停或取消投标资格的；</w:t>
      </w:r>
    </w:p>
    <w:p w14:paraId="05E6CF73">
      <w:pPr>
        <w:spacing w:line="420" w:lineRule="exact"/>
        <w:ind w:firstLine="465" w:firstLineChars="194"/>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（9）</w:t>
      </w:r>
      <w:r>
        <w:rPr>
          <w:rFonts w:ascii="宋体" w:eastAsia="宋体" w:cs="宋体"/>
          <w:color w:val="auto"/>
          <w:position w:val="1"/>
          <w:sz w:val="24"/>
          <w:szCs w:val="24"/>
          <w:highlight w:val="none"/>
        </w:rPr>
        <w:t>财产被接管或冻结的。</w:t>
      </w:r>
    </w:p>
    <w:p w14:paraId="03F02013">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1.5</w:t>
      </w:r>
      <w:r>
        <w:rPr>
          <w:rFonts w:ascii="宋体" w:eastAsia="宋体" w:cs="宋体"/>
          <w:color w:val="auto"/>
          <w:sz w:val="24"/>
          <w:szCs w:val="24"/>
          <w:highlight w:val="none"/>
        </w:rPr>
        <w:t>费用承担</w:t>
      </w:r>
    </w:p>
    <w:p w14:paraId="69EF6BF7">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投标人准备和参加投标活动发生的费用自理。</w:t>
      </w:r>
    </w:p>
    <w:p w14:paraId="3A9D1934">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1.6</w:t>
      </w:r>
      <w:r>
        <w:rPr>
          <w:rFonts w:ascii="宋体" w:eastAsia="宋体" w:cs="宋体"/>
          <w:color w:val="auto"/>
          <w:sz w:val="24"/>
          <w:szCs w:val="24"/>
          <w:highlight w:val="none"/>
        </w:rPr>
        <w:t>保密</w:t>
      </w:r>
    </w:p>
    <w:p w14:paraId="4BBC04C4">
      <w:pPr>
        <w:spacing w:line="420" w:lineRule="exact"/>
        <w:ind w:firstLine="465" w:firstLineChars="194"/>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6B4E1E4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1.7</w:t>
      </w:r>
      <w:r>
        <w:rPr>
          <w:rFonts w:ascii="宋体" w:eastAsia="宋体" w:cs="宋体"/>
          <w:color w:val="auto"/>
          <w:sz w:val="24"/>
          <w:szCs w:val="24"/>
          <w:highlight w:val="none"/>
        </w:rPr>
        <w:t>语言文字</w:t>
      </w:r>
    </w:p>
    <w:p w14:paraId="3DE50BB3">
      <w:pPr>
        <w:spacing w:line="420" w:lineRule="exact"/>
        <w:ind w:firstLine="492"/>
        <w:jc w:val="both"/>
        <w:rPr>
          <w:rFonts w:ascii="宋体" w:eastAsia="宋体" w:cs="宋体"/>
          <w:color w:val="auto"/>
          <w:sz w:val="24"/>
          <w:szCs w:val="24"/>
          <w:highlight w:val="none"/>
        </w:rPr>
      </w:pPr>
      <w:r>
        <w:rPr>
          <w:rFonts w:ascii="宋体" w:eastAsia="宋体" w:cs="宋体"/>
          <w:color w:val="auto"/>
          <w:position w:val="1"/>
          <w:sz w:val="24"/>
          <w:szCs w:val="24"/>
          <w:highlight w:val="none"/>
        </w:rPr>
        <w:t>除专用术语外，与招标投标有关的语言均使用中文。必要时专用术语应附有中文注释</w:t>
      </w:r>
      <w:r>
        <w:rPr>
          <w:rFonts w:ascii="宋体" w:eastAsia="宋体" w:cs="宋体"/>
          <w:color w:val="auto"/>
          <w:sz w:val="24"/>
          <w:szCs w:val="24"/>
          <w:highlight w:val="none"/>
        </w:rPr>
        <w:t>。</w:t>
      </w:r>
    </w:p>
    <w:p w14:paraId="428BD815">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1.8</w:t>
      </w:r>
      <w:r>
        <w:rPr>
          <w:rFonts w:ascii="宋体" w:eastAsia="宋体" w:cs="宋体"/>
          <w:color w:val="auto"/>
          <w:sz w:val="24"/>
          <w:szCs w:val="24"/>
          <w:highlight w:val="none"/>
        </w:rPr>
        <w:t>计量单位</w:t>
      </w:r>
    </w:p>
    <w:p w14:paraId="00D5956A">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所有计量均采用中华人民共和国法定计量单位。</w:t>
      </w:r>
    </w:p>
    <w:p w14:paraId="7358289E">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1.9</w:t>
      </w:r>
      <w:r>
        <w:rPr>
          <w:rFonts w:ascii="宋体" w:eastAsia="宋体" w:cs="宋体"/>
          <w:color w:val="auto"/>
          <w:sz w:val="24"/>
          <w:szCs w:val="24"/>
          <w:highlight w:val="none"/>
        </w:rPr>
        <w:t>踏勘现场</w:t>
      </w:r>
    </w:p>
    <w:p w14:paraId="593BFB97">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10B21B4E">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1.9.2投标人踏勘现场发生的费用自理。</w:t>
      </w:r>
    </w:p>
    <w:p w14:paraId="7E97BF7A">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1.9.3除招标人的原因外，投标人自行负责在踏勘现场中所发生的人员伤亡和财产损失。</w:t>
      </w:r>
    </w:p>
    <w:p w14:paraId="4215971C">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46E0E64E">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1.9.5招标人提供的本工程的相关参考资料，并不构成合同文件的组成部分，</w:t>
      </w:r>
    </w:p>
    <w:p w14:paraId="6769A278">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投标人应对上述资料的解释、推论和应用负责，招标人不对投标人据此作出的判断和决策承担任何责任。</w:t>
      </w:r>
    </w:p>
    <w:p w14:paraId="2EB1BE15">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1.10</w:t>
      </w:r>
      <w:r>
        <w:rPr>
          <w:rFonts w:ascii="宋体" w:eastAsia="宋体" w:cs="宋体"/>
          <w:color w:val="auto"/>
          <w:sz w:val="24"/>
          <w:szCs w:val="24"/>
          <w:highlight w:val="none"/>
        </w:rPr>
        <w:t>投标预备会</w:t>
      </w:r>
    </w:p>
    <w:p w14:paraId="4301916D">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43BF19F4">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1.10.2投标人提出问题的截止时间、上传疑问方式：见投标人须知前附表。</w:t>
      </w:r>
    </w:p>
    <w:p w14:paraId="50CBADBF">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1.10.3招标文件的澄清、补充、修改的时间及下载网址：见投标人须知前附表。</w:t>
      </w:r>
    </w:p>
    <w:p w14:paraId="388345F0">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1.11</w:t>
      </w:r>
      <w:r>
        <w:rPr>
          <w:rFonts w:ascii="宋体" w:eastAsia="宋体" w:cs="宋体"/>
          <w:color w:val="auto"/>
          <w:sz w:val="24"/>
          <w:szCs w:val="24"/>
          <w:highlight w:val="none"/>
        </w:rPr>
        <w:t>分包</w:t>
      </w:r>
    </w:p>
    <w:p w14:paraId="44A26909">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本招标项目不允许分包。</w:t>
      </w:r>
    </w:p>
    <w:p w14:paraId="4281FB21">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1.12</w:t>
      </w:r>
      <w:r>
        <w:rPr>
          <w:rFonts w:ascii="宋体" w:eastAsia="宋体" w:cs="宋体"/>
          <w:color w:val="auto"/>
          <w:sz w:val="24"/>
          <w:szCs w:val="24"/>
          <w:highlight w:val="none"/>
        </w:rPr>
        <w:t>偏离</w:t>
      </w:r>
    </w:p>
    <w:p w14:paraId="5CBDBF6E">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投标人须知前附表允许投标文件偏离招标文件某些要求的，偏离应当符合招标文件规定的偏离范围和幅度。</w:t>
      </w:r>
    </w:p>
    <w:p w14:paraId="5F6D1F40">
      <w:pPr>
        <w:spacing w:line="420" w:lineRule="exact"/>
        <w:jc w:val="both"/>
        <w:outlineLvl w:val="2"/>
        <w:rPr>
          <w:rFonts w:ascii="宋体" w:eastAsia="宋体" w:cs="宋体"/>
          <w:color w:val="auto"/>
          <w:sz w:val="24"/>
          <w:szCs w:val="24"/>
          <w:highlight w:val="none"/>
        </w:rPr>
      </w:pPr>
      <w:bookmarkStart w:id="80" w:name="_Toc1939"/>
      <w:r>
        <w:rPr>
          <w:rFonts w:ascii="宋体" w:eastAsia="宋体" w:cs="Calibri"/>
          <w:b/>
          <w:bCs/>
          <w:color w:val="auto"/>
          <w:sz w:val="24"/>
          <w:szCs w:val="24"/>
          <w:highlight w:val="none"/>
        </w:rPr>
        <w:t>2.</w:t>
      </w:r>
      <w:r>
        <w:rPr>
          <w:rFonts w:ascii="宋体" w:eastAsia="宋体" w:cs="宋体"/>
          <w:color w:val="auto"/>
          <w:sz w:val="24"/>
          <w:szCs w:val="24"/>
          <w:highlight w:val="none"/>
        </w:rPr>
        <w:t>招标文件</w:t>
      </w:r>
      <w:bookmarkEnd w:id="80"/>
    </w:p>
    <w:p w14:paraId="3E8D01B6">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2.1</w:t>
      </w:r>
      <w:r>
        <w:rPr>
          <w:rFonts w:ascii="宋体" w:eastAsia="宋体" w:cs="宋体"/>
          <w:color w:val="auto"/>
          <w:sz w:val="24"/>
          <w:szCs w:val="24"/>
          <w:highlight w:val="none"/>
        </w:rPr>
        <w:t>招标文件的组成</w:t>
      </w:r>
    </w:p>
    <w:p w14:paraId="36DAD4F5">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本招标文件包括：</w:t>
      </w:r>
    </w:p>
    <w:p w14:paraId="6BAD1CC0">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（1）</w:t>
      </w:r>
      <w:r>
        <w:rPr>
          <w:rFonts w:ascii="宋体" w:eastAsia="宋体" w:cs="宋体"/>
          <w:color w:val="auto"/>
          <w:position w:val="1"/>
          <w:sz w:val="24"/>
          <w:szCs w:val="24"/>
          <w:highlight w:val="none"/>
        </w:rPr>
        <w:t>招标公告；</w:t>
      </w:r>
    </w:p>
    <w:p w14:paraId="56E67B97">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（2）</w:t>
      </w:r>
      <w:r>
        <w:rPr>
          <w:rFonts w:ascii="宋体" w:eastAsia="宋体" w:cs="宋体"/>
          <w:color w:val="auto"/>
          <w:position w:val="1"/>
          <w:sz w:val="24"/>
          <w:szCs w:val="24"/>
          <w:highlight w:val="none"/>
        </w:rPr>
        <w:t>投标人须知；</w:t>
      </w:r>
    </w:p>
    <w:p w14:paraId="0F89DA39">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（3）</w:t>
      </w:r>
      <w:r>
        <w:rPr>
          <w:rFonts w:ascii="宋体" w:eastAsia="宋体" w:cs="宋体"/>
          <w:color w:val="auto"/>
          <w:position w:val="1"/>
          <w:sz w:val="24"/>
          <w:szCs w:val="24"/>
          <w:highlight w:val="none"/>
        </w:rPr>
        <w:t>评标定标办法；</w:t>
      </w:r>
    </w:p>
    <w:p w14:paraId="21D0AEB6">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（4）</w:t>
      </w:r>
      <w:r>
        <w:rPr>
          <w:rFonts w:ascii="宋体" w:eastAsia="宋体" w:cs="宋体"/>
          <w:color w:val="auto"/>
          <w:position w:val="1"/>
          <w:sz w:val="24"/>
          <w:szCs w:val="24"/>
          <w:highlight w:val="none"/>
        </w:rPr>
        <w:t>合同条款及格式；</w:t>
      </w:r>
    </w:p>
    <w:p w14:paraId="0B134A2C">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（5）</w:t>
      </w:r>
      <w:r>
        <w:rPr>
          <w:rFonts w:ascii="宋体" w:eastAsia="宋体" w:cs="宋体"/>
          <w:color w:val="auto"/>
          <w:position w:val="1"/>
          <w:sz w:val="24"/>
          <w:szCs w:val="24"/>
          <w:highlight w:val="none"/>
        </w:rPr>
        <w:t>招标内容和技术要求；</w:t>
      </w:r>
    </w:p>
    <w:p w14:paraId="10B3E108">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（6）</w:t>
      </w:r>
      <w:r>
        <w:rPr>
          <w:rFonts w:ascii="宋体" w:eastAsia="宋体" w:cs="宋体"/>
          <w:color w:val="auto"/>
          <w:position w:val="1"/>
          <w:sz w:val="24"/>
          <w:szCs w:val="24"/>
          <w:highlight w:val="none"/>
        </w:rPr>
        <w:t>投标文件格式；</w:t>
      </w:r>
    </w:p>
    <w:p w14:paraId="7C53FCF6">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（7）</w:t>
      </w:r>
      <w:r>
        <w:rPr>
          <w:rFonts w:ascii="宋体" w:eastAsia="宋体" w:cs="宋体"/>
          <w:color w:val="auto"/>
          <w:position w:val="1"/>
          <w:sz w:val="24"/>
          <w:szCs w:val="24"/>
          <w:highlight w:val="none"/>
        </w:rPr>
        <w:t>投标人须知前附表规定的其他材料。</w:t>
      </w:r>
    </w:p>
    <w:p w14:paraId="68605354">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736B4E78">
      <w:pPr>
        <w:spacing w:line="420" w:lineRule="exact"/>
        <w:jc w:val="both"/>
        <w:outlineLvl w:val="3"/>
        <w:rPr>
          <w:rFonts w:ascii="宋体" w:eastAsia="宋体" w:cs="宋体"/>
          <w:color w:val="auto"/>
          <w:sz w:val="24"/>
          <w:szCs w:val="24"/>
          <w:highlight w:val="none"/>
        </w:rPr>
      </w:pPr>
      <w:r>
        <w:rPr>
          <w:rFonts w:ascii="宋体" w:eastAsia="宋体" w:cs="宋体"/>
          <w:color w:val="auto"/>
          <w:sz w:val="24"/>
          <w:szCs w:val="24"/>
          <w:highlight w:val="none"/>
        </w:rPr>
        <w:t>2.2招标文件的澄清和修改</w:t>
      </w:r>
    </w:p>
    <w:p w14:paraId="2630910F">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w:t>
      </w:r>
      <w:r>
        <w:rPr>
          <w:rFonts w:hint="eastAsia" w:ascii="宋体" w:eastAsia="宋体" w:cs="宋体"/>
          <w:color w:val="auto"/>
          <w:position w:val="1"/>
          <w:sz w:val="24"/>
          <w:szCs w:val="24"/>
          <w:highlight w:val="none"/>
        </w:rPr>
        <w:t>通过电子邮件的方式向招标人提出，</w:t>
      </w:r>
      <w:r>
        <w:rPr>
          <w:rFonts w:ascii="宋体" w:eastAsia="宋体" w:cs="宋体"/>
          <w:color w:val="auto"/>
          <w:position w:val="1"/>
          <w:sz w:val="24"/>
          <w:szCs w:val="24"/>
          <w:highlight w:val="none"/>
        </w:rPr>
        <w:t>要求招标人对招标文件予以澄清。</w:t>
      </w:r>
    </w:p>
    <w:p w14:paraId="19122C31">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2.2.2招标文件的澄清、修改可能影响投标文件编制的，招标人将在投标人须知前附表规定的投标截止时间15个日历天前通过</w:t>
      </w:r>
      <w:r>
        <w:rPr>
          <w:rFonts w:hint="eastAsia" w:ascii="宋体" w:eastAsia="宋体" w:cs="宋体"/>
          <w:color w:val="auto"/>
          <w:position w:val="1"/>
          <w:sz w:val="24"/>
          <w:szCs w:val="24"/>
          <w:highlight w:val="none"/>
        </w:rPr>
        <w:t>绍兴公共资源交易网</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绍兴市公共资源交易中心</w:t>
      </w:r>
      <w:r>
        <w:rPr>
          <w:rFonts w:ascii="宋体" w:eastAsia="宋体" w:cs="宋体"/>
          <w:color w:val="auto"/>
          <w:position w:val="1"/>
          <w:sz w:val="24"/>
          <w:szCs w:val="24"/>
          <w:highlight w:val="none"/>
        </w:rPr>
        <w:t>进行发布，但不指明澄清问题的来源。如果澄清发出的时间距投标截止时间不足15天，相应延长投标截止时间。</w:t>
      </w:r>
    </w:p>
    <w:p w14:paraId="104171E0">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2.2.3投标人确认收到招标文件澄清和修改内容的时间：见投标人须知前附表。</w:t>
      </w:r>
    </w:p>
    <w:p w14:paraId="2801D3CE">
      <w:pPr>
        <w:spacing w:line="420" w:lineRule="exact"/>
        <w:jc w:val="both"/>
        <w:outlineLvl w:val="2"/>
        <w:rPr>
          <w:rFonts w:ascii="宋体" w:eastAsia="宋体" w:cs="宋体"/>
          <w:color w:val="auto"/>
          <w:sz w:val="24"/>
          <w:szCs w:val="24"/>
          <w:highlight w:val="none"/>
        </w:rPr>
      </w:pPr>
      <w:bookmarkStart w:id="81" w:name="_Toc25260"/>
      <w:r>
        <w:rPr>
          <w:rFonts w:ascii="宋体" w:eastAsia="宋体" w:cs="Calibri"/>
          <w:b/>
          <w:bCs/>
          <w:color w:val="auto"/>
          <w:sz w:val="24"/>
          <w:szCs w:val="24"/>
          <w:highlight w:val="none"/>
        </w:rPr>
        <w:t>3.</w:t>
      </w:r>
      <w:r>
        <w:rPr>
          <w:rFonts w:ascii="宋体" w:eastAsia="宋体" w:cs="宋体"/>
          <w:color w:val="auto"/>
          <w:sz w:val="24"/>
          <w:szCs w:val="24"/>
          <w:highlight w:val="none"/>
        </w:rPr>
        <w:t>投标文件</w:t>
      </w:r>
      <w:bookmarkEnd w:id="81"/>
    </w:p>
    <w:p w14:paraId="7DF44C4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3.1</w:t>
      </w:r>
      <w:r>
        <w:rPr>
          <w:rFonts w:ascii="宋体" w:eastAsia="宋体" w:cs="宋体"/>
          <w:color w:val="auto"/>
          <w:sz w:val="24"/>
          <w:szCs w:val="24"/>
          <w:highlight w:val="none"/>
        </w:rPr>
        <w:t>投标文件的组成</w:t>
      </w:r>
    </w:p>
    <w:p w14:paraId="730A341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3.1.1商务标部分</w:t>
      </w:r>
    </w:p>
    <w:p w14:paraId="37723B72">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（1）</w:t>
      </w:r>
      <w:r>
        <w:rPr>
          <w:rFonts w:ascii="宋体" w:eastAsia="宋体" w:cs="宋体"/>
          <w:color w:val="auto"/>
          <w:position w:val="1"/>
          <w:sz w:val="24"/>
          <w:szCs w:val="24"/>
          <w:highlight w:val="none"/>
        </w:rPr>
        <w:t>投标函</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格式</w:t>
      </w:r>
      <w:r>
        <w:rPr>
          <w:rFonts w:hint="eastAsia" w:ascii="宋体" w:eastAsia="宋体" w:cs="宋体"/>
          <w:color w:val="auto"/>
          <w:position w:val="1"/>
          <w:sz w:val="24"/>
          <w:szCs w:val="24"/>
          <w:highlight w:val="none"/>
          <w:lang w:eastAsia="zh-CN"/>
        </w:rPr>
        <w:t>）</w:t>
      </w:r>
      <w:r>
        <w:rPr>
          <w:rFonts w:hint="eastAsia" w:ascii="宋体" w:eastAsia="宋体" w:cs="宋体"/>
          <w:color w:val="auto"/>
          <w:position w:val="1"/>
          <w:sz w:val="24"/>
          <w:szCs w:val="24"/>
          <w:highlight w:val="none"/>
        </w:rPr>
        <w:t>；</w:t>
      </w:r>
    </w:p>
    <w:p w14:paraId="6ED4F70B">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（2）</w:t>
      </w:r>
      <w:r>
        <w:rPr>
          <w:rFonts w:ascii="宋体" w:eastAsia="宋体" w:cs="宋体"/>
          <w:color w:val="auto"/>
          <w:position w:val="1"/>
          <w:sz w:val="24"/>
          <w:szCs w:val="24"/>
          <w:highlight w:val="none"/>
        </w:rPr>
        <w:t>投标报价表</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格式</w:t>
      </w:r>
      <w:r>
        <w:rPr>
          <w:rFonts w:hint="eastAsia" w:ascii="宋体" w:eastAsia="宋体" w:cs="宋体"/>
          <w:color w:val="auto"/>
          <w:position w:val="1"/>
          <w:sz w:val="24"/>
          <w:szCs w:val="24"/>
          <w:highlight w:val="none"/>
          <w:lang w:eastAsia="zh-CN"/>
        </w:rPr>
        <w:t>）</w:t>
      </w:r>
      <w:r>
        <w:rPr>
          <w:rFonts w:hint="eastAsia" w:ascii="宋体" w:eastAsia="宋体" w:cs="宋体"/>
          <w:color w:val="auto"/>
          <w:position w:val="1"/>
          <w:sz w:val="24"/>
          <w:szCs w:val="24"/>
          <w:highlight w:val="none"/>
        </w:rPr>
        <w:t>；</w:t>
      </w:r>
    </w:p>
    <w:p w14:paraId="79A2E83C">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3</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投标分项报价表</w:t>
      </w:r>
      <w:r>
        <w:rPr>
          <w:rFonts w:hint="eastAsia" w:ascii="宋体" w:eastAsia="宋体" w:cs="宋体"/>
          <w:color w:val="auto"/>
          <w:position w:val="1"/>
          <w:sz w:val="24"/>
          <w:szCs w:val="24"/>
          <w:highlight w:val="none"/>
        </w:rPr>
        <w:t>；</w:t>
      </w:r>
    </w:p>
    <w:p w14:paraId="72C79087">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（4）</w:t>
      </w:r>
      <w:r>
        <w:rPr>
          <w:rFonts w:ascii="宋体" w:eastAsia="宋体" w:cs="宋体"/>
          <w:color w:val="auto"/>
          <w:position w:val="1"/>
          <w:sz w:val="24"/>
          <w:szCs w:val="24"/>
          <w:highlight w:val="none"/>
        </w:rPr>
        <w:t>商务条款偏离表</w:t>
      </w:r>
      <w:r>
        <w:rPr>
          <w:rFonts w:hint="eastAsia" w:ascii="宋体" w:eastAsia="宋体" w:cs="宋体"/>
          <w:color w:val="auto"/>
          <w:position w:val="1"/>
          <w:sz w:val="24"/>
          <w:szCs w:val="24"/>
          <w:highlight w:val="none"/>
        </w:rPr>
        <w:t>；</w:t>
      </w:r>
    </w:p>
    <w:p w14:paraId="533A307B">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5</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随机备品备件一览表</w:t>
      </w:r>
      <w:r>
        <w:rPr>
          <w:rFonts w:hint="eastAsia" w:ascii="宋体" w:eastAsia="宋体" w:cs="宋体"/>
          <w:color w:val="auto"/>
          <w:position w:val="1"/>
          <w:sz w:val="24"/>
          <w:szCs w:val="24"/>
          <w:highlight w:val="none"/>
        </w:rPr>
        <w:t>；</w:t>
      </w:r>
    </w:p>
    <w:p w14:paraId="3112789E">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6</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供招标人选购的备品备件一览表</w:t>
      </w:r>
      <w:r>
        <w:rPr>
          <w:rFonts w:hint="eastAsia" w:ascii="宋体" w:eastAsia="宋体" w:cs="宋体"/>
          <w:color w:val="auto"/>
          <w:position w:val="1"/>
          <w:sz w:val="24"/>
          <w:szCs w:val="24"/>
          <w:highlight w:val="none"/>
        </w:rPr>
        <w:t>；</w:t>
      </w:r>
    </w:p>
    <w:p w14:paraId="6B06F492">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rPr>
        <w:t>7</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专用检测设备及专用维修工具一览表</w:t>
      </w:r>
      <w:r>
        <w:rPr>
          <w:rFonts w:hint="eastAsia" w:ascii="宋体" w:eastAsia="宋体" w:cs="宋体"/>
          <w:color w:val="auto"/>
          <w:position w:val="1"/>
          <w:sz w:val="24"/>
          <w:szCs w:val="24"/>
          <w:highlight w:val="none"/>
        </w:rPr>
        <w:t>；</w:t>
      </w:r>
    </w:p>
    <w:p w14:paraId="54B52D77">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u w:val="single"/>
        </w:rPr>
        <w:t>详见第六章招标文件格式</w:t>
      </w:r>
      <w:r>
        <w:rPr>
          <w:rFonts w:ascii="宋体" w:eastAsia="宋体" w:cs="宋体"/>
          <w:color w:val="auto"/>
          <w:position w:val="1"/>
          <w:sz w:val="24"/>
          <w:szCs w:val="24"/>
          <w:highlight w:val="none"/>
          <w:u w:val="single"/>
        </w:rPr>
        <mc:AlternateContent>
          <mc:Choice Requires="wps">
            <w:drawing>
              <wp:anchor distT="0" distB="0" distL="113665" distR="113665" simplePos="0" relativeHeight="251659264" behindDoc="0" locked="0" layoutInCell="1" allowOverlap="1">
                <wp:simplePos x="0" y="0"/>
                <wp:positionH relativeFrom="column">
                  <wp:posOffset>379095</wp:posOffset>
                </wp:positionH>
                <wp:positionV relativeFrom="paragraph">
                  <wp:posOffset>242570</wp:posOffset>
                </wp:positionV>
                <wp:extent cx="3365500" cy="7620"/>
                <wp:effectExtent l="0" t="0" r="0" b="0"/>
                <wp:wrapNone/>
                <wp:docPr id="19" name="矩形 5"/>
                <wp:cNvGraphicFramePr/>
                <a:graphic xmlns:a="http://schemas.openxmlformats.org/drawingml/2006/main">
                  <a:graphicData uri="http://schemas.microsoft.com/office/word/2010/wordprocessingShape">
                    <wps:wsp>
                      <wps:cNvSpPr/>
                      <wps:spPr>
                        <a:xfrm>
                          <a:off x="0" y="0"/>
                          <a:ext cx="3365499" cy="7620"/>
                        </a:xfrm>
                        <a:prstGeom prst="rect">
                          <a:avLst/>
                        </a:prstGeom>
                        <a:solidFill>
                          <a:srgbClr val="000000"/>
                        </a:solidFill>
                        <a:ln w="9525" cap="flat" cmpd="sng">
                          <a:noFill/>
                          <a:prstDash val="solid"/>
                          <a:round/>
                        </a:ln>
                      </wps:spPr>
                      <wps:bodyPr vert="horz" wrap="square" lIns="91440" tIns="45720" rIns="91440" bIns="45720" anchor="t" anchorCtr="0" upright="1">
                        <a:noAutofit/>
                      </wps:bodyPr>
                    </wps:wsp>
                  </a:graphicData>
                </a:graphic>
              </wp:anchor>
            </w:drawing>
          </mc:Choice>
          <mc:Fallback>
            <w:pict>
              <v:rect id="矩形 5" o:spid="_x0000_s1026" o:spt="1" style="position:absolute;left:0pt;margin-left:29.85pt;margin-top:19.1pt;height:0.6pt;width:265pt;z-index:251659264;mso-width-relative:page;mso-height-relative:page;" fillcolor="#000000" filled="t" stroked="f" coordsize="21600,21600" o:gfxdata="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Wl5fWtcAAAAIAQAADwAAAAAA&#10;AAABACAAAAAiAAAAZHJzL2Rvd25yZXYueG1sUEsBAhQAFAAAAAgAh07iQBXBLU0UAgAAIQQAAA4A&#10;AAAAAAAAAQAgAAAAJgEAAGRycy9lMm9Eb2MueG1sUEsFBgAAAAAGAAYAWQEAAKwFAAAAAA==&#10;">
                <v:fill on="t" focussize="0,0"/>
                <v:stroke on="f" joinstyle="round"/>
                <v:imagedata o:title=""/>
                <o:lock v:ext="edit" aspectratio="f"/>
              </v:rect>
            </w:pict>
          </mc:Fallback>
        </mc:AlternateContent>
      </w:r>
      <w:r>
        <w:rPr>
          <w:rFonts w:ascii="宋体" w:eastAsia="宋体" w:cs="宋体"/>
          <w:color w:val="auto"/>
          <w:position w:val="1"/>
          <w:sz w:val="24"/>
          <w:szCs w:val="24"/>
          <w:highlight w:val="none"/>
          <w:u w:val="single"/>
        </w:rPr>
        <w:t>(招标人需要增加的其他商务内容</w:t>
      </w:r>
      <w:r>
        <w:rPr>
          <w:rFonts w:hint="eastAsia" w:ascii="宋体" w:eastAsia="宋体" w:cs="宋体"/>
          <w:color w:val="auto"/>
          <w:position w:val="1"/>
          <w:sz w:val="24"/>
          <w:szCs w:val="24"/>
          <w:highlight w:val="none"/>
          <w:u w:val="single"/>
          <w:lang w:eastAsia="zh-CN"/>
        </w:rPr>
        <w:t>）</w:t>
      </w:r>
      <w:r>
        <w:rPr>
          <w:rFonts w:ascii="宋体" w:eastAsia="宋体" w:cs="宋体"/>
          <w:color w:val="auto"/>
          <w:position w:val="1"/>
          <w:sz w:val="24"/>
          <w:szCs w:val="24"/>
          <w:highlight w:val="none"/>
        </w:rPr>
        <w:t>。</w:t>
      </w:r>
    </w:p>
    <w:p w14:paraId="1BB2C16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3.1.2技术标部分</w:t>
      </w:r>
    </w:p>
    <w:p w14:paraId="6DD9F4C0">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(1</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货物说明一览表</w:t>
      </w:r>
      <w:r>
        <w:rPr>
          <w:rFonts w:hint="eastAsia" w:ascii="宋体" w:eastAsia="宋体" w:cs="宋体"/>
          <w:color w:val="auto"/>
          <w:position w:val="1"/>
          <w:sz w:val="24"/>
          <w:szCs w:val="24"/>
          <w:highlight w:val="none"/>
        </w:rPr>
        <w:t>；</w:t>
      </w:r>
    </w:p>
    <w:p w14:paraId="2F85421C">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(2</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技术响应表</w:t>
      </w:r>
      <w:r>
        <w:rPr>
          <w:rFonts w:hint="eastAsia" w:ascii="宋体" w:eastAsia="宋体" w:cs="宋体"/>
          <w:color w:val="auto"/>
          <w:position w:val="1"/>
          <w:sz w:val="24"/>
          <w:szCs w:val="24"/>
          <w:highlight w:val="none"/>
        </w:rPr>
        <w:t>；</w:t>
      </w:r>
    </w:p>
    <w:p w14:paraId="3B5858E5">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(3</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主要配置说明一览表</w:t>
      </w:r>
      <w:r>
        <w:rPr>
          <w:rFonts w:hint="eastAsia" w:ascii="宋体" w:eastAsia="宋体" w:cs="宋体"/>
          <w:color w:val="auto"/>
          <w:position w:val="1"/>
          <w:sz w:val="24"/>
          <w:szCs w:val="24"/>
          <w:highlight w:val="none"/>
        </w:rPr>
        <w:t>；</w:t>
      </w:r>
    </w:p>
    <w:p w14:paraId="39940C7C">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(4</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技术规格偏离表</w:t>
      </w:r>
      <w:r>
        <w:rPr>
          <w:rFonts w:hint="eastAsia" w:ascii="宋体" w:eastAsia="宋体" w:cs="宋体"/>
          <w:color w:val="auto"/>
          <w:position w:val="1"/>
          <w:sz w:val="24"/>
          <w:szCs w:val="24"/>
          <w:highlight w:val="none"/>
        </w:rPr>
        <w:t>；</w:t>
      </w:r>
    </w:p>
    <w:p w14:paraId="6CE15081">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(5</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投标方案图纸、产品详细技术规格书及所投产品的样本及本招标文件中规定的其它必须提供的文件及资料</w:t>
      </w:r>
      <w:r>
        <w:rPr>
          <w:rFonts w:hint="eastAsia" w:ascii="宋体" w:eastAsia="宋体" w:cs="宋体"/>
          <w:color w:val="auto"/>
          <w:position w:val="1"/>
          <w:sz w:val="24"/>
          <w:szCs w:val="24"/>
          <w:highlight w:val="none"/>
        </w:rPr>
        <w:t>；</w:t>
      </w:r>
    </w:p>
    <w:p w14:paraId="7029D472">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(6</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产品的主要技术、结构、性能、特点和质量水平的详细描述</w:t>
      </w:r>
      <w:r>
        <w:rPr>
          <w:rFonts w:hint="eastAsia" w:ascii="宋体" w:eastAsia="宋体" w:cs="宋体"/>
          <w:color w:val="auto"/>
          <w:position w:val="1"/>
          <w:sz w:val="24"/>
          <w:szCs w:val="24"/>
          <w:highlight w:val="none"/>
        </w:rPr>
        <w:t>；</w:t>
      </w:r>
    </w:p>
    <w:p w14:paraId="2B5B1428">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(7</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产品制造、安装、验收标准</w:t>
      </w:r>
      <w:r>
        <w:rPr>
          <w:rFonts w:hint="eastAsia" w:ascii="宋体" w:eastAsia="宋体" w:cs="宋体"/>
          <w:color w:val="auto"/>
          <w:position w:val="1"/>
          <w:sz w:val="24"/>
          <w:szCs w:val="24"/>
          <w:highlight w:val="none"/>
        </w:rPr>
        <w:t>；</w:t>
      </w:r>
    </w:p>
    <w:p w14:paraId="137BDD79">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(8</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主要工艺装备和主要检测设施的拥有情况和现状</w:t>
      </w:r>
      <w:r>
        <w:rPr>
          <w:rFonts w:hint="eastAsia" w:ascii="宋体" w:eastAsia="宋体" w:cs="宋体"/>
          <w:color w:val="auto"/>
          <w:position w:val="1"/>
          <w:sz w:val="24"/>
          <w:szCs w:val="24"/>
          <w:highlight w:val="none"/>
        </w:rPr>
        <w:t>；</w:t>
      </w:r>
    </w:p>
    <w:p w14:paraId="4E5BA561">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(9</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质量手册或关于质量管理、质量体系、质量控制、质量保证的详细介绍</w:t>
      </w:r>
      <w:r>
        <w:rPr>
          <w:rFonts w:hint="eastAsia" w:ascii="宋体" w:eastAsia="宋体" w:cs="宋体"/>
          <w:color w:val="auto"/>
          <w:position w:val="1"/>
          <w:sz w:val="24"/>
          <w:szCs w:val="24"/>
          <w:highlight w:val="none"/>
        </w:rPr>
        <w:t>；</w:t>
      </w:r>
    </w:p>
    <w:p w14:paraId="10EF5ED6">
      <w:pPr>
        <w:spacing w:line="420" w:lineRule="exact"/>
        <w:ind w:firstLine="480" w:firstLineChars="200"/>
        <w:jc w:val="both"/>
        <w:rPr>
          <w:rFonts w:asci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(10</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产品的技术服务和售后服务的内容和措施</w:t>
      </w:r>
      <w:r>
        <w:rPr>
          <w:rFonts w:hint="eastAsia" w:ascii="宋体" w:eastAsia="宋体" w:cs="宋体"/>
          <w:color w:val="auto"/>
          <w:position w:val="1"/>
          <w:sz w:val="24"/>
          <w:szCs w:val="24"/>
          <w:highlight w:val="none"/>
        </w:rPr>
        <w:t>；</w:t>
      </w:r>
    </w:p>
    <w:p w14:paraId="27C9AD5F">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u w:val="single"/>
        </w:rPr>
        <w:t>详见第六章招标文件格式</w:t>
      </w:r>
      <w:r>
        <w:rPr>
          <w:rFonts w:ascii="宋体" w:eastAsia="宋体" w:cs="宋体"/>
          <w:color w:val="auto"/>
          <w:position w:val="1"/>
          <w:sz w:val="24"/>
          <w:szCs w:val="24"/>
          <w:highlight w:val="none"/>
          <w:u w:val="single"/>
        </w:rPr>
        <mc:AlternateContent>
          <mc:Choice Requires="wps">
            <w:drawing>
              <wp:anchor distT="0" distB="0" distL="113665" distR="113665" simplePos="0" relativeHeight="251659264"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21"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w="9525" cap="flat" cmpd="sng">
                          <a:noFill/>
                          <a:prstDash val="solid"/>
                          <a:round/>
                        </a:ln>
                      </wps:spPr>
                      <wps:bodyPr vert="horz" wrap="square" lIns="91440" tIns="45720" rIns="91440" bIns="45720" anchor="t" anchorCtr="0" upright="1">
                        <a:noAutofit/>
                      </wps:bodyPr>
                    </wps:wsp>
                  </a:graphicData>
                </a:graphic>
              </wp:anchor>
            </w:drawing>
          </mc:Choice>
          <mc:Fallback>
            <w:pict>
              <v:rect id="矩形 6" o:spid="_x0000_s1026" o:spt="1" style="position:absolute;left:0pt;margin-left:23.9pt;margin-top:19.1pt;height:0.6pt;width:276.4pt;z-index:251659264;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Xr5ZLXAAAACAEAAA8AAAAA&#10;AAAAAQAgAAAAIgAAAGRycy9kb3ducmV2LnhtbFBLAQIUABQAAAAIAIdO4kBtILamFQIAACEEAAAO&#10;AAAAAAAAAAEAIAAAACYBAABkcnMvZTJvRG9jLnhtbFBLBQYAAAAABgAGAFkBAACtBQAAAAA=&#10;">
                <v:fill on="t" focussize="0,0"/>
                <v:stroke on="f" joinstyle="round"/>
                <v:imagedata o:title=""/>
                <o:lock v:ext="edit" aspectratio="f"/>
              </v:rect>
            </w:pict>
          </mc:Fallback>
        </mc:AlternateContent>
      </w:r>
      <w:r>
        <w:rPr>
          <w:rFonts w:ascii="宋体" w:eastAsia="宋体" w:cs="宋体"/>
          <w:color w:val="auto"/>
          <w:position w:val="1"/>
          <w:sz w:val="24"/>
          <w:szCs w:val="24"/>
          <w:highlight w:val="none"/>
          <w:u w:val="single"/>
        </w:rPr>
        <w:t>(招标人需要增加的其他技术内容</w:t>
      </w:r>
      <w:r>
        <w:rPr>
          <w:rFonts w:hint="eastAsia" w:ascii="宋体" w:eastAsia="宋体" w:cs="宋体"/>
          <w:color w:val="auto"/>
          <w:position w:val="1"/>
          <w:sz w:val="24"/>
          <w:szCs w:val="24"/>
          <w:highlight w:val="none"/>
          <w:u w:val="single"/>
          <w:lang w:eastAsia="zh-CN"/>
        </w:rPr>
        <w:t>）</w:t>
      </w:r>
      <w:r>
        <w:rPr>
          <w:rFonts w:ascii="宋体" w:eastAsia="宋体" w:cs="宋体"/>
          <w:color w:val="auto"/>
          <w:position w:val="1"/>
          <w:sz w:val="24"/>
          <w:szCs w:val="24"/>
          <w:highlight w:val="none"/>
        </w:rPr>
        <w:t>。</w:t>
      </w:r>
    </w:p>
    <w:p w14:paraId="27261F33">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3.1.3资格审查资料</w:t>
      </w:r>
    </w:p>
    <w:p w14:paraId="7E188C35">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r>
        <w:rPr>
          <w:rFonts w:hint="eastAsia" w:ascii="宋体" w:eastAsia="宋体" w:cs="宋体"/>
          <w:color w:val="auto"/>
          <w:position w:val="1"/>
          <w:sz w:val="24"/>
          <w:szCs w:val="24"/>
          <w:highlight w:val="none"/>
        </w:rPr>
        <w:t>；</w:t>
      </w:r>
    </w:p>
    <w:p w14:paraId="2B958B23">
      <w:pPr>
        <w:shd w:val="clear" w:color="auto" w:fill="FFFFFF"/>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（2）法定代表人身份证明（格式见后）</w:t>
      </w:r>
      <w:r>
        <w:rPr>
          <w:rFonts w:hint="eastAsia" w:ascii="宋体" w:eastAsia="宋体" w:cs="宋体"/>
          <w:color w:val="auto"/>
          <w:position w:val="1"/>
          <w:sz w:val="24"/>
          <w:szCs w:val="24"/>
          <w:highlight w:val="none"/>
        </w:rPr>
        <w:t>；</w:t>
      </w:r>
    </w:p>
    <w:p w14:paraId="09C80A93">
      <w:pPr>
        <w:shd w:val="clear" w:color="auto" w:fill="FFFFFF"/>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（3）联合体协议书</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如以联合体形式投标的需提供</w:t>
      </w:r>
      <w:r>
        <w:rPr>
          <w:rFonts w:hint="eastAsia" w:ascii="宋体" w:eastAsia="宋体" w:cs="宋体"/>
          <w:color w:val="auto"/>
          <w:position w:val="1"/>
          <w:sz w:val="24"/>
          <w:szCs w:val="24"/>
          <w:highlight w:val="none"/>
          <w:lang w:eastAsia="zh-CN"/>
        </w:rPr>
        <w:t>）</w:t>
      </w:r>
      <w:r>
        <w:rPr>
          <w:rFonts w:hint="eastAsia" w:ascii="宋体" w:eastAsia="宋体" w:cs="宋体"/>
          <w:color w:val="auto"/>
          <w:position w:val="1"/>
          <w:sz w:val="24"/>
          <w:szCs w:val="24"/>
          <w:highlight w:val="none"/>
        </w:rPr>
        <w:t>；</w:t>
      </w:r>
    </w:p>
    <w:p w14:paraId="3076F181">
      <w:pPr>
        <w:shd w:val="clear" w:color="auto" w:fill="FFFFFF"/>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（4）法定代表人授权委托书（若有）</w:t>
      </w:r>
      <w:r>
        <w:rPr>
          <w:rFonts w:hint="eastAsia" w:ascii="宋体" w:eastAsia="宋体" w:cs="宋体"/>
          <w:color w:val="auto"/>
          <w:position w:val="1"/>
          <w:sz w:val="24"/>
          <w:szCs w:val="24"/>
          <w:highlight w:val="none"/>
        </w:rPr>
        <w:t>；</w:t>
      </w:r>
    </w:p>
    <w:p w14:paraId="190EB021">
      <w:pPr>
        <w:shd w:val="clear" w:color="auto" w:fill="FFFFFF"/>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（5）投标承诺书（格式见后）</w:t>
      </w:r>
      <w:r>
        <w:rPr>
          <w:rFonts w:hint="eastAsia" w:ascii="宋体" w:eastAsia="宋体" w:cs="宋体"/>
          <w:color w:val="auto"/>
          <w:position w:val="1"/>
          <w:sz w:val="24"/>
          <w:szCs w:val="24"/>
          <w:highlight w:val="none"/>
        </w:rPr>
        <w:t>；</w:t>
      </w:r>
    </w:p>
    <w:p w14:paraId="543677C4">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（6）投标保证金缴纳证明资料</w:t>
      </w:r>
      <w:r>
        <w:rPr>
          <w:rFonts w:hint="eastAsia" w:ascii="宋体" w:eastAsia="宋体" w:cs="宋体"/>
          <w:color w:val="auto"/>
          <w:position w:val="1"/>
          <w:sz w:val="24"/>
          <w:szCs w:val="24"/>
          <w:highlight w:val="none"/>
        </w:rPr>
        <w:t>；</w:t>
      </w:r>
    </w:p>
    <w:p w14:paraId="52C857CE">
      <w:pPr>
        <w:spacing w:line="420" w:lineRule="exact"/>
        <w:ind w:firstLine="480" w:firstLineChars="200"/>
        <w:jc w:val="both"/>
        <w:rPr>
          <w:rFonts w:hint="eastAsia" w:ascii="宋体" w:eastAsia="宋体" w:cs="宋体"/>
          <w:color w:val="auto"/>
          <w:position w:val="1"/>
          <w:sz w:val="24"/>
          <w:szCs w:val="24"/>
          <w:highlight w:val="none"/>
          <w:lang w:eastAsia="zh-CN"/>
        </w:rPr>
      </w:pPr>
      <w:r>
        <w:rPr>
          <w:rFonts w:hint="eastAsia" w:ascii="宋体" w:eastAsia="宋体" w:cs="宋体"/>
          <w:color w:val="auto"/>
          <w:position w:val="1"/>
          <w:sz w:val="24"/>
          <w:szCs w:val="24"/>
          <w:highlight w:val="none"/>
        </w:rPr>
        <w:sym w:font="Wingdings 2" w:char="00A3"/>
      </w:r>
      <w:r>
        <w:rPr>
          <w:rFonts w:hint="eastAsia" w:ascii="宋体" w:eastAsia="宋体" w:cs="宋体"/>
          <w:color w:val="auto"/>
          <w:position w:val="1"/>
          <w:sz w:val="24"/>
          <w:szCs w:val="24"/>
          <w:highlight w:val="none"/>
        </w:rPr>
        <w:t>（</w:t>
      </w:r>
      <w:r>
        <w:rPr>
          <w:rFonts w:hint="eastAsia" w:ascii="宋体" w:eastAsia="宋体" w:cs="宋体"/>
          <w:color w:val="auto"/>
          <w:position w:val="1"/>
          <w:sz w:val="24"/>
          <w:szCs w:val="24"/>
          <w:highlight w:val="none"/>
          <w:lang w:val="en-US" w:eastAsia="zh-CN"/>
        </w:rPr>
        <w:t>7</w:t>
      </w:r>
      <w:r>
        <w:rPr>
          <w:rFonts w:hint="eastAsia" w:ascii="宋体" w:eastAsia="宋体" w:cs="宋体"/>
          <w:color w:val="auto"/>
          <w:position w:val="1"/>
          <w:sz w:val="24"/>
          <w:szCs w:val="24"/>
          <w:highlight w:val="none"/>
        </w:rPr>
        <w:t>）中小企业声明函</w:t>
      </w:r>
      <w:r>
        <w:rPr>
          <w:rFonts w:hint="eastAsia" w:ascii="宋体" w:eastAsia="宋体" w:cs="宋体"/>
          <w:color w:val="auto"/>
          <w:position w:val="1"/>
          <w:sz w:val="24"/>
          <w:szCs w:val="24"/>
          <w:highlight w:val="none"/>
          <w:lang w:eastAsia="zh-CN"/>
        </w:rPr>
        <w:t>；</w:t>
      </w:r>
    </w:p>
    <w:p w14:paraId="5B27A25D">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w:t>
      </w:r>
      <w:r>
        <w:rPr>
          <w:rFonts w:hint="eastAsia" w:ascii="宋体" w:eastAsia="宋体" w:cs="宋体"/>
          <w:color w:val="auto"/>
          <w:position w:val="1"/>
          <w:sz w:val="24"/>
          <w:szCs w:val="24"/>
          <w:highlight w:val="none"/>
          <w:lang w:val="en-US" w:eastAsia="zh-CN"/>
        </w:rPr>
        <w:t>8</w:t>
      </w:r>
      <w:r>
        <w:rPr>
          <w:rFonts w:ascii="宋体" w:eastAsia="宋体" w:cs="宋体"/>
          <w:color w:val="auto"/>
          <w:position w:val="1"/>
          <w:sz w:val="24"/>
          <w:szCs w:val="24"/>
          <w:highlight w:val="none"/>
        </w:rPr>
        <w:t>）其他资料</w:t>
      </w:r>
      <w:r>
        <w:rPr>
          <w:rFonts w:hint="eastAsia" w:ascii="宋体" w:eastAsia="宋体" w:cs="宋体"/>
          <w:color w:val="auto"/>
          <w:position w:val="1"/>
          <w:sz w:val="24"/>
          <w:szCs w:val="24"/>
          <w:highlight w:val="none"/>
        </w:rPr>
        <w:t>：</w:t>
      </w:r>
      <w:r>
        <w:rPr>
          <w:rFonts w:ascii="宋体" w:eastAsia="宋体" w:cs="宋体"/>
          <w:color w:val="auto"/>
          <w:position w:val="1"/>
          <w:sz w:val="24"/>
          <w:szCs w:val="24"/>
          <w:highlight w:val="none"/>
        </w:rPr>
        <w:t>格式自拟（若有）</w:t>
      </w:r>
      <w:r>
        <w:rPr>
          <w:rFonts w:hint="eastAsia" w:ascii="宋体" w:eastAsia="宋体" w:cs="宋体"/>
          <w:color w:val="auto"/>
          <w:position w:val="1"/>
          <w:sz w:val="24"/>
          <w:szCs w:val="24"/>
          <w:highlight w:val="none"/>
        </w:rPr>
        <w:t>。</w:t>
      </w:r>
    </w:p>
    <w:p w14:paraId="3595238A">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3.2</w:t>
      </w:r>
      <w:r>
        <w:rPr>
          <w:rFonts w:ascii="宋体" w:eastAsia="宋体" w:cs="宋体"/>
          <w:color w:val="auto"/>
          <w:sz w:val="24"/>
          <w:szCs w:val="24"/>
          <w:highlight w:val="none"/>
        </w:rPr>
        <w:t>投标报价</w:t>
      </w:r>
    </w:p>
    <w:p w14:paraId="037CB4B3">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3.2.1投标人应按本招标文件中“投标文件格式”的要求填写相应表格。</w:t>
      </w:r>
    </w:p>
    <w:p w14:paraId="27587FB5">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040A9127">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3.2.3招标人设有最高投标限价的，投标人的投标报价不得超过最高投标限价，最高投标限价详见投标人须知前附表。</w:t>
      </w:r>
    </w:p>
    <w:p w14:paraId="21B56215">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3.2.4投标报价的其他要求详见投标人须知前附表。</w:t>
      </w:r>
    </w:p>
    <w:p w14:paraId="7F4A7CC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3.3</w:t>
      </w:r>
      <w:r>
        <w:rPr>
          <w:rFonts w:ascii="宋体" w:eastAsia="宋体" w:cs="宋体"/>
          <w:color w:val="auto"/>
          <w:sz w:val="24"/>
          <w:szCs w:val="24"/>
          <w:highlight w:val="none"/>
        </w:rPr>
        <w:t>投标有效期</w:t>
      </w:r>
    </w:p>
    <w:p w14:paraId="2078239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3.3.1在投标人须知前附表规定的投标有效期内，投标人不得撤销其投标文件。</w:t>
      </w:r>
    </w:p>
    <w:p w14:paraId="19FBEE9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60BBB8C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3.4</w:t>
      </w:r>
      <w:r>
        <w:rPr>
          <w:rFonts w:ascii="宋体" w:eastAsia="宋体" w:cs="宋体"/>
          <w:color w:val="auto"/>
          <w:sz w:val="24"/>
          <w:szCs w:val="24"/>
          <w:highlight w:val="none"/>
        </w:rPr>
        <w:t>投标保证金</w:t>
      </w:r>
    </w:p>
    <w:p w14:paraId="261DD93F">
      <w:pPr>
        <w:spacing w:line="400" w:lineRule="exact"/>
        <w:ind w:firstLine="479"/>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3.4.1投标人应按投标人须知前附表规定的金额、时间及形式递交投标保证金，并作为其投标文件的组成部分。</w:t>
      </w:r>
    </w:p>
    <w:p w14:paraId="6395D6FD">
      <w:pPr>
        <w:spacing w:line="400" w:lineRule="exact"/>
        <w:ind w:firstLine="479"/>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提交投标保证金的，投标保证金须从投标人基本账户中转出；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714776A1">
      <w:pPr>
        <w:spacing w:line="400" w:lineRule="exact"/>
        <w:ind w:firstLine="479"/>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提交投标保险、保函、担保的，保险、保函、担保中的被担保人与投标人必须一致；联合体投标的，被担保人或投保人与联合体牵头人必须一致。保险、保函、担保中所担保的范围、金额、责任条件及有效期或保单中被保险人、保险金额、保险期限必须符合招标文件要求，否则招标人或指定机构不予接受。</w:t>
      </w:r>
    </w:p>
    <w:p w14:paraId="3EA63E66">
      <w:pPr>
        <w:spacing w:line="40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3.4.2投标人应按本章第3.4.1项要求提交投标保证金。</w:t>
      </w:r>
    </w:p>
    <w:p w14:paraId="1AEFE44E">
      <w:pPr>
        <w:spacing w:line="400" w:lineRule="exact"/>
        <w:ind w:firstLine="480" w:firstLineChars="200"/>
        <w:rPr>
          <w:rFonts w:ascii="宋体" w:eastAsia="宋体" w:cs="宋体"/>
          <w:color w:val="auto"/>
          <w:position w:val="1"/>
          <w:sz w:val="24"/>
          <w:szCs w:val="24"/>
          <w:highlight w:val="none"/>
        </w:rPr>
      </w:pPr>
      <w:r>
        <w:rPr>
          <w:rFonts w:ascii="宋体" w:eastAsia="宋体" w:cs="宋体"/>
          <w:color w:val="auto"/>
          <w:position w:val="1"/>
          <w:sz w:val="24"/>
          <w:szCs w:val="24"/>
          <w:highlight w:val="none"/>
        </w:rPr>
        <w:t>3.4.3投标保证金的退还</w:t>
      </w:r>
      <w:r>
        <w:rPr>
          <w:rFonts w:hint="eastAsia" w:ascii="宋体" w:eastAsia="宋体" w:cs="宋体"/>
          <w:color w:val="auto"/>
          <w:position w:val="1"/>
          <w:sz w:val="24"/>
          <w:szCs w:val="24"/>
          <w:highlight w:val="none"/>
        </w:rPr>
        <w:t>：</w:t>
      </w:r>
    </w:p>
    <w:p w14:paraId="30A9192F">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eastAsia="宋体"/>
          <w:color w:val="auto"/>
          <w:sz w:val="24"/>
          <w:szCs w:val="24"/>
          <w:highlight w:val="none"/>
        </w:rPr>
        <w:t>4.3</w:t>
      </w:r>
      <w:r>
        <w:rPr>
          <w:rFonts w:hint="eastAsia" w:ascii="宋体" w:hAnsi="宋体"/>
          <w:color w:val="auto"/>
          <w:sz w:val="24"/>
          <w:szCs w:val="24"/>
          <w:highlight w:val="none"/>
        </w:rPr>
        <w:t>.1中标人的投标保证金将在本招标项目的合同签订后5日内予以退还。</w:t>
      </w:r>
    </w:p>
    <w:p w14:paraId="7610E894">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eastAsia="宋体"/>
          <w:color w:val="auto"/>
          <w:sz w:val="24"/>
          <w:szCs w:val="24"/>
          <w:highlight w:val="none"/>
        </w:rPr>
        <w:t>4.3</w:t>
      </w:r>
      <w:r>
        <w:rPr>
          <w:rFonts w:hint="eastAsia" w:ascii="宋体" w:hAnsi="宋体"/>
          <w:color w:val="auto"/>
          <w:sz w:val="24"/>
          <w:szCs w:val="24"/>
          <w:highlight w:val="none"/>
        </w:rPr>
        <w:t>.2未中标人的投标保证金将在本招标项目中标通知书发出后5日内予以退还。</w:t>
      </w:r>
    </w:p>
    <w:p w14:paraId="63F3B639">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eastAsia="宋体"/>
          <w:color w:val="auto"/>
          <w:sz w:val="24"/>
          <w:szCs w:val="24"/>
          <w:highlight w:val="none"/>
        </w:rPr>
        <w:t>4.3</w:t>
      </w:r>
      <w:r>
        <w:rPr>
          <w:rFonts w:hint="eastAsia" w:ascii="宋体" w:hAnsi="宋体"/>
          <w:color w:val="auto"/>
          <w:sz w:val="24"/>
          <w:szCs w:val="24"/>
          <w:highlight w:val="none"/>
        </w:rPr>
        <w:t>.3退还的投标保证金，其利息计算执行中国人民银行规定的现行活期存款利率标准。</w:t>
      </w:r>
    </w:p>
    <w:p w14:paraId="0F53BC64">
      <w:pPr>
        <w:spacing w:line="400" w:lineRule="exact"/>
        <w:ind w:firstLine="480" w:firstLineChars="200"/>
        <w:rPr>
          <w:rFonts w:ascii="宋体" w:hAnsi="宋体"/>
          <w:b/>
          <w:color w:val="auto"/>
          <w:sz w:val="24"/>
          <w:szCs w:val="24"/>
          <w:highlight w:val="none"/>
        </w:rPr>
      </w:pPr>
      <w:r>
        <w:rPr>
          <w:rFonts w:hint="eastAsia" w:ascii="宋体" w:hAnsi="宋体"/>
          <w:color w:val="auto"/>
          <w:sz w:val="24"/>
          <w:szCs w:val="24"/>
          <w:highlight w:val="none"/>
        </w:rPr>
        <w:t>3.</w:t>
      </w:r>
      <w:r>
        <w:rPr>
          <w:rFonts w:hint="eastAsia" w:ascii="宋体" w:eastAsia="宋体"/>
          <w:color w:val="auto"/>
          <w:sz w:val="24"/>
          <w:szCs w:val="24"/>
          <w:highlight w:val="none"/>
        </w:rPr>
        <w:t>4.4</w:t>
      </w:r>
      <w:r>
        <w:rPr>
          <w:rFonts w:hint="eastAsia" w:ascii="宋体" w:hAnsi="宋体"/>
          <w:b/>
          <w:color w:val="auto"/>
          <w:sz w:val="24"/>
          <w:szCs w:val="24"/>
          <w:highlight w:val="none"/>
        </w:rPr>
        <w:t>投标人有下列情况之一时，将不予退还投标保证金：</w:t>
      </w:r>
    </w:p>
    <w:p w14:paraId="6C9F3ACA">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.1</w:t>
      </w:r>
      <w:r>
        <w:rPr>
          <w:rFonts w:hint="eastAsia" w:ascii="宋体" w:eastAsia="宋体" w:cs="宋体"/>
          <w:color w:val="auto"/>
          <w:sz w:val="24"/>
          <w:szCs w:val="24"/>
          <w:highlight w:val="none"/>
        </w:rPr>
        <w:t>经查实，投标人在投标过程中存在串通投标或弄虚作假的；</w:t>
      </w:r>
    </w:p>
    <w:p w14:paraId="68655AC8">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.2</w:t>
      </w:r>
      <w:r>
        <w:rPr>
          <w:rFonts w:hint="eastAsia" w:ascii="宋体" w:eastAsia="宋体" w:cs="宋体"/>
          <w:color w:val="auto"/>
          <w:sz w:val="24"/>
          <w:szCs w:val="24"/>
          <w:highlight w:val="none"/>
        </w:rPr>
        <w:t>在提交投标文件截止时间后到招标文件规定的投标有效期终止之前，投标人撤销其投标文件的；</w:t>
      </w:r>
    </w:p>
    <w:p w14:paraId="2E214BE4">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.3</w:t>
      </w:r>
      <w:r>
        <w:rPr>
          <w:rFonts w:hint="eastAsia" w:ascii="宋体" w:eastAsia="宋体" w:cs="宋体"/>
          <w:color w:val="auto"/>
          <w:sz w:val="24"/>
          <w:szCs w:val="24"/>
          <w:highlight w:val="none"/>
        </w:rPr>
        <w:t>中标人在收到中标通知书后，无正当理由不与招标人订立合同，在签订合同时向招标人提出附加条件，或者不按照招标文件要求提交履约保证金；</w:t>
      </w:r>
    </w:p>
    <w:p w14:paraId="2E22E7FC">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.4</w:t>
      </w:r>
      <w:r>
        <w:rPr>
          <w:rFonts w:hint="eastAsia" w:ascii="宋体" w:eastAsia="宋体" w:cs="宋体"/>
          <w:color w:val="auto"/>
          <w:sz w:val="24"/>
          <w:szCs w:val="24"/>
          <w:highlight w:val="none"/>
        </w:rPr>
        <w:t>以现金转账形式，转账现金不予退还；</w:t>
      </w:r>
    </w:p>
    <w:p w14:paraId="7C5C3DED">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.5</w:t>
      </w:r>
      <w:r>
        <w:rPr>
          <w:rFonts w:hint="eastAsia" w:ascii="宋体" w:eastAsia="宋体" w:cs="宋体"/>
          <w:color w:val="auto"/>
          <w:sz w:val="24"/>
          <w:szCs w:val="24"/>
          <w:highlight w:val="none"/>
        </w:rPr>
        <w:t>以银行保函形式，招标人作为受益人向银行提起索赔；</w:t>
      </w:r>
    </w:p>
    <w:p w14:paraId="7B7A4641">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.6</w:t>
      </w:r>
      <w:r>
        <w:rPr>
          <w:rFonts w:hint="eastAsia" w:ascii="宋体" w:eastAsia="宋体" w:cs="宋体"/>
          <w:color w:val="auto"/>
          <w:sz w:val="24"/>
          <w:szCs w:val="24"/>
          <w:highlight w:val="none"/>
        </w:rPr>
        <w:t>以保证保险形式，招标人作为被保险人（受益人）向保险人提起索赔；</w:t>
      </w:r>
    </w:p>
    <w:p w14:paraId="7EE27722">
      <w:pPr>
        <w:spacing w:line="400" w:lineRule="exact"/>
        <w:ind w:firstLine="480" w:firstLineChars="200"/>
        <w:rPr>
          <w:rFonts w:ascii="宋体" w:hAnsi="宋体"/>
          <w:color w:val="auto"/>
          <w:sz w:val="24"/>
          <w:szCs w:val="24"/>
          <w:highlight w:val="none"/>
        </w:rPr>
      </w:pPr>
      <w:r>
        <w:rPr>
          <w:rFonts w:ascii="宋体" w:hAnsi="宋体"/>
          <w:color w:val="auto"/>
          <w:sz w:val="24"/>
          <w:szCs w:val="24"/>
          <w:highlight w:val="none"/>
        </w:rPr>
        <w:t>3.</w:t>
      </w:r>
      <w:r>
        <w:rPr>
          <w:rFonts w:hint="eastAsia" w:ascii="宋体" w:eastAsia="宋体"/>
          <w:color w:val="auto"/>
          <w:sz w:val="24"/>
          <w:szCs w:val="24"/>
          <w:highlight w:val="none"/>
        </w:rPr>
        <w:t>4.4</w:t>
      </w:r>
      <w:r>
        <w:rPr>
          <w:rFonts w:ascii="宋体" w:hAnsi="宋体"/>
          <w:color w:val="auto"/>
          <w:sz w:val="24"/>
          <w:szCs w:val="24"/>
          <w:highlight w:val="none"/>
        </w:rPr>
        <w:t>.7</w:t>
      </w:r>
      <w:r>
        <w:rPr>
          <w:rFonts w:hint="eastAsia" w:ascii="宋体" w:eastAsia="宋体" w:cs="宋体"/>
          <w:color w:val="auto"/>
          <w:sz w:val="24"/>
          <w:szCs w:val="24"/>
          <w:highlight w:val="none"/>
        </w:rPr>
        <w:t>以担保公司担保形式，招标人作为受益人向担保人提起索赔。</w:t>
      </w:r>
    </w:p>
    <w:p w14:paraId="1B22A27E">
      <w:pPr>
        <w:spacing w:line="400" w:lineRule="exact"/>
        <w:ind w:firstLine="480" w:firstLineChars="200"/>
        <w:rPr>
          <w:rFonts w:ascii="宋体" w:eastAsia="宋体" w:cs="宋体"/>
          <w:color w:val="auto"/>
          <w:position w:val="1"/>
          <w:sz w:val="24"/>
          <w:szCs w:val="24"/>
          <w:highlight w:val="none"/>
        </w:rPr>
      </w:pPr>
      <w:r>
        <w:rPr>
          <w:rFonts w:hint="eastAsia" w:ascii="宋体" w:hAnsi="宋体"/>
          <w:b/>
          <w:color w:val="auto"/>
          <w:sz w:val="24"/>
          <w:szCs w:val="24"/>
          <w:highlight w:val="none"/>
        </w:rPr>
        <w:t>免缴投标保证金的投标人如出现上述不予退还投标保证金的情形时，应在承诺时限内补缴全额投标保证金。</w:t>
      </w:r>
    </w:p>
    <w:p w14:paraId="600D28B6">
      <w:pPr>
        <w:spacing w:line="40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3.5</w:t>
      </w:r>
      <w:r>
        <w:rPr>
          <w:rFonts w:ascii="宋体" w:eastAsia="宋体" w:cs="宋体"/>
          <w:color w:val="auto"/>
          <w:sz w:val="24"/>
          <w:szCs w:val="24"/>
          <w:highlight w:val="none"/>
        </w:rPr>
        <w:t>资格审查资料</w:t>
      </w:r>
    </w:p>
    <w:p w14:paraId="6E0C362D">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3.5.1“投标人基本情况表”应附投标人营业执照副本等材料的复制件。</w:t>
      </w:r>
    </w:p>
    <w:p w14:paraId="125913AB">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w:t>
      </w:r>
      <w:r>
        <w:rPr>
          <w:rFonts w:hint="eastAsia" w:ascii="宋体" w:eastAsia="宋体" w:cs="宋体"/>
          <w:color w:val="auto"/>
          <w:position w:val="1"/>
          <w:sz w:val="24"/>
          <w:szCs w:val="24"/>
          <w:highlight w:val="none"/>
        </w:rPr>
        <w:t>格式自拟。</w:t>
      </w:r>
    </w:p>
    <w:p w14:paraId="29E9982A">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w:t>
      </w:r>
      <w:r>
        <w:rPr>
          <w:rFonts w:hint="eastAsia" w:ascii="宋体" w:eastAsia="宋体" w:cs="宋体"/>
          <w:color w:val="auto"/>
          <w:position w:val="1"/>
          <w:sz w:val="24"/>
          <w:szCs w:val="24"/>
          <w:highlight w:val="none"/>
        </w:rPr>
        <w:t>格式自拟。</w:t>
      </w:r>
    </w:p>
    <w:p w14:paraId="5D6EEF9E">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3.5.4“正在进行的项目和新承接的项目情况表”应附中标通知书和合同协议书复制件。每张表格只填写一个项目，并标明序号。</w:t>
      </w:r>
      <w:r>
        <w:rPr>
          <w:rFonts w:hint="eastAsia" w:ascii="宋体" w:eastAsia="宋体" w:cs="宋体"/>
          <w:color w:val="auto"/>
          <w:position w:val="1"/>
          <w:sz w:val="24"/>
          <w:szCs w:val="24"/>
          <w:highlight w:val="none"/>
        </w:rPr>
        <w:t>格式自拟。</w:t>
      </w:r>
    </w:p>
    <w:p w14:paraId="77AA65AB">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w:t>
      </w:r>
      <w:r>
        <w:rPr>
          <w:rFonts w:hint="eastAsia" w:ascii="宋体" w:eastAsia="宋体" w:cs="宋体"/>
          <w:color w:val="auto"/>
          <w:position w:val="1"/>
          <w:sz w:val="24"/>
          <w:szCs w:val="24"/>
          <w:highlight w:val="none"/>
        </w:rPr>
        <w:t>格式自拟。</w:t>
      </w:r>
    </w:p>
    <w:p w14:paraId="25609016">
      <w:pPr>
        <w:spacing w:line="420" w:lineRule="exact"/>
        <w:ind w:firstLine="480" w:firstLineChars="20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6AFB2F00">
      <w:pPr>
        <w:spacing w:line="420" w:lineRule="exact"/>
        <w:ind w:firstLine="480" w:firstLineChars="20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3.5.7</w:t>
      </w:r>
      <w:r>
        <w:rPr>
          <w:rFonts w:ascii="宋体" w:eastAsia="宋体" w:cs="宋体"/>
          <w:color w:val="auto"/>
          <w:position w:val="1"/>
          <w:sz w:val="24"/>
          <w:szCs w:val="24"/>
          <w:highlight w:val="none"/>
        </w:rPr>
        <w:t>实质性响应招标文件及评审打分资料详见投标人须知前附表。</w:t>
      </w:r>
    </w:p>
    <w:p w14:paraId="77A5DCD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3.6</w:t>
      </w:r>
      <w:r>
        <w:rPr>
          <w:rFonts w:ascii="宋体" w:eastAsia="宋体" w:cs="宋体"/>
          <w:color w:val="auto"/>
          <w:sz w:val="24"/>
          <w:szCs w:val="24"/>
          <w:highlight w:val="none"/>
        </w:rPr>
        <w:t>备选投标方案</w:t>
      </w:r>
    </w:p>
    <w:p w14:paraId="5E081130">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1B0EE3F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3.7</w:t>
      </w:r>
      <w:r>
        <w:rPr>
          <w:rFonts w:ascii="宋体" w:eastAsia="宋体" w:cs="宋体"/>
          <w:color w:val="auto"/>
          <w:sz w:val="24"/>
          <w:szCs w:val="24"/>
          <w:highlight w:val="none"/>
        </w:rPr>
        <w:t>投标文件的编制</w:t>
      </w:r>
    </w:p>
    <w:p w14:paraId="0897B3A3">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3.7.1投标文件应按第</w:t>
      </w:r>
      <w:r>
        <w:rPr>
          <w:rFonts w:hint="eastAsia" w:ascii="宋体" w:eastAsia="宋体" w:cs="宋体"/>
          <w:color w:val="auto"/>
          <w:position w:val="1"/>
          <w:sz w:val="24"/>
          <w:szCs w:val="24"/>
          <w:highlight w:val="none"/>
          <w:lang w:val="en-US" w:eastAsia="zh-CN"/>
        </w:rPr>
        <w:t>六</w:t>
      </w:r>
      <w:r>
        <w:rPr>
          <w:rFonts w:ascii="宋体" w:eastAsia="宋体" w:cs="宋体"/>
          <w:color w:val="auto"/>
          <w:position w:val="1"/>
          <w:sz w:val="24"/>
          <w:szCs w:val="24"/>
          <w:highlight w:val="none"/>
        </w:rPr>
        <w:t>章“投标文件格式”进行编写，如有必要，可以增加附页，作为投标文件的组成部分。其中，投标函在满足招标文件实质性要求的基础上，可以提出比招标文件要求更有利于招标人的承诺。</w:t>
      </w:r>
    </w:p>
    <w:p w14:paraId="1B10423D">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3.7.2投标文件应当对招标文件有关工期、投标有效期、质量要求、技术标准和要求、招标范围等实质性内容作出响应。</w:t>
      </w:r>
    </w:p>
    <w:p w14:paraId="3F336E37">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3.7.3投标文件签字或盖章的具体要求见投标人须知前附表。</w:t>
      </w:r>
    </w:p>
    <w:p w14:paraId="57AA09AC">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3.7.4投标文件份数的具体要求见投标人须知前附表。</w:t>
      </w:r>
    </w:p>
    <w:p w14:paraId="573BC5A2">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3.7.5电子投标的要求</w:t>
      </w:r>
    </w:p>
    <w:p w14:paraId="413B329A">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w:t>
      </w:r>
      <w:r>
        <w:rPr>
          <w:rFonts w:ascii="宋体" w:eastAsia="宋体" w:cs="宋体"/>
          <w:color w:val="auto"/>
          <w:position w:val="1"/>
          <w:sz w:val="24"/>
          <w:szCs w:val="24"/>
          <w:highlight w:val="none"/>
        </w:rPr>
        <w:t>1</w:t>
      </w:r>
      <w:r>
        <w:rPr>
          <w:rFonts w:hint="eastAsia" w:ascii="宋体" w:eastAsia="宋体" w:cs="宋体"/>
          <w:color w:val="auto"/>
          <w:position w:val="1"/>
          <w:sz w:val="24"/>
          <w:szCs w:val="24"/>
          <w:highlight w:val="none"/>
        </w:rPr>
        <w:t>）电子投标文件签字或盖章的具体要求见投标人须知前附表。</w:t>
      </w:r>
    </w:p>
    <w:p w14:paraId="1E7B1099">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w:t>
      </w:r>
      <w:r>
        <w:rPr>
          <w:rFonts w:ascii="宋体" w:eastAsia="宋体" w:cs="宋体"/>
          <w:color w:val="auto"/>
          <w:position w:val="1"/>
          <w:sz w:val="24"/>
          <w:szCs w:val="24"/>
          <w:highlight w:val="none"/>
        </w:rPr>
        <w:t>2</w:t>
      </w:r>
      <w:r>
        <w:rPr>
          <w:rFonts w:hint="eastAsia" w:ascii="宋体" w:eastAsia="宋体" w:cs="宋体"/>
          <w:color w:val="auto"/>
          <w:position w:val="1"/>
          <w:sz w:val="24"/>
          <w:szCs w:val="24"/>
          <w:highlight w:val="none"/>
        </w:rPr>
        <w:t>）电子投标文件制作或加密要求见投标人须知前附表。</w:t>
      </w:r>
    </w:p>
    <w:p w14:paraId="7B4942EC">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w:t>
      </w:r>
      <w:r>
        <w:rPr>
          <w:rFonts w:ascii="宋体" w:eastAsia="宋体" w:cs="宋体"/>
          <w:color w:val="auto"/>
          <w:position w:val="1"/>
          <w:sz w:val="24"/>
          <w:szCs w:val="24"/>
          <w:highlight w:val="none"/>
        </w:rPr>
        <w:t>3</w:t>
      </w:r>
      <w:r>
        <w:rPr>
          <w:rFonts w:hint="eastAsia" w:ascii="宋体" w:eastAsia="宋体" w:cs="宋体"/>
          <w:color w:val="auto"/>
          <w:position w:val="1"/>
          <w:sz w:val="24"/>
          <w:szCs w:val="24"/>
          <w:highlight w:val="none"/>
        </w:rPr>
        <w:t>）电子投标文件所附证书证件及业绩证明文件要求见投标人须知前附表规定。</w:t>
      </w:r>
    </w:p>
    <w:p w14:paraId="7CC666AF">
      <w:pPr>
        <w:spacing w:line="420" w:lineRule="exact"/>
        <w:jc w:val="both"/>
        <w:outlineLvl w:val="2"/>
        <w:rPr>
          <w:rFonts w:ascii="宋体" w:eastAsia="宋体" w:cs="宋体"/>
          <w:color w:val="auto"/>
          <w:sz w:val="24"/>
          <w:szCs w:val="24"/>
          <w:highlight w:val="none"/>
        </w:rPr>
      </w:pPr>
      <w:bookmarkStart w:id="82" w:name="_Toc10778"/>
      <w:r>
        <w:rPr>
          <w:rFonts w:ascii="宋体" w:eastAsia="宋体" w:cs="Calibri"/>
          <w:b/>
          <w:bCs/>
          <w:color w:val="auto"/>
          <w:sz w:val="24"/>
          <w:szCs w:val="24"/>
          <w:highlight w:val="none"/>
        </w:rPr>
        <w:t>4.</w:t>
      </w:r>
      <w:r>
        <w:rPr>
          <w:rFonts w:ascii="宋体" w:eastAsia="宋体" w:cs="宋体"/>
          <w:color w:val="auto"/>
          <w:sz w:val="24"/>
          <w:szCs w:val="24"/>
          <w:highlight w:val="none"/>
        </w:rPr>
        <w:t>投标</w:t>
      </w:r>
      <w:bookmarkEnd w:id="82"/>
    </w:p>
    <w:p w14:paraId="149F0A93">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4.1</w:t>
      </w:r>
      <w:r>
        <w:rPr>
          <w:rFonts w:ascii="宋体" w:eastAsia="宋体" w:cs="宋体"/>
          <w:color w:val="auto"/>
          <w:sz w:val="24"/>
          <w:szCs w:val="24"/>
          <w:highlight w:val="none"/>
        </w:rPr>
        <w:t>光盘、样品等材料的包装和标记</w:t>
      </w:r>
    </w:p>
    <w:p w14:paraId="1921BADC">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光盘、样品等材料的外包装和要求见投标人须知前附表。</w:t>
      </w:r>
    </w:p>
    <w:p w14:paraId="48BE5A11">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4.2</w:t>
      </w:r>
      <w:r>
        <w:rPr>
          <w:rFonts w:ascii="宋体" w:eastAsia="宋体" w:cs="宋体"/>
          <w:color w:val="auto"/>
          <w:sz w:val="24"/>
          <w:szCs w:val="24"/>
          <w:highlight w:val="none"/>
        </w:rPr>
        <w:t>投标文件的递交</w:t>
      </w:r>
    </w:p>
    <w:p w14:paraId="7AB58BD4">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4.2.1投标人应在前附表第2.2.2项规定的投标截止时间前递交投标文件。</w:t>
      </w:r>
    </w:p>
    <w:p w14:paraId="582BE57E">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4.2.2投标人递交投标文件的方式：见投标人须知前附表。</w:t>
      </w:r>
    </w:p>
    <w:p w14:paraId="36DABEBE">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4.2.3除投标人须知前附表另有规定外，投标人所递交的投标文件不予退还。</w:t>
      </w:r>
    </w:p>
    <w:p w14:paraId="2BC46232">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w:t>
      </w:r>
      <w:r>
        <w:rPr>
          <w:rFonts w:hint="eastAsia" w:ascii="宋体" w:eastAsia="宋体" w:cs="宋体"/>
          <w:color w:val="auto"/>
          <w:position w:val="1"/>
          <w:sz w:val="24"/>
          <w:szCs w:val="24"/>
          <w:highlight w:val="none"/>
        </w:rPr>
        <w:t>4电子投标文件递交要求：见投标须知前附表。</w:t>
      </w:r>
    </w:p>
    <w:p w14:paraId="1B3C4BBC">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4.2.</w:t>
      </w:r>
      <w:r>
        <w:rPr>
          <w:rFonts w:hint="eastAsia" w:ascii="宋体" w:eastAsia="宋体" w:cs="宋体"/>
          <w:color w:val="auto"/>
          <w:position w:val="1"/>
          <w:sz w:val="24"/>
          <w:szCs w:val="24"/>
          <w:highlight w:val="none"/>
        </w:rPr>
        <w:t>5电子投标文件的拒收情形：见投标须知前附表。</w:t>
      </w:r>
    </w:p>
    <w:p w14:paraId="4DC99C9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4.3</w:t>
      </w:r>
      <w:r>
        <w:rPr>
          <w:rFonts w:ascii="宋体" w:eastAsia="宋体" w:cs="宋体"/>
          <w:color w:val="auto"/>
          <w:sz w:val="24"/>
          <w:szCs w:val="24"/>
          <w:highlight w:val="none"/>
        </w:rPr>
        <w:t>投标文件的修改与撤回</w:t>
      </w:r>
    </w:p>
    <w:p w14:paraId="3A4282E6">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4.3.1在前附表第2.2.2项规定的投标截止时间前，投标人可以修改或撤回已递交的投标文件</w:t>
      </w:r>
      <w:r>
        <w:rPr>
          <w:rFonts w:hint="eastAsia" w:ascii="宋体" w:eastAsia="宋体" w:cs="宋体"/>
          <w:color w:val="auto"/>
          <w:position w:val="1"/>
          <w:sz w:val="24"/>
          <w:szCs w:val="24"/>
          <w:highlight w:val="none"/>
        </w:rPr>
        <w:t>，在投标截止时间以后，不能更改投标文件</w:t>
      </w:r>
      <w:r>
        <w:rPr>
          <w:rFonts w:ascii="宋体" w:eastAsia="宋体" w:cs="宋体"/>
          <w:color w:val="auto"/>
          <w:position w:val="1"/>
          <w:sz w:val="24"/>
          <w:szCs w:val="24"/>
          <w:highlight w:val="none"/>
        </w:rPr>
        <w:t>。</w:t>
      </w:r>
    </w:p>
    <w:p w14:paraId="6A786952">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4.3.2修改的内容为投标文件的组成部分。</w:t>
      </w:r>
      <w:r>
        <w:rPr>
          <w:rFonts w:hint="eastAsia" w:ascii="宋体" w:eastAsia="宋体" w:cs="宋体"/>
          <w:color w:val="auto"/>
          <w:position w:val="1"/>
          <w:sz w:val="24"/>
          <w:szCs w:val="24"/>
          <w:highlight w:val="none"/>
        </w:rPr>
        <w:t>投标人的补充修改，应按规定编制、密封、标志和递交，并在包封上标明“修改”字样</w:t>
      </w:r>
      <w:r>
        <w:rPr>
          <w:rFonts w:ascii="宋体" w:eastAsia="宋体" w:cs="宋体"/>
          <w:color w:val="auto"/>
          <w:position w:val="1"/>
          <w:sz w:val="24"/>
          <w:szCs w:val="24"/>
          <w:highlight w:val="none"/>
        </w:rPr>
        <w:t>。</w:t>
      </w:r>
    </w:p>
    <w:p w14:paraId="6A3C55FB">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5BBDA9DC">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4.4</w:t>
      </w:r>
      <w:r>
        <w:rPr>
          <w:rFonts w:ascii="宋体" w:eastAsia="宋体" w:cs="宋体"/>
          <w:color w:val="auto"/>
          <w:sz w:val="24"/>
          <w:szCs w:val="24"/>
          <w:highlight w:val="none"/>
        </w:rPr>
        <w:t>投标文件的拒收情形</w:t>
      </w:r>
    </w:p>
    <w:p w14:paraId="094431FE">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详见投标人须知前附表。</w:t>
      </w:r>
    </w:p>
    <w:p w14:paraId="246FB848">
      <w:pPr>
        <w:spacing w:line="420" w:lineRule="exact"/>
        <w:jc w:val="both"/>
        <w:outlineLvl w:val="2"/>
        <w:rPr>
          <w:rFonts w:ascii="宋体" w:eastAsia="宋体" w:cs="宋体"/>
          <w:color w:val="auto"/>
          <w:sz w:val="24"/>
          <w:szCs w:val="24"/>
          <w:highlight w:val="none"/>
        </w:rPr>
      </w:pPr>
      <w:bookmarkStart w:id="83" w:name="_Toc14033"/>
      <w:r>
        <w:rPr>
          <w:rFonts w:ascii="宋体" w:eastAsia="宋体" w:cs="Calibri"/>
          <w:b/>
          <w:bCs/>
          <w:color w:val="auto"/>
          <w:sz w:val="24"/>
          <w:szCs w:val="24"/>
          <w:highlight w:val="none"/>
        </w:rPr>
        <w:t>5.</w:t>
      </w:r>
      <w:r>
        <w:rPr>
          <w:rFonts w:ascii="宋体" w:eastAsia="宋体" w:cs="宋体"/>
          <w:color w:val="auto"/>
          <w:sz w:val="24"/>
          <w:szCs w:val="24"/>
          <w:highlight w:val="none"/>
        </w:rPr>
        <w:t>开标程序</w:t>
      </w:r>
      <w:r>
        <w:rPr>
          <w:rFonts w:ascii="Times New Roman" w:hAnsi="Times New Roman"/>
          <w:b/>
          <w:bCs/>
          <w:i/>
          <w:iCs/>
          <w:color w:val="auto"/>
          <w:highlight w:val="none"/>
          <w:u w:val="single"/>
        </w:rPr>
        <w:t>（各地视情作调整）</w:t>
      </w:r>
      <w:bookmarkEnd w:id="83"/>
    </w:p>
    <w:p w14:paraId="5815D958">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5.1</w:t>
      </w:r>
      <w:r>
        <w:rPr>
          <w:rFonts w:ascii="宋体" w:eastAsia="宋体" w:cs="宋体"/>
          <w:color w:val="auto"/>
          <w:sz w:val="24"/>
          <w:szCs w:val="24"/>
          <w:highlight w:val="none"/>
        </w:rPr>
        <w:t>开标时间和地点、参加开标会议的要求</w:t>
      </w:r>
    </w:p>
    <w:p w14:paraId="0DAAF837">
      <w:pPr>
        <w:spacing w:line="420" w:lineRule="exact"/>
        <w:ind w:firstLine="495"/>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招标人在投标人须知前附表第2.2.2项规定的投标截止时间</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开标时间</w:t>
      </w:r>
      <w:r>
        <w:rPr>
          <w:rFonts w:hint="eastAsia" w:ascii="宋体" w:eastAsia="宋体" w:cs="宋体"/>
          <w:color w:val="auto"/>
          <w:position w:val="1"/>
          <w:sz w:val="24"/>
          <w:szCs w:val="24"/>
          <w:highlight w:val="none"/>
          <w:lang w:eastAsia="zh-CN"/>
        </w:rPr>
        <w:t>）</w:t>
      </w:r>
      <w:r>
        <w:rPr>
          <w:rFonts w:ascii="宋体" w:eastAsia="宋体" w:cs="宋体"/>
          <w:color w:val="auto"/>
          <w:position w:val="1"/>
          <w:sz w:val="24"/>
          <w:szCs w:val="24"/>
          <w:highlight w:val="none"/>
        </w:rPr>
        <w:t>和投标人须知前附表规定的地点公开开标，参加开标会议的要求见投标人须知前附表。</w:t>
      </w:r>
    </w:p>
    <w:p w14:paraId="36FE7050">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5.2</w:t>
      </w:r>
      <w:r>
        <w:rPr>
          <w:rFonts w:ascii="宋体" w:eastAsia="宋体" w:cs="宋体"/>
          <w:color w:val="auto"/>
          <w:sz w:val="24"/>
          <w:szCs w:val="24"/>
          <w:highlight w:val="none"/>
        </w:rPr>
        <w:t>开标</w:t>
      </w:r>
    </w:p>
    <w:p w14:paraId="58F36203">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主持人按下列程序进行开标：</w:t>
      </w:r>
    </w:p>
    <w:p w14:paraId="7836FCCC">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（一）</w:t>
      </w:r>
      <w:r>
        <w:rPr>
          <w:rFonts w:hint="eastAsia" w:ascii="宋体" w:eastAsia="宋体" w:cs="宋体"/>
          <w:color w:val="auto"/>
          <w:position w:val="1"/>
          <w:sz w:val="24"/>
          <w:szCs w:val="24"/>
          <w:highlight w:val="none"/>
        </w:rPr>
        <w:t>宣布开标</w:t>
      </w:r>
    </w:p>
    <w:p w14:paraId="0288DEC2">
      <w:pPr>
        <w:spacing w:line="420" w:lineRule="exact"/>
        <w:ind w:firstLine="495"/>
        <w:jc w:val="both"/>
        <w:rPr>
          <w:rFonts w:hint="eastAsia" w:ascii="宋体" w:eastAsia="宋体" w:cs="宋体"/>
          <w:color w:val="auto"/>
          <w:position w:val="1"/>
          <w:sz w:val="24"/>
          <w:szCs w:val="24"/>
          <w:highlight w:val="none"/>
          <w:lang w:eastAsia="zh-CN"/>
        </w:rPr>
      </w:pPr>
      <w:r>
        <w:rPr>
          <w:rFonts w:hint="eastAsia" w:ascii="宋体" w:eastAsia="宋体" w:cs="宋体"/>
          <w:color w:val="auto"/>
          <w:position w:val="1"/>
          <w:sz w:val="24"/>
          <w:szCs w:val="24"/>
          <w:highlight w:val="none"/>
        </w:rPr>
        <w:t>至投标截止时间，招标人（或其招标代理机构）宣布开始开标，宣读开标项目名称、招标人代表、监标人等有关人员姓名</w:t>
      </w:r>
      <w:r>
        <w:rPr>
          <w:rFonts w:hint="eastAsia" w:ascii="宋体" w:eastAsia="宋体" w:cs="宋体"/>
          <w:color w:val="auto"/>
          <w:position w:val="1"/>
          <w:sz w:val="24"/>
          <w:szCs w:val="24"/>
          <w:highlight w:val="none"/>
          <w:lang w:eastAsia="zh-CN"/>
        </w:rPr>
        <w:t>。</w:t>
      </w:r>
    </w:p>
    <w:p w14:paraId="475CE960">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（二）</w:t>
      </w:r>
      <w:r>
        <w:rPr>
          <w:rFonts w:hint="eastAsia" w:ascii="宋体" w:eastAsia="宋体" w:cs="宋体"/>
          <w:color w:val="auto"/>
          <w:position w:val="1"/>
          <w:sz w:val="24"/>
          <w:szCs w:val="24"/>
          <w:highlight w:val="none"/>
        </w:rPr>
        <w:t>公布投标人数量</w:t>
      </w:r>
    </w:p>
    <w:p w14:paraId="5913BE46">
      <w:pPr>
        <w:spacing w:line="420" w:lineRule="exact"/>
        <w:ind w:firstLine="495"/>
        <w:jc w:val="both"/>
        <w:rPr>
          <w:rFonts w:hint="eastAsia" w:ascii="宋体" w:eastAsia="宋体" w:cs="宋体"/>
          <w:color w:val="auto"/>
          <w:position w:val="1"/>
          <w:sz w:val="24"/>
          <w:szCs w:val="24"/>
          <w:highlight w:val="none"/>
          <w:lang w:eastAsia="zh-CN"/>
        </w:rPr>
      </w:pPr>
      <w:r>
        <w:rPr>
          <w:rFonts w:hint="eastAsia" w:ascii="宋体" w:eastAsia="宋体" w:cs="宋体"/>
          <w:color w:val="auto"/>
          <w:position w:val="1"/>
          <w:sz w:val="24"/>
          <w:szCs w:val="24"/>
          <w:highlight w:val="none"/>
        </w:rPr>
        <w:t>招标人公布投标人数量及保证金缴纳情况。若递交投标文件的单位数量少于</w:t>
      </w:r>
      <w:r>
        <w:rPr>
          <w:rFonts w:ascii="宋体" w:eastAsia="宋体" w:cs="宋体"/>
          <w:color w:val="auto"/>
          <w:position w:val="1"/>
          <w:sz w:val="24"/>
          <w:szCs w:val="24"/>
          <w:highlight w:val="none"/>
        </w:rPr>
        <w:t>3</w:t>
      </w:r>
      <w:r>
        <w:rPr>
          <w:rFonts w:hint="eastAsia" w:ascii="宋体" w:eastAsia="宋体" w:cs="宋体"/>
          <w:color w:val="auto"/>
          <w:position w:val="1"/>
          <w:sz w:val="24"/>
          <w:szCs w:val="24"/>
          <w:highlight w:val="none"/>
        </w:rPr>
        <w:t>家，招标人公布已递交投标文件单位名称，宣布本次招标失败</w:t>
      </w:r>
      <w:r>
        <w:rPr>
          <w:rFonts w:hint="eastAsia" w:ascii="宋体" w:eastAsia="宋体" w:cs="宋体"/>
          <w:color w:val="auto"/>
          <w:position w:val="1"/>
          <w:sz w:val="24"/>
          <w:szCs w:val="24"/>
          <w:highlight w:val="none"/>
          <w:lang w:eastAsia="zh-CN"/>
        </w:rPr>
        <w:t>。</w:t>
      </w:r>
    </w:p>
    <w:p w14:paraId="48F3F88B">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（三）</w:t>
      </w:r>
      <w:r>
        <w:rPr>
          <w:rFonts w:hint="eastAsia" w:ascii="宋体" w:eastAsia="宋体" w:cs="宋体"/>
          <w:color w:val="auto"/>
          <w:position w:val="1"/>
          <w:sz w:val="24"/>
          <w:szCs w:val="24"/>
          <w:highlight w:val="none"/>
        </w:rPr>
        <w:t>投标人解密（投标文件解密在60分钟内完成，具体以电子招投标交易平台系统时间为准）</w:t>
      </w:r>
    </w:p>
    <w:p w14:paraId="501FE2EC">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递交投标文件的投标人数量大于等于3家，进入投标人解密环节。</w:t>
      </w:r>
    </w:p>
    <w:p w14:paraId="24FC07AC">
      <w:pPr>
        <w:spacing w:line="420" w:lineRule="exact"/>
        <w:ind w:firstLine="495"/>
        <w:jc w:val="left"/>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投标人解密方式：投标人登录不见面开标大厅：http://220.187.225.202:18088/BidOpening/bidopeninghallaction/hall/login</w:t>
      </w:r>
      <w:r>
        <w:rPr>
          <w:rFonts w:hint="eastAsia" w:ascii="宋体" w:eastAsia="宋体" w:cs="宋体"/>
          <w:color w:val="auto"/>
          <w:position w:val="1"/>
          <w:sz w:val="24"/>
          <w:szCs w:val="24"/>
          <w:highlight w:val="none"/>
          <w:lang w:eastAsia="zh-CN"/>
        </w:rPr>
        <w:t>（</w:t>
      </w:r>
      <w:r>
        <w:rPr>
          <w:rFonts w:hint="eastAsia" w:ascii="宋体" w:eastAsia="宋体" w:cs="宋体"/>
          <w:color w:val="auto"/>
          <w:position w:val="1"/>
          <w:sz w:val="24"/>
          <w:szCs w:val="24"/>
          <w:highlight w:val="none"/>
        </w:rPr>
        <w:t>按各交易平台开标大厅</w:t>
      </w:r>
      <w:r>
        <w:rPr>
          <w:rFonts w:hint="eastAsia" w:ascii="宋体" w:eastAsia="宋体" w:cs="宋体"/>
          <w:color w:val="auto"/>
          <w:position w:val="1"/>
          <w:sz w:val="24"/>
          <w:szCs w:val="24"/>
          <w:highlight w:val="none"/>
          <w:lang w:eastAsia="zh-CN"/>
        </w:rPr>
        <w:t>）</w:t>
      </w:r>
      <w:r>
        <w:rPr>
          <w:rFonts w:hint="eastAsia" w:ascii="宋体" w:eastAsia="宋体" w:cs="宋体"/>
          <w:color w:val="auto"/>
          <w:position w:val="1"/>
          <w:sz w:val="24"/>
          <w:szCs w:val="24"/>
          <w:highlight w:val="none"/>
        </w:rPr>
        <w:t>。待招标人点击解密指令后，投标人使用生成投标文件的CA数字证书在线解密，解密失败的，不再导入非加密电子投标文件。</w:t>
      </w:r>
    </w:p>
    <w:p w14:paraId="3FADF46B">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若成功解密的投标人少于3家，招标人宣布本次招标失败。</w:t>
      </w:r>
    </w:p>
    <w:p w14:paraId="7F3930AE">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（四）</w:t>
      </w:r>
      <w:r>
        <w:rPr>
          <w:rFonts w:hint="eastAsia" w:ascii="宋体" w:eastAsia="宋体" w:cs="宋体"/>
          <w:color w:val="auto"/>
          <w:position w:val="1"/>
          <w:sz w:val="24"/>
          <w:szCs w:val="24"/>
          <w:highlight w:val="none"/>
        </w:rPr>
        <w:t>参数录入。</w:t>
      </w:r>
    </w:p>
    <w:p w14:paraId="5A271409">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录入最高投标限价。</w:t>
      </w:r>
    </w:p>
    <w:p w14:paraId="680EF4CB">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（五）</w:t>
      </w:r>
      <w:r>
        <w:rPr>
          <w:rFonts w:hint="eastAsia" w:ascii="宋体" w:eastAsia="宋体" w:cs="宋体"/>
          <w:color w:val="auto"/>
          <w:position w:val="1"/>
          <w:sz w:val="24"/>
          <w:szCs w:val="24"/>
          <w:highlight w:val="none"/>
        </w:rPr>
        <w:t>公布开标结果</w:t>
      </w:r>
    </w:p>
    <w:p w14:paraId="026685FC">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投标人解密完成后，开标系统公布投标报价、工期、质量目标等内容。</w:t>
      </w:r>
    </w:p>
    <w:p w14:paraId="09291E22">
      <w:pPr>
        <w:spacing w:line="420" w:lineRule="exact"/>
        <w:ind w:firstLine="495"/>
        <w:jc w:val="both"/>
        <w:rPr>
          <w:rFonts w:hint="eastAsia" w:ascii="宋体" w:eastAsia="宋体" w:cs="宋体"/>
          <w:color w:val="auto"/>
          <w:position w:val="1"/>
          <w:sz w:val="24"/>
          <w:szCs w:val="24"/>
          <w:highlight w:val="none"/>
        </w:rPr>
      </w:pPr>
      <w:r>
        <w:rPr>
          <w:rFonts w:hint="eastAsia" w:ascii="宋体" w:eastAsia="宋体" w:cs="宋体"/>
          <w:color w:val="auto"/>
          <w:highlight w:val="none"/>
        </w:rPr>
        <w:t>（六）</w:t>
      </w:r>
      <w:r>
        <w:rPr>
          <w:rFonts w:hint="eastAsia" w:ascii="宋体" w:eastAsia="宋体" w:cs="宋体"/>
          <w:color w:val="auto"/>
          <w:position w:val="1"/>
          <w:sz w:val="24"/>
          <w:szCs w:val="24"/>
          <w:highlight w:val="none"/>
        </w:rPr>
        <w:t>开标结束</w:t>
      </w:r>
    </w:p>
    <w:p w14:paraId="4E40C9DC">
      <w:pPr>
        <w:spacing w:line="420" w:lineRule="exact"/>
        <w:ind w:firstLine="495"/>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rPr>
        <w:t>招标人宣布本次开标结束。</w:t>
      </w:r>
    </w:p>
    <w:p w14:paraId="6007779B">
      <w:pPr>
        <w:spacing w:line="420" w:lineRule="exact"/>
        <w:ind w:firstLine="495"/>
        <w:jc w:val="both"/>
        <w:outlineLvl w:val="9"/>
        <w:rPr>
          <w:rFonts w:ascii="宋体" w:eastAsia="宋体"/>
          <w:b/>
          <w:bCs/>
          <w:color w:val="auto"/>
          <w:sz w:val="24"/>
          <w:szCs w:val="24"/>
          <w:highlight w:val="none"/>
        </w:rPr>
      </w:pPr>
      <w:r>
        <w:rPr>
          <w:rFonts w:hint="eastAsia" w:ascii="宋体" w:eastAsia="宋体"/>
          <w:b/>
          <w:bCs/>
          <w:color w:val="auto"/>
          <w:sz w:val="24"/>
          <w:szCs w:val="24"/>
          <w:highlight w:val="none"/>
        </w:rPr>
        <w:t>5.3不见面开标软硬件要求</w:t>
      </w:r>
    </w:p>
    <w:p w14:paraId="617322C4">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（一）建议电脑配置：4G以上内存，MicrosoftWindows7以上操作系统，正版office软件，及相应的配套硬件设备（摄像头、耳机、麦克风等）。</w:t>
      </w:r>
    </w:p>
    <w:p w14:paraId="48717FA4">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（二）50M以上网络带宽连接。</w:t>
      </w:r>
    </w:p>
    <w:p w14:paraId="40D51B0D">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（三）安装浙江省公共资源交易CA签章互认驱动及开标大厅直播播放器。相关软件可在绍兴公共资源交易网（按各平台情况填写）下载专区页面下载。</w:t>
      </w:r>
    </w:p>
    <w:p w14:paraId="2D42561D">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（四）使用MicrosoftInternetExplorer11（IE11）及以上浏览器，加入可信任站点，添加兼容性视图设置修改 Activex控件和插件设置，关闭弹出窗口拦截。</w:t>
      </w:r>
    </w:p>
    <w:p w14:paraId="3D56B110">
      <w:pPr>
        <w:spacing w:line="400" w:lineRule="exact"/>
        <w:rPr>
          <w:rFonts w:ascii="宋体" w:eastAsia="宋体"/>
          <w:b/>
          <w:bCs/>
          <w:color w:val="auto"/>
          <w:sz w:val="24"/>
          <w:szCs w:val="24"/>
          <w:highlight w:val="none"/>
        </w:rPr>
      </w:pPr>
      <w:r>
        <w:rPr>
          <w:rFonts w:hint="eastAsia" w:ascii="宋体" w:eastAsia="宋体"/>
          <w:b/>
          <w:bCs/>
          <w:color w:val="auto"/>
          <w:sz w:val="24"/>
          <w:szCs w:val="24"/>
          <w:highlight w:val="none"/>
        </w:rPr>
        <w:t>5.4特殊情况的处置</w:t>
      </w:r>
    </w:p>
    <w:p w14:paraId="6B5F6D6E">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5.4.1特殊情况的处置</w:t>
      </w:r>
    </w:p>
    <w:p w14:paraId="51F04ADF">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（一）因网络、系统、电力等不可抗力因素延期开标的，需更新制作投标文件并按招标文件要求重新递交。</w:t>
      </w:r>
    </w:p>
    <w:p w14:paraId="5C8D8EA8">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57E6BB7E">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（三）投标人电脑终端的硬件设备和软件系统配置必须符合不见面开标技术要求并运行正常，否则投标人自行承担不利后果。</w:t>
      </w:r>
    </w:p>
    <w:p w14:paraId="30A61A75">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5.4.2开标特别说明</w:t>
      </w:r>
    </w:p>
    <w:p w14:paraId="7E818910">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（一）开标解密使用投标人上传的加密电子投标文件。</w:t>
      </w:r>
    </w:p>
    <w:p w14:paraId="6B0E5FEA">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4257B7BB">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（三）部分投标人的电子文件无法解密的，其他投标文件的开标可以继续进行。</w:t>
      </w:r>
    </w:p>
    <w:p w14:paraId="463216D4">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Key号发生改变，视为不同证书，会导致开标时无法解密投标文件。2.移动CA数字证书需在有效期内进行续费操作，过期后只能重新申领，重新申领的移动CA数字证书不能解密申领之前加密的投标文件。）</w:t>
      </w:r>
    </w:p>
    <w:p w14:paraId="0F680D42">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（五）投标人应实时关注不见面开标系统页面，观看开标全过程，并根据需要，使用不见面</w:t>
      </w:r>
    </w:p>
    <w:p w14:paraId="271ED3A7">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7A103A65">
      <w:pPr>
        <w:spacing w:line="400" w:lineRule="exact"/>
        <w:ind w:firstLine="480" w:firstLineChars="200"/>
        <w:rPr>
          <w:rFonts w:ascii="宋体" w:eastAsia="宋体"/>
          <w:bCs/>
          <w:color w:val="auto"/>
          <w:sz w:val="24"/>
          <w:szCs w:val="24"/>
          <w:highlight w:val="none"/>
        </w:rPr>
      </w:pPr>
      <w:r>
        <w:rPr>
          <w:rFonts w:hint="eastAsia" w:ascii="宋体" w:eastAsia="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7F62FFDB">
      <w:pPr>
        <w:spacing w:line="400" w:lineRule="exact"/>
        <w:ind w:firstLine="470" w:firstLineChars="196"/>
        <w:rPr>
          <w:rFonts w:ascii="宋体" w:eastAsia="宋体"/>
          <w:color w:val="auto"/>
          <w:sz w:val="24"/>
          <w:szCs w:val="24"/>
          <w:highlight w:val="none"/>
        </w:rPr>
      </w:pPr>
      <w:r>
        <w:rPr>
          <w:rFonts w:hint="eastAsia" w:ascii="宋体" w:eastAsia="宋体"/>
          <w:color w:val="auto"/>
          <w:sz w:val="24"/>
          <w:szCs w:val="24"/>
          <w:highlight w:val="none"/>
        </w:rPr>
        <w:t>5.4.3其他</w:t>
      </w:r>
      <w:r>
        <w:rPr>
          <w:rFonts w:hint="eastAsia" w:ascii="宋体" w:eastAsia="宋体"/>
          <w:color w:val="auto"/>
          <w:sz w:val="24"/>
          <w:szCs w:val="24"/>
          <w:highlight w:val="none"/>
          <w:lang w:eastAsia="zh-CN"/>
        </w:rPr>
        <w:t>：</w:t>
      </w:r>
      <w:r>
        <w:rPr>
          <w:rFonts w:hint="eastAsia" w:ascii="宋体" w:eastAsia="宋体"/>
          <w:color w:val="auto"/>
          <w:sz w:val="24"/>
          <w:szCs w:val="24"/>
          <w:highlight w:val="none"/>
        </w:rPr>
        <w:t>见投标人须知前附表。</w:t>
      </w:r>
    </w:p>
    <w:p w14:paraId="160A9578">
      <w:pPr>
        <w:widowControl w:val="0"/>
        <w:kinsoku/>
        <w:autoSpaceDE/>
        <w:autoSpaceDN/>
        <w:adjustRightInd/>
        <w:snapToGrid/>
        <w:spacing w:line="360" w:lineRule="auto"/>
        <w:jc w:val="both"/>
        <w:textAlignment w:val="auto"/>
        <w:outlineLvl w:val="2"/>
        <w:rPr>
          <w:rFonts w:ascii="宋体" w:eastAsia="宋体" w:cs="Times New Roman"/>
          <w:b/>
          <w:bCs/>
          <w:snapToGrid/>
          <w:color w:val="auto"/>
          <w:kern w:val="2"/>
          <w:sz w:val="24"/>
          <w:szCs w:val="24"/>
          <w:highlight w:val="none"/>
        </w:rPr>
      </w:pPr>
      <w:bookmarkStart w:id="84" w:name="_Toc22455"/>
      <w:bookmarkStart w:id="85" w:name="_Toc16092"/>
      <w:bookmarkStart w:id="86" w:name="_Toc462184031"/>
      <w:bookmarkStart w:id="87" w:name="_Toc24594"/>
      <w:bookmarkStart w:id="88" w:name="_Toc31702"/>
      <w:bookmarkStart w:id="89" w:name="_Toc27905"/>
      <w:bookmarkStart w:id="90" w:name="_Toc25932"/>
      <w:bookmarkStart w:id="91" w:name="_Toc24644"/>
      <w:bookmarkStart w:id="92" w:name="_Toc22922"/>
      <w:bookmarkStart w:id="93" w:name="_Toc9230"/>
      <w:bookmarkStart w:id="94" w:name="_Toc24156"/>
      <w:bookmarkStart w:id="95" w:name="_Toc24695"/>
      <w:bookmarkStart w:id="96" w:name="_Toc15636"/>
      <w:bookmarkStart w:id="97" w:name="_Toc153981473"/>
      <w:r>
        <w:rPr>
          <w:rFonts w:hint="eastAsia" w:ascii="宋体" w:eastAsia="宋体" w:cs="Times New Roman"/>
          <w:b/>
          <w:bCs/>
          <w:snapToGrid/>
          <w:color w:val="auto"/>
          <w:kern w:val="2"/>
          <w:sz w:val="24"/>
          <w:szCs w:val="24"/>
          <w:highlight w:val="none"/>
        </w:rPr>
        <w:t>6</w:t>
      </w:r>
      <w:r>
        <w:rPr>
          <w:rFonts w:ascii="宋体" w:eastAsia="宋体" w:cs="Times New Roman"/>
          <w:b/>
          <w:bCs/>
          <w:snapToGrid/>
          <w:color w:val="auto"/>
          <w:kern w:val="2"/>
          <w:sz w:val="24"/>
          <w:szCs w:val="24"/>
          <w:highlight w:val="none"/>
        </w:rPr>
        <w:t>.</w:t>
      </w:r>
      <w:r>
        <w:rPr>
          <w:rFonts w:hint="eastAsia" w:ascii="宋体" w:eastAsia="宋体" w:cs="Times New Roman"/>
          <w:b/>
          <w:bCs/>
          <w:snapToGrid/>
          <w:color w:val="auto"/>
          <w:kern w:val="2"/>
          <w:sz w:val="24"/>
          <w:szCs w:val="24"/>
          <w:highlight w:val="none"/>
        </w:rPr>
        <w:t>评标</w:t>
      </w:r>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04AF2B5D">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98" w:name="_Toc193449944"/>
      <w:r>
        <w:rPr>
          <w:rFonts w:hint="eastAsia" w:ascii="宋体" w:eastAsia="宋体" w:cs="Times New Roman"/>
          <w:b/>
          <w:snapToGrid/>
          <w:color w:val="auto"/>
          <w:kern w:val="2"/>
          <w:sz w:val="24"/>
          <w:szCs w:val="24"/>
          <w:highlight w:val="none"/>
        </w:rPr>
        <w:t>6.1评标委员会</w:t>
      </w:r>
      <w:bookmarkEnd w:id="98"/>
    </w:p>
    <w:p w14:paraId="65059A87">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4639DC9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6.1.2评标委员会成员有下列情形之一的，应当回避：</w:t>
      </w:r>
    </w:p>
    <w:p w14:paraId="022257E5">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6.1.2.1投标人或投标人的主要负责人及其拟派项目负责人的近亲属；</w:t>
      </w:r>
    </w:p>
    <w:p w14:paraId="1E258BFC">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6.1.2.2项目主管部门或者行政监督部门的人员：</w:t>
      </w:r>
    </w:p>
    <w:p w14:paraId="4793A03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6.1.2.3与投标人有经济利益关系，可能影响对投标公正评审的；</w:t>
      </w:r>
    </w:p>
    <w:p w14:paraId="534A40B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6.1.2.4曾因在招标、评标以及其他与招标投标有关活动中有过不良行为或从事违法行为而受过行政处罚或刑事处罚的。</w:t>
      </w:r>
    </w:p>
    <w:p w14:paraId="70985837">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99" w:name="_Toc193449945"/>
      <w:r>
        <w:rPr>
          <w:rFonts w:hint="eastAsia" w:ascii="宋体" w:eastAsia="宋体" w:cs="Times New Roman"/>
          <w:b/>
          <w:snapToGrid/>
          <w:color w:val="auto"/>
          <w:kern w:val="2"/>
          <w:sz w:val="24"/>
          <w:szCs w:val="24"/>
          <w:highlight w:val="none"/>
        </w:rPr>
        <w:t>6.2评标原则</w:t>
      </w:r>
    </w:p>
    <w:p w14:paraId="67CE54E3">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评标活动遵循公平、公正、科学、择优的原则。</w:t>
      </w:r>
    </w:p>
    <w:p w14:paraId="55DB294F">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r>
        <w:rPr>
          <w:rFonts w:hint="eastAsia" w:ascii="宋体" w:eastAsia="宋体" w:cs="Times New Roman"/>
          <w:b/>
          <w:snapToGrid/>
          <w:color w:val="auto"/>
          <w:kern w:val="2"/>
          <w:sz w:val="24"/>
          <w:szCs w:val="24"/>
          <w:highlight w:val="none"/>
        </w:rPr>
        <w:t>6.3评标过程的保密</w:t>
      </w:r>
      <w:bookmarkEnd w:id="99"/>
    </w:p>
    <w:p w14:paraId="492DDC2A">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6.3.1开标后，直至授予中标人合同为止，凡属于对投标文件的审查、澄清、评价和比较的有关资料，以及与评标有关的其他任何情况均应严格保密。</w:t>
      </w:r>
    </w:p>
    <w:p w14:paraId="5B73A62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6.3.2在投标文件的评审和比较、中标候选人推荐以及授予合同的过程中，投标人向招标人和评标委员会施加影响的任何行为，都将会导致其投标被拒绝。</w:t>
      </w:r>
    </w:p>
    <w:p w14:paraId="64D36D35">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6.3.3中标人确定后，招标人不对未中标人就评标过程以及未能中标原因作出任何解释。</w:t>
      </w:r>
    </w:p>
    <w:p w14:paraId="7B6FD950">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100" w:name="_Toc193449946"/>
      <w:r>
        <w:rPr>
          <w:rFonts w:hint="eastAsia" w:ascii="宋体" w:eastAsia="宋体" w:cs="Times New Roman"/>
          <w:b/>
          <w:snapToGrid/>
          <w:color w:val="auto"/>
          <w:kern w:val="2"/>
          <w:sz w:val="24"/>
          <w:szCs w:val="24"/>
          <w:highlight w:val="none"/>
        </w:rPr>
        <w:t>6.4评标</w:t>
      </w:r>
      <w:bookmarkEnd w:id="100"/>
    </w:p>
    <w:p w14:paraId="05CE6322">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4166264A">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ascii="宋体" w:eastAsia="宋体" w:cs="Times New Roman"/>
          <w:snapToGrid/>
          <w:color w:val="auto"/>
          <w:kern w:val="2"/>
          <w:sz w:val="24"/>
          <w:szCs w:val="24"/>
          <w:highlight w:val="none"/>
        </w:rPr>
        <w:t>6.</w:t>
      </w:r>
      <w:r>
        <w:rPr>
          <w:rFonts w:hint="eastAsia" w:ascii="宋体" w:eastAsia="宋体" w:cs="Times New Roman"/>
          <w:snapToGrid/>
          <w:color w:val="auto"/>
          <w:kern w:val="2"/>
          <w:sz w:val="24"/>
          <w:szCs w:val="24"/>
          <w:highlight w:val="none"/>
        </w:rPr>
        <w:t>4</w:t>
      </w:r>
      <w:r>
        <w:rPr>
          <w:rFonts w:ascii="宋体" w:eastAsia="宋体" w:cs="Times New Roman"/>
          <w:snapToGrid/>
          <w:color w:val="auto"/>
          <w:kern w:val="2"/>
          <w:sz w:val="24"/>
          <w:szCs w:val="24"/>
          <w:highlight w:val="none"/>
        </w:rPr>
        <w:t>.2评标完成后，评标委员会应当向招标人提交书面评标报告和中标候选人名单。评标委员会推荐中标候选人的人数见投标人须知前附表。</w:t>
      </w:r>
    </w:p>
    <w:p w14:paraId="6A5734EF">
      <w:pPr>
        <w:keepNext/>
        <w:keepLines/>
        <w:widowControl w:val="0"/>
        <w:kinsoku/>
        <w:autoSpaceDE/>
        <w:autoSpaceDN/>
        <w:adjustRightInd/>
        <w:snapToGrid/>
        <w:spacing w:before="120" w:beforeLines="50" w:line="360" w:lineRule="auto"/>
        <w:jc w:val="both"/>
        <w:textAlignment w:val="auto"/>
        <w:outlineLvl w:val="2"/>
        <w:rPr>
          <w:rFonts w:ascii="宋体" w:eastAsia="宋体" w:cs="Times New Roman"/>
          <w:b/>
          <w:bCs/>
          <w:snapToGrid/>
          <w:color w:val="auto"/>
          <w:kern w:val="2"/>
          <w:sz w:val="24"/>
          <w:szCs w:val="24"/>
          <w:highlight w:val="none"/>
        </w:rPr>
      </w:pPr>
      <w:bookmarkStart w:id="101" w:name="_Toc28621"/>
      <w:bookmarkStart w:id="102" w:name="_Toc29415"/>
      <w:bookmarkStart w:id="103" w:name="_Toc11303"/>
      <w:bookmarkStart w:id="104" w:name="_Toc19661"/>
      <w:bookmarkStart w:id="105" w:name="_Toc8865"/>
      <w:bookmarkStart w:id="106" w:name="_Toc17051"/>
      <w:bookmarkStart w:id="107" w:name="_Toc28153"/>
      <w:bookmarkStart w:id="108" w:name="_Toc153981474"/>
      <w:bookmarkStart w:id="109" w:name="_Toc12652"/>
      <w:bookmarkStart w:id="110" w:name="_Toc462184032"/>
      <w:bookmarkStart w:id="111" w:name="_Toc7704"/>
      <w:bookmarkStart w:id="112" w:name="_Toc21714"/>
      <w:bookmarkStart w:id="113" w:name="_Toc13493"/>
      <w:bookmarkStart w:id="114" w:name="_Toc18956"/>
      <w:r>
        <w:rPr>
          <w:rFonts w:hint="eastAsia" w:ascii="宋体" w:eastAsia="宋体" w:cs="Times New Roman"/>
          <w:b/>
          <w:bCs/>
          <w:snapToGrid/>
          <w:color w:val="auto"/>
          <w:kern w:val="2"/>
          <w:sz w:val="24"/>
          <w:szCs w:val="24"/>
          <w:highlight w:val="none"/>
        </w:rPr>
        <w:t>7</w:t>
      </w:r>
      <w:r>
        <w:rPr>
          <w:rFonts w:ascii="宋体" w:eastAsia="宋体" w:cs="Times New Roman"/>
          <w:b/>
          <w:bCs/>
          <w:snapToGrid/>
          <w:color w:val="auto"/>
          <w:kern w:val="2"/>
          <w:sz w:val="24"/>
          <w:szCs w:val="24"/>
          <w:highlight w:val="none"/>
        </w:rPr>
        <w:t>.</w:t>
      </w:r>
      <w:r>
        <w:rPr>
          <w:rFonts w:hint="eastAsia" w:ascii="宋体" w:eastAsia="宋体" w:cs="Times New Roman"/>
          <w:b/>
          <w:bCs/>
          <w:snapToGrid/>
          <w:color w:val="auto"/>
          <w:kern w:val="2"/>
          <w:sz w:val="24"/>
          <w:szCs w:val="24"/>
          <w:highlight w:val="none"/>
        </w:rPr>
        <w:t>合同授予</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Start w:id="115" w:name="_Toc193449947"/>
    </w:p>
    <w:p w14:paraId="7341434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☑7.1定标方式</w:t>
      </w:r>
    </w:p>
    <w:p w14:paraId="04BDBBD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43C387D6">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授权评标委员会推荐中标候选人的见投标人须知前附表。</w:t>
      </w:r>
    </w:p>
    <w:p w14:paraId="3CCBB973">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hint="eastAsia" w:ascii="宋体" w:eastAsia="宋体" w:cs="Times New Roman"/>
          <w:strike/>
          <w:snapToGrid/>
          <w:color w:val="auto"/>
          <w:kern w:val="2"/>
          <w:sz w:val="24"/>
          <w:szCs w:val="24"/>
          <w:highlight w:val="none"/>
        </w:rPr>
        <w:t>□7.1定标方式（</w:t>
      </w:r>
      <w:r>
        <w:rPr>
          <w:rFonts w:hint="eastAsia" w:ascii="宋体" w:eastAsia="宋体" w:cs="宋体"/>
          <w:strike/>
          <w:snapToGrid/>
          <w:color w:val="auto"/>
          <w:kern w:val="2"/>
          <w:sz w:val="24"/>
          <w:szCs w:val="24"/>
          <w:highlight w:val="none"/>
        </w:rPr>
        <w:t>适用“评定分离”</w:t>
      </w:r>
      <w:r>
        <w:rPr>
          <w:rFonts w:hint="eastAsia" w:ascii="宋体" w:eastAsia="宋体" w:cs="Times New Roman"/>
          <w:strike/>
          <w:snapToGrid/>
          <w:color w:val="auto"/>
          <w:kern w:val="2"/>
          <w:sz w:val="24"/>
          <w:szCs w:val="24"/>
          <w:highlight w:val="none"/>
        </w:rPr>
        <w:t>）</w:t>
      </w:r>
    </w:p>
    <w:p w14:paraId="6917553C">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hint="eastAsia" w:ascii="宋体" w:eastAsia="宋体" w:cs="Times New Roman"/>
          <w:strike/>
          <w:snapToGrid/>
          <w:color w:val="auto"/>
          <w:kern w:val="2"/>
          <w:sz w:val="24"/>
          <w:szCs w:val="24"/>
          <w:highlight w:val="none"/>
        </w:rPr>
        <w:t>按照《浙江省工程建设项目招标投标“评定分离”操作指引（试行）》（浙发改公管〔2023〕256号）、《绍兴市工程建设项目招标投标“评定分离”试点定标操作指引（试行）》（绍市政服办〔2023〕17号）确定，由招标人在招标文件中明确。</w:t>
      </w:r>
    </w:p>
    <w:p w14:paraId="4815A41B">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hint="eastAsia" w:ascii="宋体" w:eastAsia="宋体" w:cs="Times New Roman"/>
          <w:strike/>
          <w:snapToGrid/>
          <w:color w:val="auto"/>
          <w:kern w:val="2"/>
          <w:sz w:val="24"/>
          <w:szCs w:val="24"/>
          <w:highlight w:val="none"/>
        </w:rPr>
        <w:t>7.1.1中标候选人公示</w:t>
      </w:r>
    </w:p>
    <w:p w14:paraId="7D762F09">
      <w:pPr>
        <w:widowControl w:val="0"/>
        <w:kinsoku/>
        <w:autoSpaceDE/>
        <w:autoSpaceDN/>
        <w:adjustRightInd/>
        <w:snapToGrid/>
        <w:spacing w:line="360" w:lineRule="auto"/>
        <w:ind w:firstLine="480" w:firstLineChars="200"/>
        <w:jc w:val="both"/>
        <w:textAlignment w:val="auto"/>
        <w:rPr>
          <w:rFonts w:ascii="宋体" w:eastAsia="宋体" w:cs="宋体"/>
          <w:strike/>
          <w:snapToGrid/>
          <w:color w:val="auto"/>
          <w:kern w:val="2"/>
          <w:sz w:val="24"/>
          <w:szCs w:val="24"/>
          <w:highlight w:val="none"/>
        </w:rPr>
      </w:pPr>
      <w:r>
        <w:rPr>
          <w:rFonts w:hint="eastAsia" w:ascii="宋体" w:eastAsia="宋体" w:cs="宋体"/>
          <w:strike/>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42FDB042">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hint="eastAsia" w:ascii="宋体" w:eastAsia="宋体" w:cs="Times New Roman"/>
          <w:strike/>
          <w:snapToGrid/>
          <w:color w:val="auto"/>
          <w:kern w:val="2"/>
          <w:sz w:val="24"/>
          <w:szCs w:val="24"/>
          <w:highlight w:val="none"/>
        </w:rPr>
        <w:t>7.1.2定标会议时间和地点</w:t>
      </w:r>
    </w:p>
    <w:p w14:paraId="400204C7">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hint="eastAsia" w:ascii="宋体" w:eastAsia="宋体" w:cs="Times New Roman"/>
          <w:strike/>
          <w:snapToGrid/>
          <w:color w:val="auto"/>
          <w:kern w:val="2"/>
          <w:sz w:val="24"/>
          <w:szCs w:val="24"/>
          <w:highlight w:val="none"/>
        </w:rPr>
        <w:t>招标人在投标须知前附表规定的时间和地点召</w:t>
      </w:r>
      <w:r>
        <w:rPr>
          <w:rFonts w:ascii="宋体" w:eastAsia="宋体" w:cs="Times New Roman"/>
          <w:strike/>
          <w:snapToGrid/>
          <w:color w:val="auto"/>
          <w:kern w:val="2"/>
          <w:sz w:val="24"/>
          <w:szCs w:val="24"/>
          <w:highlight w:val="none"/>
        </w:rPr>
        <w:t>开定标会议，</w:t>
      </w:r>
      <w:r>
        <w:rPr>
          <w:rFonts w:hint="eastAsia" w:ascii="宋体" w:eastAsia="宋体" w:cs="Times New Roman"/>
          <w:strike/>
          <w:snapToGrid/>
          <w:color w:val="auto"/>
          <w:kern w:val="2"/>
          <w:sz w:val="24"/>
          <w:szCs w:val="24"/>
          <w:highlight w:val="none"/>
        </w:rPr>
        <w:t>并全程录音录像。</w:t>
      </w:r>
    </w:p>
    <w:p w14:paraId="4F941684">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hint="eastAsia" w:ascii="宋体" w:eastAsia="宋体" w:cs="Times New Roman"/>
          <w:strike/>
          <w:snapToGrid/>
          <w:color w:val="auto"/>
          <w:kern w:val="2"/>
          <w:sz w:val="24"/>
          <w:szCs w:val="24"/>
          <w:highlight w:val="none"/>
        </w:rPr>
        <w:t>7.1.3定标委员会的组成见投标人须知前附表。定标委员会成员与中标候选人有利害关系的应主动说明并申请回避，定</w:t>
      </w:r>
      <w:r>
        <w:rPr>
          <w:rFonts w:ascii="宋体" w:eastAsia="宋体" w:cs="Times New Roman"/>
          <w:strike/>
          <w:snapToGrid/>
          <w:color w:val="auto"/>
          <w:kern w:val="2"/>
          <w:sz w:val="24"/>
          <w:szCs w:val="24"/>
          <w:highlight w:val="none"/>
        </w:rPr>
        <w:t>标委员会名单在中标结果确定前保密</w:t>
      </w:r>
      <w:r>
        <w:rPr>
          <w:rFonts w:hint="eastAsia" w:ascii="宋体" w:eastAsia="宋体" w:cs="Times New Roman"/>
          <w:strike/>
          <w:snapToGrid/>
          <w:color w:val="auto"/>
          <w:kern w:val="2"/>
          <w:sz w:val="24"/>
          <w:szCs w:val="24"/>
          <w:highlight w:val="none"/>
        </w:rPr>
        <w:t>。</w:t>
      </w:r>
    </w:p>
    <w:p w14:paraId="26E4CC9A">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hint="eastAsia" w:ascii="宋体" w:eastAsia="宋体" w:cs="Times New Roman"/>
          <w:strike/>
          <w:snapToGrid/>
          <w:color w:val="auto"/>
          <w:kern w:val="2"/>
          <w:sz w:val="24"/>
          <w:szCs w:val="24"/>
          <w:highlight w:val="none"/>
        </w:rPr>
        <w:t>7.1.4定标要素</w:t>
      </w:r>
    </w:p>
    <w:p w14:paraId="47D399DD">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hint="eastAsia" w:ascii="宋体" w:eastAsia="宋体" w:cs="Times New Roman"/>
          <w:strike/>
          <w:snapToGrid/>
          <w:color w:val="auto"/>
          <w:kern w:val="2"/>
          <w:sz w:val="24"/>
          <w:szCs w:val="24"/>
          <w:highlight w:val="none"/>
        </w:rPr>
        <w:t>7.1.4.1招标人可在投标须知前附表规定的时间前对所有中标候选人进行考</w:t>
      </w:r>
      <w:r>
        <w:rPr>
          <w:rFonts w:ascii="宋体" w:eastAsia="宋体" w:cs="Times New Roman"/>
          <w:strike/>
          <w:snapToGrid/>
          <w:color w:val="auto"/>
          <w:kern w:val="2"/>
          <w:sz w:val="24"/>
          <w:szCs w:val="24"/>
          <w:highlight w:val="none"/>
        </w:rPr>
        <w:t>察、质询。考察、质询小组应由投标须知前附表规定的人数组成。考察、质询小组应如实记录考察、质询情况，并出具考察、质询报告作为定标要素之一。考察、质询报告应客观公正，不得有明示或暗示中标人的内容</w:t>
      </w:r>
      <w:r>
        <w:rPr>
          <w:rFonts w:hint="eastAsia" w:ascii="宋体" w:eastAsia="宋体" w:cs="Times New Roman"/>
          <w:strike/>
          <w:snapToGrid/>
          <w:color w:val="auto"/>
          <w:kern w:val="2"/>
          <w:sz w:val="24"/>
          <w:szCs w:val="24"/>
          <w:highlight w:val="none"/>
        </w:rPr>
        <w:t>。</w:t>
      </w:r>
    </w:p>
    <w:p w14:paraId="22C6ED39">
      <w:pPr>
        <w:widowControl w:val="0"/>
        <w:kinsoku/>
        <w:autoSpaceDE/>
        <w:autoSpaceDN/>
        <w:adjustRightInd/>
        <w:snapToGrid/>
        <w:spacing w:line="360" w:lineRule="auto"/>
        <w:ind w:firstLine="480" w:firstLineChars="200"/>
        <w:jc w:val="both"/>
        <w:textAlignment w:val="auto"/>
        <w:rPr>
          <w:rFonts w:ascii="Times New Roman" w:hAnsi="Times New Roman" w:eastAsia="宋体" w:cs="Times New Roman"/>
          <w:strike/>
          <w:snapToGrid/>
          <w:color w:val="auto"/>
          <w:kern w:val="2"/>
          <w:sz w:val="24"/>
          <w:szCs w:val="24"/>
          <w:highlight w:val="none"/>
        </w:rPr>
      </w:pPr>
      <w:r>
        <w:rPr>
          <w:rFonts w:hint="eastAsia" w:ascii="宋体" w:eastAsia="宋体" w:cs="Times New Roman"/>
          <w:strike/>
          <w:snapToGrid/>
          <w:color w:val="auto"/>
          <w:kern w:val="2"/>
          <w:sz w:val="24"/>
          <w:szCs w:val="24"/>
          <w:highlight w:val="none"/>
        </w:rPr>
        <w:t>7.1.4.2</w:t>
      </w:r>
      <w:r>
        <w:rPr>
          <w:rFonts w:ascii="宋体" w:eastAsia="宋体" w:cs="Times New Roman"/>
          <w:strike/>
          <w:snapToGrid/>
          <w:color w:val="auto"/>
          <w:kern w:val="2"/>
          <w:sz w:val="24"/>
          <w:szCs w:val="24"/>
          <w:highlight w:val="none"/>
        </w:rPr>
        <w:t>招标人在定标阶段对中标候选人（联合体投标的，为联合体牵头人）的法定代表人</w:t>
      </w:r>
      <w:r>
        <w:rPr>
          <w:rFonts w:hint="eastAsia" w:ascii="宋体" w:eastAsia="宋体" w:cs="Times New Roman"/>
          <w:strike/>
          <w:snapToGrid/>
          <w:color w:val="auto"/>
          <w:kern w:val="2"/>
          <w:sz w:val="24"/>
          <w:szCs w:val="24"/>
          <w:highlight w:val="none"/>
        </w:rPr>
        <w:t>、</w:t>
      </w:r>
      <w:r>
        <w:rPr>
          <w:rFonts w:ascii="宋体" w:eastAsia="宋体" w:cs="Times New Roman"/>
          <w:strike/>
          <w:snapToGrid/>
          <w:color w:val="auto"/>
          <w:kern w:val="2"/>
          <w:sz w:val="24"/>
          <w:szCs w:val="24"/>
          <w:highlight w:val="none"/>
        </w:rPr>
        <w:t>拟派项目负责人开展现场面试。现场面试由定标委员会具体实施。</w:t>
      </w:r>
    </w:p>
    <w:p w14:paraId="180E5953">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7.</w:t>
      </w:r>
      <w:r>
        <w:rPr>
          <w:rFonts w:hint="eastAsia" w:ascii="宋体" w:eastAsia="宋体" w:cs="Times New Roman"/>
          <w:strike/>
          <w:snapToGrid/>
          <w:color w:val="auto"/>
          <w:kern w:val="2"/>
          <w:sz w:val="24"/>
          <w:szCs w:val="24"/>
          <w:highlight w:val="none"/>
        </w:rPr>
        <w:t>1.4.3</w:t>
      </w:r>
      <w:r>
        <w:rPr>
          <w:rFonts w:ascii="宋体" w:eastAsia="宋体" w:cs="Times New Roman"/>
          <w:strike/>
          <w:snapToGrid/>
          <w:color w:val="auto"/>
          <w:kern w:val="2"/>
          <w:sz w:val="24"/>
          <w:szCs w:val="24"/>
          <w:highlight w:val="none"/>
        </w:rPr>
        <w:t>定标要素应参考评标委员会评标报告、质询或考察报告、现场面试情况，此外，还可以包含以下要素：</w:t>
      </w:r>
    </w:p>
    <w:p w14:paraId="3FEE7D4F">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（1）价格因素：主要包括商务报价高低、不平衡报价情况等；</w:t>
      </w:r>
    </w:p>
    <w:p w14:paraId="66D57DE9">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（2）企业实力：主要包括企业规模、资质等级、专业技术人员规模、近年的财务状况、过往业绩（含业绩影响力、难易程度）等；</w:t>
      </w:r>
    </w:p>
    <w:p w14:paraId="1AF92CD1">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（3）企业信誉：主要包括企业信用情况、过往业绩履约情况、建设单位履约评价情况等（可查询全国和浙江省建筑市场监管公共服务系统等）；</w:t>
      </w:r>
    </w:p>
    <w:p w14:paraId="695507AD">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（4）投标方案：主要包括</w:t>
      </w:r>
      <w:r>
        <w:rPr>
          <w:rFonts w:hint="eastAsia" w:ascii="宋体" w:eastAsia="宋体" w:cs="Times New Roman"/>
          <w:strike/>
          <w:snapToGrid/>
          <w:color w:val="auto"/>
          <w:kern w:val="2"/>
          <w:sz w:val="24"/>
          <w:szCs w:val="24"/>
          <w:highlight w:val="none"/>
        </w:rPr>
        <w:t>设计方案</w:t>
      </w:r>
      <w:r>
        <w:rPr>
          <w:rFonts w:ascii="宋体" w:eastAsia="宋体" w:cs="Times New Roman"/>
          <w:strike/>
          <w:snapToGrid/>
          <w:color w:val="auto"/>
          <w:kern w:val="2"/>
          <w:sz w:val="24"/>
          <w:szCs w:val="24"/>
          <w:highlight w:val="none"/>
        </w:rPr>
        <w:t>情况、</w:t>
      </w:r>
      <w:r>
        <w:rPr>
          <w:rFonts w:hint="eastAsia" w:ascii="宋体" w:eastAsia="宋体" w:cs="Times New Roman"/>
          <w:strike/>
          <w:snapToGrid/>
          <w:color w:val="auto"/>
          <w:kern w:val="2"/>
          <w:sz w:val="24"/>
          <w:szCs w:val="24"/>
          <w:highlight w:val="none"/>
        </w:rPr>
        <w:t>设计</w:t>
      </w:r>
      <w:r>
        <w:rPr>
          <w:rFonts w:ascii="宋体" w:eastAsia="宋体" w:cs="Times New Roman"/>
          <w:strike/>
          <w:snapToGrid/>
          <w:color w:val="auto"/>
          <w:kern w:val="2"/>
          <w:sz w:val="24"/>
          <w:szCs w:val="24"/>
          <w:highlight w:val="none"/>
        </w:rPr>
        <w:t>重难点解决方案等；</w:t>
      </w:r>
    </w:p>
    <w:p w14:paraId="5FFB5EEE">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（5）拟派团队能力与水平：主要包括团队主要负责人类似工程业绩、拟派项目团队人员的资信实力等；</w:t>
      </w:r>
    </w:p>
    <w:p w14:paraId="6D510685">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（6）联合体投标的，联合体组成情况；</w:t>
      </w:r>
    </w:p>
    <w:p w14:paraId="3C2191B6">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w:t>
      </w:r>
      <w:r>
        <w:rPr>
          <w:rFonts w:hint="eastAsia" w:ascii="宋体" w:eastAsia="宋体" w:cs="Times New Roman"/>
          <w:strike/>
          <w:snapToGrid/>
          <w:color w:val="auto"/>
          <w:kern w:val="2"/>
          <w:sz w:val="24"/>
          <w:szCs w:val="24"/>
          <w:highlight w:val="none"/>
        </w:rPr>
        <w:t>7</w:t>
      </w:r>
      <w:r>
        <w:rPr>
          <w:rFonts w:ascii="宋体" w:eastAsia="宋体" w:cs="Times New Roman"/>
          <w:strike/>
          <w:snapToGrid/>
          <w:color w:val="auto"/>
          <w:kern w:val="2"/>
          <w:sz w:val="24"/>
          <w:szCs w:val="24"/>
          <w:highlight w:val="none"/>
        </w:rPr>
        <w:t>）招标人认为需要考量</w:t>
      </w:r>
      <w:r>
        <w:rPr>
          <w:rFonts w:hint="eastAsia" w:ascii="宋体" w:eastAsia="宋体" w:cs="Times New Roman"/>
          <w:strike/>
          <w:snapToGrid/>
          <w:color w:val="auto"/>
          <w:kern w:val="2"/>
          <w:sz w:val="24"/>
          <w:szCs w:val="24"/>
          <w:highlight w:val="none"/>
        </w:rPr>
        <w:t>的其他因素。</w:t>
      </w:r>
    </w:p>
    <w:p w14:paraId="708B0D4E">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hint="eastAsia" w:ascii="宋体" w:eastAsia="宋体" w:cs="Times New Roman"/>
          <w:strike/>
          <w:snapToGrid/>
          <w:color w:val="auto"/>
          <w:kern w:val="2"/>
          <w:sz w:val="24"/>
          <w:szCs w:val="24"/>
          <w:highlight w:val="none"/>
        </w:rPr>
        <w:t>7.1.5</w:t>
      </w:r>
      <w:r>
        <w:rPr>
          <w:rFonts w:ascii="宋体" w:eastAsia="宋体" w:cs="Times New Roman"/>
          <w:strike/>
          <w:snapToGrid/>
          <w:color w:val="auto"/>
          <w:kern w:val="2"/>
          <w:sz w:val="24"/>
          <w:szCs w:val="24"/>
          <w:highlight w:val="none"/>
        </w:rPr>
        <w:t>定标方法可采用下列方法或者下列方法的组合：</w:t>
      </w:r>
    </w:p>
    <w:p w14:paraId="7950F873">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（1）票决法。由定标委员会以直接票决或者逐轮票决的方式确定中标人。</w:t>
      </w:r>
    </w:p>
    <w:p w14:paraId="467914E4">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（2）集体议事法。由定标委员会进行集体商议，定标委员会成员各自发表意见，由定标委员会组长最终确定中标人。所有参加会议的定标委员会成员的意见应当作书面记录，并由定标委员会成员签字确认。</w:t>
      </w:r>
    </w:p>
    <w:p w14:paraId="70E07ED6">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（3）投标须知前附表规定的其他定标办法</w:t>
      </w:r>
      <w:r>
        <w:rPr>
          <w:rFonts w:hint="eastAsia" w:ascii="宋体" w:eastAsia="宋体" w:cs="Times New Roman"/>
          <w:strike/>
          <w:snapToGrid/>
          <w:color w:val="auto"/>
          <w:kern w:val="2"/>
          <w:sz w:val="24"/>
          <w:szCs w:val="24"/>
          <w:highlight w:val="none"/>
        </w:rPr>
        <w:t>。</w:t>
      </w:r>
    </w:p>
    <w:p w14:paraId="300C855A">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hint="eastAsia" w:ascii="宋体" w:eastAsia="宋体" w:cs="Times New Roman"/>
          <w:strike/>
          <w:snapToGrid/>
          <w:color w:val="auto"/>
          <w:kern w:val="2"/>
          <w:sz w:val="24"/>
          <w:szCs w:val="24"/>
          <w:highlight w:val="none"/>
        </w:rPr>
        <w:t>7.1.6中标人</w:t>
      </w:r>
      <w:r>
        <w:rPr>
          <w:rFonts w:ascii="宋体" w:eastAsia="宋体" w:cs="Times New Roman"/>
          <w:strike/>
          <w:snapToGrid/>
          <w:color w:val="auto"/>
          <w:kern w:val="2"/>
          <w:sz w:val="24"/>
          <w:szCs w:val="24"/>
          <w:highlight w:val="none"/>
        </w:rPr>
        <w:t>公</w:t>
      </w:r>
      <w:r>
        <w:rPr>
          <w:rFonts w:hint="eastAsia" w:ascii="宋体" w:eastAsia="宋体" w:cs="Times New Roman"/>
          <w:strike/>
          <w:snapToGrid/>
          <w:color w:val="auto"/>
          <w:kern w:val="2"/>
          <w:sz w:val="24"/>
          <w:szCs w:val="24"/>
          <w:highlight w:val="none"/>
        </w:rPr>
        <w:t>告</w:t>
      </w:r>
      <w:r>
        <w:rPr>
          <w:rFonts w:ascii="宋体" w:eastAsia="宋体" w:cs="Times New Roman"/>
          <w:strike/>
          <w:snapToGrid/>
          <w:color w:val="auto"/>
          <w:kern w:val="2"/>
          <w:sz w:val="24"/>
          <w:szCs w:val="24"/>
          <w:highlight w:val="none"/>
        </w:rPr>
        <w:t>媒介及期限</w:t>
      </w:r>
    </w:p>
    <w:p w14:paraId="63DC0E07">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招标人应当将中标结果情况在投标须知前附表规定的媒介上公告不少于3日。</w:t>
      </w:r>
    </w:p>
    <w:p w14:paraId="24C44D82">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7.</w:t>
      </w:r>
      <w:r>
        <w:rPr>
          <w:rFonts w:hint="eastAsia" w:ascii="宋体" w:eastAsia="宋体" w:cs="Times New Roman"/>
          <w:strike/>
          <w:snapToGrid/>
          <w:color w:val="auto"/>
          <w:kern w:val="2"/>
          <w:sz w:val="24"/>
          <w:szCs w:val="24"/>
          <w:highlight w:val="none"/>
        </w:rPr>
        <w:t>1.7</w:t>
      </w:r>
      <w:r>
        <w:rPr>
          <w:rFonts w:ascii="宋体" w:eastAsia="宋体" w:cs="Times New Roman"/>
          <w:strike/>
          <w:snapToGrid/>
          <w:color w:val="auto"/>
          <w:kern w:val="2"/>
          <w:sz w:val="24"/>
          <w:szCs w:val="24"/>
          <w:highlight w:val="none"/>
        </w:rPr>
        <w:t>定标后有下列情形之一的，招标人可以组织原定标委员会从其他中标候选人中按原定标方法确定中标人：</w:t>
      </w:r>
    </w:p>
    <w:p w14:paraId="3ADD9F9F">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（1）中标人放弃中标资格或者拒不签订合同的；</w:t>
      </w:r>
    </w:p>
    <w:p w14:paraId="4ABF8535">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（2）中标人被查实存在违法行为影响中标结果的；</w:t>
      </w:r>
    </w:p>
    <w:p w14:paraId="0EA3203D">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（3）投标须知前附表规定的其他情形。</w:t>
      </w:r>
    </w:p>
    <w:p w14:paraId="274D2FF5">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7.</w:t>
      </w:r>
      <w:r>
        <w:rPr>
          <w:rFonts w:hint="eastAsia" w:ascii="宋体" w:eastAsia="宋体" w:cs="Times New Roman"/>
          <w:strike/>
          <w:snapToGrid/>
          <w:color w:val="auto"/>
          <w:kern w:val="2"/>
          <w:sz w:val="24"/>
          <w:szCs w:val="24"/>
          <w:highlight w:val="none"/>
        </w:rPr>
        <w:t>1.8</w:t>
      </w:r>
      <w:r>
        <w:rPr>
          <w:rFonts w:ascii="宋体" w:eastAsia="宋体" w:cs="Times New Roman"/>
          <w:strike/>
          <w:snapToGrid/>
          <w:color w:val="auto"/>
          <w:kern w:val="2"/>
          <w:sz w:val="24"/>
          <w:szCs w:val="24"/>
          <w:highlight w:val="none"/>
        </w:rPr>
        <w:t>定标后有下列情形之一的，应重新定标：</w:t>
      </w:r>
    </w:p>
    <w:p w14:paraId="70F6E753">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（1）查实定标委员会未按定标办法公正履职的；</w:t>
      </w:r>
    </w:p>
    <w:p w14:paraId="21A827F5">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（2）有定标委员会成员与中标候选人有利害关系且未申请回避的；</w:t>
      </w:r>
    </w:p>
    <w:p w14:paraId="1F83C337">
      <w:pPr>
        <w:widowControl w:val="0"/>
        <w:kinsoku/>
        <w:autoSpaceDE/>
        <w:autoSpaceDN/>
        <w:adjustRightInd/>
        <w:snapToGrid/>
        <w:spacing w:line="360" w:lineRule="auto"/>
        <w:ind w:firstLine="480" w:firstLineChars="200"/>
        <w:jc w:val="both"/>
        <w:textAlignment w:val="auto"/>
        <w:rPr>
          <w:rFonts w:ascii="宋体" w:eastAsia="宋体" w:cs="Times New Roman"/>
          <w:strike/>
          <w:snapToGrid/>
          <w:color w:val="auto"/>
          <w:kern w:val="2"/>
          <w:sz w:val="24"/>
          <w:szCs w:val="24"/>
          <w:highlight w:val="none"/>
        </w:rPr>
      </w:pPr>
      <w:r>
        <w:rPr>
          <w:rFonts w:ascii="宋体" w:eastAsia="宋体" w:cs="Times New Roman"/>
          <w:strike/>
          <w:snapToGrid/>
          <w:color w:val="auto"/>
          <w:kern w:val="2"/>
          <w:sz w:val="24"/>
          <w:szCs w:val="24"/>
          <w:highlight w:val="none"/>
        </w:rPr>
        <w:t>（3）投标须知前附表规定的其他情形</w:t>
      </w:r>
      <w:r>
        <w:rPr>
          <w:rFonts w:hint="eastAsia" w:ascii="宋体" w:eastAsia="宋体" w:cs="Times New Roman"/>
          <w:strike/>
          <w:snapToGrid/>
          <w:color w:val="auto"/>
          <w:kern w:val="2"/>
          <w:sz w:val="24"/>
          <w:szCs w:val="24"/>
          <w:highlight w:val="none"/>
        </w:rPr>
        <w:t>。</w:t>
      </w:r>
    </w:p>
    <w:p w14:paraId="1CB2AF29">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r>
        <w:rPr>
          <w:rFonts w:hint="eastAsia" w:ascii="宋体" w:eastAsia="宋体" w:cs="Times New Roman"/>
          <w:b/>
          <w:snapToGrid/>
          <w:color w:val="auto"/>
          <w:kern w:val="2"/>
          <w:sz w:val="24"/>
          <w:szCs w:val="24"/>
          <w:highlight w:val="none"/>
        </w:rPr>
        <w:t>7.2合同授予</w:t>
      </w:r>
      <w:bookmarkEnd w:id="115"/>
    </w:p>
    <w:p w14:paraId="4E53288C">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7.2.1</w:t>
      </w:r>
      <w:r>
        <w:rPr>
          <w:rFonts w:ascii="宋体" w:eastAsia="宋体" w:cs="Times New Roman"/>
          <w:snapToGrid/>
          <w:color w:val="auto"/>
          <w:kern w:val="2"/>
          <w:sz w:val="24"/>
          <w:szCs w:val="24"/>
          <w:highlight w:val="none"/>
        </w:rPr>
        <w:t>中标候选人公示媒介及期限见投标人须知前附表。</w:t>
      </w:r>
    </w:p>
    <w:p w14:paraId="26C47873">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7.2.2本招标项目的设计合同将授予按本章第7.1条款所确定的中标人。</w:t>
      </w:r>
    </w:p>
    <w:p w14:paraId="5A7B56B4">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116" w:name="_Toc193449949"/>
      <w:r>
        <w:rPr>
          <w:rFonts w:hint="eastAsia" w:ascii="宋体" w:eastAsia="宋体" w:cs="Times New Roman"/>
          <w:b/>
          <w:snapToGrid/>
          <w:color w:val="auto"/>
          <w:kern w:val="2"/>
          <w:sz w:val="24"/>
          <w:szCs w:val="24"/>
          <w:highlight w:val="none"/>
        </w:rPr>
        <w:t>7.3中标通知书</w:t>
      </w:r>
      <w:bookmarkEnd w:id="116"/>
    </w:p>
    <w:p w14:paraId="0C2C873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7.3.1招标人将于中标人确定后15日内向中标人发出中标通知书并向招投标监管机构提交招标情况书面报告。</w:t>
      </w:r>
    </w:p>
    <w:p w14:paraId="39899BBB">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7.3.2中标通知书为合同的组成部分。</w:t>
      </w:r>
    </w:p>
    <w:p w14:paraId="613F8891">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r>
        <w:rPr>
          <w:rFonts w:hint="eastAsia" w:ascii="宋体" w:eastAsia="宋体" w:cs="Times New Roman"/>
          <w:b/>
          <w:snapToGrid/>
          <w:color w:val="auto"/>
          <w:kern w:val="2"/>
          <w:sz w:val="24"/>
          <w:szCs w:val="24"/>
          <w:highlight w:val="none"/>
        </w:rPr>
        <w:t>7.4</w:t>
      </w:r>
      <w:bookmarkStart w:id="117" w:name="_Toc193449950"/>
      <w:r>
        <w:rPr>
          <w:rFonts w:hint="eastAsia" w:ascii="宋体" w:eastAsia="宋体" w:cs="Times New Roman"/>
          <w:b/>
          <w:snapToGrid/>
          <w:color w:val="auto"/>
          <w:kern w:val="2"/>
          <w:sz w:val="24"/>
          <w:szCs w:val="24"/>
          <w:highlight w:val="none"/>
        </w:rPr>
        <w:t>履约</w:t>
      </w:r>
      <w:bookmarkEnd w:id="117"/>
      <w:r>
        <w:rPr>
          <w:rFonts w:hint="eastAsia" w:ascii="宋体" w:eastAsia="宋体" w:cs="Times New Roman"/>
          <w:b/>
          <w:snapToGrid/>
          <w:color w:val="auto"/>
          <w:kern w:val="2"/>
          <w:sz w:val="24"/>
          <w:szCs w:val="24"/>
          <w:highlight w:val="none"/>
        </w:rPr>
        <w:t>保证金</w:t>
      </w:r>
    </w:p>
    <w:p w14:paraId="18008A7C">
      <w:pPr>
        <w:widowControl w:val="0"/>
        <w:tabs>
          <w:tab w:val="left" w:pos="540"/>
        </w:tabs>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7.4.1在签订合同</w:t>
      </w:r>
      <w:r>
        <w:rPr>
          <w:rFonts w:hint="eastAsia" w:ascii="宋体" w:eastAsia="宋体" w:cs="Times New Roman"/>
          <w:snapToGrid/>
          <w:color w:val="auto"/>
          <w:kern w:val="2"/>
          <w:sz w:val="24"/>
          <w:szCs w:val="24"/>
          <w:highlight w:val="none"/>
          <w:lang w:eastAsia="zh-CN"/>
        </w:rPr>
        <w:t>时</w:t>
      </w:r>
      <w:r>
        <w:rPr>
          <w:rFonts w:hint="eastAsia" w:ascii="宋体" w:eastAsia="宋体" w:cs="Times New Roman"/>
          <w:snapToGrid/>
          <w:color w:val="auto"/>
          <w:kern w:val="2"/>
          <w:sz w:val="24"/>
          <w:szCs w:val="24"/>
          <w:highlight w:val="none"/>
        </w:rPr>
        <w:t>，中标人应按投标人须知前附表规定的金额、担保形式向招标人提交履约保证金。</w:t>
      </w:r>
      <w:r>
        <w:rPr>
          <w:rFonts w:hint="eastAsia" w:ascii="宋体" w:eastAsia="宋体" w:cs="Times New Roman"/>
          <w:strike/>
          <w:snapToGrid/>
          <w:color w:val="auto"/>
          <w:kern w:val="2"/>
          <w:sz w:val="24"/>
          <w:szCs w:val="24"/>
          <w:highlight w:val="none"/>
        </w:rPr>
        <w:t>联合体中标的，其履约保证金以联合体牵头人名义提交。如采用履约保函形式提交担保，则中标人应提交在中国境内注册并经招标人认可的担保机构出具的银行保函。否则，招标人将不予接受。</w:t>
      </w:r>
    </w:p>
    <w:p w14:paraId="5B1D2BF4">
      <w:pPr>
        <w:widowControl w:val="0"/>
        <w:kinsoku/>
        <w:autoSpaceDE/>
        <w:autoSpaceDN/>
        <w:adjustRightInd/>
        <w:snapToGrid/>
        <w:spacing w:line="360" w:lineRule="auto"/>
        <w:ind w:firstLine="480" w:firstLineChars="200"/>
        <w:jc w:val="both"/>
        <w:textAlignment w:val="auto"/>
        <w:rPr>
          <w:rFonts w:hint="eastAsia"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7.4.2若中标人不能按本章第7.4.1条款规定提交履约保证金</w:t>
      </w:r>
      <w:r>
        <w:rPr>
          <w:rFonts w:hint="eastAsia" w:ascii="宋体" w:eastAsia="宋体" w:cs="Times New Roman"/>
          <w:snapToGrid/>
          <w:color w:val="auto"/>
          <w:kern w:val="2"/>
          <w:sz w:val="24"/>
          <w:szCs w:val="24"/>
          <w:highlight w:val="none"/>
          <w:lang w:eastAsia="zh-CN"/>
        </w:rPr>
        <w:t>，</w:t>
      </w:r>
      <w:r>
        <w:rPr>
          <w:rFonts w:hint="eastAsia" w:ascii="宋体" w:eastAsia="宋体" w:cs="Times New Roman"/>
          <w:snapToGrid/>
          <w:color w:val="auto"/>
          <w:kern w:val="2"/>
          <w:sz w:val="24"/>
          <w:szCs w:val="24"/>
          <w:highlight w:val="none"/>
        </w:rPr>
        <w:t>招标人将有充分理由废除授标，投标保证金不予退还，给招标人造成的损失超过投标保证金金额的，还应当对超过部分予以赔偿，同时依法承担相应法律责任。</w:t>
      </w:r>
    </w:p>
    <w:p w14:paraId="7BE9FE85">
      <w:pPr>
        <w:widowControl w:val="0"/>
        <w:kinsoku/>
        <w:autoSpaceDE/>
        <w:autoSpaceDN/>
        <w:adjustRightInd/>
        <w:snapToGrid/>
        <w:spacing w:line="360" w:lineRule="auto"/>
        <w:ind w:firstLine="480" w:firstLineChars="200"/>
        <w:jc w:val="both"/>
        <w:textAlignment w:val="auto"/>
        <w:rPr>
          <w:rFonts w:hint="default" w:ascii="宋体" w:eastAsia="宋体" w:cs="Times New Roman"/>
          <w:snapToGrid/>
          <w:color w:val="auto"/>
          <w:kern w:val="2"/>
          <w:sz w:val="24"/>
          <w:szCs w:val="24"/>
          <w:highlight w:val="none"/>
          <w:lang w:val="en-US" w:eastAsia="zh-CN"/>
        </w:rPr>
      </w:pPr>
      <w:r>
        <w:rPr>
          <w:rFonts w:hint="eastAsia" w:ascii="宋体" w:eastAsia="宋体" w:cs="Times New Roman"/>
          <w:snapToGrid/>
          <w:color w:val="auto"/>
          <w:kern w:val="2"/>
          <w:sz w:val="24"/>
          <w:szCs w:val="24"/>
          <w:highlight w:val="none"/>
          <w:lang w:val="en-US" w:eastAsia="zh-CN"/>
        </w:rPr>
        <w:t>7.4.3履约保证金在服务期限期满、凭合同双方共同出具的无异议的书面依据后15个工作日内退还，履约保证金不计息。</w:t>
      </w:r>
    </w:p>
    <w:p w14:paraId="733DFF00">
      <w:pPr>
        <w:widowControl w:val="0"/>
        <w:kinsoku/>
        <w:autoSpaceDE/>
        <w:autoSpaceDN/>
        <w:adjustRightInd/>
        <w:snapToGrid/>
        <w:spacing w:line="360" w:lineRule="auto"/>
        <w:jc w:val="both"/>
        <w:textAlignment w:val="auto"/>
        <w:rPr>
          <w:rFonts w:ascii="宋体" w:eastAsia="宋体" w:cs="Times New Roman"/>
          <w:b/>
          <w:snapToGrid/>
          <w:color w:val="auto"/>
          <w:kern w:val="2"/>
          <w:sz w:val="24"/>
          <w:szCs w:val="24"/>
          <w:highlight w:val="none"/>
        </w:rPr>
      </w:pPr>
      <w:bookmarkStart w:id="118" w:name="_Toc193449952"/>
      <w:r>
        <w:rPr>
          <w:rFonts w:hint="eastAsia" w:ascii="宋体" w:eastAsia="宋体" w:cs="Times New Roman"/>
          <w:b/>
          <w:snapToGrid/>
          <w:color w:val="auto"/>
          <w:kern w:val="2"/>
          <w:sz w:val="24"/>
          <w:szCs w:val="24"/>
          <w:highlight w:val="none"/>
        </w:rPr>
        <w:t>7.5</w:t>
      </w:r>
      <w:bookmarkEnd w:id="118"/>
      <w:r>
        <w:rPr>
          <w:rFonts w:hint="eastAsia" w:ascii="宋体" w:eastAsia="宋体" w:cs="Times New Roman"/>
          <w:b/>
          <w:snapToGrid/>
          <w:color w:val="auto"/>
          <w:kern w:val="2"/>
          <w:sz w:val="24"/>
          <w:szCs w:val="24"/>
          <w:highlight w:val="none"/>
        </w:rPr>
        <w:t>签订合同</w:t>
      </w:r>
    </w:p>
    <w:p w14:paraId="18FEB29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7.5.1招标人与中标人将于中标通知书发出之日起30日内，根据招标文件和中标人的投标文件签订书面设计合同，招标人和中标人不得另行订立背离合同实质性内容的其他协议。</w:t>
      </w:r>
    </w:p>
    <w:p w14:paraId="1270E5B9">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7.5.2招标人如无正当理由不按本章第7.5.1条款规定与中标人订立合同，或招标人迫使中标人订立背离合同实质性内容的协议，招标人将依法承担相应法律责任。</w:t>
      </w:r>
    </w:p>
    <w:p w14:paraId="1C26A1AE">
      <w:pPr>
        <w:widowControl w:val="0"/>
        <w:kinsoku/>
        <w:autoSpaceDE/>
        <w:autoSpaceDN/>
        <w:adjustRightInd/>
        <w:snapToGrid/>
        <w:spacing w:line="360" w:lineRule="auto"/>
        <w:ind w:firstLine="480" w:firstLineChars="200"/>
        <w:jc w:val="both"/>
        <w:textAlignment w:val="auto"/>
        <w:rPr>
          <w:rFonts w:ascii="宋体"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7.5.3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3D521771">
      <w:pPr>
        <w:widowControl w:val="0"/>
        <w:kinsoku/>
        <w:autoSpaceDE/>
        <w:autoSpaceDN/>
        <w:adjustRightInd/>
        <w:snapToGrid/>
        <w:spacing w:line="360" w:lineRule="auto"/>
        <w:ind w:firstLine="480" w:firstLineChars="200"/>
        <w:jc w:val="both"/>
        <w:textAlignment w:val="auto"/>
        <w:rPr>
          <w:rFonts w:ascii="Times New Roman" w:hAnsi="Times New Roman" w:eastAsia="宋体" w:cs="Times New Roman"/>
          <w:snapToGrid/>
          <w:color w:val="auto"/>
          <w:kern w:val="2"/>
          <w:sz w:val="24"/>
          <w:szCs w:val="24"/>
          <w:highlight w:val="none"/>
        </w:rPr>
      </w:pPr>
      <w:r>
        <w:rPr>
          <w:rFonts w:hint="eastAsia" w:ascii="宋体" w:eastAsia="宋体" w:cs="Times New Roman"/>
          <w:snapToGrid/>
          <w:color w:val="auto"/>
          <w:kern w:val="2"/>
          <w:sz w:val="24"/>
          <w:szCs w:val="24"/>
          <w:highlight w:val="none"/>
        </w:rPr>
        <w:t>7.5.4中标人应当按照合同约定履行义务，完成中标项目的设计工作，不得将中标项目的设计工作转委托给他人。</w:t>
      </w:r>
    </w:p>
    <w:p w14:paraId="56D5BA8F">
      <w:pPr>
        <w:spacing w:line="420" w:lineRule="exact"/>
        <w:jc w:val="both"/>
        <w:outlineLvl w:val="2"/>
        <w:rPr>
          <w:rFonts w:ascii="宋体" w:eastAsia="宋体" w:cs="宋体"/>
          <w:color w:val="auto"/>
          <w:sz w:val="24"/>
          <w:szCs w:val="24"/>
          <w:highlight w:val="none"/>
        </w:rPr>
      </w:pPr>
      <w:bookmarkStart w:id="119" w:name="_Toc2322"/>
      <w:r>
        <w:rPr>
          <w:rFonts w:ascii="宋体" w:eastAsia="宋体" w:cs="Calibri"/>
          <w:b/>
          <w:bCs/>
          <w:color w:val="auto"/>
          <w:sz w:val="24"/>
          <w:szCs w:val="24"/>
          <w:highlight w:val="none"/>
        </w:rPr>
        <w:t>8.</w:t>
      </w:r>
      <w:r>
        <w:rPr>
          <w:rFonts w:ascii="宋体" w:eastAsia="宋体" w:cs="宋体"/>
          <w:color w:val="auto"/>
          <w:sz w:val="24"/>
          <w:szCs w:val="24"/>
          <w:highlight w:val="none"/>
        </w:rPr>
        <w:t>重新招标和不再招标</w:t>
      </w:r>
      <w:bookmarkEnd w:id="119"/>
    </w:p>
    <w:p w14:paraId="22B99BA1">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8.1</w:t>
      </w:r>
      <w:r>
        <w:rPr>
          <w:rFonts w:ascii="宋体" w:eastAsia="宋体" w:cs="宋体"/>
          <w:color w:val="auto"/>
          <w:sz w:val="24"/>
          <w:szCs w:val="24"/>
          <w:highlight w:val="none"/>
        </w:rPr>
        <w:t>重新招标</w:t>
      </w:r>
    </w:p>
    <w:p w14:paraId="3B4BACDA">
      <w:pPr>
        <w:spacing w:line="420" w:lineRule="exact"/>
        <w:ind w:firstLine="312" w:firstLineChars="13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有下列情形之一的，招标人将重新招标：</w:t>
      </w:r>
    </w:p>
    <w:p w14:paraId="145E69A9">
      <w:pPr>
        <w:spacing w:line="420" w:lineRule="exact"/>
        <w:ind w:firstLine="312" w:firstLineChars="13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（1）</w:t>
      </w:r>
      <w:r>
        <w:rPr>
          <w:rFonts w:ascii="宋体" w:eastAsia="宋体" w:cs="宋体"/>
          <w:color w:val="auto"/>
          <w:position w:val="1"/>
          <w:sz w:val="24"/>
          <w:szCs w:val="24"/>
          <w:highlight w:val="none"/>
        </w:rPr>
        <w:t>投标截止时间止，投标人少于3个的；</w:t>
      </w:r>
    </w:p>
    <w:p w14:paraId="5A158D0A">
      <w:pPr>
        <w:spacing w:line="420" w:lineRule="exact"/>
        <w:ind w:firstLine="312" w:firstLineChars="130"/>
        <w:jc w:val="both"/>
        <w:rPr>
          <w:rFonts w:ascii="宋体" w:eastAsia="宋体" w:cs="宋体"/>
          <w:color w:val="auto"/>
          <w:position w:val="1"/>
          <w:sz w:val="24"/>
          <w:szCs w:val="24"/>
          <w:highlight w:val="none"/>
        </w:rPr>
      </w:pPr>
      <w:r>
        <w:rPr>
          <w:rFonts w:hint="eastAsia" w:ascii="宋体" w:eastAsia="宋体" w:cs="宋体"/>
          <w:color w:val="auto"/>
          <w:position w:val="1"/>
          <w:sz w:val="24"/>
          <w:szCs w:val="24"/>
          <w:highlight w:val="none"/>
          <w:lang w:eastAsia="zh-CN"/>
        </w:rPr>
        <w:t>（2）</w:t>
      </w:r>
      <w:r>
        <w:rPr>
          <w:rFonts w:ascii="宋体" w:eastAsia="宋体" w:cs="宋体"/>
          <w:color w:val="auto"/>
          <w:position w:val="1"/>
          <w:sz w:val="24"/>
          <w:szCs w:val="24"/>
          <w:highlight w:val="none"/>
        </w:rPr>
        <w:t>经评标委员会评审后否决所有投标的；</w:t>
      </w:r>
    </w:p>
    <w:p w14:paraId="29F2F0D5">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8.2</w:t>
      </w:r>
      <w:r>
        <w:rPr>
          <w:rFonts w:ascii="宋体" w:eastAsia="宋体" w:cs="宋体"/>
          <w:color w:val="auto"/>
          <w:sz w:val="24"/>
          <w:szCs w:val="24"/>
          <w:highlight w:val="none"/>
        </w:rPr>
        <w:t>不再招标</w:t>
      </w:r>
    </w:p>
    <w:p w14:paraId="3A749A4E">
      <w:pPr>
        <w:spacing w:line="420" w:lineRule="exact"/>
        <w:ind w:firstLine="360" w:firstLineChars="150"/>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重新招标后投标人仍少于3个的，经原审批或核准部门批准后不再进行招标。</w:t>
      </w:r>
    </w:p>
    <w:p w14:paraId="0CFE887A">
      <w:pPr>
        <w:spacing w:line="420" w:lineRule="exact"/>
        <w:jc w:val="both"/>
        <w:outlineLvl w:val="2"/>
        <w:rPr>
          <w:rFonts w:ascii="宋体" w:eastAsia="宋体" w:cs="宋体"/>
          <w:color w:val="auto"/>
          <w:sz w:val="24"/>
          <w:szCs w:val="24"/>
          <w:highlight w:val="none"/>
        </w:rPr>
      </w:pPr>
      <w:bookmarkStart w:id="120" w:name="_Toc22802"/>
      <w:r>
        <w:rPr>
          <w:rFonts w:ascii="宋体" w:eastAsia="宋体" w:cs="Calibri"/>
          <w:b/>
          <w:bCs/>
          <w:color w:val="auto"/>
          <w:sz w:val="24"/>
          <w:szCs w:val="24"/>
          <w:highlight w:val="none"/>
        </w:rPr>
        <w:t>9.</w:t>
      </w:r>
      <w:r>
        <w:rPr>
          <w:rFonts w:ascii="宋体" w:eastAsia="宋体" w:cs="宋体"/>
          <w:color w:val="auto"/>
          <w:sz w:val="24"/>
          <w:szCs w:val="24"/>
          <w:highlight w:val="none"/>
        </w:rPr>
        <w:t>纪律和监督</w:t>
      </w:r>
      <w:bookmarkEnd w:id="120"/>
    </w:p>
    <w:p w14:paraId="12EF8A22">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9.1</w:t>
      </w:r>
      <w:r>
        <w:rPr>
          <w:rFonts w:ascii="宋体" w:eastAsia="宋体" w:cs="宋体"/>
          <w:color w:val="auto"/>
          <w:sz w:val="24"/>
          <w:szCs w:val="24"/>
          <w:highlight w:val="none"/>
        </w:rPr>
        <w:t>对招标人的纪律要求</w:t>
      </w:r>
    </w:p>
    <w:p w14:paraId="17E4A65F">
      <w:pPr>
        <w:spacing w:line="420" w:lineRule="exact"/>
        <w:ind w:firstLine="476"/>
        <w:jc w:val="both"/>
        <w:rPr>
          <w:rFonts w:ascii="宋体" w:eastAsia="宋体" w:cs="宋体"/>
          <w:color w:val="auto"/>
          <w:sz w:val="24"/>
          <w:szCs w:val="24"/>
          <w:highlight w:val="none"/>
        </w:rPr>
      </w:pPr>
      <w:r>
        <w:rPr>
          <w:rFonts w:ascii="宋体" w:eastAsia="宋体" w:cs="宋体"/>
          <w:color w:val="auto"/>
          <w:position w:val="1"/>
          <w:sz w:val="24"/>
          <w:szCs w:val="24"/>
          <w:highlight w:val="none"/>
        </w:rPr>
        <w:t>招标人</w:t>
      </w:r>
      <w:r>
        <w:rPr>
          <w:rFonts w:hint="eastAsia" w:ascii="宋体" w:eastAsia="宋体" w:cs="宋体"/>
          <w:color w:val="auto"/>
          <w:position w:val="1"/>
          <w:sz w:val="24"/>
          <w:szCs w:val="24"/>
          <w:highlight w:val="none"/>
          <w:lang w:eastAsia="zh-CN"/>
        </w:rPr>
        <w:t>不得泄露</w:t>
      </w:r>
      <w:r>
        <w:rPr>
          <w:rFonts w:ascii="宋体" w:eastAsia="宋体" w:cs="宋体"/>
          <w:color w:val="auto"/>
          <w:position w:val="1"/>
          <w:sz w:val="24"/>
          <w:szCs w:val="24"/>
          <w:highlight w:val="none"/>
        </w:rPr>
        <w:t>招标投标活动中应当保密的情况和资料，不得与投标人串通损害国家利益、社会公共利益或者他人合法权益</w:t>
      </w:r>
      <w:r>
        <w:rPr>
          <w:rFonts w:ascii="宋体" w:eastAsia="宋体" w:cs="宋体"/>
          <w:color w:val="auto"/>
          <w:sz w:val="24"/>
          <w:szCs w:val="24"/>
          <w:highlight w:val="none"/>
        </w:rPr>
        <w:t>。</w:t>
      </w:r>
    </w:p>
    <w:p w14:paraId="50D2ED3D">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9.2</w:t>
      </w:r>
      <w:r>
        <w:rPr>
          <w:rFonts w:ascii="宋体" w:eastAsia="宋体" w:cs="宋体"/>
          <w:color w:val="auto"/>
          <w:sz w:val="24"/>
          <w:szCs w:val="24"/>
          <w:highlight w:val="none"/>
        </w:rPr>
        <w:t>对投标人的纪律要求</w:t>
      </w:r>
    </w:p>
    <w:p w14:paraId="0CFD6601">
      <w:pPr>
        <w:spacing w:line="420" w:lineRule="exact"/>
        <w:ind w:firstLine="483"/>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EF30756">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9.3</w:t>
      </w:r>
      <w:r>
        <w:rPr>
          <w:rFonts w:ascii="宋体" w:eastAsia="宋体" w:cs="宋体"/>
          <w:color w:val="auto"/>
          <w:sz w:val="24"/>
          <w:szCs w:val="24"/>
          <w:highlight w:val="none"/>
        </w:rPr>
        <w:t>对评标委员会成员的纪律要求</w:t>
      </w:r>
    </w:p>
    <w:p w14:paraId="50556D10">
      <w:pPr>
        <w:spacing w:line="420" w:lineRule="exact"/>
        <w:ind w:firstLine="483"/>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评标委员会成员不得收受他人的财物或者其他好处，不得向他人透</w:t>
      </w:r>
      <w:r>
        <w:rPr>
          <w:rFonts w:hint="eastAsia" w:ascii="宋体" w:eastAsia="宋体" w:cs="宋体"/>
          <w:color w:val="auto"/>
          <w:position w:val="1"/>
          <w:sz w:val="24"/>
          <w:szCs w:val="24"/>
          <w:highlight w:val="none"/>
        </w:rPr>
        <w:t>露</w:t>
      </w:r>
      <w:r>
        <w:rPr>
          <w:rFonts w:ascii="宋体" w:eastAsia="宋体" w:cs="宋体"/>
          <w:color w:val="auto"/>
          <w:position w:val="1"/>
          <w:sz w:val="24"/>
          <w:szCs w:val="24"/>
          <w:highlight w:val="none"/>
        </w:rPr>
        <w:t>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2893E5CB">
      <w:pPr>
        <w:spacing w:line="420" w:lineRule="exact"/>
        <w:jc w:val="both"/>
        <w:outlineLvl w:val="3"/>
        <w:rPr>
          <w:rFonts w:ascii="宋体" w:eastAsia="宋体" w:cs="宋体"/>
          <w:color w:val="auto"/>
          <w:sz w:val="24"/>
          <w:szCs w:val="24"/>
          <w:highlight w:val="none"/>
        </w:rPr>
      </w:pPr>
      <w:r>
        <w:rPr>
          <w:rFonts w:ascii="宋体" w:eastAsia="宋体"/>
          <w:b/>
          <w:bCs/>
          <w:color w:val="auto"/>
          <w:sz w:val="24"/>
          <w:szCs w:val="24"/>
          <w:highlight w:val="none"/>
        </w:rPr>
        <w:t>9.4</w:t>
      </w:r>
      <w:r>
        <w:rPr>
          <w:rFonts w:ascii="宋体" w:eastAsia="宋体" w:cs="宋体"/>
          <w:color w:val="auto"/>
          <w:sz w:val="24"/>
          <w:szCs w:val="24"/>
          <w:highlight w:val="none"/>
        </w:rPr>
        <w:t>对与评标活动有关的工作人员的纪律要求</w:t>
      </w:r>
    </w:p>
    <w:p w14:paraId="5B922312">
      <w:pPr>
        <w:spacing w:line="420" w:lineRule="exact"/>
        <w:ind w:firstLine="483"/>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20D4F2AC">
      <w:pPr>
        <w:spacing w:line="420" w:lineRule="exact"/>
        <w:jc w:val="both"/>
        <w:outlineLvl w:val="3"/>
        <w:rPr>
          <w:rFonts w:ascii="宋体" w:eastAsia="宋体" w:cs="宋体"/>
          <w:color w:val="auto"/>
          <w:sz w:val="24"/>
          <w:szCs w:val="24"/>
          <w:highlight w:val="none"/>
        </w:rPr>
      </w:pPr>
      <w:r>
        <w:rPr>
          <w:rFonts w:ascii="宋体" w:eastAsia="宋体" w:cs="Calibri"/>
          <w:b/>
          <w:bCs/>
          <w:color w:val="auto"/>
          <w:sz w:val="24"/>
          <w:szCs w:val="24"/>
          <w:highlight w:val="none"/>
        </w:rPr>
        <w:t>9.5</w:t>
      </w:r>
      <w:r>
        <w:rPr>
          <w:rFonts w:ascii="宋体" w:eastAsia="宋体" w:cs="宋体"/>
          <w:color w:val="auto"/>
          <w:sz w:val="24"/>
          <w:szCs w:val="24"/>
          <w:highlight w:val="none"/>
        </w:rPr>
        <w:t>异议与投诉</w:t>
      </w:r>
    </w:p>
    <w:p w14:paraId="2686DB2E">
      <w:pPr>
        <w:spacing w:line="420" w:lineRule="exact"/>
        <w:ind w:firstLine="483"/>
        <w:jc w:val="both"/>
        <w:rPr>
          <w:rFonts w:ascii="宋体" w:eastAsia="宋体" w:cs="宋体"/>
          <w:color w:val="auto"/>
          <w:position w:val="1"/>
          <w:sz w:val="24"/>
          <w:szCs w:val="24"/>
          <w:highlight w:val="none"/>
        </w:rPr>
      </w:pPr>
      <w:r>
        <w:rPr>
          <w:rFonts w:ascii="宋体" w:eastAsia="宋体" w:cs="宋体"/>
          <w:color w:val="auto"/>
          <w:position w:val="1"/>
          <w:sz w:val="24"/>
          <w:szCs w:val="24"/>
          <w:highlight w:val="none"/>
        </w:rPr>
        <w:t>投标人及其他利害关系人有提出异议与投诉的权利，但应遵守国家相关法律</w:t>
      </w:r>
      <w:r>
        <w:rPr>
          <w:rFonts w:hint="eastAsia" w:ascii="宋体" w:eastAsia="宋体" w:cs="宋体"/>
          <w:color w:val="auto"/>
          <w:position w:val="1"/>
          <w:sz w:val="24"/>
          <w:szCs w:val="24"/>
          <w:highlight w:val="none"/>
        </w:rPr>
        <w:t>法规，具体要求见投标人须知前附表。</w:t>
      </w:r>
    </w:p>
    <w:p w14:paraId="50BE8752">
      <w:pPr>
        <w:spacing w:line="420" w:lineRule="exact"/>
        <w:jc w:val="both"/>
        <w:outlineLvl w:val="2"/>
        <w:rPr>
          <w:rFonts w:ascii="宋体" w:eastAsia="宋体" w:cs="宋体"/>
          <w:color w:val="auto"/>
          <w:sz w:val="24"/>
          <w:szCs w:val="24"/>
          <w:highlight w:val="none"/>
        </w:rPr>
      </w:pPr>
      <w:bookmarkStart w:id="121" w:name="_Toc30226"/>
      <w:r>
        <w:rPr>
          <w:rFonts w:ascii="宋体" w:eastAsia="宋体" w:cs="Calibri"/>
          <w:b/>
          <w:bCs/>
          <w:color w:val="auto"/>
          <w:sz w:val="24"/>
          <w:szCs w:val="24"/>
          <w:highlight w:val="none"/>
        </w:rPr>
        <w:t>10.</w:t>
      </w:r>
      <w:r>
        <w:rPr>
          <w:rFonts w:ascii="宋体" w:eastAsia="宋体" w:cs="宋体"/>
          <w:color w:val="auto"/>
          <w:sz w:val="24"/>
          <w:szCs w:val="24"/>
          <w:highlight w:val="none"/>
        </w:rPr>
        <w:t>需要补充的其他内容</w:t>
      </w:r>
      <w:bookmarkEnd w:id="121"/>
    </w:p>
    <w:p w14:paraId="400C0394">
      <w:pPr>
        <w:spacing w:line="348" w:lineRule="auto"/>
        <w:ind w:firstLine="480" w:firstLineChars="200"/>
        <w:jc w:val="both"/>
        <w:rPr>
          <w:rFonts w:hint="eastAsia" w:ascii="宋体" w:eastAsia="宋体" w:cs="宋体"/>
          <w:color w:val="auto"/>
          <w:position w:val="1"/>
          <w:sz w:val="24"/>
          <w:szCs w:val="24"/>
          <w:highlight w:val="none"/>
        </w:rPr>
      </w:pPr>
      <w:r>
        <w:rPr>
          <w:rFonts w:hint="eastAsia" w:ascii="宋体" w:eastAsia="宋体" w:cs="宋体"/>
          <w:color w:val="auto"/>
          <w:position w:val="1"/>
          <w:sz w:val="24"/>
          <w:szCs w:val="24"/>
          <w:highlight w:val="none"/>
        </w:rPr>
        <w:t>需要补充的其他内容：见投标人须知前附表。</w:t>
      </w:r>
    </w:p>
    <w:p w14:paraId="544B8EA5">
      <w:pPr>
        <w:pageBreakBefore/>
        <w:widowControl w:val="0"/>
        <w:spacing w:before="91" w:line="221" w:lineRule="auto"/>
        <w:ind w:left="130"/>
        <w:jc w:val="both"/>
        <w:outlineLvl w:val="1"/>
        <w:rPr>
          <w:rFonts w:ascii="宋体" w:eastAsia="宋体" w:cs="宋体"/>
          <w:color w:val="auto"/>
          <w:sz w:val="28"/>
          <w:szCs w:val="28"/>
          <w:highlight w:val="none"/>
        </w:rPr>
      </w:pPr>
      <w:bookmarkStart w:id="122" w:name="_bookmark5"/>
      <w:bookmarkEnd w:id="122"/>
      <w:bookmarkStart w:id="123" w:name="_Toc26052"/>
      <w:bookmarkStart w:id="124" w:name="_Toc21658"/>
      <w:r>
        <w:rPr>
          <w:rFonts w:ascii="宋体" w:eastAsia="宋体" w:cs="宋体"/>
          <w:color w:val="auto"/>
          <w:sz w:val="28"/>
          <w:szCs w:val="28"/>
          <w:highlight w:val="none"/>
        </w:rPr>
        <w:t>附表一：开标记录表</w:t>
      </w:r>
      <w:bookmarkEnd w:id="123"/>
      <w:bookmarkEnd w:id="124"/>
    </w:p>
    <w:p w14:paraId="5A5A0BFE">
      <w:pPr>
        <w:tabs>
          <w:tab w:val="left" w:pos="3317"/>
        </w:tabs>
        <w:spacing w:before="234" w:line="228" w:lineRule="auto"/>
        <w:ind w:left="1261"/>
        <w:jc w:val="both"/>
        <w:rPr>
          <w:rFonts w:ascii="宋体" w:eastAsia="宋体" w:cs="宋体"/>
          <w:color w:val="auto"/>
          <w:sz w:val="23"/>
          <w:szCs w:val="23"/>
          <w:highlight w:val="none"/>
        </w:rPr>
      </w:pPr>
      <w:r>
        <w:rPr>
          <w:rFonts w:ascii="宋体" w:eastAsia="宋体" w:cs="宋体"/>
          <w:color w:val="auto"/>
          <w:sz w:val="23"/>
          <w:szCs w:val="23"/>
          <w:highlight w:val="none"/>
          <w:u w:val="single"/>
        </w:rPr>
        <w:tab/>
      </w:r>
      <w:r>
        <w:rPr>
          <w:rFonts w:hint="eastAsia" w:ascii="宋体" w:eastAsia="宋体" w:cs="宋体"/>
          <w:color w:val="auto"/>
          <w:sz w:val="23"/>
          <w:szCs w:val="23"/>
          <w:highlight w:val="none"/>
          <w:u w:val="single"/>
          <w:lang w:eastAsia="zh-CN"/>
        </w:rPr>
        <w:t>（</w:t>
      </w:r>
      <w:r>
        <w:rPr>
          <w:rFonts w:ascii="宋体" w:eastAsia="宋体" w:cs="宋体"/>
          <w:color w:val="auto"/>
          <w:sz w:val="23"/>
          <w:szCs w:val="23"/>
          <w:highlight w:val="none"/>
        </w:rPr>
        <w:t>项目名称</w:t>
      </w:r>
      <w:r>
        <w:rPr>
          <w:rFonts w:hint="eastAsia" w:ascii="宋体" w:eastAsia="宋体" w:cs="宋体"/>
          <w:color w:val="auto"/>
          <w:sz w:val="23"/>
          <w:szCs w:val="23"/>
          <w:highlight w:val="none"/>
          <w:lang w:eastAsia="zh-CN"/>
        </w:rPr>
        <w:t>）</w:t>
      </w:r>
      <w:r>
        <w:rPr>
          <w:rFonts w:ascii="宋体" w:eastAsia="宋体" w:cs="宋体"/>
          <w:color w:val="auto"/>
          <w:sz w:val="23"/>
          <w:szCs w:val="23"/>
          <w:highlight w:val="none"/>
        </w:rPr>
        <w:t>标段开标记录表</w:t>
      </w:r>
    </w:p>
    <w:p w14:paraId="05274704">
      <w:pPr>
        <w:spacing w:line="286" w:lineRule="auto"/>
        <w:jc w:val="both"/>
        <w:rPr>
          <w:color w:val="auto"/>
          <w:highlight w:val="none"/>
        </w:rPr>
      </w:pPr>
    </w:p>
    <w:p w14:paraId="6C9DE7CF">
      <w:pPr>
        <w:spacing w:line="286" w:lineRule="auto"/>
        <w:jc w:val="both"/>
        <w:rPr>
          <w:color w:val="auto"/>
          <w:highlight w:val="none"/>
        </w:rPr>
      </w:pPr>
    </w:p>
    <w:p w14:paraId="1AEB737A">
      <w:pPr>
        <w:spacing w:before="75" w:line="228" w:lineRule="auto"/>
        <w:ind w:left="72"/>
        <w:jc w:val="both"/>
        <w:rPr>
          <w:rFonts w:ascii="宋体" w:eastAsia="宋体" w:cs="宋体"/>
          <w:color w:val="auto"/>
          <w:sz w:val="23"/>
          <w:szCs w:val="23"/>
          <w:highlight w:val="none"/>
        </w:rPr>
      </w:pPr>
      <w:r>
        <w:rPr>
          <w:rFonts w:ascii="宋体" w:eastAsia="宋体" w:cs="宋体"/>
          <w:color w:val="auto"/>
          <w:sz w:val="23"/>
          <w:szCs w:val="23"/>
          <w:highlight w:val="none"/>
        </w:rPr>
        <w:t>开标地点：</w:t>
      </w:r>
    </w:p>
    <w:p w14:paraId="6CAE6062">
      <w:pPr>
        <w:spacing w:before="183" w:line="228" w:lineRule="auto"/>
        <w:ind w:left="72"/>
        <w:jc w:val="both"/>
        <w:rPr>
          <w:rFonts w:ascii="宋体" w:eastAsia="宋体" w:cs="宋体"/>
          <w:color w:val="auto"/>
          <w:sz w:val="23"/>
          <w:szCs w:val="23"/>
          <w:highlight w:val="none"/>
        </w:rPr>
      </w:pPr>
      <w:r>
        <w:rPr>
          <w:rFonts w:ascii="宋体" w:eastAsia="宋体" w:cs="宋体"/>
          <w:color w:val="auto"/>
          <w:sz w:val="23"/>
          <w:szCs w:val="23"/>
          <w:highlight w:val="none"/>
        </w:rPr>
        <w:t>开标时间：</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年</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月</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日</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时</w:t>
      </w:r>
      <w:r>
        <w:rPr>
          <w:rFonts w:hint="eastAsia" w:ascii="宋体" w:eastAsia="宋体" w:cs="宋体"/>
          <w:color w:val="auto"/>
          <w:sz w:val="23"/>
          <w:szCs w:val="23"/>
          <w:highlight w:val="none"/>
        </w:rPr>
        <w:t xml:space="preserve">   </w:t>
      </w:r>
      <w:r>
        <w:rPr>
          <w:rFonts w:ascii="宋体" w:eastAsia="宋体" w:cs="宋体"/>
          <w:color w:val="auto"/>
          <w:sz w:val="23"/>
          <w:szCs w:val="23"/>
          <w:highlight w:val="none"/>
        </w:rPr>
        <w:t>分</w:t>
      </w:r>
    </w:p>
    <w:p w14:paraId="5BD08A22">
      <w:pPr>
        <w:jc w:val="both"/>
        <w:rPr>
          <w:color w:val="auto"/>
          <w:highlight w:val="none"/>
        </w:rPr>
      </w:pPr>
    </w:p>
    <w:p w14:paraId="5F74A3FA">
      <w:pPr>
        <w:jc w:val="both"/>
        <w:rPr>
          <w:color w:val="auto"/>
          <w:highlight w:val="none"/>
        </w:rPr>
      </w:pPr>
    </w:p>
    <w:p w14:paraId="46BD27C8">
      <w:pPr>
        <w:spacing w:line="54" w:lineRule="exact"/>
        <w:jc w:val="both"/>
        <w:rPr>
          <w:color w:val="auto"/>
          <w:highlight w:val="none"/>
        </w:rPr>
      </w:pPr>
    </w:p>
    <w:tbl>
      <w:tblPr>
        <w:tblStyle w:val="31"/>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4B8F9C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tcBorders>
              <w:top w:val="single" w:color="000000" w:sz="2" w:space="0"/>
              <w:left w:val="single" w:color="000000" w:sz="2" w:space="0"/>
              <w:bottom w:val="single" w:color="000000" w:sz="2" w:space="0"/>
              <w:right w:val="single" w:color="000000" w:sz="2" w:space="0"/>
            </w:tcBorders>
            <w:noWrap/>
          </w:tcPr>
          <w:p w14:paraId="3851B5C1">
            <w:pPr>
              <w:spacing w:line="254" w:lineRule="auto"/>
              <w:jc w:val="both"/>
              <w:rPr>
                <w:color w:val="auto"/>
                <w:highlight w:val="none"/>
              </w:rPr>
            </w:pPr>
          </w:p>
          <w:p w14:paraId="3427C710">
            <w:pPr>
              <w:spacing w:line="254" w:lineRule="auto"/>
              <w:jc w:val="both"/>
              <w:rPr>
                <w:color w:val="auto"/>
                <w:highlight w:val="none"/>
              </w:rPr>
            </w:pPr>
          </w:p>
          <w:p w14:paraId="06B373CA">
            <w:pPr>
              <w:spacing w:before="75" w:line="230" w:lineRule="auto"/>
              <w:jc w:val="both"/>
              <w:rPr>
                <w:rFonts w:ascii="宋体" w:eastAsia="宋体" w:cs="宋体"/>
                <w:color w:val="auto"/>
                <w:sz w:val="23"/>
                <w:szCs w:val="23"/>
                <w:highlight w:val="none"/>
              </w:rPr>
            </w:pPr>
            <w:r>
              <w:rPr>
                <w:rFonts w:ascii="宋体" w:eastAsia="宋体" w:cs="宋体"/>
                <w:color w:val="auto"/>
                <w:sz w:val="23"/>
                <w:szCs w:val="23"/>
                <w:highlight w:val="none"/>
              </w:rPr>
              <w:t>序号</w:t>
            </w:r>
          </w:p>
        </w:tc>
        <w:tc>
          <w:tcPr>
            <w:tcW w:w="992" w:type="dxa"/>
            <w:tcBorders>
              <w:top w:val="single" w:color="000000" w:sz="2" w:space="0"/>
              <w:left w:val="single" w:color="000000" w:sz="2" w:space="0"/>
              <w:bottom w:val="single" w:color="000000" w:sz="2" w:space="0"/>
              <w:right w:val="single" w:color="000000" w:sz="2" w:space="0"/>
            </w:tcBorders>
            <w:noWrap/>
          </w:tcPr>
          <w:p w14:paraId="3AB85ADF">
            <w:pPr>
              <w:spacing w:line="254" w:lineRule="auto"/>
              <w:jc w:val="both"/>
              <w:rPr>
                <w:color w:val="auto"/>
                <w:highlight w:val="none"/>
              </w:rPr>
            </w:pPr>
          </w:p>
          <w:p w14:paraId="518358E3">
            <w:pPr>
              <w:spacing w:line="254" w:lineRule="auto"/>
              <w:jc w:val="both"/>
              <w:rPr>
                <w:color w:val="auto"/>
                <w:highlight w:val="none"/>
              </w:rPr>
            </w:pPr>
          </w:p>
          <w:p w14:paraId="68C03740">
            <w:pPr>
              <w:spacing w:before="74" w:line="228" w:lineRule="auto"/>
              <w:ind w:left="170"/>
              <w:jc w:val="both"/>
              <w:rPr>
                <w:rFonts w:ascii="宋体" w:eastAsia="宋体" w:cs="宋体"/>
                <w:color w:val="auto"/>
                <w:sz w:val="23"/>
                <w:szCs w:val="23"/>
                <w:highlight w:val="none"/>
              </w:rPr>
            </w:pPr>
            <w:r>
              <w:rPr>
                <w:rFonts w:ascii="宋体" w:eastAsia="宋体" w:cs="宋体"/>
                <w:color w:val="auto"/>
                <w:sz w:val="23"/>
                <w:szCs w:val="23"/>
                <w:highlight w:val="none"/>
              </w:rPr>
              <w:t>投标人</w:t>
            </w:r>
          </w:p>
        </w:tc>
        <w:tc>
          <w:tcPr>
            <w:tcW w:w="1134" w:type="dxa"/>
            <w:tcBorders>
              <w:top w:val="single" w:color="000000" w:sz="2" w:space="0"/>
              <w:left w:val="single" w:color="000000" w:sz="2" w:space="0"/>
              <w:bottom w:val="single" w:color="000000" w:sz="2" w:space="0"/>
              <w:right w:val="single" w:color="000000" w:sz="2" w:space="0"/>
            </w:tcBorders>
            <w:noWrap/>
          </w:tcPr>
          <w:p w14:paraId="4B94FF87">
            <w:pPr>
              <w:spacing w:line="278" w:lineRule="auto"/>
              <w:jc w:val="both"/>
              <w:rPr>
                <w:color w:val="auto"/>
                <w:highlight w:val="none"/>
              </w:rPr>
            </w:pPr>
          </w:p>
          <w:p w14:paraId="5BC6D6A5">
            <w:pPr>
              <w:spacing w:before="75" w:line="384" w:lineRule="auto"/>
              <w:ind w:left="115" w:right="6" w:firstLine="54"/>
              <w:jc w:val="both"/>
              <w:rPr>
                <w:rFonts w:ascii="宋体" w:eastAsia="宋体" w:cs="宋体"/>
                <w:color w:val="auto"/>
                <w:sz w:val="23"/>
                <w:szCs w:val="23"/>
                <w:highlight w:val="none"/>
              </w:rPr>
            </w:pPr>
            <w:r>
              <w:rPr>
                <w:rFonts w:ascii="宋体" w:eastAsia="宋体" w:cs="宋体"/>
                <w:color w:val="auto"/>
                <w:sz w:val="23"/>
                <w:szCs w:val="23"/>
                <w:highlight w:val="none"/>
              </w:rPr>
              <w:t>投标报价</w:t>
            </w:r>
          </w:p>
          <w:p w14:paraId="20C1D6E0">
            <w:pPr>
              <w:spacing w:before="75" w:line="384" w:lineRule="auto"/>
              <w:ind w:left="115" w:right="6" w:firstLine="54"/>
              <w:jc w:val="both"/>
              <w:rPr>
                <w:rFonts w:ascii="宋体" w:eastAsia="宋体" w:cs="宋体"/>
                <w:color w:val="auto"/>
                <w:sz w:val="23"/>
                <w:szCs w:val="23"/>
                <w:highlight w:val="none"/>
              </w:rPr>
            </w:pPr>
            <w:r>
              <w:rPr>
                <w:rFonts w:hint="eastAsia" w:ascii="宋体" w:eastAsia="宋体" w:cs="宋体"/>
                <w:color w:val="auto"/>
                <w:sz w:val="23"/>
                <w:szCs w:val="23"/>
                <w:highlight w:val="none"/>
                <w:lang w:eastAsia="zh-CN"/>
              </w:rPr>
              <w:t>（</w:t>
            </w:r>
            <w:r>
              <w:rPr>
                <w:rFonts w:ascii="宋体" w:eastAsia="宋体" w:cs="宋体"/>
                <w:color w:val="auto"/>
                <w:sz w:val="23"/>
                <w:szCs w:val="23"/>
                <w:highlight w:val="none"/>
              </w:rPr>
              <w:t>元</w:t>
            </w:r>
            <w:r>
              <w:rPr>
                <w:rFonts w:hint="eastAsia" w:ascii="宋体" w:eastAsia="宋体" w:cs="宋体"/>
                <w:color w:val="auto"/>
                <w:sz w:val="23"/>
                <w:szCs w:val="23"/>
                <w:highlight w:val="none"/>
                <w:lang w:eastAsia="zh-CN"/>
              </w:rPr>
              <w:t>）</w:t>
            </w:r>
          </w:p>
        </w:tc>
        <w:tc>
          <w:tcPr>
            <w:tcW w:w="1345" w:type="dxa"/>
            <w:tcBorders>
              <w:top w:val="single" w:color="000000" w:sz="2" w:space="0"/>
              <w:left w:val="single" w:color="000000" w:sz="2" w:space="0"/>
              <w:bottom w:val="single" w:color="000000" w:sz="2" w:space="0"/>
              <w:right w:val="single" w:color="000000" w:sz="2" w:space="0"/>
            </w:tcBorders>
            <w:noWrap/>
          </w:tcPr>
          <w:p w14:paraId="1AB76293">
            <w:pPr>
              <w:spacing w:line="276" w:lineRule="auto"/>
              <w:jc w:val="both"/>
              <w:rPr>
                <w:color w:val="auto"/>
                <w:highlight w:val="none"/>
              </w:rPr>
            </w:pPr>
          </w:p>
          <w:p w14:paraId="503E46B5">
            <w:pPr>
              <w:spacing w:before="75" w:line="384" w:lineRule="auto"/>
              <w:ind w:left="410" w:right="-77" w:hanging="238"/>
              <w:jc w:val="both"/>
              <w:rPr>
                <w:rFonts w:ascii="宋体" w:eastAsia="宋体" w:cs="宋体"/>
                <w:color w:val="auto"/>
                <w:sz w:val="23"/>
                <w:szCs w:val="23"/>
                <w:highlight w:val="none"/>
              </w:rPr>
            </w:pPr>
            <w:r>
              <w:rPr>
                <w:rFonts w:ascii="宋体" w:eastAsia="宋体" w:cs="宋体"/>
                <w:color w:val="auto"/>
                <w:sz w:val="23"/>
                <w:szCs w:val="23"/>
                <w:highlight w:val="none"/>
              </w:rPr>
              <w:t>投标品牌</w:t>
            </w:r>
          </w:p>
        </w:tc>
        <w:tc>
          <w:tcPr>
            <w:tcW w:w="1045" w:type="dxa"/>
            <w:tcBorders>
              <w:top w:val="single" w:color="000000" w:sz="2" w:space="0"/>
              <w:left w:val="single" w:color="000000" w:sz="2" w:space="0"/>
              <w:bottom w:val="single" w:color="000000" w:sz="2" w:space="0"/>
              <w:right w:val="single" w:color="000000" w:sz="2" w:space="0"/>
            </w:tcBorders>
            <w:noWrap/>
          </w:tcPr>
          <w:p w14:paraId="01E34AAC">
            <w:pPr>
              <w:spacing w:line="254" w:lineRule="auto"/>
              <w:jc w:val="both"/>
              <w:rPr>
                <w:rFonts w:eastAsia="宋体"/>
                <w:color w:val="auto"/>
                <w:highlight w:val="none"/>
              </w:rPr>
            </w:pPr>
          </w:p>
          <w:p w14:paraId="7D8106A8">
            <w:pPr>
              <w:spacing w:before="75" w:line="228" w:lineRule="auto"/>
              <w:ind w:left="174"/>
              <w:jc w:val="both"/>
              <w:rPr>
                <w:rFonts w:hint="eastAsia" w:ascii="宋体" w:eastAsia="宋体" w:cs="宋体"/>
                <w:color w:val="auto"/>
                <w:sz w:val="23"/>
                <w:szCs w:val="23"/>
                <w:highlight w:val="none"/>
                <w:lang w:eastAsia="zh-CN"/>
              </w:rPr>
            </w:pPr>
            <w:r>
              <w:rPr>
                <w:rFonts w:hint="eastAsia" w:ascii="宋体" w:eastAsia="宋体" w:cs="宋体"/>
                <w:color w:val="auto"/>
                <w:sz w:val="23"/>
                <w:szCs w:val="23"/>
                <w:highlight w:val="none"/>
                <w:lang w:eastAsia="zh-CN"/>
              </w:rPr>
              <w:t>工期</w:t>
            </w:r>
          </w:p>
        </w:tc>
        <w:tc>
          <w:tcPr>
            <w:tcW w:w="1045" w:type="dxa"/>
            <w:tcBorders>
              <w:top w:val="single" w:color="000000" w:sz="2" w:space="0"/>
              <w:left w:val="single" w:color="000000" w:sz="2" w:space="0"/>
              <w:bottom w:val="single" w:color="000000" w:sz="2" w:space="0"/>
              <w:right w:val="single" w:color="000000" w:sz="2" w:space="0"/>
            </w:tcBorders>
            <w:noWrap/>
          </w:tcPr>
          <w:p w14:paraId="11E579F1">
            <w:pPr>
              <w:spacing w:before="118" w:line="377" w:lineRule="auto"/>
              <w:ind w:left="168" w:right="160" w:firstLine="2"/>
              <w:jc w:val="both"/>
              <w:rPr>
                <w:rFonts w:ascii="宋体" w:eastAsia="宋体" w:cs="宋体"/>
                <w:color w:val="auto"/>
                <w:sz w:val="23"/>
                <w:szCs w:val="23"/>
                <w:highlight w:val="none"/>
              </w:rPr>
            </w:pPr>
            <w:r>
              <w:rPr>
                <w:rFonts w:ascii="宋体" w:eastAsia="宋体" w:cs="宋体"/>
                <w:color w:val="auto"/>
                <w:sz w:val="23"/>
                <w:szCs w:val="23"/>
                <w:highlight w:val="none"/>
              </w:rPr>
              <w:t>投标保证金缴</w:t>
            </w:r>
          </w:p>
          <w:p w14:paraId="1C2AF577">
            <w:pPr>
              <w:spacing w:before="1" w:line="228" w:lineRule="auto"/>
              <w:ind w:left="170"/>
              <w:jc w:val="both"/>
              <w:rPr>
                <w:rFonts w:ascii="宋体" w:eastAsia="宋体" w:cs="宋体"/>
                <w:color w:val="auto"/>
                <w:sz w:val="23"/>
                <w:szCs w:val="23"/>
                <w:highlight w:val="none"/>
              </w:rPr>
            </w:pPr>
            <w:r>
              <w:rPr>
                <w:rFonts w:ascii="宋体" w:eastAsia="宋体" w:cs="宋体"/>
                <w:color w:val="auto"/>
                <w:sz w:val="23"/>
                <w:szCs w:val="23"/>
                <w:highlight w:val="none"/>
              </w:rPr>
              <w:t>纳情况</w:t>
            </w:r>
          </w:p>
        </w:tc>
        <w:tc>
          <w:tcPr>
            <w:tcW w:w="1952" w:type="dxa"/>
            <w:tcBorders>
              <w:top w:val="single" w:color="000000" w:sz="2" w:space="0"/>
              <w:left w:val="single" w:color="000000" w:sz="2" w:space="0"/>
              <w:bottom w:val="single" w:color="000000" w:sz="2" w:space="0"/>
              <w:right w:val="single" w:color="000000" w:sz="2" w:space="0"/>
            </w:tcBorders>
            <w:noWrap/>
          </w:tcPr>
          <w:p w14:paraId="0A1413F1">
            <w:pPr>
              <w:spacing w:line="278" w:lineRule="auto"/>
              <w:jc w:val="both"/>
              <w:rPr>
                <w:color w:val="auto"/>
                <w:highlight w:val="none"/>
              </w:rPr>
            </w:pPr>
          </w:p>
          <w:p w14:paraId="1B8EA491">
            <w:pPr>
              <w:spacing w:before="75" w:line="384" w:lineRule="auto"/>
              <w:ind w:left="290" w:right="158" w:hanging="117"/>
              <w:jc w:val="both"/>
              <w:rPr>
                <w:rFonts w:ascii="宋体" w:eastAsia="宋体" w:cs="宋体"/>
                <w:color w:val="auto"/>
                <w:sz w:val="23"/>
                <w:szCs w:val="23"/>
                <w:highlight w:val="none"/>
              </w:rPr>
            </w:pPr>
            <w:r>
              <w:rPr>
                <w:rFonts w:ascii="宋体" w:eastAsia="宋体" w:cs="宋体"/>
                <w:color w:val="auto"/>
                <w:sz w:val="23"/>
                <w:szCs w:val="23"/>
                <w:highlight w:val="none"/>
              </w:rPr>
              <w:t>投标人确认</w:t>
            </w:r>
          </w:p>
        </w:tc>
        <w:tc>
          <w:tcPr>
            <w:tcW w:w="850" w:type="dxa"/>
            <w:tcBorders>
              <w:top w:val="single" w:color="000000" w:sz="2" w:space="0"/>
              <w:left w:val="single" w:color="000000" w:sz="2" w:space="0"/>
              <w:bottom w:val="single" w:color="000000" w:sz="2" w:space="0"/>
              <w:right w:val="single" w:color="000000" w:sz="2" w:space="0"/>
            </w:tcBorders>
            <w:noWrap/>
          </w:tcPr>
          <w:p w14:paraId="2031007D">
            <w:pPr>
              <w:spacing w:line="254" w:lineRule="auto"/>
              <w:jc w:val="both"/>
              <w:rPr>
                <w:color w:val="auto"/>
                <w:highlight w:val="none"/>
              </w:rPr>
            </w:pPr>
          </w:p>
          <w:p w14:paraId="0DFB585B">
            <w:pPr>
              <w:spacing w:line="254" w:lineRule="auto"/>
              <w:jc w:val="both"/>
              <w:rPr>
                <w:color w:val="auto"/>
                <w:highlight w:val="none"/>
              </w:rPr>
            </w:pPr>
          </w:p>
          <w:p w14:paraId="0B84FCAD">
            <w:pPr>
              <w:spacing w:before="75" w:line="230" w:lineRule="auto"/>
              <w:ind w:left="295"/>
              <w:jc w:val="both"/>
              <w:rPr>
                <w:rFonts w:ascii="宋体" w:eastAsia="宋体" w:cs="宋体"/>
                <w:color w:val="auto"/>
                <w:sz w:val="23"/>
                <w:szCs w:val="23"/>
                <w:highlight w:val="none"/>
              </w:rPr>
            </w:pPr>
            <w:r>
              <w:rPr>
                <w:rFonts w:ascii="宋体" w:eastAsia="宋体" w:cs="宋体"/>
                <w:color w:val="auto"/>
                <w:sz w:val="23"/>
                <w:szCs w:val="23"/>
                <w:highlight w:val="none"/>
              </w:rPr>
              <w:t>备注</w:t>
            </w:r>
          </w:p>
        </w:tc>
      </w:tr>
      <w:tr w14:paraId="278685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Borders>
              <w:top w:val="single" w:color="000000" w:sz="2" w:space="0"/>
              <w:left w:val="single" w:color="000000" w:sz="2" w:space="0"/>
              <w:bottom w:val="single" w:color="000000" w:sz="2" w:space="0"/>
              <w:right w:val="single" w:color="000000" w:sz="2" w:space="0"/>
            </w:tcBorders>
            <w:noWrap/>
          </w:tcPr>
          <w:p w14:paraId="70E7C3C4">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497FBF64">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124AD5C0">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77194271">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6CD1C533">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4DD6394F">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1CBF901E">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4F55999F">
            <w:pPr>
              <w:jc w:val="both"/>
              <w:rPr>
                <w:color w:val="auto"/>
                <w:highlight w:val="none"/>
              </w:rPr>
            </w:pPr>
          </w:p>
        </w:tc>
      </w:tr>
      <w:tr w14:paraId="3D0D7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Borders>
              <w:top w:val="single" w:color="000000" w:sz="2" w:space="0"/>
              <w:left w:val="single" w:color="000000" w:sz="2" w:space="0"/>
              <w:bottom w:val="single" w:color="000000" w:sz="2" w:space="0"/>
              <w:right w:val="single" w:color="000000" w:sz="2" w:space="0"/>
            </w:tcBorders>
            <w:noWrap/>
          </w:tcPr>
          <w:p w14:paraId="04E1A0E2">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61063B0D">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6BB8857F">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4D631AB7">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6EF4A22">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EF6F0E5">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7499056E">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4853EC90">
            <w:pPr>
              <w:jc w:val="both"/>
              <w:rPr>
                <w:color w:val="auto"/>
                <w:highlight w:val="none"/>
              </w:rPr>
            </w:pPr>
          </w:p>
        </w:tc>
      </w:tr>
      <w:tr w14:paraId="7B1C4D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tcBorders>
              <w:top w:val="single" w:color="000000" w:sz="2" w:space="0"/>
              <w:left w:val="single" w:color="000000" w:sz="2" w:space="0"/>
              <w:bottom w:val="single" w:color="000000" w:sz="2" w:space="0"/>
              <w:right w:val="single" w:color="000000" w:sz="2" w:space="0"/>
            </w:tcBorders>
            <w:noWrap/>
          </w:tcPr>
          <w:p w14:paraId="3061EEE1">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0BAD26E1">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4599F4B7">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512E3E56">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93EDA85">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BCD4442">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7C5F1828">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1BE76341">
            <w:pPr>
              <w:jc w:val="both"/>
              <w:rPr>
                <w:color w:val="auto"/>
                <w:highlight w:val="none"/>
              </w:rPr>
            </w:pPr>
          </w:p>
        </w:tc>
      </w:tr>
      <w:tr w14:paraId="2A5E3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Borders>
              <w:top w:val="single" w:color="000000" w:sz="2" w:space="0"/>
              <w:left w:val="single" w:color="000000" w:sz="2" w:space="0"/>
              <w:bottom w:val="single" w:color="000000" w:sz="2" w:space="0"/>
              <w:right w:val="single" w:color="000000" w:sz="2" w:space="0"/>
            </w:tcBorders>
            <w:noWrap/>
          </w:tcPr>
          <w:p w14:paraId="2374E416">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797BCEFA">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0D70509A">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3819F59C">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43B63E2">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79F96B7">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749B02B9">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31886629">
            <w:pPr>
              <w:jc w:val="both"/>
              <w:rPr>
                <w:color w:val="auto"/>
                <w:highlight w:val="none"/>
              </w:rPr>
            </w:pPr>
          </w:p>
        </w:tc>
      </w:tr>
      <w:tr w14:paraId="44ACA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Borders>
              <w:top w:val="single" w:color="000000" w:sz="2" w:space="0"/>
              <w:left w:val="single" w:color="000000" w:sz="2" w:space="0"/>
              <w:bottom w:val="single" w:color="000000" w:sz="2" w:space="0"/>
              <w:right w:val="single" w:color="000000" w:sz="2" w:space="0"/>
            </w:tcBorders>
            <w:noWrap/>
          </w:tcPr>
          <w:p w14:paraId="77D387E7">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69B00526">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5E667CE5">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7174BD87">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0228F508">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A65F59A">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0D74140C">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00E79D50">
            <w:pPr>
              <w:jc w:val="both"/>
              <w:rPr>
                <w:color w:val="auto"/>
                <w:highlight w:val="none"/>
              </w:rPr>
            </w:pPr>
          </w:p>
        </w:tc>
      </w:tr>
      <w:tr w14:paraId="1CB1A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18" w:hRule="atLeast"/>
        </w:trPr>
        <w:tc>
          <w:tcPr>
            <w:tcW w:w="710" w:type="dxa"/>
            <w:tcBorders>
              <w:top w:val="single" w:color="000000" w:sz="2" w:space="0"/>
              <w:left w:val="single" w:color="000000" w:sz="2" w:space="0"/>
              <w:bottom w:val="single" w:color="000000" w:sz="2" w:space="0"/>
              <w:right w:val="single" w:color="000000" w:sz="2" w:space="0"/>
            </w:tcBorders>
            <w:noWrap/>
          </w:tcPr>
          <w:p w14:paraId="04A27110">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1FCA8B6F">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4D58CA81">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2FEF24FA">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48D0F485">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498FBBB">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591AA249">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77FDF2BD">
            <w:pPr>
              <w:jc w:val="both"/>
              <w:rPr>
                <w:color w:val="auto"/>
                <w:highlight w:val="none"/>
              </w:rPr>
            </w:pPr>
          </w:p>
        </w:tc>
      </w:tr>
      <w:tr w14:paraId="37FFB7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tcBorders>
              <w:top w:val="single" w:color="000000" w:sz="2" w:space="0"/>
              <w:left w:val="single" w:color="000000" w:sz="2" w:space="0"/>
              <w:bottom w:val="single" w:color="000000" w:sz="2" w:space="0"/>
              <w:right w:val="single" w:color="000000" w:sz="2" w:space="0"/>
            </w:tcBorders>
            <w:noWrap/>
          </w:tcPr>
          <w:p w14:paraId="0AD250B1">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319E0CE5">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5F7C1505">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18EF4E3B">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614F9B2">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7575C0B">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4888964D">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1046ECAC">
            <w:pPr>
              <w:jc w:val="both"/>
              <w:rPr>
                <w:color w:val="auto"/>
                <w:highlight w:val="none"/>
              </w:rPr>
            </w:pPr>
          </w:p>
        </w:tc>
      </w:tr>
      <w:tr w14:paraId="193D1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Borders>
              <w:top w:val="single" w:color="000000" w:sz="2" w:space="0"/>
              <w:left w:val="single" w:color="000000" w:sz="2" w:space="0"/>
              <w:bottom w:val="single" w:color="000000" w:sz="2" w:space="0"/>
              <w:right w:val="single" w:color="000000" w:sz="2" w:space="0"/>
            </w:tcBorders>
            <w:noWrap/>
          </w:tcPr>
          <w:p w14:paraId="64D17D93">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42C92843">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6AE3E15B">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4A3BBE43">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557B2F8">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AC72BB8">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44173C62">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7292AD17">
            <w:pPr>
              <w:jc w:val="both"/>
              <w:rPr>
                <w:color w:val="auto"/>
                <w:highlight w:val="none"/>
              </w:rPr>
            </w:pPr>
          </w:p>
        </w:tc>
      </w:tr>
      <w:tr w14:paraId="2F6C57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Borders>
              <w:top w:val="single" w:color="000000" w:sz="2" w:space="0"/>
              <w:left w:val="single" w:color="000000" w:sz="2" w:space="0"/>
              <w:bottom w:val="single" w:color="000000" w:sz="2" w:space="0"/>
              <w:right w:val="single" w:color="000000" w:sz="2" w:space="0"/>
            </w:tcBorders>
            <w:noWrap/>
          </w:tcPr>
          <w:p w14:paraId="63D9981D">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41E19518">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3A30C929">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7D5C7A9A">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86C99EE">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0E68D63F">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3FC7C48B">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48014AA3">
            <w:pPr>
              <w:jc w:val="both"/>
              <w:rPr>
                <w:color w:val="auto"/>
                <w:highlight w:val="none"/>
              </w:rPr>
            </w:pPr>
          </w:p>
        </w:tc>
      </w:tr>
      <w:tr w14:paraId="7A480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Borders>
              <w:top w:val="single" w:color="000000" w:sz="2" w:space="0"/>
              <w:left w:val="single" w:color="000000" w:sz="2" w:space="0"/>
              <w:bottom w:val="single" w:color="000000" w:sz="2" w:space="0"/>
              <w:right w:val="single" w:color="000000" w:sz="2" w:space="0"/>
            </w:tcBorders>
            <w:noWrap/>
          </w:tcPr>
          <w:p w14:paraId="01B4BFC8">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679800F8">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2DB3FFAD">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747814D7">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7AE0083">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277C5482">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3FB20156">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6D8E16A4">
            <w:pPr>
              <w:jc w:val="both"/>
              <w:rPr>
                <w:color w:val="auto"/>
                <w:highlight w:val="none"/>
              </w:rPr>
            </w:pPr>
          </w:p>
        </w:tc>
      </w:tr>
      <w:tr w14:paraId="107BF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Borders>
              <w:top w:val="single" w:color="000000" w:sz="2" w:space="0"/>
              <w:left w:val="single" w:color="000000" w:sz="2" w:space="0"/>
              <w:bottom w:val="single" w:color="000000" w:sz="2" w:space="0"/>
              <w:right w:val="single" w:color="000000" w:sz="2" w:space="0"/>
            </w:tcBorders>
            <w:noWrap/>
          </w:tcPr>
          <w:p w14:paraId="2E35AC9B">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54F37FC3">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2BB6CFBB">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08CCA118">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5057BAFB">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6E64A690">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0CED4F9D">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1580F4A9">
            <w:pPr>
              <w:jc w:val="both"/>
              <w:rPr>
                <w:color w:val="auto"/>
                <w:highlight w:val="none"/>
              </w:rPr>
            </w:pPr>
          </w:p>
        </w:tc>
      </w:tr>
      <w:tr w14:paraId="38622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tcBorders>
              <w:top w:val="single" w:color="000000" w:sz="2" w:space="0"/>
              <w:left w:val="single" w:color="000000" w:sz="2" w:space="0"/>
              <w:bottom w:val="single" w:color="000000" w:sz="2" w:space="0"/>
              <w:right w:val="single" w:color="000000" w:sz="2" w:space="0"/>
            </w:tcBorders>
            <w:noWrap/>
          </w:tcPr>
          <w:p w14:paraId="15D1B26F">
            <w:pPr>
              <w:jc w:val="both"/>
              <w:rPr>
                <w:color w:val="auto"/>
                <w:highlight w:val="none"/>
              </w:rPr>
            </w:pPr>
          </w:p>
        </w:tc>
        <w:tc>
          <w:tcPr>
            <w:tcW w:w="992" w:type="dxa"/>
            <w:tcBorders>
              <w:top w:val="single" w:color="000000" w:sz="2" w:space="0"/>
              <w:left w:val="single" w:color="000000" w:sz="2" w:space="0"/>
              <w:bottom w:val="single" w:color="000000" w:sz="2" w:space="0"/>
              <w:right w:val="single" w:color="000000" w:sz="2" w:space="0"/>
            </w:tcBorders>
            <w:noWrap/>
          </w:tcPr>
          <w:p w14:paraId="6B6B4FBC">
            <w:pPr>
              <w:jc w:val="both"/>
              <w:rPr>
                <w:color w:val="auto"/>
                <w:highlight w:val="none"/>
              </w:rPr>
            </w:pPr>
          </w:p>
        </w:tc>
        <w:tc>
          <w:tcPr>
            <w:tcW w:w="1134" w:type="dxa"/>
            <w:tcBorders>
              <w:top w:val="single" w:color="000000" w:sz="2" w:space="0"/>
              <w:left w:val="single" w:color="000000" w:sz="2" w:space="0"/>
              <w:bottom w:val="single" w:color="000000" w:sz="2" w:space="0"/>
              <w:right w:val="single" w:color="000000" w:sz="2" w:space="0"/>
            </w:tcBorders>
            <w:noWrap/>
          </w:tcPr>
          <w:p w14:paraId="4BB6A2CA">
            <w:pPr>
              <w:jc w:val="both"/>
              <w:rPr>
                <w:color w:val="auto"/>
                <w:highlight w:val="none"/>
              </w:rPr>
            </w:pPr>
          </w:p>
        </w:tc>
        <w:tc>
          <w:tcPr>
            <w:tcW w:w="1345" w:type="dxa"/>
            <w:tcBorders>
              <w:top w:val="single" w:color="000000" w:sz="2" w:space="0"/>
              <w:left w:val="single" w:color="000000" w:sz="2" w:space="0"/>
              <w:bottom w:val="single" w:color="000000" w:sz="2" w:space="0"/>
              <w:right w:val="single" w:color="000000" w:sz="2" w:space="0"/>
            </w:tcBorders>
            <w:noWrap/>
          </w:tcPr>
          <w:p w14:paraId="2CAB7C1F">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64C7CB5B">
            <w:pPr>
              <w:jc w:val="both"/>
              <w:rPr>
                <w:color w:val="auto"/>
                <w:highlight w:val="none"/>
              </w:rPr>
            </w:pPr>
          </w:p>
        </w:tc>
        <w:tc>
          <w:tcPr>
            <w:tcW w:w="1045" w:type="dxa"/>
            <w:tcBorders>
              <w:top w:val="single" w:color="000000" w:sz="2" w:space="0"/>
              <w:left w:val="single" w:color="000000" w:sz="2" w:space="0"/>
              <w:bottom w:val="single" w:color="000000" w:sz="2" w:space="0"/>
              <w:right w:val="single" w:color="000000" w:sz="2" w:space="0"/>
            </w:tcBorders>
            <w:noWrap/>
          </w:tcPr>
          <w:p w14:paraId="7627D6BD">
            <w:pPr>
              <w:jc w:val="both"/>
              <w:rPr>
                <w:color w:val="auto"/>
                <w:highlight w:val="none"/>
              </w:rPr>
            </w:pPr>
          </w:p>
        </w:tc>
        <w:tc>
          <w:tcPr>
            <w:tcW w:w="1952" w:type="dxa"/>
            <w:tcBorders>
              <w:top w:val="single" w:color="000000" w:sz="2" w:space="0"/>
              <w:left w:val="single" w:color="000000" w:sz="2" w:space="0"/>
              <w:bottom w:val="single" w:color="000000" w:sz="2" w:space="0"/>
              <w:right w:val="single" w:color="000000" w:sz="2" w:space="0"/>
            </w:tcBorders>
            <w:noWrap/>
          </w:tcPr>
          <w:p w14:paraId="345B1431">
            <w:pPr>
              <w:jc w:val="both"/>
              <w:rPr>
                <w:color w:val="auto"/>
                <w:highlight w:val="none"/>
              </w:rPr>
            </w:pPr>
          </w:p>
        </w:tc>
        <w:tc>
          <w:tcPr>
            <w:tcW w:w="850" w:type="dxa"/>
            <w:tcBorders>
              <w:top w:val="single" w:color="000000" w:sz="2" w:space="0"/>
              <w:left w:val="single" w:color="000000" w:sz="2" w:space="0"/>
              <w:bottom w:val="single" w:color="000000" w:sz="2" w:space="0"/>
              <w:right w:val="single" w:color="000000" w:sz="2" w:space="0"/>
            </w:tcBorders>
            <w:noWrap/>
          </w:tcPr>
          <w:p w14:paraId="75F9C41E">
            <w:pPr>
              <w:jc w:val="both"/>
              <w:rPr>
                <w:color w:val="auto"/>
                <w:highlight w:val="none"/>
              </w:rPr>
            </w:pPr>
          </w:p>
        </w:tc>
      </w:tr>
    </w:tbl>
    <w:p w14:paraId="68368215">
      <w:pPr>
        <w:spacing w:line="290" w:lineRule="auto"/>
        <w:jc w:val="both"/>
        <w:rPr>
          <w:color w:val="auto"/>
          <w:highlight w:val="none"/>
        </w:rPr>
      </w:pPr>
    </w:p>
    <w:p w14:paraId="52B1A00A">
      <w:pPr>
        <w:spacing w:line="293" w:lineRule="auto"/>
        <w:jc w:val="both"/>
        <w:rPr>
          <w:color w:val="auto"/>
          <w:highlight w:val="none"/>
        </w:rPr>
      </w:pPr>
    </w:p>
    <w:p w14:paraId="5354A80D">
      <w:pPr>
        <w:tabs>
          <w:tab w:val="left" w:pos="6520"/>
        </w:tabs>
        <w:spacing w:before="75" w:line="504" w:lineRule="auto"/>
        <w:ind w:left="5429" w:hanging="5357"/>
        <w:jc w:val="both"/>
        <w:rPr>
          <w:rFonts w:ascii="宋体" w:eastAsia="宋体" w:cs="宋体"/>
          <w:color w:val="auto"/>
          <w:sz w:val="23"/>
          <w:szCs w:val="23"/>
          <w:highlight w:val="none"/>
        </w:rPr>
      </w:pPr>
      <w:r>
        <w:rPr>
          <w:rFonts w:ascii="宋体" w:eastAsia="宋体" w:cs="宋体"/>
          <w:color w:val="auto"/>
          <w:sz w:val="23"/>
          <w:szCs w:val="23"/>
          <w:highlight w:val="none"/>
        </w:rPr>
        <w:t>招标人代表：</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记录人：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监标人：</w:t>
      </w:r>
      <w:r>
        <w:rPr>
          <w:rFonts w:ascii="宋体" w:eastAsia="宋体" w:cs="宋体"/>
          <w:color w:val="auto"/>
          <w:sz w:val="23"/>
          <w:szCs w:val="23"/>
          <w:highlight w:val="none"/>
          <w:u w:val="single"/>
        </w:rPr>
        <w:t xml:space="preserve">   </w:t>
      </w:r>
    </w:p>
    <w:p w14:paraId="3642BB47">
      <w:pPr>
        <w:tabs>
          <w:tab w:val="left" w:pos="6520"/>
        </w:tabs>
        <w:spacing w:before="75" w:line="504" w:lineRule="auto"/>
        <w:ind w:left="5429" w:hanging="5357"/>
        <w:jc w:val="right"/>
        <w:rPr>
          <w:rFonts w:ascii="宋体" w:eastAsia="宋体" w:cs="宋体"/>
          <w:color w:val="auto"/>
          <w:sz w:val="23"/>
          <w:szCs w:val="23"/>
          <w:highlight w:val="none"/>
        </w:rPr>
      </w:pP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p>
    <w:p w14:paraId="47B2E734">
      <w:pPr>
        <w:jc w:val="right"/>
        <w:rPr>
          <w:color w:val="auto"/>
          <w:highlight w:val="none"/>
        </w:rPr>
        <w:sectPr>
          <w:footerReference r:id="rId9" w:type="default"/>
          <w:pgSz w:w="11906" w:h="16839"/>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78F790B0">
      <w:pPr>
        <w:spacing w:line="348" w:lineRule="auto"/>
        <w:jc w:val="both"/>
        <w:rPr>
          <w:color w:val="auto"/>
          <w:highlight w:val="none"/>
        </w:rPr>
      </w:pPr>
    </w:p>
    <w:p w14:paraId="29CDF46E">
      <w:pPr>
        <w:spacing w:before="91" w:line="221" w:lineRule="auto"/>
        <w:ind w:left="312"/>
        <w:jc w:val="both"/>
        <w:outlineLvl w:val="1"/>
        <w:rPr>
          <w:rFonts w:ascii="宋体" w:eastAsia="宋体" w:cs="宋体"/>
          <w:color w:val="auto"/>
          <w:sz w:val="28"/>
          <w:szCs w:val="28"/>
          <w:highlight w:val="none"/>
        </w:rPr>
      </w:pPr>
      <w:bookmarkStart w:id="125" w:name="_bookmark6"/>
      <w:bookmarkEnd w:id="125"/>
      <w:bookmarkStart w:id="126" w:name="_Toc9634"/>
      <w:bookmarkStart w:id="127" w:name="_Toc14731"/>
      <w:r>
        <w:rPr>
          <w:rFonts w:ascii="宋体" w:eastAsia="宋体" w:cs="宋体"/>
          <w:color w:val="auto"/>
          <w:sz w:val="28"/>
          <w:szCs w:val="28"/>
          <w:highlight w:val="none"/>
        </w:rPr>
        <w:t>附表二：问题澄清通知</w:t>
      </w:r>
      <w:bookmarkEnd w:id="126"/>
      <w:bookmarkEnd w:id="127"/>
    </w:p>
    <w:p w14:paraId="0697A50E">
      <w:pPr>
        <w:spacing w:line="331" w:lineRule="auto"/>
        <w:jc w:val="both"/>
        <w:rPr>
          <w:color w:val="auto"/>
          <w:highlight w:val="none"/>
        </w:rPr>
      </w:pPr>
    </w:p>
    <w:p w14:paraId="24C56D74">
      <w:pPr>
        <w:spacing w:line="331" w:lineRule="auto"/>
        <w:jc w:val="both"/>
        <w:rPr>
          <w:color w:val="auto"/>
          <w:highlight w:val="none"/>
        </w:rPr>
      </w:pPr>
    </w:p>
    <w:p w14:paraId="20A80C61">
      <w:pPr>
        <w:spacing w:before="91" w:line="221" w:lineRule="auto"/>
        <w:ind w:left="3845"/>
        <w:jc w:val="both"/>
        <w:rPr>
          <w:rFonts w:ascii="宋体" w:eastAsia="宋体" w:cs="宋体"/>
          <w:color w:val="auto"/>
          <w:sz w:val="28"/>
          <w:szCs w:val="28"/>
          <w:highlight w:val="none"/>
        </w:rPr>
      </w:pPr>
      <w:r>
        <w:rPr>
          <w:rFonts w:ascii="宋体" w:eastAsia="宋体" w:cs="宋体"/>
          <w:color w:val="auto"/>
          <w:sz w:val="28"/>
          <w:szCs w:val="28"/>
          <w:highlight w:val="none"/>
        </w:rPr>
        <w:t>问题澄清通知</w:t>
      </w:r>
    </w:p>
    <w:p w14:paraId="1D1FE1F0">
      <w:pPr>
        <w:spacing w:before="287" w:line="221" w:lineRule="auto"/>
        <w:ind w:left="3957"/>
        <w:jc w:val="both"/>
        <w:rPr>
          <w:rFonts w:ascii="宋体" w:eastAsia="宋体" w:cs="宋体"/>
          <w:color w:val="auto"/>
          <w:sz w:val="28"/>
          <w:szCs w:val="28"/>
          <w:highlight w:val="none"/>
        </w:rPr>
      </w:pPr>
      <w:r>
        <w:rPr>
          <w:rFonts w:ascii="宋体" w:eastAsia="宋体" w:cs="宋体"/>
          <w:color w:val="auto"/>
          <w:sz w:val="28"/>
          <w:szCs w:val="28"/>
          <w:highlight w:val="none"/>
        </w:rPr>
        <w:t>编号：</w:t>
      </w:r>
    </w:p>
    <w:p w14:paraId="1B8060AC">
      <w:pPr>
        <w:spacing w:line="348" w:lineRule="auto"/>
        <w:jc w:val="both"/>
        <w:rPr>
          <w:color w:val="auto"/>
          <w:highlight w:val="none"/>
        </w:rPr>
      </w:pPr>
    </w:p>
    <w:p w14:paraId="669B3026">
      <w:pPr>
        <w:spacing w:line="348" w:lineRule="auto"/>
        <w:jc w:val="both"/>
        <w:rPr>
          <w:color w:val="auto"/>
          <w:highlight w:val="none"/>
        </w:rPr>
      </w:pPr>
    </w:p>
    <w:p w14:paraId="6819A0C5">
      <w:pPr>
        <w:tabs>
          <w:tab w:val="left" w:pos="1978"/>
        </w:tabs>
        <w:spacing w:before="91" w:line="221" w:lineRule="auto"/>
        <w:jc w:val="both"/>
        <w:rPr>
          <w:rFonts w:ascii="宋体" w:eastAsia="宋体" w:cs="宋体"/>
          <w:color w:val="auto"/>
          <w:sz w:val="24"/>
          <w:szCs w:val="24"/>
          <w:highlight w:val="none"/>
        </w:rPr>
      </w:pPr>
      <w:r>
        <w:rPr>
          <w:rFonts w:ascii="宋体" w:eastAsia="宋体" w:cs="宋体"/>
          <w:color w:val="auto"/>
          <w:sz w:val="24"/>
          <w:szCs w:val="24"/>
          <w:highlight w:val="none"/>
          <w:u w:val="single"/>
        </w:rPr>
        <w:tab/>
      </w:r>
      <w:r>
        <w:rPr>
          <w:rFonts w:hint="eastAsia" w:ascii="宋体" w:eastAsia="宋体" w:cs="宋体"/>
          <w:color w:val="auto"/>
          <w:sz w:val="24"/>
          <w:szCs w:val="24"/>
          <w:highlight w:val="none"/>
          <w:u w:val="single"/>
          <w:lang w:eastAsia="zh-CN"/>
        </w:rPr>
        <w:t>（</w:t>
      </w:r>
      <w:r>
        <w:rPr>
          <w:rFonts w:ascii="宋体" w:eastAsia="宋体" w:cs="宋体"/>
          <w:color w:val="auto"/>
          <w:sz w:val="24"/>
          <w:szCs w:val="24"/>
          <w:highlight w:val="none"/>
        </w:rPr>
        <w:t>投标人名称</w:t>
      </w:r>
      <w:r>
        <w:rPr>
          <w:rFonts w:hint="eastAsia" w:ascii="宋体" w:eastAsia="宋体" w:cs="宋体"/>
          <w:color w:val="auto"/>
          <w:sz w:val="24"/>
          <w:szCs w:val="24"/>
          <w:highlight w:val="none"/>
          <w:lang w:eastAsia="zh-CN"/>
        </w:rPr>
        <w:t>）</w:t>
      </w:r>
      <w:r>
        <w:rPr>
          <w:rFonts w:ascii="宋体" w:eastAsia="宋体" w:cs="宋体"/>
          <w:color w:val="auto"/>
          <w:sz w:val="24"/>
          <w:szCs w:val="24"/>
          <w:highlight w:val="none"/>
        </w:rPr>
        <w:t>:</w:t>
      </w:r>
    </w:p>
    <w:p w14:paraId="34A276D3">
      <w:pPr>
        <w:tabs>
          <w:tab w:val="left" w:pos="1558"/>
        </w:tabs>
        <w:spacing w:before="226" w:line="377" w:lineRule="auto"/>
        <w:ind w:left="10" w:right="72" w:firstLine="549"/>
        <w:jc w:val="both"/>
        <w:rPr>
          <w:rFonts w:ascii="宋体" w:eastAsia="宋体" w:cs="宋体"/>
          <w:color w:val="auto"/>
          <w:sz w:val="24"/>
          <w:szCs w:val="24"/>
          <w:highlight w:val="none"/>
        </w:rPr>
      </w:pPr>
      <w:r>
        <w:rPr>
          <w:rFonts w:ascii="宋体" w:eastAsia="宋体" w:cs="宋体"/>
          <w:color w:val="auto"/>
          <w:sz w:val="24"/>
          <w:szCs w:val="24"/>
          <w:highlight w:val="none"/>
          <w:u w:val="single"/>
        </w:rPr>
        <w:tab/>
      </w:r>
      <w:r>
        <w:rPr>
          <w:rFonts w:hint="eastAsia" w:ascii="宋体" w:eastAsia="宋体" w:cs="宋体"/>
          <w:color w:val="auto"/>
          <w:sz w:val="24"/>
          <w:szCs w:val="24"/>
          <w:highlight w:val="none"/>
          <w:u w:val="single"/>
          <w:lang w:eastAsia="zh-CN"/>
        </w:rPr>
        <w:t>（</w:t>
      </w:r>
      <w:r>
        <w:rPr>
          <w:rFonts w:ascii="宋体" w:eastAsia="宋体" w:cs="宋体"/>
          <w:color w:val="auto"/>
          <w:sz w:val="24"/>
          <w:szCs w:val="24"/>
          <w:highlight w:val="none"/>
        </w:rPr>
        <w:t>项目名称</w:t>
      </w:r>
      <w:r>
        <w:rPr>
          <w:rFonts w:hint="eastAsia" w:ascii="宋体" w:eastAsia="宋体" w:cs="宋体"/>
          <w:color w:val="auto"/>
          <w:sz w:val="24"/>
          <w:szCs w:val="24"/>
          <w:highlight w:val="none"/>
          <w:lang w:eastAsia="zh-CN"/>
        </w:rPr>
        <w:t>）</w:t>
      </w:r>
      <w:r>
        <w:rPr>
          <w:rFonts w:ascii="宋体" w:eastAsia="宋体" w:cs="宋体"/>
          <w:color w:val="auto"/>
          <w:sz w:val="24"/>
          <w:szCs w:val="24"/>
          <w:highlight w:val="none"/>
        </w:rPr>
        <w:t>标段招标的评标委员会，对你方的投标文件进行了仔细的审查，现需你方对下列问题以书面形式予以澄清：</w:t>
      </w:r>
    </w:p>
    <w:p w14:paraId="3ACB3267">
      <w:pPr>
        <w:spacing w:before="18" w:line="563" w:lineRule="exact"/>
        <w:ind w:left="591"/>
        <w:jc w:val="both"/>
        <w:rPr>
          <w:rFonts w:ascii="宋体" w:eastAsia="宋体" w:cs="宋体"/>
          <w:color w:val="auto"/>
          <w:sz w:val="24"/>
          <w:szCs w:val="24"/>
          <w:highlight w:val="none"/>
        </w:rPr>
      </w:pPr>
      <w:r>
        <w:rPr>
          <w:rFonts w:ascii="宋体" w:eastAsia="宋体" w:cs="宋体"/>
          <w:color w:val="auto"/>
          <w:position w:val="25"/>
          <w:sz w:val="24"/>
          <w:szCs w:val="24"/>
          <w:highlight w:val="none"/>
        </w:rPr>
        <w:t>1.</w:t>
      </w:r>
    </w:p>
    <w:p w14:paraId="69B067AF">
      <w:pPr>
        <w:spacing w:line="187" w:lineRule="auto"/>
        <w:ind w:left="574"/>
        <w:jc w:val="both"/>
        <w:rPr>
          <w:rFonts w:ascii="宋体" w:eastAsia="宋体" w:cs="宋体"/>
          <w:color w:val="auto"/>
          <w:sz w:val="24"/>
          <w:szCs w:val="24"/>
          <w:highlight w:val="none"/>
        </w:rPr>
      </w:pPr>
      <w:r>
        <w:rPr>
          <w:rFonts w:ascii="宋体" w:eastAsia="宋体" w:cs="宋体"/>
          <w:color w:val="auto"/>
          <w:sz w:val="24"/>
          <w:szCs w:val="24"/>
          <w:highlight w:val="none"/>
        </w:rPr>
        <w:t>2.</w:t>
      </w:r>
    </w:p>
    <w:p w14:paraId="20688E10">
      <w:pPr>
        <w:spacing w:before="232" w:line="443" w:lineRule="exact"/>
        <w:ind w:left="588"/>
        <w:jc w:val="both"/>
        <w:rPr>
          <w:rFonts w:ascii="宋体" w:eastAsia="宋体" w:cs="宋体"/>
          <w:color w:val="auto"/>
          <w:sz w:val="24"/>
          <w:szCs w:val="24"/>
          <w:highlight w:val="none"/>
        </w:rPr>
      </w:pPr>
      <w:r>
        <w:rPr>
          <w:rFonts w:ascii="宋体" w:eastAsia="宋体" w:cs="宋体"/>
          <w:color w:val="auto"/>
          <w:position w:val="3"/>
          <w:sz w:val="24"/>
          <w:szCs w:val="24"/>
          <w:highlight w:val="none"/>
        </w:rPr>
        <w:t>……</w:t>
      </w:r>
    </w:p>
    <w:p w14:paraId="15B38096">
      <w:pPr>
        <w:spacing w:before="116" w:line="379" w:lineRule="auto"/>
        <w:ind w:left="12" w:right="72" w:firstLine="555"/>
        <w:jc w:val="both"/>
        <w:rPr>
          <w:rFonts w:ascii="宋体" w:eastAsia="宋体" w:cs="宋体"/>
          <w:color w:val="auto"/>
          <w:sz w:val="24"/>
          <w:szCs w:val="24"/>
          <w:highlight w:val="none"/>
        </w:rPr>
      </w:pPr>
      <w:r>
        <w:rPr>
          <w:rFonts w:ascii="宋体" w:eastAsia="宋体" w:cs="宋体"/>
          <w:color w:val="auto"/>
          <w:sz w:val="24"/>
          <w:szCs w:val="24"/>
          <w:highlight w:val="none"/>
        </w:rPr>
        <w:t>请将上述问题的澄清于年月日时前反馈。</w:t>
      </w:r>
    </w:p>
    <w:p w14:paraId="3196E42E">
      <w:pPr>
        <w:spacing w:line="247" w:lineRule="auto"/>
        <w:jc w:val="both"/>
        <w:rPr>
          <w:color w:val="auto"/>
          <w:sz w:val="24"/>
          <w:szCs w:val="24"/>
          <w:highlight w:val="none"/>
        </w:rPr>
      </w:pPr>
    </w:p>
    <w:p w14:paraId="6BD1F798">
      <w:pPr>
        <w:spacing w:line="250" w:lineRule="auto"/>
        <w:jc w:val="both"/>
        <w:rPr>
          <w:color w:val="auto"/>
          <w:sz w:val="24"/>
          <w:szCs w:val="24"/>
          <w:highlight w:val="none"/>
        </w:rPr>
      </w:pPr>
    </w:p>
    <w:p w14:paraId="3CD660CB">
      <w:pPr>
        <w:spacing w:line="250" w:lineRule="auto"/>
        <w:jc w:val="both"/>
        <w:rPr>
          <w:color w:val="auto"/>
          <w:sz w:val="24"/>
          <w:szCs w:val="24"/>
          <w:highlight w:val="none"/>
        </w:rPr>
      </w:pPr>
    </w:p>
    <w:p w14:paraId="473C26A4">
      <w:pPr>
        <w:spacing w:line="250" w:lineRule="auto"/>
        <w:jc w:val="both"/>
        <w:rPr>
          <w:color w:val="auto"/>
          <w:sz w:val="24"/>
          <w:szCs w:val="24"/>
          <w:highlight w:val="none"/>
        </w:rPr>
      </w:pPr>
    </w:p>
    <w:p w14:paraId="6B58FA5B">
      <w:pPr>
        <w:tabs>
          <w:tab w:val="left" w:pos="6922"/>
        </w:tabs>
        <w:spacing w:before="91" w:line="377" w:lineRule="auto"/>
        <w:ind w:left="6489" w:hanging="2980"/>
        <w:jc w:val="both"/>
        <w:rPr>
          <w:rFonts w:ascii="宋体" w:eastAsia="宋体" w:cs="宋体"/>
          <w:color w:val="auto"/>
          <w:sz w:val="24"/>
          <w:szCs w:val="24"/>
          <w:highlight w:val="none"/>
        </w:rPr>
      </w:pPr>
      <w:r>
        <w:rPr>
          <w:rFonts w:ascii="宋体" w:eastAsia="宋体" w:cs="宋体"/>
          <w:color w:val="auto"/>
          <w:sz w:val="24"/>
          <w:szCs w:val="24"/>
          <w:highlight w:val="none"/>
        </w:rPr>
        <w:t>评标委员会负责人：</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 xml:space="preserve"> </w:t>
      </w:r>
      <w:r>
        <w:rPr>
          <w:rFonts w:hint="eastAsia" w:ascii="宋体" w:eastAsia="宋体" w:cs="宋体"/>
          <w:color w:val="auto"/>
          <w:sz w:val="24"/>
          <w:szCs w:val="24"/>
          <w:highlight w:val="none"/>
          <w:lang w:eastAsia="zh-CN"/>
        </w:rPr>
        <w:t>（</w:t>
      </w:r>
      <w:r>
        <w:rPr>
          <w:rFonts w:ascii="宋体" w:eastAsia="宋体" w:cs="宋体"/>
          <w:color w:val="auto"/>
          <w:sz w:val="24"/>
          <w:szCs w:val="24"/>
          <w:highlight w:val="none"/>
        </w:rPr>
        <w:t>签字或盖章</w:t>
      </w:r>
      <w:r>
        <w:rPr>
          <w:rFonts w:hint="eastAsia" w:ascii="宋体" w:eastAsia="宋体" w:cs="宋体"/>
          <w:color w:val="auto"/>
          <w:sz w:val="24"/>
          <w:szCs w:val="24"/>
          <w:highlight w:val="none"/>
          <w:lang w:eastAsia="zh-CN"/>
        </w:rPr>
        <w:t>）</w:t>
      </w:r>
    </w:p>
    <w:p w14:paraId="6369B951">
      <w:pPr>
        <w:tabs>
          <w:tab w:val="left" w:pos="6922"/>
        </w:tabs>
        <w:spacing w:before="91" w:line="377" w:lineRule="auto"/>
        <w:ind w:left="105" w:leftChars="50" w:firstLine="115" w:firstLineChars="50"/>
        <w:jc w:val="right"/>
        <w:rPr>
          <w:rFonts w:ascii="宋体" w:eastAsia="宋体" w:cs="宋体"/>
          <w:color w:val="auto"/>
          <w:sz w:val="24"/>
          <w:szCs w:val="24"/>
          <w:highlight w:val="none"/>
        </w:rPr>
      </w:pP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年</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月</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日</w:t>
      </w:r>
    </w:p>
    <w:p w14:paraId="285E3B9F">
      <w:pPr>
        <w:jc w:val="both"/>
        <w:rPr>
          <w:color w:val="auto"/>
          <w:highlight w:val="none"/>
        </w:rPr>
        <w:sectPr>
          <w:footerReference r:id="rId10" w:type="default"/>
          <w:pgSz w:w="11906" w:h="16839"/>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4CF5B83D">
      <w:pPr>
        <w:spacing w:before="157" w:line="221" w:lineRule="auto"/>
        <w:ind w:left="314"/>
        <w:jc w:val="both"/>
        <w:outlineLvl w:val="1"/>
        <w:rPr>
          <w:rFonts w:ascii="宋体" w:eastAsia="宋体" w:cs="宋体"/>
          <w:color w:val="auto"/>
          <w:sz w:val="28"/>
          <w:szCs w:val="28"/>
          <w:highlight w:val="none"/>
        </w:rPr>
      </w:pPr>
      <w:bookmarkStart w:id="128" w:name="_bookmark7"/>
      <w:bookmarkEnd w:id="128"/>
      <w:bookmarkStart w:id="129" w:name="_Toc12496"/>
      <w:bookmarkStart w:id="130" w:name="_Toc5567"/>
      <w:r>
        <w:rPr>
          <w:rFonts w:ascii="宋体" w:eastAsia="宋体" w:cs="宋体"/>
          <w:color w:val="auto"/>
          <w:sz w:val="28"/>
          <w:szCs w:val="28"/>
          <w:highlight w:val="none"/>
        </w:rPr>
        <w:t>附表三：问题的澄清</w:t>
      </w:r>
      <w:bookmarkEnd w:id="129"/>
      <w:bookmarkEnd w:id="130"/>
    </w:p>
    <w:p w14:paraId="5E16B0B7">
      <w:pPr>
        <w:spacing w:line="264" w:lineRule="auto"/>
        <w:jc w:val="both"/>
        <w:rPr>
          <w:color w:val="auto"/>
          <w:highlight w:val="none"/>
        </w:rPr>
      </w:pPr>
    </w:p>
    <w:p w14:paraId="40897C9A">
      <w:pPr>
        <w:spacing w:line="264" w:lineRule="auto"/>
        <w:jc w:val="both"/>
        <w:rPr>
          <w:color w:val="auto"/>
          <w:highlight w:val="none"/>
        </w:rPr>
      </w:pPr>
    </w:p>
    <w:p w14:paraId="45FEB5F2">
      <w:pPr>
        <w:spacing w:line="264" w:lineRule="auto"/>
        <w:jc w:val="both"/>
        <w:rPr>
          <w:color w:val="auto"/>
          <w:highlight w:val="none"/>
        </w:rPr>
      </w:pPr>
    </w:p>
    <w:p w14:paraId="14676379">
      <w:pPr>
        <w:spacing w:before="91" w:line="221" w:lineRule="auto"/>
        <w:ind w:firstLine="3220" w:firstLineChars="1150"/>
        <w:jc w:val="both"/>
        <w:rPr>
          <w:rFonts w:ascii="宋体" w:eastAsia="宋体" w:cs="宋体"/>
          <w:color w:val="auto"/>
          <w:sz w:val="28"/>
          <w:szCs w:val="28"/>
          <w:highlight w:val="none"/>
        </w:rPr>
      </w:pPr>
      <w:r>
        <w:rPr>
          <w:rFonts w:ascii="宋体" w:eastAsia="宋体" w:cs="宋体"/>
          <w:color w:val="auto"/>
          <w:sz w:val="28"/>
          <w:szCs w:val="28"/>
          <w:highlight w:val="none"/>
        </w:rPr>
        <w:t>问题的澄清</w:t>
      </w:r>
    </w:p>
    <w:p w14:paraId="6E8EA554">
      <w:pPr>
        <w:spacing w:before="222" w:line="221" w:lineRule="auto"/>
        <w:ind w:left="4413"/>
        <w:jc w:val="both"/>
        <w:rPr>
          <w:rFonts w:ascii="宋体" w:eastAsia="宋体" w:cs="宋体"/>
          <w:color w:val="auto"/>
          <w:sz w:val="24"/>
          <w:szCs w:val="24"/>
          <w:highlight w:val="none"/>
        </w:rPr>
      </w:pPr>
      <w:r>
        <w:rPr>
          <w:rFonts w:ascii="宋体" w:eastAsia="宋体" w:cs="宋体"/>
          <w:color w:val="auto"/>
          <w:sz w:val="24"/>
          <w:szCs w:val="24"/>
          <w:highlight w:val="none"/>
        </w:rPr>
        <w:t>编号：</w:t>
      </w:r>
    </w:p>
    <w:p w14:paraId="7CF27609">
      <w:pPr>
        <w:tabs>
          <w:tab w:val="left" w:pos="761"/>
        </w:tabs>
        <w:spacing w:line="360" w:lineRule="auto"/>
        <w:ind w:firstLine="120" w:firstLineChars="50"/>
        <w:jc w:val="both"/>
        <w:rPr>
          <w:rFonts w:ascii="宋体" w:eastAsia="宋体" w:cs="宋体"/>
          <w:color w:val="auto"/>
          <w:sz w:val="24"/>
          <w:szCs w:val="24"/>
          <w:highlight w:val="none"/>
          <w:u w:val="single"/>
        </w:rPr>
      </w:pPr>
    </w:p>
    <w:p w14:paraId="67E9CBAD">
      <w:pPr>
        <w:tabs>
          <w:tab w:val="left" w:pos="761"/>
        </w:tabs>
        <w:spacing w:line="360" w:lineRule="auto"/>
        <w:ind w:firstLine="120" w:firstLineChars="50"/>
        <w:jc w:val="both"/>
        <w:rPr>
          <w:rFonts w:ascii="宋体" w:eastAsia="宋体" w:cs="宋体"/>
          <w:color w:val="auto"/>
          <w:sz w:val="24"/>
          <w:szCs w:val="24"/>
          <w:highlight w:val="none"/>
        </w:rPr>
      </w:pPr>
      <w:r>
        <w:rPr>
          <w:rFonts w:ascii="宋体" w:eastAsia="宋体" w:cs="宋体"/>
          <w:color w:val="auto"/>
          <w:sz w:val="24"/>
          <w:szCs w:val="24"/>
          <w:highlight w:val="none"/>
          <w:u w:val="single"/>
        </w:rPr>
        <w:tab/>
      </w:r>
      <w:r>
        <w:rPr>
          <w:rFonts w:hint="eastAsia" w:ascii="宋体" w:eastAsia="宋体" w:cs="宋体"/>
          <w:color w:val="auto"/>
          <w:sz w:val="24"/>
          <w:szCs w:val="24"/>
          <w:highlight w:val="none"/>
          <w:u w:val="single"/>
          <w:lang w:eastAsia="zh-CN"/>
        </w:rPr>
        <w:t>（</w:t>
      </w:r>
      <w:r>
        <w:rPr>
          <w:rFonts w:ascii="宋体" w:eastAsia="宋体" w:cs="宋体"/>
          <w:color w:val="auto"/>
          <w:sz w:val="24"/>
          <w:szCs w:val="24"/>
          <w:highlight w:val="none"/>
        </w:rPr>
        <w:t>项目名称</w:t>
      </w:r>
      <w:r>
        <w:rPr>
          <w:rFonts w:hint="eastAsia" w:ascii="宋体" w:eastAsia="宋体" w:cs="宋体"/>
          <w:color w:val="auto"/>
          <w:sz w:val="24"/>
          <w:szCs w:val="24"/>
          <w:highlight w:val="none"/>
          <w:lang w:eastAsia="zh-CN"/>
        </w:rPr>
        <w:t>）</w:t>
      </w:r>
      <w:r>
        <w:rPr>
          <w:rFonts w:ascii="宋体" w:eastAsia="宋体" w:cs="宋体"/>
          <w:color w:val="auto"/>
          <w:sz w:val="24"/>
          <w:szCs w:val="24"/>
          <w:highlight w:val="none"/>
        </w:rPr>
        <w:t>标段招标评标委员会：</w:t>
      </w:r>
    </w:p>
    <w:p w14:paraId="66F9C3D9">
      <w:pPr>
        <w:spacing w:line="360" w:lineRule="auto"/>
        <w:ind w:left="605"/>
        <w:jc w:val="both"/>
        <w:rPr>
          <w:rFonts w:ascii="宋体" w:eastAsia="宋体" w:cs="宋体"/>
          <w:color w:val="auto"/>
          <w:sz w:val="24"/>
          <w:szCs w:val="24"/>
          <w:highlight w:val="none"/>
        </w:rPr>
      </w:pPr>
      <w:r>
        <w:rPr>
          <w:rFonts w:ascii="宋体" w:eastAsia="宋体" w:cs="宋体"/>
          <w:color w:val="auto"/>
          <w:sz w:val="24"/>
          <w:szCs w:val="24"/>
          <w:highlight w:val="none"/>
        </w:rPr>
        <w:t>问题澄清通知</w:t>
      </w:r>
      <w:r>
        <w:rPr>
          <w:rFonts w:hint="eastAsia" w:ascii="宋体" w:eastAsia="宋体" w:cs="宋体"/>
          <w:color w:val="auto"/>
          <w:sz w:val="24"/>
          <w:szCs w:val="24"/>
          <w:highlight w:val="none"/>
          <w:lang w:eastAsia="zh-CN"/>
        </w:rPr>
        <w:t>（</w:t>
      </w:r>
      <w:r>
        <w:rPr>
          <w:rFonts w:ascii="宋体" w:eastAsia="宋体" w:cs="宋体"/>
          <w:color w:val="auto"/>
          <w:sz w:val="24"/>
          <w:szCs w:val="24"/>
          <w:highlight w:val="none"/>
        </w:rPr>
        <w:t>编号：</w:t>
      </w:r>
      <w:r>
        <w:rPr>
          <w:rFonts w:hint="eastAsia" w:ascii="宋体" w:eastAsia="宋体" w:cs="宋体"/>
          <w:color w:val="auto"/>
          <w:sz w:val="24"/>
          <w:szCs w:val="24"/>
          <w:highlight w:val="none"/>
          <w:u w:val="single"/>
        </w:rPr>
        <w:t xml:space="preserve">   </w:t>
      </w:r>
      <w:r>
        <w:rPr>
          <w:rFonts w:hint="eastAsia" w:ascii="宋体" w:eastAsia="宋体" w:cs="宋体"/>
          <w:color w:val="auto"/>
          <w:sz w:val="24"/>
          <w:szCs w:val="24"/>
          <w:highlight w:val="none"/>
          <w:u w:val="single"/>
          <w:lang w:eastAsia="zh-CN"/>
        </w:rPr>
        <w:t>）</w:t>
      </w:r>
      <w:r>
        <w:rPr>
          <w:rFonts w:ascii="宋体" w:eastAsia="宋体" w:cs="宋体"/>
          <w:color w:val="auto"/>
          <w:sz w:val="24"/>
          <w:szCs w:val="24"/>
          <w:highlight w:val="none"/>
        </w:rPr>
        <w:t>已收悉，现澄清如下：</w:t>
      </w:r>
    </w:p>
    <w:p w14:paraId="39184C9A">
      <w:pPr>
        <w:spacing w:line="360" w:lineRule="auto"/>
        <w:ind w:left="1135"/>
        <w:jc w:val="both"/>
        <w:rPr>
          <w:rFonts w:ascii="宋体" w:eastAsia="宋体" w:cs="宋体"/>
          <w:color w:val="auto"/>
          <w:sz w:val="24"/>
          <w:szCs w:val="24"/>
          <w:highlight w:val="none"/>
          <w:u w:val="single"/>
        </w:rPr>
      </w:pPr>
      <w:r>
        <w:rPr>
          <w:rFonts w:hint="eastAsia" w:ascii="宋体" w:eastAsia="宋体" w:cs="宋体"/>
          <w:color w:val="auto"/>
          <w:sz w:val="24"/>
          <w:szCs w:val="24"/>
          <w:highlight w:val="none"/>
          <w:u w:val="single"/>
        </w:rPr>
        <w:t xml:space="preserve">1.                                 </w:t>
      </w:r>
    </w:p>
    <w:p w14:paraId="51172AEC">
      <w:pPr>
        <w:spacing w:line="360" w:lineRule="auto"/>
        <w:ind w:left="1135"/>
        <w:jc w:val="both"/>
        <w:rPr>
          <w:rFonts w:ascii="宋体" w:eastAsia="宋体" w:cs="宋体"/>
          <w:color w:val="auto"/>
          <w:sz w:val="24"/>
          <w:szCs w:val="24"/>
          <w:highlight w:val="none"/>
        </w:rPr>
      </w:pPr>
      <w:r>
        <w:rPr>
          <w:rFonts w:ascii="宋体" w:eastAsia="宋体" w:cs="宋体"/>
          <w:color w:val="auto"/>
          <w:sz w:val="24"/>
          <w:szCs w:val="24"/>
          <w:highlight w:val="none"/>
        </w:rPr>
        <w:t>2.</w:t>
      </w:r>
      <w:r>
        <w:rPr>
          <w:rFonts w:hint="eastAsia" w:ascii="宋体" w:eastAsia="宋体" w:cs="宋体"/>
          <w:color w:val="auto"/>
          <w:sz w:val="24"/>
          <w:szCs w:val="24"/>
          <w:highlight w:val="none"/>
          <w:u w:val="single"/>
        </w:rPr>
        <w:t xml:space="preserve">                                 </w:t>
      </w:r>
    </w:p>
    <w:p w14:paraId="7F8142A5">
      <w:pPr>
        <w:spacing w:before="234" w:line="443" w:lineRule="exact"/>
        <w:ind w:left="1150"/>
        <w:jc w:val="both"/>
        <w:rPr>
          <w:rFonts w:ascii="宋体" w:eastAsia="宋体" w:cs="宋体"/>
          <w:color w:val="auto"/>
          <w:sz w:val="24"/>
          <w:szCs w:val="24"/>
          <w:highlight w:val="none"/>
        </w:rPr>
      </w:pPr>
      <w:r>
        <w:rPr>
          <w:rFonts w:ascii="宋体" w:eastAsia="宋体" w:cs="宋体"/>
          <w:color w:val="auto"/>
          <w:position w:val="3"/>
          <w:sz w:val="24"/>
          <w:szCs w:val="24"/>
          <w:highlight w:val="none"/>
        </w:rPr>
        <w:t>……</w:t>
      </w:r>
    </w:p>
    <w:p w14:paraId="09719670">
      <w:pPr>
        <w:spacing w:line="250" w:lineRule="auto"/>
        <w:jc w:val="both"/>
        <w:rPr>
          <w:color w:val="auto"/>
          <w:sz w:val="24"/>
          <w:szCs w:val="24"/>
          <w:highlight w:val="none"/>
        </w:rPr>
      </w:pPr>
    </w:p>
    <w:p w14:paraId="60F6B094">
      <w:pPr>
        <w:spacing w:line="250" w:lineRule="auto"/>
        <w:jc w:val="both"/>
        <w:rPr>
          <w:color w:val="auto"/>
          <w:sz w:val="24"/>
          <w:szCs w:val="24"/>
          <w:highlight w:val="none"/>
        </w:rPr>
      </w:pPr>
    </w:p>
    <w:p w14:paraId="3E371430">
      <w:pPr>
        <w:spacing w:line="250" w:lineRule="auto"/>
        <w:jc w:val="both"/>
        <w:rPr>
          <w:color w:val="auto"/>
          <w:sz w:val="24"/>
          <w:szCs w:val="24"/>
          <w:highlight w:val="none"/>
        </w:rPr>
      </w:pPr>
    </w:p>
    <w:p w14:paraId="7E062119">
      <w:pPr>
        <w:spacing w:line="250" w:lineRule="auto"/>
        <w:jc w:val="both"/>
        <w:rPr>
          <w:color w:val="auto"/>
          <w:sz w:val="24"/>
          <w:szCs w:val="24"/>
          <w:highlight w:val="none"/>
        </w:rPr>
      </w:pPr>
    </w:p>
    <w:p w14:paraId="6E3BB3F0">
      <w:pPr>
        <w:spacing w:line="250" w:lineRule="auto"/>
        <w:jc w:val="both"/>
        <w:rPr>
          <w:color w:val="auto"/>
          <w:sz w:val="24"/>
          <w:szCs w:val="24"/>
          <w:highlight w:val="none"/>
        </w:rPr>
      </w:pPr>
    </w:p>
    <w:p w14:paraId="6FD75399">
      <w:pPr>
        <w:spacing w:line="250" w:lineRule="auto"/>
        <w:jc w:val="both"/>
        <w:rPr>
          <w:color w:val="auto"/>
          <w:sz w:val="24"/>
          <w:szCs w:val="24"/>
          <w:highlight w:val="none"/>
        </w:rPr>
      </w:pPr>
    </w:p>
    <w:p w14:paraId="1BDDC9A6">
      <w:pPr>
        <w:spacing w:line="250" w:lineRule="auto"/>
        <w:jc w:val="both"/>
        <w:rPr>
          <w:color w:val="auto"/>
          <w:sz w:val="24"/>
          <w:szCs w:val="24"/>
          <w:highlight w:val="none"/>
        </w:rPr>
      </w:pPr>
    </w:p>
    <w:p w14:paraId="3692190B">
      <w:pPr>
        <w:spacing w:line="250" w:lineRule="auto"/>
        <w:jc w:val="both"/>
        <w:rPr>
          <w:color w:val="auto"/>
          <w:sz w:val="24"/>
          <w:szCs w:val="24"/>
          <w:highlight w:val="none"/>
        </w:rPr>
      </w:pPr>
    </w:p>
    <w:p w14:paraId="0C664BCD">
      <w:pPr>
        <w:spacing w:line="252" w:lineRule="auto"/>
        <w:jc w:val="both"/>
        <w:rPr>
          <w:color w:val="auto"/>
          <w:sz w:val="24"/>
          <w:szCs w:val="24"/>
          <w:highlight w:val="none"/>
        </w:rPr>
      </w:pPr>
    </w:p>
    <w:p w14:paraId="1F1D87F6">
      <w:pPr>
        <w:spacing w:before="92" w:line="370" w:lineRule="auto"/>
        <w:ind w:left="2792" w:right="19"/>
        <w:jc w:val="right"/>
        <w:rPr>
          <w:rFonts w:ascii="宋体" w:eastAsia="宋体" w:cs="宋体"/>
          <w:color w:val="auto"/>
          <w:sz w:val="24"/>
          <w:szCs w:val="24"/>
          <w:highlight w:val="none"/>
        </w:rPr>
      </w:pPr>
      <w:r>
        <w:rPr>
          <w:rFonts w:ascii="宋体" w:eastAsia="宋体" w:cs="宋体"/>
          <w:color w:val="auto"/>
          <w:sz w:val="24"/>
          <w:szCs w:val="24"/>
          <w:highlight w:val="none"/>
        </w:rPr>
        <w:t>投标人：</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 xml:space="preserve"> </w:t>
      </w:r>
      <w:r>
        <w:rPr>
          <w:rFonts w:hint="eastAsia" w:ascii="宋体" w:eastAsia="宋体" w:cs="宋体"/>
          <w:color w:val="auto"/>
          <w:sz w:val="24"/>
          <w:szCs w:val="24"/>
          <w:highlight w:val="none"/>
          <w:lang w:eastAsia="zh-CN"/>
        </w:rPr>
        <w:t>（</w:t>
      </w:r>
      <w:r>
        <w:rPr>
          <w:rFonts w:ascii="宋体" w:eastAsia="宋体" w:cs="宋体"/>
          <w:color w:val="auto"/>
          <w:sz w:val="24"/>
          <w:szCs w:val="24"/>
          <w:highlight w:val="none"/>
        </w:rPr>
        <w:t>盖章</w:t>
      </w:r>
      <w:r>
        <w:rPr>
          <w:rFonts w:hint="eastAsia" w:ascii="宋体" w:eastAsia="宋体" w:cs="宋体"/>
          <w:color w:val="auto"/>
          <w:sz w:val="24"/>
          <w:szCs w:val="24"/>
          <w:highlight w:val="none"/>
          <w:lang w:eastAsia="zh-CN"/>
        </w:rPr>
        <w:t>）</w:t>
      </w:r>
    </w:p>
    <w:p w14:paraId="7DCE0FE9">
      <w:pPr>
        <w:spacing w:before="92" w:line="370" w:lineRule="auto"/>
        <w:ind w:left="120" w:right="19" w:hanging="120" w:hangingChars="50"/>
        <w:jc w:val="right"/>
        <w:rPr>
          <w:rFonts w:ascii="宋体" w:eastAsia="宋体" w:cs="宋体"/>
          <w:color w:val="auto"/>
          <w:sz w:val="24"/>
          <w:szCs w:val="24"/>
          <w:highlight w:val="none"/>
        </w:rPr>
      </w:pPr>
      <w:r>
        <w:rPr>
          <w:rFonts w:ascii="宋体" w:eastAsia="宋体" w:cs="宋体"/>
          <w:color w:val="auto"/>
          <w:sz w:val="24"/>
          <w:szCs w:val="24"/>
          <w:highlight w:val="none"/>
        </w:rPr>
        <w:t>法定代表人或委托代理人：</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 xml:space="preserve"> </w:t>
      </w:r>
      <w:r>
        <w:rPr>
          <w:rFonts w:hint="eastAsia" w:ascii="宋体" w:eastAsia="宋体" w:cs="宋体"/>
          <w:color w:val="auto"/>
          <w:sz w:val="24"/>
          <w:szCs w:val="24"/>
          <w:highlight w:val="none"/>
          <w:lang w:eastAsia="zh-CN"/>
        </w:rPr>
        <w:t>（</w:t>
      </w:r>
      <w:r>
        <w:rPr>
          <w:rFonts w:ascii="宋体" w:eastAsia="宋体" w:cs="宋体"/>
          <w:color w:val="auto"/>
          <w:sz w:val="24"/>
          <w:szCs w:val="24"/>
          <w:highlight w:val="none"/>
        </w:rPr>
        <w:t>签字或盖章</w:t>
      </w:r>
      <w:r>
        <w:rPr>
          <w:rFonts w:hint="eastAsia" w:ascii="宋体" w:eastAsia="宋体" w:cs="宋体"/>
          <w:color w:val="auto"/>
          <w:sz w:val="24"/>
          <w:szCs w:val="24"/>
          <w:highlight w:val="none"/>
          <w:lang w:eastAsia="zh-CN"/>
        </w:rPr>
        <w:t>）</w:t>
      </w:r>
    </w:p>
    <w:p w14:paraId="4D8E57E6">
      <w:pPr>
        <w:spacing w:before="92" w:line="370" w:lineRule="auto"/>
        <w:ind w:left="115" w:right="19" w:hanging="115" w:hangingChars="50"/>
        <w:jc w:val="right"/>
        <w:rPr>
          <w:rFonts w:ascii="宋体" w:eastAsia="宋体" w:cs="宋体"/>
          <w:color w:val="auto"/>
          <w:sz w:val="24"/>
          <w:szCs w:val="24"/>
          <w:highlight w:val="none"/>
        </w:rPr>
      </w:pP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年</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月</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日</w:t>
      </w:r>
    </w:p>
    <w:p w14:paraId="1C8AC869">
      <w:pPr>
        <w:jc w:val="both"/>
        <w:rPr>
          <w:color w:val="auto"/>
          <w:highlight w:val="none"/>
        </w:rPr>
        <w:sectPr>
          <w:footerReference r:id="rId11" w:type="default"/>
          <w:pgSz w:w="11906" w:h="16839"/>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465680F6">
      <w:pPr>
        <w:spacing w:before="91" w:line="221" w:lineRule="auto"/>
        <w:jc w:val="both"/>
        <w:outlineLvl w:val="1"/>
        <w:rPr>
          <w:rFonts w:ascii="宋体" w:eastAsia="宋体" w:cs="宋体"/>
          <w:color w:val="auto"/>
          <w:sz w:val="28"/>
          <w:szCs w:val="28"/>
          <w:highlight w:val="none"/>
        </w:rPr>
      </w:pPr>
      <w:bookmarkStart w:id="131" w:name="_bookmark8"/>
      <w:bookmarkEnd w:id="131"/>
      <w:bookmarkStart w:id="132" w:name="_Toc32310"/>
      <w:bookmarkStart w:id="133" w:name="_Toc8615"/>
      <w:r>
        <w:rPr>
          <w:rFonts w:ascii="宋体" w:eastAsia="宋体" w:cs="宋体"/>
          <w:color w:val="auto"/>
          <w:sz w:val="28"/>
          <w:szCs w:val="28"/>
          <w:highlight w:val="none"/>
        </w:rPr>
        <w:t>附表四：中标通知书</w:t>
      </w:r>
      <w:bookmarkEnd w:id="132"/>
      <w:bookmarkEnd w:id="133"/>
    </w:p>
    <w:p w14:paraId="4F2CC596">
      <w:pPr>
        <w:spacing w:before="266" w:line="228" w:lineRule="auto"/>
        <w:jc w:val="center"/>
        <w:rPr>
          <w:rFonts w:ascii="宋体" w:eastAsia="宋体" w:cs="宋体"/>
          <w:color w:val="auto"/>
          <w:sz w:val="44"/>
          <w:szCs w:val="44"/>
          <w:highlight w:val="none"/>
        </w:rPr>
      </w:pPr>
      <w:r>
        <w:rPr>
          <w:rFonts w:ascii="宋体" w:eastAsia="宋体" w:cs="宋体"/>
          <w:color w:val="auto"/>
          <w:sz w:val="44"/>
          <w:szCs w:val="44"/>
          <w:highlight w:val="none"/>
        </w:rPr>
        <w:t>中标通知书</w:t>
      </w:r>
    </w:p>
    <w:p w14:paraId="0DA610BC">
      <w:pPr>
        <w:spacing w:before="157" w:line="358" w:lineRule="auto"/>
        <w:ind w:left="398" w:right="389" w:firstLine="480"/>
        <w:jc w:val="both"/>
        <w:rPr>
          <w:rFonts w:ascii="宋体" w:eastAsia="宋体" w:cs="宋体"/>
          <w:color w:val="auto"/>
          <w:sz w:val="24"/>
          <w:szCs w:val="24"/>
          <w:highlight w:val="none"/>
        </w:rPr>
      </w:pPr>
      <w:r>
        <w:rPr>
          <w:rFonts w:asci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52EDFAB7">
      <w:pPr>
        <w:jc w:val="both"/>
        <w:rPr>
          <w:color w:val="auto"/>
          <w:highlight w:val="none"/>
        </w:rPr>
      </w:pPr>
    </w:p>
    <w:p w14:paraId="2378F252">
      <w:pPr>
        <w:spacing w:line="27" w:lineRule="exact"/>
        <w:jc w:val="both"/>
        <w:rPr>
          <w:color w:val="auto"/>
          <w:highlight w:val="none"/>
        </w:rPr>
      </w:pPr>
    </w:p>
    <w:tbl>
      <w:tblPr>
        <w:tblStyle w:val="31"/>
        <w:tblW w:w="921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7088"/>
      </w:tblGrid>
      <w:tr w14:paraId="04D36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tcBorders>
              <w:top w:val="single" w:color="000000" w:sz="2" w:space="0"/>
              <w:left w:val="single" w:color="000000" w:sz="2" w:space="0"/>
              <w:bottom w:val="single" w:color="000000" w:sz="2" w:space="0"/>
              <w:right w:val="single" w:color="000000" w:sz="2" w:space="0"/>
            </w:tcBorders>
            <w:noWrap/>
          </w:tcPr>
          <w:p w14:paraId="3A321687">
            <w:pPr>
              <w:spacing w:before="200"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招标项目名称</w:t>
            </w:r>
          </w:p>
        </w:tc>
        <w:tc>
          <w:tcPr>
            <w:tcW w:w="7088" w:type="dxa"/>
            <w:tcBorders>
              <w:top w:val="single" w:color="000000" w:sz="2" w:space="0"/>
              <w:left w:val="single" w:color="000000" w:sz="2" w:space="0"/>
              <w:bottom w:val="single" w:color="000000" w:sz="2" w:space="0"/>
              <w:right w:val="single" w:color="000000" w:sz="2" w:space="0"/>
            </w:tcBorders>
            <w:noWrap/>
          </w:tcPr>
          <w:p w14:paraId="6A4FDF47">
            <w:pPr>
              <w:jc w:val="both"/>
              <w:rPr>
                <w:color w:val="auto"/>
                <w:highlight w:val="none"/>
              </w:rPr>
            </w:pPr>
          </w:p>
        </w:tc>
      </w:tr>
      <w:tr w14:paraId="41A5D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tcBorders>
              <w:top w:val="single" w:color="000000" w:sz="2" w:space="0"/>
              <w:left w:val="single" w:color="000000" w:sz="2" w:space="0"/>
              <w:bottom w:val="single" w:color="000000" w:sz="2" w:space="0"/>
              <w:right w:val="single" w:color="000000" w:sz="2" w:space="0"/>
            </w:tcBorders>
            <w:noWrap/>
          </w:tcPr>
          <w:p w14:paraId="08610C8F">
            <w:pPr>
              <w:spacing w:before="138"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招标人名称</w:t>
            </w:r>
          </w:p>
        </w:tc>
        <w:tc>
          <w:tcPr>
            <w:tcW w:w="7088" w:type="dxa"/>
            <w:tcBorders>
              <w:top w:val="single" w:color="000000" w:sz="2" w:space="0"/>
              <w:left w:val="single" w:color="000000" w:sz="2" w:space="0"/>
              <w:bottom w:val="single" w:color="000000" w:sz="2" w:space="0"/>
              <w:right w:val="single" w:color="000000" w:sz="2" w:space="0"/>
            </w:tcBorders>
            <w:noWrap/>
          </w:tcPr>
          <w:p w14:paraId="75F0CAEB">
            <w:pPr>
              <w:jc w:val="both"/>
              <w:rPr>
                <w:color w:val="auto"/>
                <w:highlight w:val="none"/>
              </w:rPr>
            </w:pPr>
          </w:p>
        </w:tc>
      </w:tr>
      <w:tr w14:paraId="03B18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tcBorders>
              <w:top w:val="single" w:color="000000" w:sz="2" w:space="0"/>
              <w:left w:val="single" w:color="000000" w:sz="2" w:space="0"/>
              <w:bottom w:val="single" w:color="000000" w:sz="2" w:space="0"/>
              <w:right w:val="single" w:color="000000" w:sz="2" w:space="0"/>
            </w:tcBorders>
            <w:noWrap/>
          </w:tcPr>
          <w:p w14:paraId="5C65B706">
            <w:pPr>
              <w:spacing w:before="159"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中标人名称</w:t>
            </w:r>
          </w:p>
        </w:tc>
        <w:tc>
          <w:tcPr>
            <w:tcW w:w="7088" w:type="dxa"/>
            <w:tcBorders>
              <w:top w:val="single" w:color="000000" w:sz="2" w:space="0"/>
              <w:left w:val="single" w:color="000000" w:sz="2" w:space="0"/>
              <w:bottom w:val="single" w:color="000000" w:sz="2" w:space="0"/>
              <w:right w:val="single" w:color="000000" w:sz="2" w:space="0"/>
            </w:tcBorders>
            <w:noWrap/>
          </w:tcPr>
          <w:p w14:paraId="1B43D06E">
            <w:pPr>
              <w:jc w:val="both"/>
              <w:rPr>
                <w:color w:val="auto"/>
                <w:highlight w:val="none"/>
              </w:rPr>
            </w:pPr>
          </w:p>
        </w:tc>
      </w:tr>
      <w:tr w14:paraId="2CEE8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tcBorders>
              <w:top w:val="single" w:color="000000" w:sz="2" w:space="0"/>
              <w:left w:val="single" w:color="000000" w:sz="2" w:space="0"/>
              <w:bottom w:val="single" w:color="000000" w:sz="2" w:space="0"/>
              <w:right w:val="single" w:color="000000" w:sz="2" w:space="0"/>
            </w:tcBorders>
            <w:noWrap/>
          </w:tcPr>
          <w:p w14:paraId="148A7AD4">
            <w:pPr>
              <w:spacing w:before="116"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项目负责人</w:t>
            </w:r>
          </w:p>
        </w:tc>
        <w:tc>
          <w:tcPr>
            <w:tcW w:w="7088" w:type="dxa"/>
            <w:tcBorders>
              <w:top w:val="single" w:color="000000" w:sz="2" w:space="0"/>
              <w:left w:val="single" w:color="000000" w:sz="2" w:space="0"/>
              <w:bottom w:val="single" w:color="000000" w:sz="2" w:space="0"/>
              <w:right w:val="single" w:color="000000" w:sz="2" w:space="0"/>
            </w:tcBorders>
            <w:noWrap/>
          </w:tcPr>
          <w:p w14:paraId="11F258AF">
            <w:pPr>
              <w:jc w:val="both"/>
              <w:rPr>
                <w:color w:val="auto"/>
                <w:highlight w:val="none"/>
              </w:rPr>
            </w:pPr>
          </w:p>
        </w:tc>
      </w:tr>
      <w:tr w14:paraId="0D64C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tcBorders>
              <w:top w:val="single" w:color="000000" w:sz="2" w:space="0"/>
              <w:left w:val="single" w:color="000000" w:sz="2" w:space="0"/>
              <w:bottom w:val="single" w:color="000000" w:sz="2" w:space="0"/>
              <w:right w:val="single" w:color="000000" w:sz="2" w:space="0"/>
            </w:tcBorders>
            <w:noWrap/>
          </w:tcPr>
          <w:p w14:paraId="3545B3EA">
            <w:pPr>
              <w:spacing w:before="267"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中标金额</w:t>
            </w:r>
          </w:p>
        </w:tc>
        <w:tc>
          <w:tcPr>
            <w:tcW w:w="7088" w:type="dxa"/>
            <w:tcBorders>
              <w:top w:val="single" w:color="000000" w:sz="2" w:space="0"/>
              <w:left w:val="single" w:color="000000" w:sz="2" w:space="0"/>
              <w:bottom w:val="single" w:color="000000" w:sz="2" w:space="0"/>
              <w:right w:val="single" w:color="000000" w:sz="2" w:space="0"/>
            </w:tcBorders>
            <w:noWrap/>
          </w:tcPr>
          <w:p w14:paraId="20D187DB">
            <w:pPr>
              <w:spacing w:before="267" w:line="228" w:lineRule="auto"/>
              <w:ind w:left="125"/>
              <w:jc w:val="both"/>
              <w:rPr>
                <w:rFonts w:ascii="宋体" w:eastAsia="宋体" w:cs="宋体"/>
                <w:color w:val="auto"/>
                <w:sz w:val="23"/>
                <w:szCs w:val="23"/>
                <w:highlight w:val="none"/>
              </w:rPr>
            </w:pPr>
            <w:r>
              <w:rPr>
                <w:rFonts w:hint="eastAsia" w:ascii="宋体" w:eastAsia="宋体" w:cs="宋体"/>
                <w:color w:val="auto"/>
                <w:sz w:val="23"/>
                <w:szCs w:val="23"/>
                <w:highlight w:val="none"/>
                <w:lang w:eastAsia="zh-CN"/>
              </w:rPr>
              <w:t>（</w:t>
            </w:r>
            <w:r>
              <w:rPr>
                <w:rFonts w:ascii="宋体" w:eastAsia="宋体" w:cs="宋体"/>
                <w:color w:val="auto"/>
                <w:sz w:val="23"/>
                <w:szCs w:val="23"/>
                <w:highlight w:val="none"/>
              </w:rPr>
              <w:t>大写</w:t>
            </w:r>
            <w:r>
              <w:rPr>
                <w:rFonts w:hint="eastAsia" w:ascii="宋体" w:eastAsia="宋体" w:cs="宋体"/>
                <w:color w:val="auto"/>
                <w:sz w:val="23"/>
                <w:szCs w:val="23"/>
                <w:highlight w:val="none"/>
                <w:lang w:eastAsia="zh-CN"/>
              </w:rPr>
              <w:t>）</w:t>
            </w:r>
            <w:r>
              <w:rPr>
                <w:rFonts w:ascii="宋体" w:eastAsia="宋体" w:cs="宋体"/>
                <w:color w:val="auto"/>
                <w:sz w:val="23"/>
                <w:szCs w:val="23"/>
                <w:highlight w:val="none"/>
              </w:rPr>
              <w:t>：</w:t>
            </w:r>
          </w:p>
          <w:p w14:paraId="30085D29">
            <w:pPr>
              <w:spacing w:before="267" w:line="228" w:lineRule="auto"/>
              <w:ind w:left="125"/>
              <w:jc w:val="both"/>
              <w:rPr>
                <w:rFonts w:ascii="宋体" w:eastAsia="宋体" w:cs="宋体"/>
                <w:color w:val="auto"/>
                <w:sz w:val="23"/>
                <w:szCs w:val="23"/>
                <w:highlight w:val="none"/>
              </w:rPr>
            </w:pPr>
            <w:r>
              <w:rPr>
                <w:rFonts w:hint="eastAsia" w:ascii="宋体" w:eastAsia="宋体" w:cs="宋体"/>
                <w:color w:val="auto"/>
                <w:sz w:val="23"/>
                <w:szCs w:val="23"/>
                <w:highlight w:val="none"/>
                <w:lang w:eastAsia="zh-CN"/>
              </w:rPr>
              <w:t>（</w:t>
            </w:r>
            <w:r>
              <w:rPr>
                <w:rFonts w:ascii="宋体" w:eastAsia="宋体" w:cs="宋体"/>
                <w:color w:val="auto"/>
                <w:sz w:val="23"/>
                <w:szCs w:val="23"/>
                <w:highlight w:val="none"/>
              </w:rPr>
              <w:t>小写</w:t>
            </w:r>
            <w:r>
              <w:rPr>
                <w:rFonts w:hint="eastAsia" w:ascii="宋体" w:eastAsia="宋体" w:cs="宋体"/>
                <w:color w:val="auto"/>
                <w:sz w:val="23"/>
                <w:szCs w:val="23"/>
                <w:highlight w:val="none"/>
                <w:lang w:eastAsia="zh-CN"/>
              </w:rPr>
              <w:t>）</w:t>
            </w:r>
            <w:r>
              <w:rPr>
                <w:rFonts w:ascii="宋体" w:eastAsia="宋体" w:cs="宋体"/>
                <w:color w:val="auto"/>
                <w:sz w:val="23"/>
                <w:szCs w:val="23"/>
                <w:highlight w:val="none"/>
              </w:rPr>
              <w:t>：</w:t>
            </w:r>
          </w:p>
        </w:tc>
      </w:tr>
      <w:tr w14:paraId="3D679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tcBorders>
              <w:top w:val="single" w:color="000000" w:sz="2" w:space="0"/>
              <w:left w:val="single" w:color="000000" w:sz="2" w:space="0"/>
              <w:bottom w:val="single" w:color="000000" w:sz="2" w:space="0"/>
              <w:right w:val="single" w:color="000000" w:sz="2" w:space="0"/>
            </w:tcBorders>
            <w:noWrap/>
          </w:tcPr>
          <w:p w14:paraId="31C12BA1">
            <w:pPr>
              <w:spacing w:before="178"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中标内容范围</w:t>
            </w:r>
          </w:p>
        </w:tc>
        <w:tc>
          <w:tcPr>
            <w:tcW w:w="7088" w:type="dxa"/>
            <w:tcBorders>
              <w:top w:val="single" w:color="000000" w:sz="2" w:space="0"/>
              <w:left w:val="single" w:color="000000" w:sz="2" w:space="0"/>
              <w:bottom w:val="single" w:color="000000" w:sz="2" w:space="0"/>
              <w:right w:val="single" w:color="000000" w:sz="2" w:space="0"/>
            </w:tcBorders>
            <w:noWrap/>
          </w:tcPr>
          <w:p w14:paraId="6A64746A">
            <w:pPr>
              <w:jc w:val="both"/>
              <w:rPr>
                <w:color w:val="auto"/>
                <w:highlight w:val="none"/>
              </w:rPr>
            </w:pPr>
          </w:p>
        </w:tc>
      </w:tr>
      <w:tr w14:paraId="3D512E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tcBorders>
              <w:top w:val="single" w:color="000000" w:sz="2" w:space="0"/>
              <w:left w:val="single" w:color="000000" w:sz="2" w:space="0"/>
              <w:bottom w:val="single" w:color="000000" w:sz="2" w:space="0"/>
              <w:right w:val="single" w:color="000000" w:sz="2" w:space="0"/>
            </w:tcBorders>
            <w:noWrap/>
          </w:tcPr>
          <w:p w14:paraId="2AF464DE">
            <w:pPr>
              <w:spacing w:before="116" w:line="468" w:lineRule="exact"/>
              <w:ind w:left="1" w:firstLine="2" w:firstLineChars="1"/>
              <w:jc w:val="both"/>
              <w:rPr>
                <w:rFonts w:ascii="宋体" w:eastAsia="宋体" w:cs="宋体"/>
                <w:color w:val="auto"/>
                <w:sz w:val="23"/>
                <w:szCs w:val="23"/>
                <w:highlight w:val="none"/>
              </w:rPr>
            </w:pPr>
            <w:r>
              <w:rPr>
                <w:rFonts w:ascii="宋体" w:eastAsia="宋体" w:cs="宋体"/>
                <w:color w:val="auto"/>
                <w:position w:val="17"/>
                <w:sz w:val="23"/>
                <w:szCs w:val="23"/>
                <w:highlight w:val="none"/>
              </w:rPr>
              <w:t>中标人与招标人签订</w:t>
            </w:r>
          </w:p>
          <w:p w14:paraId="3F5B14C6">
            <w:pPr>
              <w:spacing w:before="1"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中标合同期限</w:t>
            </w:r>
          </w:p>
        </w:tc>
        <w:tc>
          <w:tcPr>
            <w:tcW w:w="7088" w:type="dxa"/>
            <w:tcBorders>
              <w:top w:val="single" w:color="000000" w:sz="2" w:space="0"/>
              <w:left w:val="single" w:color="000000" w:sz="2" w:space="0"/>
              <w:bottom w:val="single" w:color="000000" w:sz="2" w:space="0"/>
              <w:right w:val="single" w:color="000000" w:sz="2" w:space="0"/>
            </w:tcBorders>
            <w:noWrap/>
          </w:tcPr>
          <w:p w14:paraId="7A9972BE">
            <w:pPr>
              <w:jc w:val="both"/>
              <w:rPr>
                <w:color w:val="auto"/>
                <w:highlight w:val="none"/>
              </w:rPr>
            </w:pPr>
          </w:p>
        </w:tc>
      </w:tr>
      <w:tr w14:paraId="0924C8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tcBorders>
              <w:top w:val="single" w:color="000000" w:sz="2" w:space="0"/>
              <w:left w:val="single" w:color="000000" w:sz="2" w:space="0"/>
              <w:bottom w:val="single" w:color="000000" w:sz="2" w:space="0"/>
              <w:right w:val="single" w:color="000000" w:sz="2" w:space="0"/>
            </w:tcBorders>
            <w:noWrap/>
          </w:tcPr>
          <w:p w14:paraId="78B8C2B1">
            <w:pPr>
              <w:spacing w:before="196"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签订中标合同地址</w:t>
            </w:r>
          </w:p>
        </w:tc>
        <w:tc>
          <w:tcPr>
            <w:tcW w:w="7088" w:type="dxa"/>
            <w:tcBorders>
              <w:top w:val="single" w:color="000000" w:sz="2" w:space="0"/>
              <w:left w:val="single" w:color="000000" w:sz="2" w:space="0"/>
              <w:bottom w:val="single" w:color="000000" w:sz="2" w:space="0"/>
              <w:right w:val="single" w:color="000000" w:sz="2" w:space="0"/>
            </w:tcBorders>
            <w:noWrap/>
          </w:tcPr>
          <w:p w14:paraId="73EA0B33">
            <w:pPr>
              <w:jc w:val="both"/>
              <w:rPr>
                <w:color w:val="auto"/>
                <w:highlight w:val="none"/>
              </w:rPr>
            </w:pPr>
          </w:p>
        </w:tc>
      </w:tr>
      <w:tr w14:paraId="49428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tcBorders>
              <w:top w:val="single" w:color="000000" w:sz="2" w:space="0"/>
              <w:left w:val="single" w:color="000000" w:sz="2" w:space="0"/>
              <w:bottom w:val="single" w:color="000000" w:sz="2" w:space="0"/>
              <w:right w:val="single" w:color="000000" w:sz="2" w:space="0"/>
            </w:tcBorders>
            <w:noWrap/>
          </w:tcPr>
          <w:p w14:paraId="3888743E">
            <w:pPr>
              <w:spacing w:before="159" w:line="228" w:lineRule="auto"/>
              <w:ind w:left="1" w:firstLine="2" w:firstLineChars="1"/>
              <w:jc w:val="both"/>
              <w:rPr>
                <w:rFonts w:ascii="宋体" w:eastAsia="宋体" w:cs="宋体"/>
                <w:color w:val="auto"/>
                <w:sz w:val="23"/>
                <w:szCs w:val="23"/>
                <w:highlight w:val="none"/>
              </w:rPr>
            </w:pPr>
            <w:r>
              <w:rPr>
                <w:rFonts w:ascii="宋体" w:eastAsia="宋体" w:cs="宋体"/>
                <w:color w:val="auto"/>
                <w:sz w:val="23"/>
                <w:szCs w:val="23"/>
                <w:highlight w:val="none"/>
              </w:rPr>
              <w:t>其他需说明内容</w:t>
            </w:r>
          </w:p>
        </w:tc>
        <w:tc>
          <w:tcPr>
            <w:tcW w:w="7088" w:type="dxa"/>
            <w:tcBorders>
              <w:top w:val="single" w:color="000000" w:sz="2" w:space="0"/>
              <w:left w:val="single" w:color="000000" w:sz="2" w:space="0"/>
              <w:bottom w:val="single" w:color="000000" w:sz="2" w:space="0"/>
              <w:right w:val="single" w:color="000000" w:sz="2" w:space="0"/>
            </w:tcBorders>
            <w:noWrap/>
          </w:tcPr>
          <w:p w14:paraId="236ACA65">
            <w:pPr>
              <w:jc w:val="both"/>
              <w:rPr>
                <w:color w:val="auto"/>
                <w:highlight w:val="none"/>
              </w:rPr>
            </w:pPr>
          </w:p>
        </w:tc>
      </w:tr>
    </w:tbl>
    <w:p w14:paraId="12F23D86">
      <w:pPr>
        <w:spacing w:line="245" w:lineRule="auto"/>
        <w:jc w:val="both"/>
        <w:rPr>
          <w:color w:val="auto"/>
          <w:highlight w:val="none"/>
        </w:rPr>
      </w:pPr>
    </w:p>
    <w:p w14:paraId="1BA382F1">
      <w:pPr>
        <w:spacing w:line="247" w:lineRule="auto"/>
        <w:jc w:val="both"/>
        <w:rPr>
          <w:color w:val="auto"/>
          <w:highlight w:val="none"/>
        </w:rPr>
      </w:pPr>
    </w:p>
    <w:p w14:paraId="397A8595">
      <w:pPr>
        <w:spacing w:line="247" w:lineRule="auto"/>
        <w:jc w:val="both"/>
        <w:rPr>
          <w:color w:val="auto"/>
          <w:highlight w:val="none"/>
        </w:rPr>
      </w:pPr>
    </w:p>
    <w:p w14:paraId="22D6AF76">
      <w:pPr>
        <w:spacing w:before="75" w:line="502" w:lineRule="auto"/>
        <w:ind w:left="6280" w:right="410" w:hanging="1035"/>
        <w:jc w:val="both"/>
        <w:rPr>
          <w:rFonts w:ascii="宋体" w:eastAsia="宋体" w:cs="宋体"/>
          <w:color w:val="auto"/>
          <w:sz w:val="23"/>
          <w:szCs w:val="23"/>
          <w:highlight w:val="none"/>
        </w:rPr>
      </w:pPr>
      <w:r>
        <w:rPr>
          <w:rFonts w:ascii="宋体" w:eastAsia="宋体" w:cs="宋体"/>
          <w:color w:val="auto"/>
          <w:sz w:val="23"/>
          <w:szCs w:val="23"/>
          <w:highlight w:val="none"/>
        </w:rPr>
        <w:t>招标人：</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 xml:space="preserve"> </w:t>
      </w:r>
      <w:r>
        <w:rPr>
          <w:rFonts w:hint="eastAsia" w:ascii="宋体" w:eastAsia="宋体" w:cs="宋体"/>
          <w:color w:val="auto"/>
          <w:sz w:val="23"/>
          <w:szCs w:val="23"/>
          <w:highlight w:val="none"/>
          <w:lang w:eastAsia="zh-CN"/>
        </w:rPr>
        <w:t>（</w:t>
      </w:r>
      <w:r>
        <w:rPr>
          <w:rFonts w:ascii="宋体" w:eastAsia="宋体" w:cs="宋体"/>
          <w:color w:val="auto"/>
          <w:sz w:val="23"/>
          <w:szCs w:val="23"/>
          <w:highlight w:val="none"/>
        </w:rPr>
        <w:t>盖章</w:t>
      </w:r>
      <w:r>
        <w:rPr>
          <w:rFonts w:hint="eastAsia" w:ascii="宋体" w:eastAsia="宋体" w:cs="宋体"/>
          <w:color w:val="auto"/>
          <w:sz w:val="23"/>
          <w:szCs w:val="23"/>
          <w:highlight w:val="none"/>
          <w:lang w:eastAsia="zh-CN"/>
        </w:rPr>
        <w:t>）</w:t>
      </w:r>
    </w:p>
    <w:p w14:paraId="12766998">
      <w:pPr>
        <w:spacing w:before="75" w:line="502" w:lineRule="auto"/>
        <w:ind w:left="6280" w:right="410" w:hanging="1035"/>
        <w:jc w:val="both"/>
        <w:rPr>
          <w:rFonts w:ascii="宋体" w:eastAsia="宋体" w:cs="宋体"/>
          <w:color w:val="auto"/>
          <w:sz w:val="23"/>
          <w:szCs w:val="23"/>
          <w:highlight w:val="none"/>
        </w:rPr>
      </w:pPr>
      <w:r>
        <w:rPr>
          <w:rFonts w:ascii="宋体" w:eastAsia="宋体" w:cs="宋体"/>
          <w:color w:val="auto"/>
          <w:sz w:val="23"/>
          <w:szCs w:val="23"/>
          <w:highlight w:val="none"/>
        </w:rPr>
        <w:t>经办人：</w:t>
      </w:r>
      <w:r>
        <w:rPr>
          <w:rFonts w:ascii="宋体" w:eastAsia="宋体" w:cs="宋体"/>
          <w:color w:val="auto"/>
          <w:sz w:val="23"/>
          <w:szCs w:val="23"/>
          <w:highlight w:val="none"/>
          <w:u w:val="single"/>
        </w:rPr>
        <w:t xml:space="preserve">      </w:t>
      </w:r>
    </w:p>
    <w:p w14:paraId="0526D1FA">
      <w:pPr>
        <w:spacing w:before="2" w:line="499" w:lineRule="auto"/>
        <w:ind w:left="6277" w:right="1078" w:hanging="1035"/>
        <w:jc w:val="both"/>
        <w:rPr>
          <w:rFonts w:ascii="宋体" w:eastAsia="宋体" w:cs="宋体"/>
          <w:color w:val="auto"/>
          <w:sz w:val="23"/>
          <w:szCs w:val="23"/>
          <w:highlight w:val="none"/>
        </w:rPr>
      </w:pPr>
      <w:r>
        <w:rPr>
          <w:rFonts w:ascii="宋体" w:eastAsia="宋体" w:cs="宋体"/>
          <w:color w:val="auto"/>
          <w:sz w:val="23"/>
          <w:szCs w:val="23"/>
          <w:highlight w:val="none"/>
        </w:rPr>
        <w:t>电话：</w:t>
      </w:r>
      <w:r>
        <w:rPr>
          <w:rFonts w:ascii="宋体" w:eastAsia="宋体" w:cs="宋体"/>
          <w:color w:val="auto"/>
          <w:sz w:val="23"/>
          <w:szCs w:val="23"/>
          <w:highlight w:val="none"/>
          <w:u w:val="single"/>
        </w:rPr>
        <w:t xml:space="preserve">       </w:t>
      </w:r>
    </w:p>
    <w:p w14:paraId="6D78FA3E">
      <w:pPr>
        <w:spacing w:before="2" w:line="499" w:lineRule="auto"/>
        <w:ind w:left="6277" w:right="1078" w:hanging="1035"/>
        <w:jc w:val="both"/>
        <w:rPr>
          <w:rFonts w:ascii="宋体" w:eastAsia="宋体" w:cs="宋体"/>
          <w:color w:val="auto"/>
          <w:sz w:val="23"/>
          <w:szCs w:val="23"/>
          <w:highlight w:val="none"/>
        </w:rPr>
      </w:pPr>
      <w:r>
        <w:rPr>
          <w:rFonts w:ascii="宋体" w:eastAsia="宋体" w:cs="宋体"/>
          <w:color w:val="auto"/>
          <w:sz w:val="23"/>
          <w:szCs w:val="23"/>
          <w:highlight w:val="none"/>
        </w:rPr>
        <w:t>传真：</w:t>
      </w:r>
      <w:r>
        <w:rPr>
          <w:rFonts w:ascii="宋体" w:eastAsia="宋体" w:cs="宋体"/>
          <w:color w:val="auto"/>
          <w:sz w:val="23"/>
          <w:szCs w:val="23"/>
          <w:highlight w:val="none"/>
          <w:u w:val="single"/>
        </w:rPr>
        <w:t xml:space="preserve">       </w:t>
      </w:r>
    </w:p>
    <w:p w14:paraId="156AB6D9">
      <w:pPr>
        <w:tabs>
          <w:tab w:val="left" w:pos="7447"/>
        </w:tabs>
        <w:spacing w:line="228" w:lineRule="auto"/>
        <w:ind w:left="6837" w:hanging="1035"/>
        <w:jc w:val="both"/>
        <w:outlineLvl w:val="9"/>
        <w:rPr>
          <w:rFonts w:ascii="宋体" w:eastAsia="宋体" w:cs="宋体"/>
          <w:color w:val="auto"/>
          <w:sz w:val="23"/>
          <w:szCs w:val="23"/>
          <w:highlight w:val="none"/>
        </w:rPr>
      </w:pPr>
      <w:r>
        <w:rPr>
          <w:rFonts w:ascii="宋体" w:eastAsia="宋体" w:cs="宋体"/>
          <w:color w:val="auto"/>
          <w:sz w:val="23"/>
          <w:szCs w:val="23"/>
          <w:highlight w:val="none"/>
          <w:u w:val="single"/>
        </w:rPr>
        <w:t xml:space="preserve">   </w:t>
      </w:r>
      <w:bookmarkStart w:id="134" w:name="_Toc16410"/>
      <w:r>
        <w:rPr>
          <w:rFonts w:ascii="宋体" w:eastAsia="宋体" w:cs="宋体"/>
          <w:color w:val="auto"/>
          <w:sz w:val="23"/>
          <w:szCs w:val="23"/>
          <w:highlight w:val="none"/>
        </w:rPr>
        <w:t>年</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月</w:t>
      </w:r>
      <w:r>
        <w:rPr>
          <w:rFonts w:ascii="宋体" w:eastAsia="宋体" w:cs="宋体"/>
          <w:color w:val="auto"/>
          <w:sz w:val="23"/>
          <w:szCs w:val="23"/>
          <w:highlight w:val="none"/>
          <w:u w:val="single"/>
        </w:rPr>
        <w:t xml:space="preserve">   </w:t>
      </w:r>
      <w:r>
        <w:rPr>
          <w:rFonts w:ascii="宋体" w:eastAsia="宋体" w:cs="宋体"/>
          <w:color w:val="auto"/>
          <w:sz w:val="23"/>
          <w:szCs w:val="23"/>
          <w:highlight w:val="none"/>
        </w:rPr>
        <w:t>日</w:t>
      </w:r>
      <w:bookmarkEnd w:id="134"/>
    </w:p>
    <w:p w14:paraId="0F2118BD">
      <w:pPr>
        <w:jc w:val="both"/>
        <w:rPr>
          <w:color w:val="auto"/>
          <w:highlight w:val="none"/>
        </w:rPr>
        <w:sectPr>
          <w:footerReference r:id="rId12" w:type="default"/>
          <w:pgSz w:w="11906" w:h="16839"/>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4BA839D5">
      <w:pPr>
        <w:spacing w:before="91" w:line="221" w:lineRule="auto"/>
        <w:jc w:val="both"/>
        <w:outlineLvl w:val="1"/>
        <w:rPr>
          <w:rFonts w:ascii="宋体" w:eastAsia="宋体" w:cs="宋体"/>
          <w:color w:val="auto"/>
          <w:sz w:val="28"/>
          <w:szCs w:val="28"/>
          <w:highlight w:val="none"/>
        </w:rPr>
      </w:pPr>
      <w:bookmarkStart w:id="135" w:name="_bookmark10"/>
      <w:bookmarkEnd w:id="135"/>
      <w:bookmarkStart w:id="136" w:name="_Toc13078"/>
      <w:bookmarkStart w:id="137" w:name="_Toc32737"/>
      <w:r>
        <w:rPr>
          <w:rFonts w:ascii="宋体" w:eastAsia="宋体" w:cs="宋体"/>
          <w:color w:val="auto"/>
          <w:sz w:val="28"/>
          <w:szCs w:val="28"/>
          <w:highlight w:val="none"/>
        </w:rPr>
        <w:t>附表</w:t>
      </w:r>
      <w:r>
        <w:rPr>
          <w:rFonts w:hint="eastAsia" w:ascii="宋体" w:eastAsia="宋体" w:cs="宋体"/>
          <w:color w:val="auto"/>
          <w:sz w:val="28"/>
          <w:szCs w:val="28"/>
          <w:highlight w:val="none"/>
        </w:rPr>
        <w:t>五</w:t>
      </w:r>
      <w:r>
        <w:rPr>
          <w:rFonts w:ascii="宋体" w:eastAsia="宋体" w:cs="宋体"/>
          <w:color w:val="auto"/>
          <w:sz w:val="28"/>
          <w:szCs w:val="28"/>
          <w:highlight w:val="none"/>
        </w:rPr>
        <w:t>：确认通知</w:t>
      </w:r>
      <w:bookmarkEnd w:id="136"/>
      <w:bookmarkEnd w:id="137"/>
    </w:p>
    <w:p w14:paraId="200721F3">
      <w:pPr>
        <w:spacing w:line="348" w:lineRule="auto"/>
        <w:jc w:val="both"/>
        <w:rPr>
          <w:color w:val="auto"/>
          <w:highlight w:val="none"/>
        </w:rPr>
      </w:pPr>
    </w:p>
    <w:p w14:paraId="3B30AE57">
      <w:pPr>
        <w:spacing w:line="350" w:lineRule="auto"/>
        <w:jc w:val="both"/>
        <w:rPr>
          <w:color w:val="auto"/>
          <w:highlight w:val="none"/>
        </w:rPr>
      </w:pPr>
    </w:p>
    <w:p w14:paraId="2A13A337">
      <w:pPr>
        <w:spacing w:before="91" w:line="221" w:lineRule="auto"/>
        <w:ind w:left="4094"/>
        <w:jc w:val="both"/>
        <w:rPr>
          <w:rFonts w:ascii="宋体" w:eastAsia="宋体" w:cs="宋体"/>
          <w:color w:val="auto"/>
          <w:sz w:val="28"/>
          <w:szCs w:val="28"/>
          <w:highlight w:val="none"/>
        </w:rPr>
      </w:pPr>
      <w:r>
        <w:rPr>
          <w:rFonts w:ascii="宋体" w:eastAsia="宋体" w:cs="宋体"/>
          <w:color w:val="auto"/>
          <w:sz w:val="28"/>
          <w:szCs w:val="28"/>
          <w:highlight w:val="none"/>
        </w:rPr>
        <w:t>确认通知</w:t>
      </w:r>
    </w:p>
    <w:p w14:paraId="2EF23031">
      <w:pPr>
        <w:spacing w:line="346" w:lineRule="auto"/>
        <w:jc w:val="both"/>
        <w:rPr>
          <w:color w:val="auto"/>
          <w:highlight w:val="none"/>
        </w:rPr>
      </w:pPr>
    </w:p>
    <w:p w14:paraId="0F7C9648">
      <w:pPr>
        <w:spacing w:line="346" w:lineRule="auto"/>
        <w:jc w:val="both"/>
        <w:rPr>
          <w:color w:val="auto"/>
          <w:highlight w:val="none"/>
        </w:rPr>
      </w:pPr>
    </w:p>
    <w:p w14:paraId="2610AEF9">
      <w:pPr>
        <w:tabs>
          <w:tab w:val="left" w:pos="1838"/>
        </w:tabs>
        <w:spacing w:before="91" w:line="221" w:lineRule="auto"/>
        <w:jc w:val="both"/>
        <w:rPr>
          <w:rFonts w:ascii="宋体" w:eastAsia="宋体" w:cs="宋体"/>
          <w:color w:val="auto"/>
          <w:sz w:val="24"/>
          <w:szCs w:val="24"/>
          <w:highlight w:val="none"/>
        </w:rPr>
      </w:pPr>
      <w:r>
        <w:rPr>
          <w:rFonts w:ascii="宋体" w:eastAsia="宋体" w:cs="宋体"/>
          <w:color w:val="auto"/>
          <w:sz w:val="24"/>
          <w:szCs w:val="24"/>
          <w:highlight w:val="none"/>
          <w:u w:val="single"/>
        </w:rPr>
        <w:tab/>
      </w:r>
      <w:r>
        <w:rPr>
          <w:rFonts w:hint="eastAsia" w:ascii="宋体" w:eastAsia="宋体" w:cs="宋体"/>
          <w:color w:val="auto"/>
          <w:sz w:val="24"/>
          <w:szCs w:val="24"/>
          <w:highlight w:val="none"/>
          <w:u w:val="single"/>
          <w:lang w:eastAsia="zh-CN"/>
        </w:rPr>
        <w:t>（</w:t>
      </w:r>
      <w:r>
        <w:rPr>
          <w:rFonts w:ascii="宋体" w:eastAsia="宋体" w:cs="宋体"/>
          <w:color w:val="auto"/>
          <w:sz w:val="24"/>
          <w:szCs w:val="24"/>
          <w:highlight w:val="none"/>
        </w:rPr>
        <w:t>招标人名称</w:t>
      </w:r>
      <w:r>
        <w:rPr>
          <w:rFonts w:hint="eastAsia" w:ascii="宋体" w:eastAsia="宋体" w:cs="宋体"/>
          <w:color w:val="auto"/>
          <w:sz w:val="24"/>
          <w:szCs w:val="24"/>
          <w:highlight w:val="none"/>
          <w:lang w:eastAsia="zh-CN"/>
        </w:rPr>
        <w:t>）</w:t>
      </w:r>
      <w:r>
        <w:rPr>
          <w:rFonts w:ascii="宋体" w:eastAsia="宋体" w:cs="宋体"/>
          <w:color w:val="auto"/>
          <w:sz w:val="24"/>
          <w:szCs w:val="24"/>
          <w:highlight w:val="none"/>
        </w:rPr>
        <w:t>:</w:t>
      </w:r>
    </w:p>
    <w:p w14:paraId="5673CB74">
      <w:pPr>
        <w:spacing w:before="223" w:line="374" w:lineRule="auto"/>
        <w:ind w:left="10" w:right="72" w:firstLine="562"/>
        <w:jc w:val="both"/>
        <w:rPr>
          <w:rFonts w:ascii="宋体" w:eastAsia="宋体" w:cs="宋体"/>
          <w:color w:val="auto"/>
          <w:sz w:val="24"/>
          <w:szCs w:val="24"/>
          <w:highlight w:val="none"/>
        </w:rPr>
      </w:pPr>
      <w:r>
        <w:rPr>
          <w:rFonts w:ascii="宋体" w:eastAsia="宋体" w:cs="宋体"/>
          <w:color w:val="auto"/>
          <w:sz w:val="24"/>
          <w:szCs w:val="24"/>
          <w:highlight w:val="none"/>
        </w:rPr>
        <w:t>我方已接到你方</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年</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月</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日发出的</w:t>
      </w:r>
      <w:r>
        <w:rPr>
          <w:rFonts w:hint="eastAsia" w:ascii="宋体" w:eastAsia="宋体" w:cs="宋体"/>
          <w:color w:val="auto"/>
          <w:sz w:val="24"/>
          <w:szCs w:val="24"/>
          <w:highlight w:val="none"/>
          <w:u w:val="single"/>
        </w:rPr>
        <w:t xml:space="preserve">          </w:t>
      </w:r>
      <w:r>
        <w:rPr>
          <w:rFonts w:hint="eastAsia" w:ascii="宋体" w:eastAsia="宋体" w:cs="宋体"/>
          <w:color w:val="auto"/>
          <w:sz w:val="24"/>
          <w:szCs w:val="24"/>
          <w:highlight w:val="none"/>
          <w:u w:val="single"/>
          <w:lang w:eastAsia="zh-CN"/>
        </w:rPr>
        <w:t>（</w:t>
      </w:r>
      <w:r>
        <w:rPr>
          <w:rFonts w:ascii="宋体" w:eastAsia="宋体" w:cs="宋体"/>
          <w:color w:val="auto"/>
          <w:sz w:val="24"/>
          <w:szCs w:val="24"/>
          <w:highlight w:val="none"/>
        </w:rPr>
        <w:t>项目名称</w:t>
      </w:r>
      <w:r>
        <w:rPr>
          <w:rFonts w:hint="eastAsia" w:ascii="宋体" w:eastAsia="宋体" w:cs="宋体"/>
          <w:color w:val="auto"/>
          <w:sz w:val="24"/>
          <w:szCs w:val="24"/>
          <w:highlight w:val="none"/>
          <w:lang w:eastAsia="zh-CN"/>
        </w:rPr>
        <w:t>）</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标段招标关于中标结果的通知，我方已于</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年</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月</w:t>
      </w:r>
      <w:r>
        <w:rPr>
          <w:rFonts w:hint="eastAsia" w:ascii="宋体" w:eastAsia="宋体" w:cs="宋体"/>
          <w:color w:val="auto"/>
          <w:sz w:val="24"/>
          <w:szCs w:val="24"/>
          <w:highlight w:val="none"/>
          <w:u w:val="single"/>
        </w:rPr>
        <w:t xml:space="preserve">   </w:t>
      </w:r>
      <w:r>
        <w:rPr>
          <w:rFonts w:ascii="宋体" w:eastAsia="宋体" w:cs="宋体"/>
          <w:color w:val="auto"/>
          <w:sz w:val="24"/>
          <w:szCs w:val="24"/>
          <w:highlight w:val="none"/>
        </w:rPr>
        <w:t>日收到。</w:t>
      </w:r>
    </w:p>
    <w:p w14:paraId="6FA5911D">
      <w:pPr>
        <w:spacing w:line="442" w:lineRule="auto"/>
        <w:jc w:val="both"/>
        <w:rPr>
          <w:color w:val="auto"/>
          <w:sz w:val="24"/>
          <w:szCs w:val="24"/>
          <w:highlight w:val="none"/>
        </w:rPr>
      </w:pPr>
    </w:p>
    <w:p w14:paraId="21DE5EF8">
      <w:pPr>
        <w:spacing w:before="91" w:line="221" w:lineRule="auto"/>
        <w:ind w:left="570"/>
        <w:jc w:val="both"/>
        <w:rPr>
          <w:rFonts w:ascii="宋体" w:eastAsia="宋体" w:cs="宋体"/>
          <w:color w:val="auto"/>
          <w:sz w:val="24"/>
          <w:szCs w:val="24"/>
          <w:highlight w:val="none"/>
        </w:rPr>
      </w:pPr>
      <w:r>
        <w:rPr>
          <w:rFonts w:ascii="宋体" w:eastAsia="宋体" w:cs="宋体"/>
          <w:color w:val="auto"/>
          <w:sz w:val="24"/>
          <w:szCs w:val="24"/>
          <w:highlight w:val="none"/>
        </w:rPr>
        <w:t>特此确认。</w:t>
      </w:r>
    </w:p>
    <w:p w14:paraId="592DE58D">
      <w:pPr>
        <w:spacing w:line="250" w:lineRule="auto"/>
        <w:jc w:val="both"/>
        <w:rPr>
          <w:color w:val="auto"/>
          <w:sz w:val="24"/>
          <w:szCs w:val="24"/>
          <w:highlight w:val="none"/>
        </w:rPr>
      </w:pPr>
    </w:p>
    <w:p w14:paraId="3CE5D341">
      <w:pPr>
        <w:spacing w:line="250" w:lineRule="auto"/>
        <w:jc w:val="both"/>
        <w:rPr>
          <w:color w:val="auto"/>
          <w:sz w:val="24"/>
          <w:szCs w:val="24"/>
          <w:highlight w:val="none"/>
        </w:rPr>
      </w:pPr>
    </w:p>
    <w:p w14:paraId="7810B951">
      <w:pPr>
        <w:spacing w:line="250" w:lineRule="auto"/>
        <w:jc w:val="both"/>
        <w:rPr>
          <w:color w:val="auto"/>
          <w:sz w:val="24"/>
          <w:szCs w:val="24"/>
          <w:highlight w:val="none"/>
        </w:rPr>
      </w:pPr>
    </w:p>
    <w:p w14:paraId="46F1FC1F">
      <w:pPr>
        <w:spacing w:line="250" w:lineRule="auto"/>
        <w:jc w:val="both"/>
        <w:rPr>
          <w:color w:val="auto"/>
          <w:sz w:val="24"/>
          <w:szCs w:val="24"/>
          <w:highlight w:val="none"/>
        </w:rPr>
      </w:pPr>
    </w:p>
    <w:p w14:paraId="58BE3003">
      <w:pPr>
        <w:spacing w:line="250" w:lineRule="auto"/>
        <w:jc w:val="both"/>
        <w:rPr>
          <w:color w:val="auto"/>
          <w:sz w:val="24"/>
          <w:szCs w:val="24"/>
          <w:highlight w:val="none"/>
        </w:rPr>
      </w:pPr>
    </w:p>
    <w:p w14:paraId="06DB9FFF">
      <w:pPr>
        <w:tabs>
          <w:tab w:val="left" w:pos="7060"/>
        </w:tabs>
        <w:spacing w:before="91" w:line="377" w:lineRule="auto"/>
        <w:ind w:left="6628" w:hanging="1993"/>
        <w:jc w:val="both"/>
        <w:rPr>
          <w:rFonts w:ascii="宋体" w:eastAsia="宋体" w:cs="宋体"/>
          <w:color w:val="auto"/>
          <w:sz w:val="24"/>
          <w:szCs w:val="24"/>
          <w:highlight w:val="none"/>
        </w:rPr>
      </w:pPr>
      <w:r>
        <w:rPr>
          <w:rFonts w:ascii="宋体" w:eastAsia="宋体" w:cs="宋体"/>
          <w:color w:val="auto"/>
          <w:sz w:val="24"/>
          <w:szCs w:val="24"/>
          <w:highlight w:val="none"/>
        </w:rPr>
        <w:t>投标人：</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 xml:space="preserve"> </w:t>
      </w:r>
      <w:r>
        <w:rPr>
          <w:rFonts w:hint="eastAsia" w:ascii="宋体" w:eastAsia="宋体" w:cs="宋体"/>
          <w:color w:val="auto"/>
          <w:sz w:val="24"/>
          <w:szCs w:val="24"/>
          <w:highlight w:val="none"/>
          <w:lang w:eastAsia="zh-CN"/>
        </w:rPr>
        <w:t>（</w:t>
      </w:r>
      <w:r>
        <w:rPr>
          <w:rFonts w:ascii="宋体" w:eastAsia="宋体" w:cs="宋体"/>
          <w:color w:val="auto"/>
          <w:sz w:val="24"/>
          <w:szCs w:val="24"/>
          <w:highlight w:val="none"/>
        </w:rPr>
        <w:t>盖单位公章</w:t>
      </w:r>
      <w:r>
        <w:rPr>
          <w:rFonts w:hint="eastAsia" w:ascii="宋体" w:eastAsia="宋体" w:cs="宋体"/>
          <w:color w:val="auto"/>
          <w:sz w:val="24"/>
          <w:szCs w:val="24"/>
          <w:highlight w:val="none"/>
          <w:lang w:eastAsia="zh-CN"/>
        </w:rPr>
        <w:t>）</w:t>
      </w:r>
    </w:p>
    <w:p w14:paraId="744DC936">
      <w:pPr>
        <w:tabs>
          <w:tab w:val="left" w:pos="7060"/>
        </w:tabs>
        <w:spacing w:before="91" w:line="377" w:lineRule="auto"/>
        <w:ind w:left="6628" w:hanging="1993"/>
        <w:jc w:val="both"/>
        <w:rPr>
          <w:rFonts w:ascii="宋体" w:eastAsia="宋体" w:cs="宋体"/>
          <w:color w:val="auto"/>
          <w:sz w:val="24"/>
          <w:szCs w:val="24"/>
          <w:highlight w:val="none"/>
        </w:rPr>
      </w:pP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年</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月</w:t>
      </w:r>
      <w:r>
        <w:rPr>
          <w:rFonts w:ascii="宋体" w:eastAsia="宋体" w:cs="宋体"/>
          <w:color w:val="auto"/>
          <w:sz w:val="23"/>
          <w:szCs w:val="23"/>
          <w:highlight w:val="none"/>
          <w:u w:val="single"/>
        </w:rPr>
        <w:t xml:space="preserve">   </w:t>
      </w:r>
      <w:r>
        <w:rPr>
          <w:rFonts w:ascii="宋体" w:eastAsia="宋体" w:cs="宋体"/>
          <w:color w:val="auto"/>
          <w:sz w:val="24"/>
          <w:szCs w:val="24"/>
          <w:highlight w:val="none"/>
        </w:rPr>
        <w:t>日</w:t>
      </w:r>
    </w:p>
    <w:p w14:paraId="4FE0B2BA">
      <w:pPr>
        <w:jc w:val="both"/>
        <w:rPr>
          <w:color w:val="auto"/>
          <w:highlight w:val="none"/>
        </w:rPr>
        <w:sectPr>
          <w:footerReference r:id="rId13" w:type="default"/>
          <w:pgSz w:w="11906" w:h="16839"/>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625A6B1E">
      <w:pPr>
        <w:spacing w:line="372" w:lineRule="auto"/>
        <w:jc w:val="both"/>
        <w:rPr>
          <w:color w:val="auto"/>
          <w:highlight w:val="none"/>
        </w:rPr>
      </w:pPr>
    </w:p>
    <w:p w14:paraId="74CA5258">
      <w:pPr>
        <w:pStyle w:val="2"/>
        <w:spacing w:before="0" w:after="0" w:line="440" w:lineRule="exact"/>
        <w:jc w:val="center"/>
        <w:rPr>
          <w:rFonts w:ascii="Times New Roman" w:hAnsi="Times New Roman" w:eastAsia="宋体" w:cs="Times New Roman"/>
          <w:b w:val="0"/>
          <w:bCs w:val="0"/>
          <w:snapToGrid/>
          <w:color w:val="auto"/>
          <w:sz w:val="36"/>
          <w:szCs w:val="36"/>
          <w:highlight w:val="none"/>
        </w:rPr>
      </w:pPr>
      <w:bookmarkStart w:id="138" w:name="_bookmark11"/>
      <w:bookmarkEnd w:id="138"/>
      <w:bookmarkStart w:id="139" w:name="_Toc16280"/>
      <w:bookmarkStart w:id="140" w:name="_Toc29924"/>
      <w:r>
        <w:rPr>
          <w:rFonts w:ascii="宋体" w:eastAsia="宋体" w:cs="宋体"/>
          <w:b w:val="0"/>
          <w:bCs w:val="0"/>
          <w:color w:val="auto"/>
          <w:sz w:val="36"/>
          <w:szCs w:val="36"/>
          <w:highlight w:val="none"/>
        </w:rPr>
        <w:t>第三章</w:t>
      </w:r>
      <w:r>
        <w:rPr>
          <w:rFonts w:hint="eastAsia" w:ascii="宋体" w:eastAsia="宋体" w:cs="宋体"/>
          <w:b w:val="0"/>
          <w:bCs w:val="0"/>
          <w:color w:val="auto"/>
          <w:sz w:val="36"/>
          <w:szCs w:val="36"/>
          <w:highlight w:val="none"/>
        </w:rPr>
        <w:t xml:space="preserve"> </w:t>
      </w:r>
      <w:r>
        <w:rPr>
          <w:rFonts w:hint="eastAsia" w:ascii="Times New Roman" w:hAnsi="Times New Roman" w:eastAsia="宋体" w:cs="Times New Roman"/>
          <w:b w:val="0"/>
          <w:bCs w:val="0"/>
          <w:snapToGrid/>
          <w:color w:val="auto"/>
          <w:sz w:val="36"/>
          <w:szCs w:val="36"/>
          <w:highlight w:val="none"/>
        </w:rPr>
        <w:t>评标定标办法</w:t>
      </w:r>
      <w:bookmarkEnd w:id="139"/>
      <w:bookmarkEnd w:id="140"/>
    </w:p>
    <w:p w14:paraId="1E720078">
      <w:pPr>
        <w:widowControl w:val="0"/>
        <w:kinsoku/>
        <w:autoSpaceDE/>
        <w:autoSpaceDN/>
        <w:adjustRightInd/>
        <w:snapToGrid/>
        <w:jc w:val="both"/>
        <w:textAlignment w:val="auto"/>
        <w:rPr>
          <w:rFonts w:ascii="Times New Roman" w:hAnsi="Times New Roman" w:eastAsia="宋体" w:cs="Times New Roman"/>
          <w:snapToGrid/>
          <w:color w:val="auto"/>
          <w:kern w:val="2"/>
          <w:szCs w:val="24"/>
          <w:highlight w:val="none"/>
        </w:rPr>
      </w:pPr>
    </w:p>
    <w:p w14:paraId="02FEF9AB">
      <w:pPr>
        <w:widowControl w:val="0"/>
        <w:kinsoku/>
        <w:autoSpaceDE/>
        <w:autoSpaceDN/>
        <w:spacing w:line="360" w:lineRule="auto"/>
        <w:ind w:firstLine="420" w:firstLineChars="200"/>
        <w:jc w:val="both"/>
        <w:textAlignment w:val="auto"/>
        <w:outlineLvl w:val="1"/>
        <w:rPr>
          <w:rFonts w:ascii="Times New Roman" w:hAnsi="Times New Roman" w:eastAsia="宋体" w:cs="Times New Roman"/>
          <w:snapToGrid/>
          <w:color w:val="auto"/>
          <w:kern w:val="2"/>
          <w:highlight w:val="none"/>
        </w:rPr>
      </w:pPr>
      <w:bookmarkStart w:id="141" w:name="_Toc9396"/>
      <w:bookmarkStart w:id="142" w:name="_Toc30429"/>
      <w:bookmarkStart w:id="143" w:name="_Toc7810"/>
      <w:bookmarkStart w:id="144" w:name="_Toc16631"/>
      <w:r>
        <w:rPr>
          <w:rFonts w:hint="eastAsia" w:ascii="Times New Roman" w:hAnsi="Times New Roman" w:eastAsia="宋体" w:cs="Times New Roman"/>
          <w:snapToGrid/>
          <w:color w:val="auto"/>
          <w:kern w:val="2"/>
          <w:highlight w:val="none"/>
        </w:rPr>
        <w:t>一、评标办法：</w:t>
      </w:r>
      <w:bookmarkEnd w:id="141"/>
      <w:bookmarkEnd w:id="142"/>
      <w:bookmarkEnd w:id="143"/>
      <w:bookmarkEnd w:id="144"/>
    </w:p>
    <w:p w14:paraId="5C66D380">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w:t>
      </w:r>
      <w:r>
        <w:rPr>
          <w:rFonts w:hint="eastAsia" w:ascii="宋体" w:eastAsia="宋体" w:cs="宋体"/>
          <w:color w:val="auto"/>
          <w:highlight w:val="none"/>
        </w:rPr>
        <w:t>经评审的最低投标价法</w:t>
      </w:r>
    </w:p>
    <w:p w14:paraId="55659E0D">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auto"/>
          <w:kern w:val="2"/>
          <w:highlight w:val="none"/>
        </w:rPr>
      </w:pPr>
      <w:r>
        <w:rPr>
          <w:rFonts w:hint="eastAsia" w:ascii="Times New Roman" w:hAnsi="Times New Roman" w:eastAsia="宋体" w:cs="Times New Roman"/>
          <w:snapToGrid/>
          <w:color w:val="auto"/>
          <w:kern w:val="2"/>
          <w:highlight w:val="none"/>
        </w:rPr>
        <w:t>☑</w:t>
      </w:r>
      <w:r>
        <w:rPr>
          <w:rFonts w:hint="eastAsia" w:ascii="Times New Roman" w:hAnsi="Times New Roman" w:eastAsia="宋体" w:cs="Times New Roman"/>
          <w:snapToGrid/>
          <w:color w:val="auto"/>
          <w:kern w:val="2"/>
          <w:highlight w:val="none"/>
        </w:rPr>
        <w:fldChar w:fldCharType="begin"/>
      </w:r>
      <w:r>
        <w:rPr>
          <w:color w:val="auto"/>
          <w:highlight w:val="none"/>
        </w:rPr>
        <w:instrText xml:space="preserve">HYPERLINK "http://218.108.28.22/zjgcjy/infodetail/?infoid=3561d4c5-1965-4914-8d10-bfd371957ee6&amp;siteid=1&amp;categoryNum=032003" \o "浙江省重点建设工程施工招标资格后审综合评标示范办法（信用报告）"</w:instrText>
      </w:r>
      <w:r>
        <w:rPr>
          <w:rFonts w:hint="eastAsia" w:ascii="Times New Roman" w:hAnsi="Times New Roman" w:eastAsia="宋体" w:cs="Times New Roman"/>
          <w:snapToGrid/>
          <w:color w:val="auto"/>
          <w:kern w:val="2"/>
          <w:highlight w:val="none"/>
        </w:rPr>
        <w:fldChar w:fldCharType="separate"/>
      </w:r>
      <w:r>
        <w:rPr>
          <w:rFonts w:hint="eastAsia" w:ascii="Times New Roman" w:hAnsi="Times New Roman" w:eastAsia="宋体" w:cs="Times New Roman"/>
          <w:snapToGrid/>
          <w:color w:val="auto"/>
          <w:kern w:val="2"/>
          <w:highlight w:val="none"/>
        </w:rPr>
        <w:t>综合评估法</w:t>
      </w:r>
      <w:r>
        <w:rPr>
          <w:rFonts w:hint="eastAsia" w:ascii="Times New Roman" w:hAnsi="Times New Roman" w:eastAsia="宋体" w:cs="Times New Roman"/>
          <w:snapToGrid/>
          <w:color w:val="auto"/>
          <w:kern w:val="2"/>
          <w:highlight w:val="none"/>
        </w:rPr>
        <w:fldChar w:fldCharType="end"/>
      </w:r>
      <w:r>
        <w:rPr>
          <w:rFonts w:hint="eastAsia" w:ascii="Times New Roman" w:hAnsi="Times New Roman" w:eastAsia="宋体" w:cs="Times New Roman"/>
          <w:snapToGrid/>
          <w:color w:val="auto"/>
          <w:kern w:val="2"/>
          <w:highlight w:val="none"/>
        </w:rPr>
        <w:t>（设技术标）</w:t>
      </w:r>
    </w:p>
    <w:p w14:paraId="79096154">
      <w:pPr>
        <w:widowControl w:val="0"/>
        <w:kinsoku/>
        <w:autoSpaceDE/>
        <w:autoSpaceDN/>
        <w:adjustRightInd/>
        <w:snapToGrid/>
        <w:spacing w:after="120"/>
        <w:jc w:val="both"/>
        <w:textAlignment w:val="auto"/>
        <w:rPr>
          <w:rFonts w:ascii="Times New Roman" w:hAnsi="Times New Roman" w:eastAsia="宋体" w:cs="Times New Roman"/>
          <w:snapToGrid/>
          <w:color w:val="auto"/>
          <w:kern w:val="2"/>
          <w:szCs w:val="24"/>
          <w:highlight w:val="none"/>
        </w:rPr>
      </w:pPr>
    </w:p>
    <w:p w14:paraId="649A89DD">
      <w:pPr>
        <w:widowControl w:val="0"/>
        <w:kinsoku/>
        <w:autoSpaceDE/>
        <w:autoSpaceDN/>
        <w:adjustRightInd/>
        <w:snapToGrid/>
        <w:ind w:left="420" w:leftChars="200"/>
        <w:jc w:val="both"/>
        <w:textAlignment w:val="auto"/>
        <w:outlineLvl w:val="1"/>
        <w:rPr>
          <w:rFonts w:ascii="Times New Roman" w:hAnsi="Times New Roman" w:eastAsia="宋体" w:cs="Times New Roman"/>
          <w:strike/>
          <w:snapToGrid/>
          <w:color w:val="auto"/>
          <w:kern w:val="2"/>
          <w:szCs w:val="24"/>
          <w:highlight w:val="none"/>
        </w:rPr>
      </w:pPr>
      <w:bookmarkStart w:id="145" w:name="_Toc1286"/>
      <w:bookmarkStart w:id="146" w:name="_Toc24608"/>
      <w:bookmarkStart w:id="147" w:name="_Toc22187"/>
      <w:bookmarkStart w:id="148" w:name="_Toc3286"/>
      <w:r>
        <w:rPr>
          <w:rFonts w:hint="eastAsia" w:ascii="Times New Roman" w:hAnsi="Times New Roman" w:eastAsia="宋体" w:cs="Times New Roman"/>
          <w:strike/>
          <w:snapToGrid/>
          <w:color w:val="auto"/>
          <w:kern w:val="2"/>
          <w:szCs w:val="24"/>
          <w:highlight w:val="none"/>
        </w:rPr>
        <w:t>二、定标办法：</w:t>
      </w:r>
      <w:bookmarkEnd w:id="145"/>
      <w:bookmarkEnd w:id="146"/>
      <w:bookmarkEnd w:id="147"/>
      <w:bookmarkEnd w:id="148"/>
    </w:p>
    <w:p w14:paraId="50EBCABB">
      <w:pPr>
        <w:widowControl w:val="0"/>
        <w:kinsoku/>
        <w:wordWrap w:val="0"/>
        <w:topLinePunct/>
        <w:autoSpaceDE/>
        <w:autoSpaceDN/>
        <w:spacing w:line="400" w:lineRule="exact"/>
        <w:ind w:firstLine="420" w:firstLineChars="200"/>
        <w:jc w:val="both"/>
        <w:textAlignment w:val="auto"/>
        <w:rPr>
          <w:rFonts w:ascii="宋体" w:eastAsia="宋体" w:cs="宋体"/>
          <w:strike/>
          <w:snapToGrid/>
          <w:color w:val="auto"/>
          <w:kern w:val="2"/>
          <w:highlight w:val="none"/>
        </w:rPr>
      </w:pPr>
      <w:r>
        <w:rPr>
          <w:rFonts w:hint="eastAsia" w:ascii="宋体" w:eastAsia="宋体" w:cs="宋体"/>
          <w:strike/>
          <w:snapToGrid/>
          <w:color w:val="auto"/>
          <w:kern w:val="2"/>
          <w:highlight w:val="none"/>
        </w:rPr>
        <w:t>注：定标办法按照《浙江省工程建设项目招标投标“评定分离”操作指引（试行）》（浙发改公管〔2023〕256号）、《绍兴市工程建设项目招标投标“评定分离”试点定标操作指引（试行）》（绍市政服办〔2023〕17号）确定，由招标人在招标文件中明确。</w:t>
      </w:r>
    </w:p>
    <w:p w14:paraId="6809BF46">
      <w:pPr>
        <w:widowControl w:val="0"/>
        <w:kinsoku/>
        <w:wordWrap w:val="0"/>
        <w:topLinePunct/>
        <w:autoSpaceDE/>
        <w:autoSpaceDN/>
        <w:spacing w:line="400" w:lineRule="exact"/>
        <w:ind w:firstLine="420" w:firstLineChars="200"/>
        <w:jc w:val="both"/>
        <w:textAlignment w:val="auto"/>
        <w:rPr>
          <w:rFonts w:ascii="宋体" w:eastAsia="宋体" w:cs="宋体"/>
          <w:strike/>
          <w:snapToGrid/>
          <w:color w:val="auto"/>
          <w:kern w:val="2"/>
          <w:highlight w:val="none"/>
        </w:rPr>
      </w:pPr>
      <w:r>
        <w:rPr>
          <w:rFonts w:hint="eastAsia" w:ascii="宋体" w:eastAsia="宋体" w:cs="宋体"/>
          <w:strike/>
          <w:snapToGrid/>
          <w:color w:val="auto"/>
          <w:kern w:val="2"/>
          <w:highlight w:val="none"/>
        </w:rPr>
        <w:t>□票决法：由定标委员会以直接票决或者逐轮票决的方式确定中标人。</w:t>
      </w:r>
    </w:p>
    <w:p w14:paraId="08F23510">
      <w:pPr>
        <w:widowControl w:val="0"/>
        <w:kinsoku/>
        <w:wordWrap w:val="0"/>
        <w:topLinePunct/>
        <w:autoSpaceDE/>
        <w:autoSpaceDN/>
        <w:spacing w:line="400" w:lineRule="exact"/>
        <w:ind w:firstLine="420" w:firstLineChars="200"/>
        <w:jc w:val="both"/>
        <w:textAlignment w:val="auto"/>
        <w:rPr>
          <w:rFonts w:ascii="宋体" w:eastAsia="宋体" w:cs="宋体"/>
          <w:strike/>
          <w:snapToGrid/>
          <w:color w:val="auto"/>
          <w:kern w:val="2"/>
          <w:highlight w:val="none"/>
        </w:rPr>
      </w:pPr>
      <w:r>
        <w:rPr>
          <w:rFonts w:hint="eastAsia" w:ascii="宋体" w:eastAsia="宋体" w:cs="宋体"/>
          <w:strike/>
          <w:snapToGrid/>
          <w:color w:val="auto"/>
          <w:kern w:val="2"/>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4C40BEFC">
      <w:pPr>
        <w:widowControl w:val="0"/>
        <w:kinsoku/>
        <w:wordWrap w:val="0"/>
        <w:topLinePunct/>
        <w:autoSpaceDE/>
        <w:autoSpaceDN/>
        <w:spacing w:line="400" w:lineRule="exact"/>
        <w:ind w:firstLine="420" w:firstLineChars="200"/>
        <w:jc w:val="both"/>
        <w:textAlignment w:val="auto"/>
        <w:rPr>
          <w:rFonts w:ascii="Times New Roman" w:hAnsi="Times New Roman" w:eastAsia="宋体" w:cs="Times New Roman"/>
          <w:strike/>
          <w:snapToGrid/>
          <w:color w:val="auto"/>
          <w:kern w:val="2"/>
          <w:highlight w:val="none"/>
        </w:rPr>
      </w:pPr>
      <w:r>
        <w:rPr>
          <w:rFonts w:hint="eastAsia" w:ascii="宋体" w:eastAsia="宋体" w:cs="宋体"/>
          <w:strike/>
          <w:snapToGrid/>
          <w:color w:val="auto"/>
          <w:kern w:val="2"/>
          <w:highlight w:val="none"/>
        </w:rPr>
        <w:t>□其他：</w:t>
      </w:r>
      <w:r>
        <w:rPr>
          <w:rFonts w:hint="eastAsia" w:ascii="Times New Roman" w:hAnsi="Times New Roman" w:eastAsia="宋体" w:cs="宋体"/>
          <w:strike/>
          <w:snapToGrid/>
          <w:color w:val="auto"/>
          <w:kern w:val="2"/>
          <w:highlight w:val="none"/>
          <w:u w:val="single"/>
        </w:rPr>
        <w:t xml:space="preserve">                                                    。</w:t>
      </w:r>
    </w:p>
    <w:p w14:paraId="44A34CB5">
      <w:pPr>
        <w:widowControl w:val="0"/>
        <w:kinsoku/>
        <w:autoSpaceDE/>
        <w:autoSpaceDN/>
        <w:adjustRightInd/>
        <w:snapToGrid/>
        <w:jc w:val="both"/>
        <w:textAlignment w:val="auto"/>
        <w:rPr>
          <w:rFonts w:ascii="Times New Roman" w:hAnsi="Times New Roman" w:eastAsia="宋体" w:cs="Times New Roman"/>
          <w:snapToGrid/>
          <w:color w:val="auto"/>
          <w:kern w:val="2"/>
          <w:szCs w:val="24"/>
          <w:highlight w:val="none"/>
        </w:rPr>
      </w:pPr>
    </w:p>
    <w:p w14:paraId="11BDD5A1">
      <w:pPr>
        <w:spacing w:before="101" w:line="226" w:lineRule="auto"/>
        <w:ind w:left="3188"/>
        <w:jc w:val="both"/>
        <w:rPr>
          <w:color w:val="auto"/>
          <w:highlight w:val="none"/>
        </w:rPr>
        <w:sectPr>
          <w:footerReference r:id="rId14" w:type="default"/>
          <w:pgSz w:w="11907" w:h="16840"/>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3994814B">
      <w:pPr>
        <w:spacing w:before="64" w:line="223" w:lineRule="auto"/>
        <w:ind w:left="3326"/>
        <w:jc w:val="both"/>
        <w:rPr>
          <w:rFonts w:ascii="宋体" w:eastAsia="宋体" w:cs="宋体"/>
          <w:color w:val="auto"/>
          <w:sz w:val="31"/>
          <w:szCs w:val="31"/>
          <w:highlight w:val="none"/>
        </w:rPr>
      </w:pPr>
    </w:p>
    <w:p w14:paraId="3337AD5E">
      <w:pPr>
        <w:kinsoku w:val="0"/>
        <w:autoSpaceDE/>
        <w:autoSpaceDN/>
        <w:spacing w:before="0" w:line="440" w:lineRule="exact"/>
        <w:ind w:left="0"/>
        <w:jc w:val="center"/>
        <w:outlineLvl w:val="1"/>
        <w:rPr>
          <w:rFonts w:ascii="宋体" w:eastAsia="宋体" w:cs="宋体"/>
          <w:strike/>
          <w:color w:val="auto"/>
          <w:sz w:val="36"/>
          <w:szCs w:val="36"/>
          <w:highlight w:val="none"/>
        </w:rPr>
      </w:pPr>
      <w:bookmarkStart w:id="149" w:name="_Toc18134"/>
      <w:bookmarkStart w:id="150" w:name="_Toc13023"/>
      <w:bookmarkStart w:id="151" w:name="_Toc18739"/>
      <w:bookmarkStart w:id="152" w:name="_Toc17573"/>
      <w:r>
        <w:rPr>
          <w:rFonts w:ascii="宋体" w:eastAsia="宋体" w:cs="宋体"/>
          <w:strike/>
          <w:color w:val="auto"/>
          <w:sz w:val="36"/>
          <w:szCs w:val="36"/>
          <w:highlight w:val="none"/>
        </w:rPr>
        <w:t>经评审的最低投标价法</w:t>
      </w:r>
      <w:bookmarkEnd w:id="149"/>
      <w:bookmarkEnd w:id="150"/>
      <w:bookmarkEnd w:id="151"/>
      <w:bookmarkEnd w:id="152"/>
    </w:p>
    <w:p w14:paraId="0EF162A5">
      <w:pPr>
        <w:spacing w:line="247" w:lineRule="auto"/>
        <w:jc w:val="both"/>
        <w:rPr>
          <w:strike/>
          <w:color w:val="auto"/>
          <w:highlight w:val="none"/>
        </w:rPr>
      </w:pPr>
    </w:p>
    <w:p w14:paraId="6A9A5E6E">
      <w:pPr>
        <w:spacing w:before="75" w:line="353" w:lineRule="auto"/>
        <w:ind w:left="2" w:right="63" w:firstLine="479"/>
        <w:jc w:val="both"/>
        <w:rPr>
          <w:rFonts w:ascii="宋体" w:eastAsia="宋体" w:cs="宋体"/>
          <w:strike/>
          <w:color w:val="auto"/>
          <w:sz w:val="21"/>
          <w:szCs w:val="21"/>
          <w:highlight w:val="none"/>
        </w:rPr>
      </w:pPr>
      <w:r>
        <w:rPr>
          <w:rFonts w:ascii="宋体" w:eastAsia="宋体" w:cs="宋体"/>
          <w:strike/>
          <w:color w:val="auto"/>
          <w:sz w:val="21"/>
          <w:szCs w:val="21"/>
          <w:highlight w:val="none"/>
        </w:rPr>
        <w:t>根据《中华人民共和国招标投标法》、《中华人民共和国招标投标法实施条例》、</w:t>
      </w:r>
      <w:r>
        <w:rPr>
          <w:rFonts w:ascii="宋体" w:eastAsia="宋体" w:cs="宋体"/>
          <w:strike/>
          <w:dstrike w:val="0"/>
          <w:color w:val="auto"/>
          <w:sz w:val="21"/>
          <w:szCs w:val="21"/>
          <w:highlight w:val="none"/>
        </w:rPr>
        <w:t>《浙江省招标投标条例》、</w:t>
      </w:r>
      <w:r>
        <w:rPr>
          <w:rFonts w:ascii="宋体" w:eastAsia="宋体" w:cs="宋体"/>
          <w:strike/>
          <w:color w:val="auto"/>
          <w:sz w:val="21"/>
          <w:szCs w:val="21"/>
          <w:highlight w:val="none"/>
        </w:rPr>
        <w:t>《工程建设项目施工招标投标办法》、《评标委员会和评标办法暂行规定》、《浙江省综合性评标专家库管理办法实施细则》等有关规定，制定本办法。</w:t>
      </w:r>
    </w:p>
    <w:p w14:paraId="22705755">
      <w:pPr>
        <w:spacing w:line="394" w:lineRule="exact"/>
        <w:ind w:left="485"/>
        <w:jc w:val="both"/>
        <w:outlineLvl w:val="1"/>
        <w:rPr>
          <w:rFonts w:ascii="宋体" w:eastAsia="宋体" w:cs="宋体"/>
          <w:strike/>
          <w:color w:val="auto"/>
          <w:sz w:val="21"/>
          <w:szCs w:val="21"/>
          <w:highlight w:val="none"/>
        </w:rPr>
      </w:pPr>
      <w:bookmarkStart w:id="153" w:name="_Toc31782"/>
      <w:bookmarkStart w:id="154" w:name="_Toc8516"/>
      <w:bookmarkStart w:id="155" w:name="_Toc7446"/>
      <w:bookmarkStart w:id="156" w:name="_Toc2024"/>
      <w:r>
        <w:rPr>
          <w:rFonts w:ascii="宋体" w:eastAsia="宋体" w:cs="宋体"/>
          <w:strike/>
          <w:color w:val="auto"/>
          <w:position w:val="2"/>
          <w:sz w:val="21"/>
          <w:szCs w:val="21"/>
          <w:highlight w:val="none"/>
        </w:rPr>
        <w:t>一、评标原则</w:t>
      </w:r>
      <w:bookmarkEnd w:id="153"/>
      <w:bookmarkEnd w:id="154"/>
      <w:bookmarkEnd w:id="155"/>
      <w:bookmarkEnd w:id="156"/>
    </w:p>
    <w:p w14:paraId="083C83D1">
      <w:pPr>
        <w:spacing w:before="44" w:line="228" w:lineRule="auto"/>
        <w:ind w:left="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评标应遵循公平、公正、科学、择优的原则。</w:t>
      </w:r>
    </w:p>
    <w:p w14:paraId="653364B0">
      <w:pPr>
        <w:spacing w:before="157" w:line="315" w:lineRule="exact"/>
        <w:ind w:left="485"/>
        <w:jc w:val="both"/>
        <w:outlineLvl w:val="1"/>
        <w:rPr>
          <w:rFonts w:ascii="宋体" w:eastAsia="宋体" w:cs="宋体"/>
          <w:strike/>
          <w:color w:val="auto"/>
          <w:sz w:val="21"/>
          <w:szCs w:val="21"/>
          <w:highlight w:val="none"/>
        </w:rPr>
      </w:pPr>
      <w:bookmarkStart w:id="157" w:name="_Toc13398"/>
      <w:bookmarkStart w:id="158" w:name="_Toc1852"/>
      <w:bookmarkStart w:id="159" w:name="_Toc27920"/>
      <w:bookmarkStart w:id="160" w:name="_Toc31584"/>
      <w:r>
        <w:rPr>
          <w:rFonts w:ascii="宋体" w:eastAsia="宋体" w:cs="宋体"/>
          <w:strike/>
          <w:color w:val="auto"/>
          <w:position w:val="1"/>
          <w:sz w:val="21"/>
          <w:szCs w:val="21"/>
          <w:highlight w:val="none"/>
        </w:rPr>
        <w:t>二、评标组织</w:t>
      </w:r>
      <w:bookmarkEnd w:id="157"/>
      <w:bookmarkEnd w:id="158"/>
      <w:bookmarkEnd w:id="159"/>
      <w:bookmarkEnd w:id="160"/>
    </w:p>
    <w:p w14:paraId="187889CC">
      <w:pPr>
        <w:spacing w:before="125" w:line="353" w:lineRule="auto"/>
        <w:ind w:left="3" w:firstLine="477"/>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评标工作由招标人依法组建的评标委员会负责。评标委员会的组建见投标人须知前附表，成员为不少于5人的单数。</w:t>
      </w:r>
    </w:p>
    <w:p w14:paraId="323D2BC2">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7D677A11">
      <w:pPr>
        <w:spacing w:before="1" w:line="353" w:lineRule="auto"/>
        <w:ind w:left="2" w:right="104" w:firstLine="478"/>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评标委员会应当按照招标文件确定的评标标准和方法，客观、公正对投标文件进行评审和比较，招标文件没有规定的评标标准和方法不得作为评标的依据。</w:t>
      </w:r>
    </w:p>
    <w:p w14:paraId="6FDADBB8">
      <w:pPr>
        <w:spacing w:before="1" w:line="353" w:lineRule="auto"/>
        <w:ind w:left="2" w:right="65" w:firstLine="478"/>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评标委员会对投标文件作出的评审结论，应当符合有关法律、法规、规章和招标文件的规定。</w:t>
      </w:r>
    </w:p>
    <w:p w14:paraId="6C56D4B9">
      <w:pPr>
        <w:spacing w:line="420" w:lineRule="exact"/>
        <w:ind w:firstLine="420" w:firstLineChars="200"/>
        <w:jc w:val="both"/>
        <w:outlineLvl w:val="1"/>
        <w:rPr>
          <w:rFonts w:ascii="宋体" w:eastAsia="宋体" w:cs="宋体"/>
          <w:strike/>
          <w:color w:val="auto"/>
          <w:sz w:val="21"/>
          <w:szCs w:val="21"/>
          <w:highlight w:val="none"/>
        </w:rPr>
      </w:pPr>
      <w:bookmarkStart w:id="161" w:name="_Toc16432"/>
      <w:bookmarkStart w:id="162" w:name="_Toc21078"/>
      <w:bookmarkStart w:id="163" w:name="_Toc5313"/>
      <w:bookmarkStart w:id="164" w:name="_Toc24867"/>
      <w:r>
        <w:rPr>
          <w:rFonts w:ascii="宋体" w:eastAsia="宋体" w:cs="宋体"/>
          <w:strike/>
          <w:color w:val="auto"/>
          <w:position w:val="1"/>
          <w:sz w:val="21"/>
          <w:szCs w:val="21"/>
          <w:highlight w:val="none"/>
        </w:rPr>
        <w:t>三、评标程序</w:t>
      </w:r>
      <w:bookmarkEnd w:id="161"/>
      <w:bookmarkEnd w:id="162"/>
      <w:bookmarkEnd w:id="163"/>
      <w:bookmarkEnd w:id="164"/>
    </w:p>
    <w:p w14:paraId="33399428">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1.熟悉招标文件和评标办法；</w:t>
      </w:r>
    </w:p>
    <w:p w14:paraId="27108F04">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2.投标文件的符合性评审；</w:t>
      </w:r>
    </w:p>
    <w:p w14:paraId="3C9C59A3">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3.投标文件的技术标评审；</w:t>
      </w:r>
    </w:p>
    <w:p w14:paraId="511EE51A">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4.投标文件的商务标评审；</w:t>
      </w:r>
    </w:p>
    <w:p w14:paraId="67E5BCA7">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5.必要时对投标文件中的问题进行询标，包括拟作出否决投标决定前对相关投标人进行询问核实；</w:t>
      </w:r>
    </w:p>
    <w:p w14:paraId="683D56BD">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6.当否决投标后，剩余投标人少于3个时，评标委员会应对投标是否具有竞争性进行认定。认为明显缺乏竞争的，可以否决全部投标，否则，应继续进行评审；</w:t>
      </w:r>
    </w:p>
    <w:p w14:paraId="0CD467D8">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7.对投标文件进行排序，推荐中标候选人；</w:t>
      </w:r>
    </w:p>
    <w:p w14:paraId="11322B17">
      <w:pPr>
        <w:spacing w:line="420" w:lineRule="exact"/>
        <w:ind w:firstLine="476"/>
        <w:jc w:val="both"/>
        <w:rPr>
          <w:rFonts w:ascii="宋体" w:eastAsia="宋体" w:cs="宋体"/>
          <w:strike/>
          <w:color w:val="auto"/>
          <w:sz w:val="21"/>
          <w:szCs w:val="21"/>
          <w:highlight w:val="none"/>
        </w:rPr>
      </w:pPr>
      <w:r>
        <w:rPr>
          <w:rFonts w:ascii="宋体" w:eastAsia="宋体" w:cs="宋体"/>
          <w:strike/>
          <w:color w:val="auto"/>
          <w:sz w:val="21"/>
          <w:szCs w:val="21"/>
          <w:highlight w:val="none"/>
        </w:rPr>
        <w:t>8.完成评标报告。</w:t>
      </w:r>
    </w:p>
    <w:p w14:paraId="1855A494">
      <w:pPr>
        <w:spacing w:line="420" w:lineRule="exact"/>
        <w:ind w:firstLine="422" w:firstLineChars="200"/>
        <w:jc w:val="both"/>
        <w:outlineLvl w:val="1"/>
        <w:rPr>
          <w:rFonts w:ascii="宋体" w:eastAsia="宋体" w:cs="宋体"/>
          <w:b/>
          <w:bCs/>
          <w:strike/>
          <w:color w:val="auto"/>
          <w:position w:val="1"/>
          <w:sz w:val="21"/>
          <w:szCs w:val="21"/>
          <w:highlight w:val="none"/>
        </w:rPr>
      </w:pPr>
      <w:bookmarkStart w:id="165" w:name="_Toc9285"/>
      <w:bookmarkStart w:id="166" w:name="_Toc26530"/>
      <w:bookmarkStart w:id="167" w:name="_Toc26744"/>
      <w:bookmarkStart w:id="168" w:name="_Toc3047"/>
      <w:r>
        <w:rPr>
          <w:rFonts w:ascii="宋体" w:eastAsia="宋体" w:cs="宋体"/>
          <w:b/>
          <w:bCs/>
          <w:strike/>
          <w:color w:val="auto"/>
          <w:position w:val="1"/>
          <w:sz w:val="21"/>
          <w:szCs w:val="21"/>
          <w:highlight w:val="none"/>
        </w:rPr>
        <w:t>四、评审细则</w:t>
      </w:r>
      <w:bookmarkEnd w:id="165"/>
      <w:bookmarkEnd w:id="166"/>
      <w:bookmarkEnd w:id="167"/>
      <w:bookmarkEnd w:id="168"/>
    </w:p>
    <w:p w14:paraId="765D2431">
      <w:pPr>
        <w:spacing w:line="420" w:lineRule="exact"/>
        <w:ind w:firstLine="422" w:firstLineChars="200"/>
        <w:jc w:val="both"/>
        <w:rPr>
          <w:rFonts w:ascii="宋体" w:eastAsia="宋体" w:cs="宋体"/>
          <w:b/>
          <w:bCs/>
          <w:strike/>
          <w:color w:val="auto"/>
          <w:position w:val="1"/>
          <w:sz w:val="21"/>
          <w:szCs w:val="21"/>
          <w:highlight w:val="none"/>
        </w:rPr>
      </w:pPr>
      <w:r>
        <w:rPr>
          <w:rFonts w:hint="eastAsia" w:ascii="宋体" w:eastAsia="宋体" w:cs="宋体"/>
          <w:b/>
          <w:bCs/>
          <w:strike/>
          <w:color w:val="auto"/>
          <w:position w:val="1"/>
          <w:sz w:val="21"/>
          <w:szCs w:val="21"/>
          <w:highlight w:val="none"/>
          <w:lang w:eastAsia="zh-CN"/>
        </w:rPr>
        <w:t>（一）</w:t>
      </w:r>
      <w:r>
        <w:rPr>
          <w:rFonts w:ascii="宋体" w:eastAsia="宋体" w:cs="宋体"/>
          <w:b/>
          <w:bCs/>
          <w:strike/>
          <w:color w:val="auto"/>
          <w:position w:val="1"/>
          <w:sz w:val="21"/>
          <w:szCs w:val="21"/>
          <w:highlight w:val="none"/>
        </w:rPr>
        <w:t>投标文件的符合性评审</w:t>
      </w:r>
    </w:p>
    <w:p w14:paraId="4832B746">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评标委员会首先对投标报价最低的投标文件进行符合性评审。当最低投标报价有多份投标文件时，最低投标报价的所有投标文件均进入符合性评审</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以下程序中出现类似情况时照此进行</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w:t>
      </w:r>
    </w:p>
    <w:p w14:paraId="1444CE41">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如评标委员会发现投标文件存在招标文件投标人须知前附表10.1“否决投标的情形”第二款</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一</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符合性内容之一的，经询问核实并认定后，该投标文件符合性审查不通过应予以否决。</w:t>
      </w:r>
    </w:p>
    <w:p w14:paraId="788FDE46">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当出现否决投标时，评标委员会按上述办法对投标报价由低到高的顺序依次评审下一个投标文件，直至通过符合性审查进入下一轮评审。</w:t>
      </w:r>
    </w:p>
    <w:p w14:paraId="1B383717">
      <w:pPr>
        <w:spacing w:before="1" w:line="353" w:lineRule="auto"/>
        <w:ind w:right="104" w:firstLine="480"/>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（二）</w:t>
      </w:r>
      <w:r>
        <w:rPr>
          <w:rFonts w:ascii="宋体" w:eastAsia="宋体" w:cs="宋体"/>
          <w:strike/>
          <w:color w:val="auto"/>
          <w:sz w:val="21"/>
          <w:szCs w:val="21"/>
          <w:highlight w:val="none"/>
        </w:rPr>
        <w:t>投标文件的技术标评审</w:t>
      </w:r>
    </w:p>
    <w:p w14:paraId="4B74E5C1">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评标委员会应对通过符合性评审的投标文件进行技术标评审。</w:t>
      </w:r>
    </w:p>
    <w:p w14:paraId="44E54199">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如评标委员会发现投标文件存在招标文件投标人须知前附表10.1“否决投标的情形”第二款</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二</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技术标内容之一的，经询问核实并认定后，该投标文件技术标评审不通过应予以否决。</w:t>
      </w:r>
    </w:p>
    <w:p w14:paraId="6DA796A3">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当出现否决投标时，评标委员会按上述办法对投标报价由低到高的顺序依次评审下一个投标文件，直至通过符合性评审、技术标评审，进入下一轮评审。</w:t>
      </w:r>
    </w:p>
    <w:p w14:paraId="6E587F60">
      <w:pPr>
        <w:spacing w:before="1" w:line="353" w:lineRule="auto"/>
        <w:ind w:right="104" w:firstLine="480"/>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（三）</w:t>
      </w:r>
      <w:r>
        <w:rPr>
          <w:rFonts w:ascii="宋体" w:eastAsia="宋体" w:cs="宋体"/>
          <w:strike/>
          <w:color w:val="auto"/>
          <w:sz w:val="21"/>
          <w:szCs w:val="21"/>
          <w:highlight w:val="none"/>
        </w:rPr>
        <w:t>投标文件的商务标评审</w:t>
      </w:r>
    </w:p>
    <w:p w14:paraId="130F1955">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评标委员会应对通过符合性评审及技术标评审的投标文件进行商务标评审。评标委员会应对商务报价的范围、数量、单价、费用组成和总价等进行全面审阅和对比分析，找出报价差异的原因及存在的问题。</w:t>
      </w:r>
    </w:p>
    <w:p w14:paraId="38E1347B">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报价评审应以报价口径范围一致的评标价为依据。评标价应在最终报价的基础上，按照招标文件约定的因素和方法进行计算。</w:t>
      </w:r>
    </w:p>
    <w:p w14:paraId="70420467">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如评标委员会发现投标文件存在招标文件投标人须知前附表10.1“否决投标的情形”第二款</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三</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商务标内容之一的，经询问核实并认定后，该投标文件商务标审查不合格应予以否决。</w:t>
      </w:r>
    </w:p>
    <w:p w14:paraId="6319BC34">
      <w:pPr>
        <w:spacing w:before="1" w:line="353" w:lineRule="auto"/>
        <w:ind w:right="104" w:firstLine="480"/>
        <w:jc w:val="both"/>
        <w:rPr>
          <w:rFonts w:ascii="宋体" w:eastAsia="宋体" w:cs="宋体"/>
          <w:strike/>
          <w:color w:val="auto"/>
          <w:sz w:val="21"/>
          <w:szCs w:val="21"/>
          <w:highlight w:val="none"/>
        </w:rPr>
      </w:pPr>
      <w:r>
        <w:rPr>
          <w:rFonts w:ascii="宋体" w:eastAsia="宋体" w:cs="宋体"/>
          <w:strike/>
          <w:color w:val="auto"/>
          <w:sz w:val="21"/>
          <w:szCs w:val="21"/>
          <w:highlight w:val="none"/>
        </w:rPr>
        <w:t>当出现否决投标时，评标委员会按上述办法对投标报价由低到高的顺序依次评审下一个投标文件，直至通过符合性评审、技术标评审、商务标评审为止。</w:t>
      </w:r>
    </w:p>
    <w:p w14:paraId="045DA39D">
      <w:pPr>
        <w:spacing w:before="1" w:line="353" w:lineRule="auto"/>
        <w:ind w:right="104" w:firstLine="480"/>
        <w:jc w:val="both"/>
        <w:outlineLvl w:val="1"/>
        <w:rPr>
          <w:rFonts w:ascii="宋体" w:eastAsia="宋体" w:cs="宋体"/>
          <w:strike/>
          <w:color w:val="auto"/>
          <w:sz w:val="21"/>
          <w:szCs w:val="21"/>
          <w:highlight w:val="none"/>
        </w:rPr>
      </w:pPr>
      <w:bookmarkStart w:id="169" w:name="_Toc16317"/>
      <w:bookmarkStart w:id="170" w:name="_Toc30061"/>
      <w:bookmarkStart w:id="171" w:name="_Toc1966"/>
      <w:bookmarkStart w:id="172" w:name="_Toc10843"/>
      <w:r>
        <w:rPr>
          <w:rFonts w:ascii="宋体" w:eastAsia="宋体" w:cs="宋体"/>
          <w:strike/>
          <w:color w:val="auto"/>
          <w:sz w:val="21"/>
          <w:szCs w:val="21"/>
          <w:highlight w:val="none"/>
        </w:rPr>
        <w:t>五、询标</w:t>
      </w:r>
      <w:bookmarkEnd w:id="169"/>
      <w:bookmarkEnd w:id="170"/>
      <w:bookmarkEnd w:id="171"/>
      <w:bookmarkEnd w:id="172"/>
    </w:p>
    <w:p w14:paraId="256BF919">
      <w:pPr>
        <w:spacing w:before="1" w:line="353" w:lineRule="auto"/>
        <w:ind w:right="104" w:firstLine="480"/>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（一）</w:t>
      </w:r>
      <w:r>
        <w:rPr>
          <w:rFonts w:ascii="宋体" w:eastAsia="宋体" w:cs="宋体"/>
          <w:strike/>
          <w:color w:val="auto"/>
          <w:sz w:val="21"/>
          <w:szCs w:val="21"/>
          <w:highlight w:val="none"/>
        </w:rPr>
        <w:t>投标文件中有含义不明确、投标报价可能低于成本价、对同类问题表达不一致或者有明显文字和计算错误的内容，评标委员会认为需要投标人作出必要澄清、说明的，应当组织询标。</w:t>
      </w:r>
    </w:p>
    <w:p w14:paraId="42631F94">
      <w:pPr>
        <w:spacing w:before="1" w:line="353" w:lineRule="auto"/>
        <w:ind w:right="104" w:firstLine="480"/>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（二）</w:t>
      </w:r>
      <w:r>
        <w:rPr>
          <w:rFonts w:ascii="宋体" w:eastAsia="宋体" w:cs="宋体"/>
          <w:strike/>
          <w:color w:val="auto"/>
          <w:sz w:val="21"/>
          <w:szCs w:val="21"/>
          <w:highlight w:val="none"/>
        </w:rPr>
        <w:t>凡是评标委员会拟做出否决投标认定的，应组织相关投标人询问核实。未进行询问核实程序的，不得做出否决投标的认定，投标人放弃询问核实机会的除外。投标人应及时答复，在规定的时限内投标人不参加核实或不予答复的，视为放弃接受询问核实的机会。</w:t>
      </w:r>
    </w:p>
    <w:p w14:paraId="38D13C8C">
      <w:pPr>
        <w:spacing w:line="353" w:lineRule="auto"/>
        <w:ind w:left="4" w:right="104" w:firstLine="488"/>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（三）</w:t>
      </w:r>
      <w:r>
        <w:rPr>
          <w:rFonts w:ascii="宋体" w:eastAsia="宋体" w:cs="宋体"/>
          <w:strike/>
          <w:color w:val="auto"/>
          <w:sz w:val="21"/>
          <w:szCs w:val="21"/>
          <w:highlight w:val="none"/>
        </w:rPr>
        <w:t>询标问题及投标人的澄清、说明应当采用书面形式，并不得超出投标文件的范围或者改变投标文件的实质性内容。</w:t>
      </w:r>
    </w:p>
    <w:p w14:paraId="5CA191F4">
      <w:pPr>
        <w:spacing w:before="1" w:line="353" w:lineRule="auto"/>
        <w:ind w:left="21" w:right="104" w:firstLine="471"/>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（四）</w:t>
      </w:r>
      <w:r>
        <w:rPr>
          <w:rFonts w:ascii="宋体" w:eastAsia="宋体" w:cs="宋体"/>
          <w:strike/>
          <w:color w:val="auto"/>
          <w:sz w:val="21"/>
          <w:szCs w:val="21"/>
          <w:highlight w:val="none"/>
        </w:rPr>
        <w:t>评标委员会不得暗示或者诱导投标人作出澄清、说明，不得接受投标人主动提出的澄清、说明。</w:t>
      </w:r>
    </w:p>
    <w:p w14:paraId="593A408D">
      <w:pPr>
        <w:spacing w:before="1" w:line="353" w:lineRule="auto"/>
        <w:ind w:left="4" w:firstLine="488"/>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（五）</w:t>
      </w:r>
      <w:r>
        <w:rPr>
          <w:rFonts w:ascii="宋体" w:eastAsia="宋体" w:cs="宋体"/>
          <w:strike/>
          <w:color w:val="auto"/>
          <w:sz w:val="21"/>
          <w:szCs w:val="21"/>
          <w:highlight w:val="none"/>
        </w:rPr>
        <w:t>投标人不得通过补充、修改或撤销投标文件中的内容使其成为实质性响应的投标，投标人在投标截止时间以后不得提交任何资料作为评标依据。</w:t>
      </w:r>
    </w:p>
    <w:p w14:paraId="00E5C7EC">
      <w:pPr>
        <w:spacing w:line="233" w:lineRule="auto"/>
        <w:ind w:left="483"/>
        <w:jc w:val="both"/>
        <w:outlineLvl w:val="1"/>
        <w:rPr>
          <w:rFonts w:ascii="宋体" w:eastAsia="宋体" w:cs="宋体"/>
          <w:strike/>
          <w:color w:val="auto"/>
          <w:sz w:val="21"/>
          <w:szCs w:val="21"/>
          <w:highlight w:val="none"/>
        </w:rPr>
      </w:pPr>
      <w:bookmarkStart w:id="173" w:name="_Toc25958"/>
      <w:bookmarkStart w:id="174" w:name="_Toc16132"/>
      <w:bookmarkStart w:id="175" w:name="_Toc31700"/>
      <w:bookmarkStart w:id="176" w:name="_Toc28008"/>
      <w:r>
        <w:rPr>
          <w:rFonts w:ascii="宋体" w:eastAsia="宋体" w:cs="宋体"/>
          <w:strike/>
          <w:color w:val="auto"/>
          <w:sz w:val="21"/>
          <w:szCs w:val="21"/>
          <w:highlight w:val="none"/>
        </w:rPr>
        <w:t>六、推荐中标候选人</w:t>
      </w:r>
      <w:bookmarkEnd w:id="173"/>
      <w:bookmarkEnd w:id="174"/>
      <w:bookmarkEnd w:id="175"/>
      <w:bookmarkEnd w:id="176"/>
    </w:p>
    <w:p w14:paraId="24395440">
      <w:pPr>
        <w:spacing w:before="151" w:line="353" w:lineRule="auto"/>
        <w:ind w:left="1" w:right="63" w:firstLine="479"/>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rPr>
        <w:t>评标委员会对通过商务评审的投标人按投标报价从低到高进行排序，并按照排序推荐中标候选人。</w:t>
      </w:r>
      <w:r>
        <w:rPr>
          <w:rFonts w:ascii="宋体" w:eastAsia="宋体" w:cs="宋体"/>
          <w:strike/>
          <w:color w:val="auto"/>
          <w:sz w:val="21"/>
          <w:szCs w:val="21"/>
          <w:highlight w:val="none"/>
        </w:rPr>
        <w:t>当出现有多个投标人通过上述评审时，由评标委员会通过□抽签</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或□记名投票表决</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方式推荐名中标候选人。</w:t>
      </w:r>
    </w:p>
    <w:p w14:paraId="0B027BE3">
      <w:pPr>
        <w:spacing w:line="240" w:lineRule="auto"/>
        <w:ind w:left="480"/>
        <w:jc w:val="both"/>
        <w:outlineLvl w:val="1"/>
        <w:rPr>
          <w:rFonts w:ascii="宋体" w:eastAsia="宋体" w:cs="宋体"/>
          <w:strike/>
          <w:color w:val="auto"/>
          <w:sz w:val="21"/>
          <w:szCs w:val="21"/>
          <w:highlight w:val="none"/>
        </w:rPr>
      </w:pPr>
      <w:bookmarkStart w:id="177" w:name="_Toc19256"/>
      <w:bookmarkStart w:id="178" w:name="_Toc31127"/>
      <w:bookmarkStart w:id="179" w:name="_Toc9415"/>
      <w:bookmarkStart w:id="180" w:name="_Toc19150"/>
      <w:r>
        <w:rPr>
          <w:rFonts w:ascii="宋体" w:eastAsia="宋体" w:cs="宋体"/>
          <w:strike/>
          <w:color w:val="auto"/>
          <w:sz w:val="21"/>
          <w:szCs w:val="21"/>
          <w:highlight w:val="none"/>
        </w:rPr>
        <w:t>七、完成评标报告</w:t>
      </w:r>
      <w:bookmarkEnd w:id="177"/>
      <w:bookmarkEnd w:id="178"/>
      <w:bookmarkEnd w:id="179"/>
      <w:bookmarkEnd w:id="180"/>
    </w:p>
    <w:p w14:paraId="2FF5944D">
      <w:pPr>
        <w:spacing w:before="144" w:line="353" w:lineRule="auto"/>
        <w:ind w:right="65" w:firstLine="493"/>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（一）</w:t>
      </w:r>
      <w:r>
        <w:rPr>
          <w:rFonts w:ascii="宋体" w:eastAsia="宋体" w:cs="宋体"/>
          <w:strike/>
          <w:color w:val="auto"/>
          <w:sz w:val="21"/>
          <w:szCs w:val="21"/>
          <w:highlight w:val="none"/>
        </w:rPr>
        <w:t>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5D389A9B">
      <w:pPr>
        <w:spacing w:line="439" w:lineRule="exact"/>
        <w:ind w:left="493"/>
        <w:jc w:val="both"/>
        <w:rPr>
          <w:rFonts w:ascii="宋体" w:eastAsia="宋体" w:cs="宋体"/>
          <w:strike/>
          <w:color w:val="auto"/>
          <w:sz w:val="21"/>
          <w:szCs w:val="21"/>
          <w:highlight w:val="none"/>
        </w:rPr>
      </w:pPr>
      <w:r>
        <w:rPr>
          <w:rFonts w:hint="eastAsia" w:ascii="宋体" w:eastAsia="宋体" w:cs="宋体"/>
          <w:strike/>
          <w:color w:val="auto"/>
          <w:position w:val="15"/>
          <w:sz w:val="21"/>
          <w:szCs w:val="21"/>
          <w:highlight w:val="none"/>
          <w:lang w:eastAsia="zh-CN"/>
        </w:rPr>
        <w:t>（二）</w:t>
      </w:r>
      <w:r>
        <w:rPr>
          <w:rFonts w:ascii="宋体" w:eastAsia="宋体" w:cs="宋体"/>
          <w:strike/>
          <w:color w:val="auto"/>
          <w:position w:val="15"/>
          <w:sz w:val="21"/>
          <w:szCs w:val="21"/>
          <w:highlight w:val="none"/>
        </w:rPr>
        <w:t>评标报告应包括以下内容：</w:t>
      </w:r>
    </w:p>
    <w:p w14:paraId="19D3FCAB">
      <w:pPr>
        <w:spacing w:line="311" w:lineRule="exact"/>
        <w:ind w:left="499"/>
        <w:jc w:val="both"/>
        <w:rPr>
          <w:rFonts w:ascii="宋体" w:eastAsia="宋体" w:cs="宋体"/>
          <w:strike/>
          <w:color w:val="auto"/>
          <w:sz w:val="21"/>
          <w:szCs w:val="21"/>
          <w:highlight w:val="none"/>
        </w:rPr>
      </w:pPr>
      <w:r>
        <w:rPr>
          <w:rFonts w:ascii="宋体" w:eastAsia="宋体" w:cs="宋体"/>
          <w:strike/>
          <w:color w:val="auto"/>
          <w:position w:val="1"/>
          <w:sz w:val="21"/>
          <w:szCs w:val="21"/>
          <w:highlight w:val="none"/>
        </w:rPr>
        <w:t>1.开标记录；</w:t>
      </w:r>
    </w:p>
    <w:p w14:paraId="5E42338D">
      <w:pPr>
        <w:spacing w:before="130" w:line="311" w:lineRule="exact"/>
        <w:ind w:left="484"/>
        <w:jc w:val="both"/>
        <w:rPr>
          <w:rFonts w:ascii="宋体" w:eastAsia="宋体" w:cs="宋体"/>
          <w:strike/>
          <w:color w:val="auto"/>
          <w:sz w:val="21"/>
          <w:szCs w:val="21"/>
          <w:highlight w:val="none"/>
        </w:rPr>
      </w:pPr>
      <w:r>
        <w:rPr>
          <w:rFonts w:ascii="宋体" w:eastAsia="宋体" w:cs="宋体"/>
          <w:strike/>
          <w:color w:val="auto"/>
          <w:position w:val="1"/>
          <w:sz w:val="21"/>
          <w:szCs w:val="21"/>
          <w:highlight w:val="none"/>
        </w:rPr>
        <w:t>2.评标内容、过程和结果；</w:t>
      </w:r>
    </w:p>
    <w:p w14:paraId="5D1D1116">
      <w:pPr>
        <w:spacing w:before="129" w:line="309" w:lineRule="exact"/>
        <w:ind w:left="486"/>
        <w:jc w:val="both"/>
        <w:rPr>
          <w:rFonts w:ascii="宋体" w:eastAsia="宋体" w:cs="宋体"/>
          <w:strike/>
          <w:color w:val="auto"/>
          <w:sz w:val="21"/>
          <w:szCs w:val="21"/>
          <w:highlight w:val="none"/>
        </w:rPr>
      </w:pPr>
      <w:r>
        <w:rPr>
          <w:rFonts w:ascii="宋体" w:eastAsia="宋体" w:cs="宋体"/>
          <w:strike/>
          <w:color w:val="auto"/>
          <w:position w:val="1"/>
          <w:sz w:val="21"/>
          <w:szCs w:val="21"/>
          <w:highlight w:val="none"/>
        </w:rPr>
        <w:t>3.询标澄清纪要；</w:t>
      </w:r>
    </w:p>
    <w:p w14:paraId="1F32F021">
      <w:pPr>
        <w:spacing w:before="130" w:line="311" w:lineRule="exact"/>
        <w:ind w:left="480"/>
        <w:jc w:val="both"/>
        <w:rPr>
          <w:rFonts w:ascii="宋体" w:eastAsia="宋体" w:cs="宋体"/>
          <w:strike/>
          <w:color w:val="auto"/>
          <w:sz w:val="21"/>
          <w:szCs w:val="21"/>
          <w:highlight w:val="none"/>
        </w:rPr>
      </w:pPr>
      <w:r>
        <w:rPr>
          <w:rFonts w:ascii="宋体" w:eastAsia="宋体" w:cs="宋体"/>
          <w:strike/>
          <w:color w:val="auto"/>
          <w:position w:val="1"/>
          <w:sz w:val="21"/>
          <w:szCs w:val="21"/>
          <w:highlight w:val="none"/>
        </w:rPr>
        <w:t>4.否决投标情况说明及依据；</w:t>
      </w:r>
    </w:p>
    <w:p w14:paraId="4EE64E99">
      <w:pPr>
        <w:spacing w:before="130" w:line="440" w:lineRule="exact"/>
        <w:ind w:left="486"/>
        <w:jc w:val="both"/>
        <w:rPr>
          <w:rFonts w:ascii="宋体" w:eastAsia="宋体" w:cs="宋体"/>
          <w:strike/>
          <w:color w:val="auto"/>
          <w:sz w:val="21"/>
          <w:szCs w:val="21"/>
          <w:highlight w:val="none"/>
        </w:rPr>
      </w:pPr>
      <w:r>
        <w:rPr>
          <w:rFonts w:ascii="宋体" w:eastAsia="宋体" w:cs="宋体"/>
          <w:strike/>
          <w:color w:val="auto"/>
          <w:position w:val="15"/>
          <w:sz w:val="21"/>
          <w:szCs w:val="21"/>
          <w:highlight w:val="none"/>
        </w:rPr>
        <w:t>5.推荐中标候选人；</w:t>
      </w:r>
    </w:p>
    <w:p w14:paraId="0D9C7726">
      <w:pPr>
        <w:spacing w:line="211" w:lineRule="auto"/>
        <w:ind w:left="483"/>
        <w:jc w:val="both"/>
        <w:rPr>
          <w:rFonts w:ascii="宋体" w:eastAsia="宋体" w:cs="宋体"/>
          <w:strike/>
          <w:color w:val="auto"/>
          <w:sz w:val="21"/>
          <w:szCs w:val="21"/>
          <w:highlight w:val="none"/>
        </w:rPr>
      </w:pPr>
      <w:r>
        <w:rPr>
          <w:rFonts w:ascii="宋体" w:eastAsia="宋体" w:cs="宋体"/>
          <w:strike/>
          <w:color w:val="auto"/>
          <w:sz w:val="21"/>
          <w:szCs w:val="21"/>
          <w:highlight w:val="none"/>
        </w:rPr>
        <w:t>6.中标候选人投标业绩</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招标文件对投标资格有业绩要求的</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w:t>
      </w:r>
    </w:p>
    <w:p w14:paraId="74BA5F91">
      <w:pPr>
        <w:spacing w:before="152" w:line="309" w:lineRule="exact"/>
        <w:ind w:left="487"/>
        <w:jc w:val="both"/>
        <w:rPr>
          <w:rFonts w:ascii="宋体" w:eastAsia="宋体" w:cs="宋体"/>
          <w:strike/>
          <w:color w:val="auto"/>
          <w:sz w:val="23"/>
          <w:szCs w:val="23"/>
          <w:highlight w:val="none"/>
        </w:rPr>
      </w:pPr>
      <w:r>
        <w:rPr>
          <w:rFonts w:ascii="宋体" w:eastAsia="宋体" w:cs="宋体"/>
          <w:strike/>
          <w:color w:val="auto"/>
          <w:position w:val="1"/>
          <w:sz w:val="21"/>
          <w:szCs w:val="21"/>
          <w:highlight w:val="none"/>
        </w:rPr>
        <w:t>7.其他建议。</w:t>
      </w:r>
    </w:p>
    <w:p w14:paraId="378B7E51">
      <w:pPr>
        <w:jc w:val="both"/>
        <w:rPr>
          <w:color w:val="auto"/>
          <w:highlight w:val="none"/>
        </w:rPr>
        <w:sectPr>
          <w:footerReference r:id="rId15" w:type="default"/>
          <w:pgSz w:w="11907" w:h="16840"/>
          <w:pgMar w:top="1417" w:right="1417" w:bottom="1417" w:left="1417" w:header="850" w:footer="992" w:gutter="0"/>
          <w:pgBorders>
            <w:top w:val="none" w:sz="0" w:space="0"/>
            <w:left w:val="none" w:sz="0" w:space="0"/>
            <w:bottom w:val="none" w:sz="0" w:space="0"/>
            <w:right w:val="none" w:sz="0" w:space="0"/>
          </w:pgBorders>
          <w:cols w:space="720" w:num="1"/>
          <w:docGrid w:linePitch="312" w:charSpace="0"/>
        </w:sectPr>
      </w:pPr>
    </w:p>
    <w:p w14:paraId="508E83A3">
      <w:pPr>
        <w:spacing w:before="0" w:line="440" w:lineRule="exact"/>
        <w:jc w:val="center"/>
        <w:outlineLvl w:val="1"/>
        <w:rPr>
          <w:rFonts w:ascii="宋体" w:eastAsia="宋体" w:cs="宋体"/>
          <w:color w:val="auto"/>
          <w:sz w:val="36"/>
          <w:szCs w:val="36"/>
          <w:highlight w:val="none"/>
        </w:rPr>
      </w:pPr>
      <w:bookmarkStart w:id="181" w:name="_Toc21238"/>
      <w:bookmarkStart w:id="182" w:name="_Toc14693"/>
      <w:bookmarkStart w:id="183" w:name="_Toc7083"/>
      <w:bookmarkStart w:id="184" w:name="_Toc18078"/>
      <w:r>
        <w:rPr>
          <w:rFonts w:ascii="宋体" w:eastAsia="宋体" w:cs="宋体"/>
          <w:color w:val="auto"/>
          <w:sz w:val="36"/>
          <w:szCs w:val="36"/>
          <w:highlight w:val="none"/>
        </w:rPr>
        <w:t>综合评估法</w:t>
      </w:r>
      <w:bookmarkEnd w:id="181"/>
      <w:bookmarkEnd w:id="182"/>
      <w:bookmarkEnd w:id="183"/>
      <w:bookmarkEnd w:id="184"/>
    </w:p>
    <w:p w14:paraId="65FE8A81">
      <w:pPr>
        <w:spacing w:line="247" w:lineRule="auto"/>
        <w:jc w:val="both"/>
        <w:rPr>
          <w:color w:val="auto"/>
          <w:highlight w:val="none"/>
        </w:rPr>
      </w:pPr>
    </w:p>
    <w:p w14:paraId="2752BA18">
      <w:pPr>
        <w:spacing w:before="75" w:line="353" w:lineRule="auto"/>
        <w:ind w:right="65" w:firstLine="480"/>
        <w:jc w:val="both"/>
        <w:rPr>
          <w:rFonts w:ascii="宋体" w:eastAsia="宋体" w:cs="宋体"/>
          <w:color w:val="auto"/>
          <w:sz w:val="21"/>
          <w:szCs w:val="21"/>
          <w:highlight w:val="none"/>
        </w:rPr>
      </w:pPr>
      <w:r>
        <w:rPr>
          <w:rFonts w:ascii="宋体" w:eastAsia="宋体" w:cs="宋体"/>
          <w:color w:val="auto"/>
          <w:sz w:val="21"/>
          <w:szCs w:val="21"/>
          <w:highlight w:val="none"/>
        </w:rPr>
        <w:t>根据《中华人民共和国招标投标法》、《中华人民共和国招标投标法实施条例》、</w:t>
      </w:r>
      <w:r>
        <w:rPr>
          <w:rFonts w:ascii="宋体" w:eastAsia="宋体" w:cs="宋体"/>
          <w:strike/>
          <w:dstrike w:val="0"/>
          <w:color w:val="auto"/>
          <w:sz w:val="21"/>
          <w:szCs w:val="21"/>
          <w:highlight w:val="none"/>
        </w:rPr>
        <w:t>《浙江省招标投标条例》、</w:t>
      </w:r>
      <w:r>
        <w:rPr>
          <w:rFonts w:ascii="宋体" w:eastAsia="宋体" w:cs="宋体"/>
          <w:color w:val="auto"/>
          <w:sz w:val="21"/>
          <w:szCs w:val="21"/>
          <w:highlight w:val="none"/>
        </w:rPr>
        <w:t>《评标委员会和评标办法暂行规定》、《浙江省综合性评标专家库管理办法实施细则》等有关规定，制定本办法。</w:t>
      </w:r>
    </w:p>
    <w:p w14:paraId="0435BFAF">
      <w:pPr>
        <w:spacing w:line="394" w:lineRule="exact"/>
        <w:ind w:left="485"/>
        <w:jc w:val="both"/>
        <w:outlineLvl w:val="1"/>
        <w:rPr>
          <w:rFonts w:ascii="宋体" w:eastAsia="宋体" w:cs="宋体"/>
          <w:color w:val="auto"/>
          <w:sz w:val="21"/>
          <w:szCs w:val="21"/>
          <w:highlight w:val="none"/>
        </w:rPr>
      </w:pPr>
      <w:bookmarkStart w:id="185" w:name="_Toc19901"/>
      <w:bookmarkStart w:id="186" w:name="_Toc6087"/>
      <w:bookmarkStart w:id="187" w:name="_Toc3441"/>
      <w:bookmarkStart w:id="188" w:name="_Toc19270"/>
      <w:r>
        <w:rPr>
          <w:rFonts w:ascii="宋体" w:eastAsia="宋体" w:cs="宋体"/>
          <w:color w:val="auto"/>
          <w:position w:val="2"/>
          <w:sz w:val="21"/>
          <w:szCs w:val="21"/>
          <w:highlight w:val="none"/>
        </w:rPr>
        <w:t>一、评标原则</w:t>
      </w:r>
      <w:bookmarkEnd w:id="185"/>
      <w:bookmarkEnd w:id="186"/>
      <w:bookmarkEnd w:id="187"/>
      <w:bookmarkEnd w:id="188"/>
    </w:p>
    <w:p w14:paraId="6B319408">
      <w:pPr>
        <w:spacing w:before="44" w:line="228" w:lineRule="auto"/>
        <w:ind w:left="480"/>
        <w:jc w:val="both"/>
        <w:rPr>
          <w:rFonts w:ascii="宋体" w:eastAsia="宋体" w:cs="宋体"/>
          <w:color w:val="auto"/>
          <w:sz w:val="21"/>
          <w:szCs w:val="21"/>
          <w:highlight w:val="none"/>
        </w:rPr>
      </w:pPr>
      <w:r>
        <w:rPr>
          <w:rFonts w:ascii="宋体" w:eastAsia="宋体" w:cs="宋体"/>
          <w:color w:val="auto"/>
          <w:sz w:val="21"/>
          <w:szCs w:val="21"/>
          <w:highlight w:val="none"/>
        </w:rPr>
        <w:t>评标应遵循公平、公正、科学、择优的原则。</w:t>
      </w:r>
    </w:p>
    <w:p w14:paraId="5DCC0936">
      <w:pPr>
        <w:spacing w:before="157" w:line="315" w:lineRule="exact"/>
        <w:ind w:left="485"/>
        <w:jc w:val="both"/>
        <w:outlineLvl w:val="1"/>
        <w:rPr>
          <w:rFonts w:ascii="宋体" w:eastAsia="宋体" w:cs="宋体"/>
          <w:color w:val="auto"/>
          <w:sz w:val="21"/>
          <w:szCs w:val="21"/>
          <w:highlight w:val="none"/>
        </w:rPr>
      </w:pPr>
      <w:bookmarkStart w:id="189" w:name="_Toc8178"/>
      <w:bookmarkStart w:id="190" w:name="_Toc28862"/>
      <w:bookmarkStart w:id="191" w:name="_Toc25844"/>
      <w:bookmarkStart w:id="192" w:name="_Toc16774"/>
      <w:r>
        <w:rPr>
          <w:rFonts w:ascii="宋体" w:eastAsia="宋体" w:cs="宋体"/>
          <w:color w:val="auto"/>
          <w:position w:val="1"/>
          <w:sz w:val="21"/>
          <w:szCs w:val="21"/>
          <w:highlight w:val="none"/>
        </w:rPr>
        <w:t>二、评标组织</w:t>
      </w:r>
      <w:bookmarkEnd w:id="189"/>
      <w:bookmarkEnd w:id="190"/>
      <w:bookmarkEnd w:id="191"/>
      <w:bookmarkEnd w:id="192"/>
    </w:p>
    <w:p w14:paraId="0539933A">
      <w:pPr>
        <w:spacing w:before="125" w:line="353" w:lineRule="auto"/>
        <w:ind w:left="3" w:firstLine="477"/>
        <w:jc w:val="both"/>
        <w:rPr>
          <w:rFonts w:ascii="宋体" w:eastAsia="宋体" w:cs="宋体"/>
          <w:color w:val="auto"/>
          <w:sz w:val="21"/>
          <w:szCs w:val="21"/>
          <w:highlight w:val="none"/>
        </w:rPr>
      </w:pPr>
      <w:r>
        <w:rPr>
          <w:rFonts w:ascii="宋体" w:eastAsia="宋体" w:cs="宋体"/>
          <w:color w:val="auto"/>
          <w:sz w:val="21"/>
          <w:szCs w:val="21"/>
          <w:highlight w:val="none"/>
        </w:rPr>
        <w:t>评标工作由招标人依法组建的评标委员会负责。评标委员会的组建见投标人须知前附表，成员为不少于</w:t>
      </w:r>
      <w:r>
        <w:rPr>
          <w:rFonts w:hint="eastAsia" w:ascii="宋体" w:eastAsia="宋体" w:cs="宋体"/>
          <w:color w:val="auto"/>
          <w:sz w:val="21"/>
          <w:szCs w:val="21"/>
          <w:highlight w:val="none"/>
          <w:lang w:val="en-US" w:eastAsia="zh-CN"/>
        </w:rPr>
        <w:t>7</w:t>
      </w:r>
      <w:r>
        <w:rPr>
          <w:rFonts w:ascii="宋体" w:eastAsia="宋体" w:cs="宋体"/>
          <w:color w:val="auto"/>
          <w:sz w:val="21"/>
          <w:szCs w:val="21"/>
          <w:highlight w:val="none"/>
        </w:rPr>
        <w:t>人的单数。</w:t>
      </w:r>
    </w:p>
    <w:p w14:paraId="1B435D4F">
      <w:pPr>
        <w:spacing w:before="1" w:line="353" w:lineRule="auto"/>
        <w:ind w:right="65" w:firstLine="480"/>
        <w:jc w:val="both"/>
        <w:rPr>
          <w:rFonts w:ascii="宋体" w:eastAsia="宋体" w:cs="宋体"/>
          <w:color w:val="auto"/>
          <w:sz w:val="21"/>
          <w:szCs w:val="21"/>
          <w:highlight w:val="none"/>
        </w:rPr>
      </w:pPr>
      <w:r>
        <w:rPr>
          <w:rFonts w:ascii="宋体" w:eastAsia="宋体" w:cs="宋体"/>
          <w:color w:val="auto"/>
          <w:sz w:val="21"/>
          <w:szCs w:val="21"/>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795B79A9">
      <w:pPr>
        <w:spacing w:before="1" w:line="353" w:lineRule="auto"/>
        <w:ind w:left="2" w:right="65" w:firstLine="478"/>
        <w:jc w:val="both"/>
        <w:rPr>
          <w:rFonts w:ascii="宋体" w:eastAsia="宋体" w:cs="宋体"/>
          <w:color w:val="auto"/>
          <w:sz w:val="21"/>
          <w:szCs w:val="21"/>
          <w:highlight w:val="none"/>
        </w:rPr>
      </w:pPr>
      <w:r>
        <w:rPr>
          <w:rFonts w:ascii="宋体" w:eastAsia="宋体" w:cs="宋体"/>
          <w:color w:val="auto"/>
          <w:sz w:val="21"/>
          <w:szCs w:val="21"/>
          <w:highlight w:val="none"/>
        </w:rPr>
        <w:t>评标委员会应当按照招标文件确定的评标标准和方法，客观、公正对投标文件进行评审和比较，招标文件没有规定的评标标准和方法不得作为评标的依据。</w:t>
      </w:r>
    </w:p>
    <w:p w14:paraId="65C9AD96">
      <w:pPr>
        <w:spacing w:before="1" w:line="353" w:lineRule="auto"/>
        <w:ind w:left="2" w:right="65" w:firstLine="478"/>
        <w:jc w:val="both"/>
        <w:rPr>
          <w:rFonts w:ascii="宋体" w:eastAsia="宋体" w:cs="宋体"/>
          <w:color w:val="auto"/>
          <w:sz w:val="21"/>
          <w:szCs w:val="21"/>
          <w:highlight w:val="none"/>
        </w:rPr>
      </w:pPr>
      <w:r>
        <w:rPr>
          <w:rFonts w:ascii="宋体" w:eastAsia="宋体" w:cs="宋体"/>
          <w:color w:val="auto"/>
          <w:sz w:val="21"/>
          <w:szCs w:val="21"/>
          <w:highlight w:val="none"/>
        </w:rPr>
        <w:t>评标委员会对投标文件作出的评审结论，应当符合有关法律、法规、规章和招标文件的规定。</w:t>
      </w:r>
    </w:p>
    <w:p w14:paraId="6F37B971">
      <w:pPr>
        <w:spacing w:line="306" w:lineRule="exact"/>
        <w:ind w:left="481"/>
        <w:jc w:val="both"/>
        <w:outlineLvl w:val="1"/>
        <w:rPr>
          <w:rFonts w:ascii="宋体" w:eastAsia="宋体" w:cs="宋体"/>
          <w:color w:val="auto"/>
          <w:sz w:val="21"/>
          <w:szCs w:val="21"/>
          <w:highlight w:val="none"/>
        </w:rPr>
      </w:pPr>
      <w:bookmarkStart w:id="193" w:name="_Toc22152"/>
      <w:bookmarkStart w:id="194" w:name="_Toc27526"/>
      <w:bookmarkStart w:id="195" w:name="_Toc14069"/>
      <w:bookmarkStart w:id="196" w:name="_Toc29700"/>
      <w:r>
        <w:rPr>
          <w:rFonts w:ascii="宋体" w:eastAsia="宋体" w:cs="宋体"/>
          <w:color w:val="auto"/>
          <w:position w:val="1"/>
          <w:sz w:val="21"/>
          <w:szCs w:val="21"/>
          <w:highlight w:val="none"/>
        </w:rPr>
        <w:t>三、评标程序和内容</w:t>
      </w:r>
      <w:bookmarkEnd w:id="193"/>
      <w:bookmarkEnd w:id="194"/>
      <w:bookmarkEnd w:id="195"/>
      <w:bookmarkEnd w:id="196"/>
    </w:p>
    <w:p w14:paraId="453F7814">
      <w:pPr>
        <w:spacing w:before="134" w:line="441" w:lineRule="exact"/>
        <w:ind w:left="499"/>
        <w:jc w:val="both"/>
        <w:rPr>
          <w:rFonts w:ascii="宋体" w:eastAsia="宋体" w:cs="宋体"/>
          <w:color w:val="auto"/>
          <w:sz w:val="21"/>
          <w:szCs w:val="21"/>
          <w:highlight w:val="none"/>
        </w:rPr>
      </w:pPr>
      <w:r>
        <w:rPr>
          <w:rFonts w:ascii="宋体" w:eastAsia="宋体" w:cs="宋体"/>
          <w:color w:val="auto"/>
          <w:position w:val="15"/>
          <w:sz w:val="21"/>
          <w:szCs w:val="21"/>
          <w:highlight w:val="none"/>
        </w:rPr>
        <w:t>1.熟悉招标文件和评标办法；</w:t>
      </w:r>
    </w:p>
    <w:p w14:paraId="2777953C">
      <w:pPr>
        <w:spacing w:line="311" w:lineRule="exact"/>
        <w:ind w:left="484"/>
        <w:jc w:val="both"/>
        <w:rPr>
          <w:rFonts w:ascii="宋体" w:eastAsia="宋体" w:cs="宋体"/>
          <w:color w:val="auto"/>
          <w:sz w:val="21"/>
          <w:szCs w:val="21"/>
          <w:highlight w:val="none"/>
        </w:rPr>
      </w:pPr>
      <w:r>
        <w:rPr>
          <w:rFonts w:ascii="宋体" w:eastAsia="宋体" w:cs="宋体"/>
          <w:color w:val="auto"/>
          <w:position w:val="1"/>
          <w:sz w:val="21"/>
          <w:szCs w:val="21"/>
          <w:highlight w:val="none"/>
        </w:rPr>
        <w:t>2.投标文件的符合性评审；</w:t>
      </w:r>
    </w:p>
    <w:p w14:paraId="186EE9D4">
      <w:pPr>
        <w:spacing w:before="128" w:line="310" w:lineRule="exact"/>
        <w:ind w:left="486"/>
        <w:jc w:val="both"/>
        <w:rPr>
          <w:rFonts w:ascii="宋体" w:eastAsia="宋体" w:cs="宋体"/>
          <w:color w:val="auto"/>
          <w:sz w:val="21"/>
          <w:szCs w:val="21"/>
          <w:highlight w:val="none"/>
        </w:rPr>
      </w:pPr>
      <w:r>
        <w:rPr>
          <w:rFonts w:ascii="宋体" w:eastAsia="宋体" w:cs="宋体"/>
          <w:color w:val="auto"/>
          <w:position w:val="1"/>
          <w:sz w:val="21"/>
          <w:szCs w:val="21"/>
          <w:highlight w:val="none"/>
        </w:rPr>
        <w:t>3.投标文件的资信、业绩评审；</w:t>
      </w:r>
    </w:p>
    <w:p w14:paraId="1139FB39">
      <w:pPr>
        <w:spacing w:before="130" w:line="311" w:lineRule="exact"/>
        <w:ind w:left="480"/>
        <w:jc w:val="both"/>
        <w:rPr>
          <w:rFonts w:ascii="宋体" w:eastAsia="宋体" w:cs="宋体"/>
          <w:color w:val="auto"/>
          <w:sz w:val="21"/>
          <w:szCs w:val="21"/>
          <w:highlight w:val="none"/>
        </w:rPr>
      </w:pPr>
      <w:r>
        <w:rPr>
          <w:rFonts w:ascii="宋体" w:eastAsia="宋体" w:cs="宋体"/>
          <w:color w:val="auto"/>
          <w:position w:val="1"/>
          <w:sz w:val="21"/>
          <w:szCs w:val="21"/>
          <w:highlight w:val="none"/>
        </w:rPr>
        <w:t>4.投标文件的技术标评审；</w:t>
      </w:r>
    </w:p>
    <w:p w14:paraId="509E634E">
      <w:pPr>
        <w:spacing w:before="130" w:line="310" w:lineRule="exact"/>
        <w:ind w:left="486"/>
        <w:jc w:val="both"/>
        <w:rPr>
          <w:rFonts w:ascii="宋体" w:eastAsia="宋体" w:cs="宋体"/>
          <w:color w:val="auto"/>
          <w:sz w:val="21"/>
          <w:szCs w:val="21"/>
          <w:highlight w:val="none"/>
        </w:rPr>
      </w:pPr>
      <w:r>
        <w:rPr>
          <w:rFonts w:ascii="宋体" w:eastAsia="宋体" w:cs="宋体"/>
          <w:color w:val="auto"/>
          <w:position w:val="1"/>
          <w:sz w:val="21"/>
          <w:szCs w:val="21"/>
          <w:highlight w:val="none"/>
        </w:rPr>
        <w:t>5.投标文件的商务标评审；</w:t>
      </w:r>
    </w:p>
    <w:p w14:paraId="0C4E6538">
      <w:pPr>
        <w:spacing w:before="131" w:line="353" w:lineRule="auto"/>
        <w:ind w:left="21" w:right="63" w:firstLine="462"/>
        <w:jc w:val="both"/>
        <w:rPr>
          <w:rFonts w:ascii="宋体" w:eastAsia="宋体" w:cs="宋体"/>
          <w:color w:val="auto"/>
          <w:sz w:val="21"/>
          <w:szCs w:val="21"/>
          <w:highlight w:val="none"/>
        </w:rPr>
      </w:pPr>
      <w:r>
        <w:rPr>
          <w:rFonts w:ascii="宋体" w:eastAsia="宋体" w:cs="宋体"/>
          <w:color w:val="auto"/>
          <w:sz w:val="21"/>
          <w:szCs w:val="21"/>
          <w:highlight w:val="none"/>
        </w:rPr>
        <w:t>6.必要时对投标文件中的问题进行询标，包括拟作出否决投标决定前对相关投标人进行的询问核实；</w:t>
      </w:r>
    </w:p>
    <w:p w14:paraId="0AF7023B">
      <w:pPr>
        <w:spacing w:line="439" w:lineRule="exact"/>
        <w:ind w:left="487"/>
        <w:jc w:val="both"/>
        <w:rPr>
          <w:rFonts w:ascii="宋体" w:eastAsia="宋体" w:cs="宋体"/>
          <w:color w:val="auto"/>
          <w:sz w:val="21"/>
          <w:szCs w:val="21"/>
          <w:highlight w:val="none"/>
        </w:rPr>
      </w:pPr>
      <w:r>
        <w:rPr>
          <w:rFonts w:ascii="宋体" w:eastAsia="宋体" w:cs="宋体"/>
          <w:color w:val="auto"/>
          <w:position w:val="15"/>
          <w:sz w:val="21"/>
          <w:szCs w:val="21"/>
          <w:highlight w:val="none"/>
        </w:rPr>
        <w:t>7.根据评标办法和标准对投标文件进行综合评分、排序；</w:t>
      </w:r>
    </w:p>
    <w:p w14:paraId="386F6302">
      <w:pPr>
        <w:spacing w:line="309" w:lineRule="exact"/>
        <w:ind w:left="482"/>
        <w:jc w:val="both"/>
        <w:rPr>
          <w:rFonts w:ascii="宋体" w:eastAsia="宋体" w:cs="宋体"/>
          <w:color w:val="auto"/>
          <w:sz w:val="21"/>
          <w:szCs w:val="21"/>
          <w:highlight w:val="none"/>
        </w:rPr>
      </w:pPr>
      <w:r>
        <w:rPr>
          <w:rFonts w:ascii="宋体" w:eastAsia="宋体" w:cs="宋体"/>
          <w:color w:val="auto"/>
          <w:position w:val="1"/>
          <w:sz w:val="21"/>
          <w:szCs w:val="21"/>
          <w:highlight w:val="none"/>
        </w:rPr>
        <w:t>8.完成评标报告，推荐中标候选人。</w:t>
      </w:r>
    </w:p>
    <w:p w14:paraId="47F189B6">
      <w:pPr>
        <w:spacing w:before="130" w:line="230" w:lineRule="auto"/>
        <w:ind w:left="504"/>
        <w:jc w:val="both"/>
        <w:outlineLvl w:val="1"/>
        <w:rPr>
          <w:rFonts w:ascii="宋体" w:eastAsia="宋体" w:cs="宋体"/>
          <w:color w:val="auto"/>
          <w:sz w:val="21"/>
          <w:szCs w:val="21"/>
          <w:highlight w:val="none"/>
        </w:rPr>
      </w:pPr>
      <w:bookmarkStart w:id="197" w:name="_Toc31080"/>
      <w:bookmarkStart w:id="198" w:name="_Toc13188"/>
      <w:bookmarkStart w:id="199" w:name="_Toc10407"/>
      <w:bookmarkStart w:id="200" w:name="_Toc3240"/>
      <w:r>
        <w:rPr>
          <w:rFonts w:ascii="宋体" w:eastAsia="宋体" w:cs="宋体"/>
          <w:color w:val="auto"/>
          <w:sz w:val="21"/>
          <w:szCs w:val="21"/>
          <w:highlight w:val="none"/>
        </w:rPr>
        <w:t>四、评审细则</w:t>
      </w:r>
      <w:bookmarkEnd w:id="197"/>
      <w:bookmarkEnd w:id="198"/>
      <w:bookmarkEnd w:id="199"/>
      <w:bookmarkEnd w:id="200"/>
    </w:p>
    <w:p w14:paraId="75E376D4">
      <w:pPr>
        <w:spacing w:before="154" w:line="228" w:lineRule="auto"/>
        <w:ind w:left="493"/>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（一）</w:t>
      </w:r>
      <w:r>
        <w:rPr>
          <w:rFonts w:ascii="宋体" w:eastAsia="宋体" w:cs="宋体"/>
          <w:color w:val="auto"/>
          <w:sz w:val="21"/>
          <w:szCs w:val="21"/>
          <w:highlight w:val="none"/>
        </w:rPr>
        <w:t>投标文件的符合性评审</w:t>
      </w:r>
    </w:p>
    <w:p w14:paraId="216C2D9D">
      <w:pPr>
        <w:spacing w:line="420" w:lineRule="exact"/>
        <w:ind w:firstLine="495"/>
        <w:jc w:val="both"/>
        <w:rPr>
          <w:rFonts w:ascii="宋体" w:eastAsia="宋体" w:cs="宋体"/>
          <w:color w:val="auto"/>
          <w:sz w:val="21"/>
          <w:szCs w:val="21"/>
          <w:highlight w:val="none"/>
        </w:rPr>
      </w:pPr>
      <w:r>
        <w:rPr>
          <w:rFonts w:ascii="宋体" w:eastAsia="宋体" w:cs="宋体"/>
          <w:color w:val="auto"/>
          <w:sz w:val="21"/>
          <w:szCs w:val="21"/>
          <w:highlight w:val="none"/>
        </w:rPr>
        <w:t>1.评标委员会应依照招标文件的要求和规定，首先对投标人的投标资格和投标文件进行符合性评审。</w:t>
      </w:r>
    </w:p>
    <w:p w14:paraId="4A2BFFEF">
      <w:pPr>
        <w:spacing w:line="420" w:lineRule="exact"/>
        <w:ind w:firstLine="480"/>
        <w:jc w:val="both"/>
        <w:rPr>
          <w:rFonts w:ascii="宋体" w:eastAsia="宋体" w:cs="宋体"/>
          <w:color w:val="auto"/>
          <w:sz w:val="21"/>
          <w:szCs w:val="21"/>
          <w:highlight w:val="none"/>
        </w:rPr>
      </w:pPr>
      <w:r>
        <w:rPr>
          <w:rFonts w:ascii="宋体" w:eastAsia="宋体" w:cs="宋体"/>
          <w:color w:val="auto"/>
          <w:sz w:val="21"/>
          <w:szCs w:val="21"/>
          <w:highlight w:val="none"/>
        </w:rPr>
        <w:t>如评标委员会发现投标文件存在招标文件投标人须知前附表10.1“否决投标的情形”第二款</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一</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符合性内容、</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二</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技术标内容、</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三</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商务标内容之一的，经询问核实并认定后，即可判定该投标文件符合性评审不通过应予以否决，不再进入后续的综合评分程序。</w:t>
      </w:r>
    </w:p>
    <w:p w14:paraId="35BA73A1">
      <w:pPr>
        <w:spacing w:line="420" w:lineRule="exact"/>
        <w:ind w:firstLine="525" w:firstLineChars="250"/>
        <w:jc w:val="both"/>
        <w:rPr>
          <w:rFonts w:ascii="宋体" w:eastAsia="宋体" w:cs="宋体"/>
          <w:color w:val="auto"/>
          <w:sz w:val="21"/>
          <w:szCs w:val="21"/>
          <w:highlight w:val="none"/>
        </w:rPr>
      </w:pPr>
      <w:r>
        <w:rPr>
          <w:rFonts w:ascii="宋体" w:eastAsia="宋体" w:cs="宋体"/>
          <w:color w:val="auto"/>
          <w:position w:val="1"/>
          <w:sz w:val="21"/>
          <w:szCs w:val="21"/>
          <w:highlight w:val="none"/>
        </w:rPr>
        <w:t>2.询标</w:t>
      </w:r>
    </w:p>
    <w:p w14:paraId="053A830C">
      <w:pPr>
        <w:spacing w:line="420" w:lineRule="exact"/>
        <w:ind w:firstLine="489"/>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（1）</w:t>
      </w:r>
      <w:r>
        <w:rPr>
          <w:rFonts w:ascii="宋体" w:eastAsia="宋体" w:cs="宋体"/>
          <w:color w:val="auto"/>
          <w:sz w:val="21"/>
          <w:szCs w:val="21"/>
          <w:highlight w:val="none"/>
        </w:rPr>
        <w:t>投标文件中有含义不明确的内容、明显文字或计算错误，评标委员会认为需要投标人作出必要澄清、说明的，应当组织询标。</w:t>
      </w:r>
    </w:p>
    <w:p w14:paraId="02637BED">
      <w:pPr>
        <w:spacing w:line="420" w:lineRule="exact"/>
        <w:ind w:firstLine="492"/>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（2）</w:t>
      </w:r>
      <w:r>
        <w:rPr>
          <w:rFonts w:ascii="宋体" w:eastAsia="宋体" w:cs="宋体"/>
          <w:color w:val="auto"/>
          <w:sz w:val="21"/>
          <w:szCs w:val="21"/>
          <w:highlight w:val="none"/>
        </w:rPr>
        <w:t>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42DEAF11">
      <w:pPr>
        <w:spacing w:line="420" w:lineRule="exact"/>
        <w:ind w:firstLine="491"/>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（3）</w:t>
      </w:r>
      <w:r>
        <w:rPr>
          <w:rFonts w:ascii="宋体" w:eastAsia="宋体" w:cs="宋体"/>
          <w:color w:val="auto"/>
          <w:sz w:val="21"/>
          <w:szCs w:val="21"/>
          <w:highlight w:val="none"/>
        </w:rPr>
        <w:t>询标问题及投标人的澄清、说明应当采用书面形式，并不得超出投标文件的范围或者改变投标文件的实质性内容。</w:t>
      </w:r>
    </w:p>
    <w:p w14:paraId="0BAC168D">
      <w:pPr>
        <w:spacing w:line="420" w:lineRule="exact"/>
        <w:ind w:firstLine="491"/>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（4）</w:t>
      </w:r>
      <w:r>
        <w:rPr>
          <w:rFonts w:ascii="宋体" w:eastAsia="宋体" w:cs="宋体"/>
          <w:color w:val="auto"/>
          <w:sz w:val="21"/>
          <w:szCs w:val="21"/>
          <w:highlight w:val="none"/>
        </w:rPr>
        <w:t>评标委员会不得暗示或者诱导投标人作出澄清、说明，不得接受投标人主动提出的澄清、说明。</w:t>
      </w:r>
    </w:p>
    <w:p w14:paraId="2D5A4FC2">
      <w:pPr>
        <w:spacing w:line="420" w:lineRule="exact"/>
        <w:ind w:firstLine="488"/>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（5）</w:t>
      </w:r>
      <w:r>
        <w:rPr>
          <w:rFonts w:ascii="宋体" w:eastAsia="宋体" w:cs="宋体"/>
          <w:color w:val="auto"/>
          <w:sz w:val="21"/>
          <w:szCs w:val="21"/>
          <w:highlight w:val="none"/>
        </w:rPr>
        <w:t>投标人不得通过补充、修改或撤销投标文件中的内容使其成为实质性响应的投标，投标人在投标截止时间以后不得提交任何资料作为评标依据。</w:t>
      </w:r>
    </w:p>
    <w:p w14:paraId="4824142B">
      <w:pPr>
        <w:spacing w:line="420" w:lineRule="exact"/>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（二）</w:t>
      </w:r>
      <w:r>
        <w:rPr>
          <w:rFonts w:ascii="宋体" w:eastAsia="宋体" w:cs="宋体"/>
          <w:color w:val="auto"/>
          <w:sz w:val="21"/>
          <w:szCs w:val="21"/>
          <w:highlight w:val="none"/>
        </w:rPr>
        <w:t>资信、业绩评审</w:t>
      </w:r>
    </w:p>
    <w:p w14:paraId="0D2BCE0C">
      <w:pPr>
        <w:spacing w:line="420" w:lineRule="exact"/>
        <w:ind w:firstLine="491"/>
        <w:jc w:val="both"/>
        <w:rPr>
          <w:rFonts w:ascii="宋体" w:eastAsia="宋体" w:cs="宋体"/>
          <w:color w:val="auto"/>
          <w:sz w:val="21"/>
          <w:szCs w:val="21"/>
          <w:highlight w:val="none"/>
        </w:rPr>
      </w:pPr>
      <w:r>
        <w:rPr>
          <w:rFonts w:ascii="宋体" w:eastAsia="宋体" w:cs="宋体"/>
          <w:color w:val="auto"/>
          <w:sz w:val="21"/>
          <w:szCs w:val="21"/>
          <w:highlight w:val="none"/>
        </w:rPr>
        <w:t>由评标委员会全体成员根据投标人提供的相关证明材料进行集体认定。</w:t>
      </w:r>
    </w:p>
    <w:p w14:paraId="2666955E">
      <w:pPr>
        <w:spacing w:line="420" w:lineRule="exact"/>
        <w:ind w:firstLine="491"/>
        <w:jc w:val="both"/>
        <w:rPr>
          <w:rFonts w:ascii="宋体" w:eastAsia="宋体" w:cs="宋体"/>
          <w:color w:val="auto"/>
          <w:sz w:val="21"/>
          <w:szCs w:val="21"/>
          <w:highlight w:val="none"/>
        </w:rPr>
      </w:pPr>
      <w:r>
        <w:rPr>
          <w:rFonts w:ascii="宋体" w:eastAsia="宋体" w:cs="宋体"/>
          <w:color w:val="auto"/>
          <w:sz w:val="21"/>
          <w:szCs w:val="21"/>
          <w:highlight w:val="none"/>
        </w:rPr>
        <w:t>业绩评分</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0—3分</w:t>
      </w:r>
      <w:r>
        <w:rPr>
          <w:rFonts w:hint="eastAsia" w:ascii="宋体" w:eastAsia="宋体" w:cs="宋体"/>
          <w:color w:val="auto"/>
          <w:sz w:val="21"/>
          <w:szCs w:val="21"/>
          <w:highlight w:val="none"/>
          <w:lang w:eastAsia="zh-CN"/>
        </w:rPr>
        <w:t>）</w:t>
      </w:r>
    </w:p>
    <w:p w14:paraId="69A497AD">
      <w:pPr>
        <w:spacing w:line="420" w:lineRule="exact"/>
        <w:ind w:firstLine="519"/>
        <w:jc w:val="both"/>
        <w:rPr>
          <w:rFonts w:hint="default" w:ascii="宋体" w:eastAsia="宋体" w:cs="宋体"/>
          <w:color w:val="auto"/>
          <w:sz w:val="21"/>
          <w:szCs w:val="21"/>
          <w:highlight w:val="none"/>
          <w:lang w:val="en-US" w:eastAsia="zh-CN"/>
        </w:rPr>
      </w:pPr>
      <w:r>
        <w:rPr>
          <w:rFonts w:hint="eastAsia" w:ascii="宋体" w:eastAsia="宋体" w:cs="宋体"/>
          <w:color w:val="auto"/>
          <w:sz w:val="21"/>
          <w:szCs w:val="21"/>
          <w:highlight w:val="none"/>
        </w:rPr>
        <w:t>自2021年1月1日以来（以合同签订日期为准），投标人具有单个合同金额2000万元及以上的流量仪表（须同时包含机械水表、远传水表、超声波流量计、电磁流量计）材料设备供货业绩，得3分。</w:t>
      </w:r>
    </w:p>
    <w:p w14:paraId="491861BA">
      <w:pPr>
        <w:spacing w:line="420" w:lineRule="exact"/>
        <w:ind w:firstLine="488"/>
        <w:jc w:val="both"/>
        <w:rPr>
          <w:rFonts w:ascii="宋体" w:eastAsia="宋体" w:cs="宋体"/>
          <w:color w:val="auto"/>
          <w:sz w:val="21"/>
          <w:szCs w:val="21"/>
          <w:highlight w:val="none"/>
        </w:rPr>
      </w:pPr>
      <w:r>
        <w:rPr>
          <w:rFonts w:ascii="宋体" w:eastAsia="宋体" w:cs="宋体"/>
          <w:color w:val="auto"/>
          <w:sz w:val="21"/>
          <w:szCs w:val="21"/>
          <w:highlight w:val="none"/>
        </w:rPr>
        <w:t>注：以上业绩证明材料应提供</w:t>
      </w:r>
      <w:r>
        <w:rPr>
          <w:rFonts w:hint="eastAsia" w:ascii="宋体" w:eastAsia="宋体" w:cs="宋体"/>
          <w:color w:val="auto"/>
          <w:sz w:val="21"/>
          <w:szCs w:val="21"/>
          <w:highlight w:val="none"/>
          <w:lang w:eastAsia="zh-CN"/>
        </w:rPr>
        <w:t>中标通知书复制件、</w:t>
      </w:r>
      <w:r>
        <w:rPr>
          <w:rFonts w:ascii="宋体" w:eastAsia="宋体" w:cs="宋体"/>
          <w:color w:val="auto"/>
          <w:sz w:val="21"/>
          <w:szCs w:val="21"/>
          <w:highlight w:val="none"/>
        </w:rPr>
        <w:t>合同复制件</w:t>
      </w:r>
      <w:r>
        <w:rPr>
          <w:rFonts w:hint="eastAsia" w:ascii="宋体" w:eastAsia="宋体" w:cs="宋体"/>
          <w:color w:val="auto"/>
          <w:highlight w:val="none"/>
        </w:rPr>
        <w:t>，其所承载的证明内容应符合业绩要求的具体描述</w:t>
      </w:r>
      <w:r>
        <w:rPr>
          <w:rFonts w:ascii="宋体" w:eastAsia="宋体" w:cs="宋体"/>
          <w:color w:val="auto"/>
          <w:sz w:val="21"/>
          <w:szCs w:val="21"/>
          <w:highlight w:val="none"/>
        </w:rPr>
        <w:t>。投标资格证明中的业绩</w:t>
      </w:r>
      <w:r>
        <w:rPr>
          <w:rFonts w:ascii="宋体" w:eastAsia="宋体" w:cs="宋体"/>
          <w:color w:val="auto"/>
          <w:sz w:val="21"/>
          <w:szCs w:val="21"/>
          <w:highlight w:val="none"/>
          <w:u w:val="single"/>
        </w:rPr>
        <w:t>不可以</w:t>
      </w:r>
      <w:r>
        <w:rPr>
          <w:rFonts w:ascii="宋体" w:eastAsia="宋体" w:cs="宋体"/>
          <w:color w:val="auto"/>
          <w:sz w:val="21"/>
          <w:szCs w:val="21"/>
          <w:highlight w:val="none"/>
        </w:rPr>
        <w:t>作为本项计分业绩。</w:t>
      </w:r>
    </w:p>
    <w:p w14:paraId="3F7C3D45">
      <w:pPr>
        <w:spacing w:line="228" w:lineRule="auto"/>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（三）</w:t>
      </w:r>
      <w:r>
        <w:rPr>
          <w:rFonts w:ascii="宋体" w:eastAsia="宋体" w:cs="宋体"/>
          <w:color w:val="auto"/>
          <w:sz w:val="21"/>
          <w:szCs w:val="21"/>
          <w:highlight w:val="none"/>
        </w:rPr>
        <w:t>投标文件的技术标评审</w:t>
      </w:r>
    </w:p>
    <w:p w14:paraId="0197077B">
      <w:pPr>
        <w:spacing w:line="420" w:lineRule="exact"/>
        <w:ind w:firstLine="497"/>
        <w:jc w:val="both"/>
        <w:rPr>
          <w:rFonts w:ascii="宋体" w:eastAsia="宋体" w:cs="宋体"/>
          <w:color w:val="auto"/>
          <w:sz w:val="21"/>
          <w:szCs w:val="21"/>
          <w:highlight w:val="none"/>
        </w:rPr>
      </w:pPr>
      <w:r>
        <w:rPr>
          <w:rFonts w:ascii="宋体" w:eastAsia="宋体" w:cs="宋体"/>
          <w:color w:val="auto"/>
          <w:sz w:val="21"/>
          <w:szCs w:val="21"/>
          <w:highlight w:val="none"/>
        </w:rPr>
        <w:t>1.由评标委员会全体成员对投标文件的采用记名方式各自评分。如发现某个单项的评分超出了规定的分值范围的，则该张评分表无效。此项评分为：从评标专家的有效评分中扣除一个最高总分和一个最低总分后的算术平均值</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保留小数2位</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w:t>
      </w:r>
    </w:p>
    <w:p w14:paraId="6FB3F664">
      <w:pPr>
        <w:spacing w:line="420" w:lineRule="exact"/>
        <w:ind w:firstLine="497"/>
        <w:jc w:val="both"/>
        <w:rPr>
          <w:rFonts w:ascii="宋体" w:eastAsia="宋体" w:cs="宋体"/>
          <w:color w:val="auto"/>
          <w:sz w:val="21"/>
          <w:szCs w:val="21"/>
          <w:highlight w:val="none"/>
        </w:rPr>
      </w:pPr>
      <w:r>
        <w:rPr>
          <w:rFonts w:ascii="宋体" w:eastAsia="宋体" w:cs="宋体"/>
          <w:color w:val="auto"/>
          <w:sz w:val="21"/>
          <w:szCs w:val="21"/>
          <w:highlight w:val="none"/>
        </w:rPr>
        <w:t>2.技术评分</w:t>
      </w:r>
      <w:r>
        <w:rPr>
          <w:rFonts w:hint="eastAsia" w:ascii="宋体" w:eastAsia="宋体" w:cs="宋体"/>
          <w:color w:val="auto"/>
          <w:sz w:val="21"/>
          <w:szCs w:val="21"/>
          <w:highlight w:val="none"/>
          <w:lang w:eastAsia="zh-CN"/>
        </w:rPr>
        <w:t>（</w:t>
      </w:r>
      <w:r>
        <w:rPr>
          <w:rFonts w:hint="eastAsia" w:ascii="宋体" w:eastAsia="宋体" w:cs="宋体"/>
          <w:color w:val="auto"/>
          <w:highlight w:val="none"/>
          <w:lang w:val="en-US" w:eastAsia="zh-CN"/>
        </w:rPr>
        <w:t>42</w:t>
      </w:r>
      <w:r>
        <w:rPr>
          <w:rFonts w:ascii="宋体" w:eastAsia="宋体" w:cs="宋体"/>
          <w:color w:val="auto"/>
          <w:sz w:val="21"/>
          <w:szCs w:val="21"/>
          <w:highlight w:val="none"/>
        </w:rPr>
        <w:t>分</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w:t>
      </w:r>
    </w:p>
    <w:p w14:paraId="22C1E7D4">
      <w:pPr>
        <w:spacing w:line="420" w:lineRule="exact"/>
        <w:ind w:firstLine="480"/>
        <w:jc w:val="both"/>
        <w:rPr>
          <w:rFonts w:ascii="宋体" w:eastAsia="宋体" w:cs="宋体"/>
          <w:color w:val="auto"/>
          <w:sz w:val="21"/>
          <w:szCs w:val="21"/>
          <w:highlight w:val="none"/>
        </w:rPr>
      </w:pPr>
      <w:r>
        <w:rPr>
          <w:rFonts w:ascii="宋体" w:eastAsia="宋体" w:cs="宋体"/>
          <w:color w:val="auto"/>
          <w:sz w:val="21"/>
          <w:szCs w:val="21"/>
          <w:highlight w:val="none"/>
        </w:rPr>
        <w:t>招标人可根据招标项目的特点设置相应的评审内容和标准，原则上技术含量高的货物，技术评分权重大。可自选评审内容并要求细化，每一打分项分值区间不宜超过3分：</w:t>
      </w:r>
    </w:p>
    <w:p w14:paraId="52C492EC">
      <w:pPr>
        <w:shd w:val="clear"/>
        <w:spacing w:line="420" w:lineRule="exact"/>
        <w:ind w:firstLine="388" w:firstLineChars="185"/>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ascii="宋体" w:hAnsi="宋体" w:eastAsia="宋体" w:cs="宋体"/>
          <w:color w:val="auto"/>
          <w:sz w:val="21"/>
          <w:szCs w:val="21"/>
          <w:highlight w:val="none"/>
        </w:rPr>
        <w:t>加工能力、制造水平</w:t>
      </w:r>
    </w:p>
    <w:p w14:paraId="4CC6A672">
      <w:pPr>
        <w:shd w:val="clear"/>
        <w:spacing w:line="420" w:lineRule="exact"/>
        <w:ind w:firstLine="388" w:firstLineChars="185"/>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投标货物技术指标的符合性、优越性</w:t>
      </w:r>
    </w:p>
    <w:p w14:paraId="72B30091">
      <w:pPr>
        <w:shd w:val="clear"/>
        <w:spacing w:line="420" w:lineRule="exact"/>
        <w:ind w:firstLine="388" w:firstLineChars="185"/>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主要制作材料选用的比较</w:t>
      </w:r>
    </w:p>
    <w:p w14:paraId="2C7FF282">
      <w:pPr>
        <w:shd w:val="clear"/>
        <w:spacing w:line="420" w:lineRule="exact"/>
        <w:ind w:firstLine="388" w:firstLineChars="185"/>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辅助制作材料及配件选用的比较</w:t>
      </w:r>
    </w:p>
    <w:p w14:paraId="6DED4663">
      <w:pPr>
        <w:shd w:val="clear"/>
        <w:spacing w:line="420" w:lineRule="exact"/>
        <w:ind w:firstLine="388" w:firstLineChars="185"/>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组织实施方案：投标人组织实施方案的科学性、合理性、规范性和可操作性，包括货物供货、验货、组装就位、关键步骤的思路和要点以及组织机构、工作时间进度表、工作程序和步骤等内容。</w:t>
      </w:r>
    </w:p>
    <w:p w14:paraId="56B872B7">
      <w:pPr>
        <w:shd w:val="clear"/>
        <w:spacing w:line="420" w:lineRule="exact"/>
        <w:ind w:firstLine="388" w:firstLineChars="185"/>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投标人是否具有较强的本地化服务能力、售后服务承诺、提供的售后服务方案的可行性、完整性以及服务承诺落实的保障措施，</w:t>
      </w:r>
      <w:r>
        <w:rPr>
          <w:rFonts w:hint="eastAsia" w:ascii="宋体" w:hAnsi="宋体" w:eastAsia="宋体" w:cs="宋体"/>
          <w:color w:val="auto"/>
          <w:sz w:val="21"/>
          <w:szCs w:val="21"/>
          <w:highlight w:val="none"/>
          <w:lang w:eastAsia="zh-CN"/>
        </w:rPr>
        <w:t>质量保证期</w:t>
      </w:r>
      <w:r>
        <w:rPr>
          <w:rFonts w:ascii="宋体" w:hAnsi="宋体" w:eastAsia="宋体" w:cs="宋体"/>
          <w:color w:val="auto"/>
          <w:sz w:val="21"/>
          <w:szCs w:val="21"/>
          <w:highlight w:val="none"/>
        </w:rPr>
        <w:t>内外的后续技术支持和维护能力情况等。</w:t>
      </w:r>
    </w:p>
    <w:p w14:paraId="337656B1">
      <w:pPr>
        <w:shd w:val="clear"/>
        <w:spacing w:line="420" w:lineRule="exact"/>
        <w:ind w:firstLine="388" w:firstLineChars="185"/>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ascii="宋体" w:hAnsi="宋体" w:eastAsia="宋体" w:cs="宋体"/>
          <w:color w:val="auto"/>
          <w:sz w:val="21"/>
          <w:szCs w:val="21"/>
          <w:highlight w:val="none"/>
        </w:rPr>
        <w:t>投标人提供的样品质量比较</w:t>
      </w:r>
    </w:p>
    <w:p w14:paraId="4D6D2A3A">
      <w:pPr>
        <w:shd w:val="clear"/>
        <w:ind w:firstLine="420" w:firstLineChars="200"/>
        <w:rPr>
          <w:rFonts w:ascii="宋体" w:hAnsi="宋体" w:cs="宋体"/>
          <w:color w:val="auto"/>
          <w:sz w:val="21"/>
          <w:szCs w:val="21"/>
          <w:highlight w:val="none"/>
        </w:rPr>
      </w:pPr>
      <w:r>
        <w:rPr>
          <w:rFonts w:hint="eastAsia" w:ascii="宋体" w:hAnsi="宋体" w:eastAsia="宋体" w:cs="宋体"/>
          <w:color w:val="auto"/>
          <w:sz w:val="21"/>
          <w:szCs w:val="21"/>
          <w:highlight w:val="none"/>
          <w:lang w:eastAsia="zh-CN"/>
        </w:rPr>
        <w:t>□</w:t>
      </w:r>
      <w:r>
        <w:rPr>
          <w:rFonts w:ascii="宋体" w:hAnsi="宋体" w:eastAsia="宋体" w:cs="宋体"/>
          <w:color w:val="auto"/>
          <w:sz w:val="21"/>
          <w:szCs w:val="21"/>
          <w:highlight w:val="none"/>
        </w:rPr>
        <w:t>其它</w:t>
      </w:r>
    </w:p>
    <w:p w14:paraId="283BD496">
      <w:pPr>
        <w:shd w:val="clear"/>
        <w:spacing w:line="420" w:lineRule="exact"/>
        <w:ind w:firstLine="388" w:firstLineChars="185"/>
        <w:jc w:val="both"/>
        <w:rPr>
          <w:rFonts w:ascii="宋体" w:hAnsi="宋体" w:eastAsia="宋体" w:cs="宋体"/>
          <w:color w:val="auto"/>
          <w:sz w:val="21"/>
          <w:szCs w:val="21"/>
          <w:highlight w:val="none"/>
        </w:rPr>
      </w:pPr>
    </w:p>
    <w:tbl>
      <w:tblPr>
        <w:tblStyle w:val="31"/>
        <w:tblW w:w="10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7"/>
        <w:gridCol w:w="1110"/>
        <w:gridCol w:w="5455"/>
        <w:gridCol w:w="913"/>
        <w:gridCol w:w="1002"/>
        <w:gridCol w:w="6"/>
        <w:gridCol w:w="1009"/>
      </w:tblGrid>
      <w:tr w14:paraId="74A1C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57" w:type="dxa"/>
            <w:vMerge w:val="restart"/>
            <w:shd w:val="clear" w:color="auto" w:fill="auto"/>
            <w:vAlign w:val="center"/>
          </w:tcPr>
          <w:p w14:paraId="10823074">
            <w:pPr>
              <w:shd w:val="clear"/>
              <w:kinsoku/>
              <w:autoSpaceDE/>
              <w:autoSpaceDN/>
              <w:adjustRightInd/>
              <w:snapToGrid/>
              <w:jc w:val="center"/>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序号</w:t>
            </w:r>
          </w:p>
        </w:tc>
        <w:tc>
          <w:tcPr>
            <w:tcW w:w="1110" w:type="dxa"/>
            <w:vMerge w:val="restart"/>
            <w:shd w:val="clear" w:color="auto" w:fill="auto"/>
            <w:vAlign w:val="center"/>
          </w:tcPr>
          <w:p w14:paraId="553F9A81">
            <w:pPr>
              <w:shd w:val="clear"/>
              <w:kinsoku/>
              <w:autoSpaceDE/>
              <w:autoSpaceDN/>
              <w:adjustRightInd/>
              <w:snapToGrid/>
              <w:jc w:val="center"/>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评分项目</w:t>
            </w:r>
          </w:p>
        </w:tc>
        <w:tc>
          <w:tcPr>
            <w:tcW w:w="5455" w:type="dxa"/>
            <w:vMerge w:val="restart"/>
            <w:shd w:val="clear" w:color="auto" w:fill="auto"/>
            <w:vAlign w:val="center"/>
          </w:tcPr>
          <w:p w14:paraId="6359FCEF">
            <w:pPr>
              <w:shd w:val="clear"/>
              <w:kinsoku/>
              <w:autoSpaceDE/>
              <w:autoSpaceDN/>
              <w:adjustRightInd/>
              <w:snapToGrid/>
              <w:jc w:val="center"/>
              <w:textAlignment w:val="auto"/>
              <w:rPr>
                <w:rFonts w:ascii="仿宋" w:hAnsi="仿宋" w:eastAsia="仿宋" w:cs="宋体"/>
                <w:b/>
                <w:bCs/>
                <w:snapToGrid/>
                <w:color w:val="auto"/>
                <w:sz w:val="21"/>
                <w:szCs w:val="21"/>
                <w:highlight w:val="none"/>
              </w:rPr>
            </w:pPr>
            <w:r>
              <w:rPr>
                <w:rFonts w:hint="eastAsia" w:ascii="仿宋" w:hAnsi="仿宋" w:eastAsia="仿宋" w:cs="宋体"/>
                <w:b/>
                <w:bCs/>
                <w:snapToGrid/>
                <w:color w:val="auto"/>
                <w:sz w:val="21"/>
                <w:szCs w:val="21"/>
                <w:highlight w:val="none"/>
              </w:rPr>
              <w:t>评审依据及标准</w:t>
            </w:r>
          </w:p>
        </w:tc>
        <w:tc>
          <w:tcPr>
            <w:tcW w:w="2930" w:type="dxa"/>
            <w:gridSpan w:val="4"/>
            <w:shd w:val="clear" w:color="auto" w:fill="auto"/>
            <w:vAlign w:val="center"/>
          </w:tcPr>
          <w:p w14:paraId="69B3B338">
            <w:pPr>
              <w:shd w:val="clear"/>
              <w:kinsoku/>
              <w:autoSpaceDE/>
              <w:autoSpaceDN/>
              <w:adjustRightInd/>
              <w:snapToGrid/>
              <w:jc w:val="center"/>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分值</w:t>
            </w:r>
          </w:p>
        </w:tc>
      </w:tr>
      <w:tr w14:paraId="52FE4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557" w:type="dxa"/>
            <w:vMerge w:val="continue"/>
            <w:shd w:val="clear" w:color="auto" w:fill="auto"/>
            <w:vAlign w:val="center"/>
          </w:tcPr>
          <w:p w14:paraId="2A1FCADC">
            <w:pPr>
              <w:shd w:val="clear"/>
              <w:kinsoku/>
              <w:autoSpaceDE/>
              <w:autoSpaceDN/>
              <w:adjustRightInd/>
              <w:snapToGrid/>
              <w:jc w:val="center"/>
              <w:textAlignment w:val="auto"/>
              <w:rPr>
                <w:color w:val="auto"/>
                <w:sz w:val="21"/>
                <w:szCs w:val="21"/>
                <w:highlight w:val="none"/>
              </w:rPr>
            </w:pPr>
          </w:p>
        </w:tc>
        <w:tc>
          <w:tcPr>
            <w:tcW w:w="1110" w:type="dxa"/>
            <w:vMerge w:val="continue"/>
            <w:shd w:val="clear" w:color="auto" w:fill="auto"/>
            <w:vAlign w:val="center"/>
          </w:tcPr>
          <w:p w14:paraId="1792F8BF">
            <w:pPr>
              <w:shd w:val="clear"/>
              <w:kinsoku/>
              <w:autoSpaceDE/>
              <w:autoSpaceDN/>
              <w:adjustRightInd/>
              <w:snapToGrid/>
              <w:jc w:val="center"/>
              <w:textAlignment w:val="auto"/>
              <w:rPr>
                <w:color w:val="auto"/>
                <w:sz w:val="21"/>
                <w:szCs w:val="21"/>
                <w:highlight w:val="none"/>
              </w:rPr>
            </w:pPr>
          </w:p>
        </w:tc>
        <w:tc>
          <w:tcPr>
            <w:tcW w:w="5455" w:type="dxa"/>
            <w:vMerge w:val="continue"/>
            <w:shd w:val="clear" w:color="auto" w:fill="auto"/>
            <w:vAlign w:val="center"/>
          </w:tcPr>
          <w:p w14:paraId="654A2B50">
            <w:pPr>
              <w:shd w:val="clear"/>
              <w:kinsoku/>
              <w:autoSpaceDE/>
              <w:autoSpaceDN/>
              <w:adjustRightInd/>
              <w:snapToGrid/>
              <w:jc w:val="center"/>
              <w:textAlignment w:val="auto"/>
              <w:rPr>
                <w:color w:val="auto"/>
                <w:sz w:val="21"/>
                <w:szCs w:val="21"/>
                <w:highlight w:val="none"/>
              </w:rPr>
            </w:pPr>
          </w:p>
        </w:tc>
        <w:tc>
          <w:tcPr>
            <w:tcW w:w="913" w:type="dxa"/>
            <w:shd w:val="clear" w:color="auto" w:fill="auto"/>
            <w:vAlign w:val="center"/>
          </w:tcPr>
          <w:p w14:paraId="15427DF1">
            <w:pPr>
              <w:shd w:val="clear"/>
              <w:kinsoku/>
              <w:autoSpaceDE/>
              <w:autoSpaceDN/>
              <w:adjustRightInd/>
              <w:snapToGrid/>
              <w:jc w:val="center"/>
              <w:textAlignment w:val="auto"/>
              <w:rPr>
                <w:rFonts w:hint="default" w:eastAsia="宋体"/>
                <w:color w:val="auto"/>
                <w:sz w:val="21"/>
                <w:szCs w:val="21"/>
                <w:highlight w:val="none"/>
                <w:lang w:val="en-US" w:eastAsia="zh-CN"/>
              </w:rPr>
            </w:pPr>
            <w:r>
              <w:rPr>
                <w:rFonts w:hint="eastAsia" w:eastAsia="宋体"/>
                <w:color w:val="auto"/>
                <w:sz w:val="21"/>
                <w:szCs w:val="21"/>
                <w:highlight w:val="none"/>
                <w:lang w:val="en-US" w:eastAsia="zh-CN"/>
              </w:rPr>
              <w:t>优</w:t>
            </w:r>
          </w:p>
        </w:tc>
        <w:tc>
          <w:tcPr>
            <w:tcW w:w="1008" w:type="dxa"/>
            <w:gridSpan w:val="2"/>
            <w:shd w:val="clear" w:color="auto" w:fill="auto"/>
            <w:vAlign w:val="center"/>
          </w:tcPr>
          <w:p w14:paraId="28A75AF1">
            <w:pPr>
              <w:shd w:val="clear"/>
              <w:kinsoku/>
              <w:autoSpaceDE/>
              <w:autoSpaceDN/>
              <w:adjustRightInd/>
              <w:snapToGrid/>
              <w:jc w:val="center"/>
              <w:textAlignment w:val="auto"/>
              <w:rPr>
                <w:rFonts w:hint="default" w:eastAsia="宋体"/>
                <w:color w:val="auto"/>
                <w:sz w:val="21"/>
                <w:szCs w:val="21"/>
                <w:highlight w:val="none"/>
                <w:lang w:val="en-US" w:eastAsia="zh-CN"/>
              </w:rPr>
            </w:pPr>
            <w:r>
              <w:rPr>
                <w:rFonts w:hint="eastAsia" w:eastAsia="宋体"/>
                <w:color w:val="auto"/>
                <w:sz w:val="21"/>
                <w:szCs w:val="21"/>
                <w:highlight w:val="none"/>
                <w:lang w:val="en-US" w:eastAsia="zh-CN"/>
              </w:rPr>
              <w:t>良</w:t>
            </w:r>
          </w:p>
        </w:tc>
        <w:tc>
          <w:tcPr>
            <w:tcW w:w="1009" w:type="dxa"/>
            <w:shd w:val="clear" w:color="auto" w:fill="auto"/>
            <w:vAlign w:val="center"/>
          </w:tcPr>
          <w:p w14:paraId="61DCF964">
            <w:pPr>
              <w:shd w:val="clear"/>
              <w:kinsoku/>
              <w:autoSpaceDE/>
              <w:autoSpaceDN/>
              <w:adjustRightInd/>
              <w:snapToGrid/>
              <w:jc w:val="center"/>
              <w:textAlignment w:val="auto"/>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一般</w:t>
            </w:r>
          </w:p>
        </w:tc>
      </w:tr>
      <w:tr w14:paraId="21D36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57" w:type="dxa"/>
            <w:vMerge w:val="restart"/>
            <w:shd w:val="clear" w:color="auto" w:fill="auto"/>
            <w:vAlign w:val="center"/>
          </w:tcPr>
          <w:p w14:paraId="0ACE7AA7">
            <w:pPr>
              <w:shd w:val="clear"/>
              <w:kinsoku/>
              <w:autoSpaceDE/>
              <w:autoSpaceDN/>
              <w:adjustRightInd/>
              <w:snapToGrid/>
              <w:jc w:val="center"/>
              <w:textAlignment w:val="auto"/>
              <w:rPr>
                <w:rFonts w:hint="default" w:ascii="宋体" w:hAnsi="宋体" w:eastAsia="宋体" w:cs="宋体"/>
                <w:snapToGrid/>
                <w:color w:val="auto"/>
                <w:sz w:val="21"/>
                <w:szCs w:val="21"/>
                <w:highlight w:val="none"/>
                <w:lang w:val="en-US" w:eastAsia="zh-CN"/>
              </w:rPr>
            </w:pPr>
            <w:r>
              <w:rPr>
                <w:rFonts w:hint="eastAsia" w:ascii="宋体" w:hAnsi="宋体" w:eastAsia="宋体" w:cs="宋体"/>
                <w:snapToGrid/>
                <w:color w:val="auto"/>
                <w:sz w:val="21"/>
                <w:szCs w:val="21"/>
                <w:highlight w:val="none"/>
                <w:lang w:val="en-US" w:eastAsia="zh-CN"/>
              </w:rPr>
              <w:t>1</w:t>
            </w:r>
          </w:p>
        </w:tc>
        <w:tc>
          <w:tcPr>
            <w:tcW w:w="1110" w:type="dxa"/>
            <w:vMerge w:val="restart"/>
            <w:shd w:val="clear" w:color="auto" w:fill="auto"/>
            <w:vAlign w:val="center"/>
          </w:tcPr>
          <w:p w14:paraId="3AC8B087">
            <w:pPr>
              <w:shd w:val="clear"/>
              <w:kinsoku/>
              <w:autoSpaceDE/>
              <w:autoSpaceDN/>
              <w:adjustRightInd/>
              <w:snapToGrid/>
              <w:textAlignment w:val="auto"/>
              <w:rPr>
                <w:rFonts w:ascii="宋体" w:hAnsi="宋体" w:eastAsia="宋体" w:cs="宋体"/>
                <w:color w:val="auto"/>
                <w:sz w:val="21"/>
                <w:szCs w:val="21"/>
                <w:highlight w:val="none"/>
              </w:rPr>
            </w:pPr>
            <w:r>
              <w:rPr>
                <w:rFonts w:ascii="宋体" w:hAnsi="宋体" w:eastAsia="宋体" w:cs="宋体"/>
                <w:color w:val="auto"/>
                <w:sz w:val="21"/>
                <w:szCs w:val="21"/>
                <w:highlight w:val="none"/>
              </w:rPr>
              <w:t>加工能力、制造水平</w:t>
            </w:r>
            <w:r>
              <w:rPr>
                <w:rFonts w:hint="eastAsia" w:ascii="宋体" w:hAnsi="宋体" w:eastAsia="宋体" w:cs="宋体"/>
                <w:snapToGrid/>
                <w:color w:val="auto"/>
                <w:sz w:val="21"/>
                <w:szCs w:val="21"/>
                <w:highlight w:val="none"/>
              </w:rPr>
              <w:t>（</w:t>
            </w:r>
            <w:r>
              <w:rPr>
                <w:rFonts w:hint="eastAsia" w:ascii="宋体" w:hAnsi="宋体" w:eastAsia="宋体" w:cs="宋体"/>
                <w:snapToGrid/>
                <w:color w:val="auto"/>
                <w:sz w:val="21"/>
                <w:szCs w:val="21"/>
                <w:highlight w:val="none"/>
                <w:lang w:val="en-US" w:eastAsia="zh-CN"/>
              </w:rPr>
              <w:t>6</w:t>
            </w:r>
            <w:r>
              <w:rPr>
                <w:rFonts w:hint="eastAsia" w:ascii="宋体" w:hAnsi="宋体" w:eastAsia="宋体" w:cs="宋体"/>
                <w:snapToGrid/>
                <w:color w:val="auto"/>
                <w:sz w:val="21"/>
                <w:szCs w:val="21"/>
                <w:highlight w:val="none"/>
              </w:rPr>
              <w:t>分）</w:t>
            </w:r>
          </w:p>
        </w:tc>
        <w:tc>
          <w:tcPr>
            <w:tcW w:w="5455" w:type="dxa"/>
            <w:shd w:val="clear" w:color="auto" w:fill="auto"/>
            <w:vAlign w:val="center"/>
          </w:tcPr>
          <w:p w14:paraId="709154D4">
            <w:pPr>
              <w:shd w:val="clear"/>
              <w:kinsoku/>
              <w:autoSpaceDE/>
              <w:autoSpaceDN/>
              <w:adjustRightInd/>
              <w:snapToGrid/>
              <w:jc w:val="both"/>
              <w:textAlignment w:val="auto"/>
              <w:rPr>
                <w:rFonts w:hint="eastAsia" w:ascii="宋体" w:hAnsi="宋体" w:eastAsia="宋体" w:cs="宋体"/>
                <w:snapToGrid/>
                <w:color w:val="auto"/>
                <w:sz w:val="21"/>
                <w:szCs w:val="21"/>
                <w:highlight w:val="none"/>
              </w:rPr>
            </w:pPr>
            <w:r>
              <w:rPr>
                <w:rFonts w:hint="eastAsia" w:ascii="宋体" w:hAnsi="宋体" w:eastAsia="宋体" w:cs="宋体"/>
                <w:b w:val="0"/>
                <w:bCs w:val="0"/>
                <w:i w:val="0"/>
                <w:iCs w:val="0"/>
                <w:snapToGrid/>
                <w:color w:val="auto"/>
                <w:sz w:val="21"/>
                <w:szCs w:val="21"/>
                <w:highlight w:val="none"/>
              </w:rPr>
              <w:t>根据</w:t>
            </w:r>
            <w:r>
              <w:rPr>
                <w:rFonts w:hint="eastAsia" w:ascii="宋体" w:hAnsi="宋体" w:eastAsia="宋体" w:cs="宋体"/>
                <w:b w:val="0"/>
                <w:bCs w:val="0"/>
                <w:i w:val="0"/>
                <w:iCs w:val="0"/>
                <w:snapToGrid/>
                <w:color w:val="auto"/>
                <w:sz w:val="21"/>
                <w:szCs w:val="21"/>
                <w:highlight w:val="none"/>
                <w:lang w:eastAsia="zh-CN"/>
              </w:rPr>
              <w:t>水表类</w:t>
            </w:r>
            <w:r>
              <w:rPr>
                <w:rFonts w:hint="eastAsia" w:ascii="宋体" w:hAnsi="宋体" w:eastAsia="宋体" w:cs="宋体"/>
                <w:b w:val="0"/>
                <w:bCs w:val="0"/>
                <w:i w:val="0"/>
                <w:iCs w:val="0"/>
                <w:snapToGrid/>
                <w:color w:val="auto"/>
                <w:sz w:val="21"/>
                <w:szCs w:val="21"/>
                <w:highlight w:val="none"/>
              </w:rPr>
              <w:t>投标品牌生产厂家的制造水平、生产能力、检测实力、获奖情况、品牌信誉度、应用案例、履约能力等，进行横向比较综合评分。（</w:t>
            </w:r>
            <w:r>
              <w:rPr>
                <w:rFonts w:hint="eastAsia" w:ascii="宋体" w:hAnsi="宋体" w:eastAsia="宋体" w:cs="宋体"/>
                <w:b w:val="0"/>
                <w:bCs w:val="0"/>
                <w:i w:val="0"/>
                <w:iCs w:val="0"/>
                <w:snapToGrid/>
                <w:color w:val="auto"/>
                <w:sz w:val="21"/>
                <w:szCs w:val="21"/>
                <w:highlight w:val="none"/>
                <w:lang w:val="en-US" w:eastAsia="zh-CN"/>
              </w:rPr>
              <w:t>1.2-3</w:t>
            </w:r>
            <w:r>
              <w:rPr>
                <w:rFonts w:hint="eastAsia" w:ascii="宋体" w:hAnsi="宋体" w:eastAsia="宋体" w:cs="宋体"/>
                <w:b w:val="0"/>
                <w:bCs w:val="0"/>
                <w:i w:val="0"/>
                <w:iCs w:val="0"/>
                <w:snapToGrid/>
                <w:color w:val="auto"/>
                <w:sz w:val="21"/>
                <w:szCs w:val="21"/>
                <w:highlight w:val="none"/>
              </w:rPr>
              <w:t>）分</w:t>
            </w:r>
          </w:p>
        </w:tc>
        <w:tc>
          <w:tcPr>
            <w:tcW w:w="913" w:type="dxa"/>
            <w:shd w:val="clear" w:color="auto" w:fill="auto"/>
            <w:vAlign w:val="center"/>
          </w:tcPr>
          <w:p w14:paraId="4C8D25A7">
            <w:pPr>
              <w:shd w:val="clear"/>
              <w:kinsoku/>
              <w:autoSpaceDE/>
              <w:autoSpaceDN/>
              <w:adjustRightInd/>
              <w:snapToGrid/>
              <w:jc w:val="both"/>
              <w:textAlignment w:val="auto"/>
              <w:rPr>
                <w:rFonts w:hint="eastAsia" w:ascii="宋体" w:hAnsi="宋体" w:eastAsia="宋体" w:cs="宋体"/>
                <w:snapToGrid/>
                <w:color w:val="auto"/>
                <w:sz w:val="21"/>
                <w:szCs w:val="21"/>
                <w:highlight w:val="none"/>
                <w:lang w:val="en-US" w:eastAsia="zh-CN"/>
              </w:rPr>
            </w:pPr>
            <w:r>
              <w:rPr>
                <w:rFonts w:hint="eastAsia" w:ascii="宋体" w:hAnsi="宋体" w:eastAsia="宋体" w:cs="宋体"/>
                <w:b w:val="0"/>
                <w:bCs w:val="0"/>
                <w:i w:val="0"/>
                <w:iCs w:val="0"/>
                <w:snapToGrid/>
                <w:color w:val="auto"/>
                <w:sz w:val="21"/>
                <w:szCs w:val="21"/>
                <w:highlight w:val="none"/>
                <w:lang w:val="en-US" w:eastAsia="zh-CN"/>
              </w:rPr>
              <w:t>3-2.7</w:t>
            </w:r>
          </w:p>
        </w:tc>
        <w:tc>
          <w:tcPr>
            <w:tcW w:w="1002" w:type="dxa"/>
            <w:shd w:val="clear" w:color="auto" w:fill="auto"/>
            <w:vAlign w:val="center"/>
          </w:tcPr>
          <w:p w14:paraId="08FD7063">
            <w:pPr>
              <w:shd w:val="clear"/>
              <w:kinsoku/>
              <w:autoSpaceDE/>
              <w:autoSpaceDN/>
              <w:adjustRightInd/>
              <w:snapToGrid/>
              <w:jc w:val="both"/>
              <w:textAlignment w:val="auto"/>
              <w:rPr>
                <w:rFonts w:hint="eastAsia" w:ascii="宋体" w:hAnsi="宋体" w:eastAsia="宋体" w:cs="宋体"/>
                <w:snapToGrid/>
                <w:color w:val="auto"/>
                <w:sz w:val="21"/>
                <w:szCs w:val="21"/>
                <w:highlight w:val="none"/>
                <w:lang w:val="en-US" w:eastAsia="zh-CN"/>
              </w:rPr>
            </w:pPr>
            <w:r>
              <w:rPr>
                <w:rFonts w:hint="eastAsia" w:ascii="宋体" w:hAnsi="宋体" w:eastAsia="宋体" w:cs="宋体"/>
                <w:b w:val="0"/>
                <w:bCs w:val="0"/>
                <w:i w:val="0"/>
                <w:iCs w:val="0"/>
                <w:snapToGrid/>
                <w:color w:val="auto"/>
                <w:sz w:val="21"/>
                <w:szCs w:val="21"/>
                <w:highlight w:val="none"/>
                <w:lang w:val="en-US" w:eastAsia="zh-CN"/>
              </w:rPr>
              <w:t>2.6-1.8</w:t>
            </w:r>
          </w:p>
        </w:tc>
        <w:tc>
          <w:tcPr>
            <w:tcW w:w="1015" w:type="dxa"/>
            <w:gridSpan w:val="2"/>
            <w:shd w:val="clear" w:color="auto" w:fill="auto"/>
            <w:vAlign w:val="center"/>
          </w:tcPr>
          <w:p w14:paraId="5C3636F3">
            <w:pPr>
              <w:shd w:val="clear"/>
              <w:kinsoku/>
              <w:autoSpaceDE/>
              <w:autoSpaceDN/>
              <w:adjustRightInd/>
              <w:snapToGrid/>
              <w:jc w:val="both"/>
              <w:textAlignment w:val="auto"/>
              <w:rPr>
                <w:rFonts w:hint="eastAsia" w:ascii="宋体" w:hAnsi="宋体" w:eastAsia="宋体" w:cs="宋体"/>
                <w:snapToGrid/>
                <w:color w:val="auto"/>
                <w:sz w:val="21"/>
                <w:szCs w:val="21"/>
                <w:highlight w:val="none"/>
                <w:lang w:val="en-US" w:eastAsia="zh-CN"/>
              </w:rPr>
            </w:pPr>
            <w:r>
              <w:rPr>
                <w:rFonts w:hint="eastAsia" w:ascii="宋体" w:hAnsi="宋体" w:eastAsia="宋体" w:cs="宋体"/>
                <w:b w:val="0"/>
                <w:bCs w:val="0"/>
                <w:i w:val="0"/>
                <w:iCs w:val="0"/>
                <w:snapToGrid/>
                <w:color w:val="auto"/>
                <w:sz w:val="21"/>
                <w:szCs w:val="21"/>
                <w:highlight w:val="none"/>
                <w:lang w:val="en-US" w:eastAsia="zh-CN"/>
              </w:rPr>
              <w:t>1.7-1.2</w:t>
            </w:r>
          </w:p>
        </w:tc>
      </w:tr>
      <w:tr w14:paraId="4ED7A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57" w:type="dxa"/>
            <w:vMerge w:val="continue"/>
            <w:shd w:val="clear" w:color="auto" w:fill="auto"/>
            <w:vAlign w:val="center"/>
          </w:tcPr>
          <w:p w14:paraId="6EF5E08C">
            <w:pPr>
              <w:shd w:val="clear"/>
              <w:kinsoku/>
              <w:autoSpaceDE/>
              <w:autoSpaceDN/>
              <w:adjustRightInd/>
              <w:snapToGrid/>
              <w:jc w:val="center"/>
              <w:textAlignment w:val="auto"/>
              <w:rPr>
                <w:rFonts w:hint="default" w:ascii="宋体" w:hAnsi="宋体" w:eastAsia="宋体" w:cs="宋体"/>
                <w:snapToGrid/>
                <w:color w:val="auto"/>
                <w:sz w:val="21"/>
                <w:szCs w:val="21"/>
                <w:highlight w:val="none"/>
                <w:lang w:val="en-US" w:eastAsia="zh-CN"/>
              </w:rPr>
            </w:pPr>
          </w:p>
        </w:tc>
        <w:tc>
          <w:tcPr>
            <w:tcW w:w="1110" w:type="dxa"/>
            <w:vMerge w:val="continue"/>
            <w:shd w:val="clear" w:color="auto" w:fill="auto"/>
            <w:vAlign w:val="center"/>
          </w:tcPr>
          <w:p w14:paraId="39CAAFDA">
            <w:pPr>
              <w:shd w:val="clear"/>
              <w:kinsoku/>
              <w:autoSpaceDE/>
              <w:autoSpaceDN/>
              <w:adjustRightInd/>
              <w:snapToGrid/>
              <w:textAlignment w:val="auto"/>
              <w:rPr>
                <w:rFonts w:ascii="宋体" w:hAnsi="宋体" w:eastAsia="宋体" w:cs="宋体"/>
                <w:color w:val="auto"/>
                <w:sz w:val="21"/>
                <w:szCs w:val="21"/>
                <w:highlight w:val="none"/>
              </w:rPr>
            </w:pPr>
          </w:p>
        </w:tc>
        <w:tc>
          <w:tcPr>
            <w:tcW w:w="5455" w:type="dxa"/>
            <w:shd w:val="clear" w:color="auto" w:fill="auto"/>
            <w:vAlign w:val="center"/>
          </w:tcPr>
          <w:p w14:paraId="232E03DB">
            <w:pPr>
              <w:shd w:val="clear"/>
              <w:spacing w:line="240" w:lineRule="auto"/>
              <w:jc w:val="both"/>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根据</w:t>
            </w:r>
            <w:r>
              <w:rPr>
                <w:rFonts w:hint="eastAsia" w:ascii="宋体" w:hAnsi="宋体" w:eastAsia="宋体" w:cs="宋体"/>
                <w:snapToGrid/>
                <w:color w:val="auto"/>
                <w:sz w:val="21"/>
                <w:szCs w:val="21"/>
                <w:highlight w:val="none"/>
                <w:lang w:val="en-US" w:eastAsia="zh-CN"/>
              </w:rPr>
              <w:t>流量仪表</w:t>
            </w:r>
            <w:r>
              <w:rPr>
                <w:rFonts w:hint="eastAsia" w:ascii="宋体" w:hAnsi="宋体" w:eastAsia="宋体" w:cs="宋体"/>
                <w:snapToGrid/>
                <w:color w:val="auto"/>
                <w:sz w:val="21"/>
                <w:szCs w:val="21"/>
                <w:highlight w:val="none"/>
              </w:rPr>
              <w:t>投标品牌生产厂家的制造水平、生产能力、检测实力、获奖情况、品牌信誉度、应用案例、履约能力等，进行横向比较综合评分。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1.2-3</w:t>
            </w:r>
            <w:r>
              <w:rPr>
                <w:rFonts w:hint="eastAsia" w:ascii="宋体" w:hAnsi="宋体" w:eastAsia="宋体" w:cs="宋体"/>
                <w:color w:val="auto"/>
                <w:sz w:val="21"/>
                <w:szCs w:val="21"/>
                <w:highlight w:val="none"/>
              </w:rPr>
              <w:t>）分</w:t>
            </w:r>
          </w:p>
        </w:tc>
        <w:tc>
          <w:tcPr>
            <w:tcW w:w="913" w:type="dxa"/>
            <w:shd w:val="clear" w:color="auto" w:fill="auto"/>
            <w:vAlign w:val="center"/>
          </w:tcPr>
          <w:p w14:paraId="0A375D48">
            <w:pPr>
              <w:shd w:val="clear"/>
              <w:kinsoku/>
              <w:autoSpaceDE/>
              <w:autoSpaceDN/>
              <w:adjustRightInd/>
              <w:snapToGrid/>
              <w:jc w:val="center"/>
              <w:textAlignment w:val="auto"/>
              <w:rPr>
                <w:rFonts w:hint="eastAsia" w:ascii="宋体" w:hAnsi="宋体" w:eastAsia="宋体" w:cs="宋体"/>
                <w:snapToGrid/>
                <w:color w:val="auto"/>
                <w:sz w:val="21"/>
                <w:szCs w:val="21"/>
                <w:highlight w:val="none"/>
                <w:lang w:val="en-US" w:eastAsia="zh-CN"/>
              </w:rPr>
            </w:pPr>
            <w:r>
              <w:rPr>
                <w:rFonts w:hint="eastAsia" w:ascii="宋体" w:hAnsi="宋体" w:eastAsia="宋体" w:cs="宋体"/>
                <w:snapToGrid/>
                <w:color w:val="auto"/>
                <w:sz w:val="21"/>
                <w:szCs w:val="21"/>
                <w:highlight w:val="none"/>
                <w:lang w:val="en-US" w:eastAsia="zh-CN"/>
              </w:rPr>
              <w:t>3-2.7</w:t>
            </w:r>
          </w:p>
        </w:tc>
        <w:tc>
          <w:tcPr>
            <w:tcW w:w="1002" w:type="dxa"/>
            <w:shd w:val="clear" w:color="auto" w:fill="auto"/>
            <w:vAlign w:val="center"/>
          </w:tcPr>
          <w:p w14:paraId="609BFB45">
            <w:pPr>
              <w:shd w:val="clear"/>
              <w:kinsoku/>
              <w:autoSpaceDE/>
              <w:autoSpaceDN/>
              <w:adjustRightInd/>
              <w:snapToGrid/>
              <w:jc w:val="center"/>
              <w:textAlignment w:val="auto"/>
              <w:rPr>
                <w:rFonts w:hint="eastAsia" w:ascii="宋体" w:hAnsi="宋体" w:eastAsia="宋体" w:cs="宋体"/>
                <w:snapToGrid/>
                <w:color w:val="auto"/>
                <w:sz w:val="21"/>
                <w:szCs w:val="21"/>
                <w:highlight w:val="none"/>
                <w:lang w:val="en-US" w:eastAsia="zh-CN"/>
              </w:rPr>
            </w:pPr>
            <w:r>
              <w:rPr>
                <w:rFonts w:hint="eastAsia" w:ascii="宋体" w:hAnsi="宋体" w:eastAsia="宋体" w:cs="宋体"/>
                <w:snapToGrid/>
                <w:color w:val="auto"/>
                <w:sz w:val="21"/>
                <w:szCs w:val="21"/>
                <w:highlight w:val="none"/>
                <w:lang w:val="en-US" w:eastAsia="zh-CN"/>
              </w:rPr>
              <w:t>2.6-1.8</w:t>
            </w:r>
          </w:p>
        </w:tc>
        <w:tc>
          <w:tcPr>
            <w:tcW w:w="1015" w:type="dxa"/>
            <w:gridSpan w:val="2"/>
            <w:shd w:val="clear" w:color="auto" w:fill="auto"/>
            <w:vAlign w:val="center"/>
          </w:tcPr>
          <w:p w14:paraId="7C14E646">
            <w:pPr>
              <w:shd w:val="clear"/>
              <w:kinsoku/>
              <w:autoSpaceDE/>
              <w:autoSpaceDN/>
              <w:adjustRightInd/>
              <w:snapToGrid/>
              <w:jc w:val="center"/>
              <w:textAlignment w:val="auto"/>
              <w:rPr>
                <w:rFonts w:hint="eastAsia" w:ascii="宋体" w:hAnsi="宋体" w:eastAsia="宋体" w:cs="宋体"/>
                <w:snapToGrid/>
                <w:color w:val="auto"/>
                <w:sz w:val="21"/>
                <w:szCs w:val="21"/>
                <w:highlight w:val="none"/>
                <w:lang w:val="en-US" w:eastAsia="zh-CN"/>
              </w:rPr>
            </w:pPr>
            <w:r>
              <w:rPr>
                <w:rFonts w:hint="eastAsia" w:ascii="宋体" w:hAnsi="宋体" w:eastAsia="宋体" w:cs="宋体"/>
                <w:snapToGrid/>
                <w:color w:val="auto"/>
                <w:sz w:val="21"/>
                <w:szCs w:val="21"/>
                <w:highlight w:val="none"/>
                <w:lang w:val="en-US" w:eastAsia="zh-CN"/>
              </w:rPr>
              <w:t>1.7-1.2</w:t>
            </w:r>
          </w:p>
        </w:tc>
      </w:tr>
      <w:tr w14:paraId="5F1E8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557" w:type="dxa"/>
            <w:vMerge w:val="restart"/>
            <w:shd w:val="clear" w:color="auto" w:fill="auto"/>
            <w:vAlign w:val="center"/>
          </w:tcPr>
          <w:p w14:paraId="1C3E7669">
            <w:pPr>
              <w:shd w:val="clear"/>
              <w:kinsoku/>
              <w:autoSpaceDE/>
              <w:autoSpaceDN/>
              <w:adjustRightInd/>
              <w:snapToGrid/>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val="en-US" w:eastAsia="zh-CN"/>
              </w:rPr>
              <w:t>2</w:t>
            </w:r>
          </w:p>
        </w:tc>
        <w:tc>
          <w:tcPr>
            <w:tcW w:w="1110" w:type="dxa"/>
            <w:vMerge w:val="restart"/>
            <w:shd w:val="clear" w:color="auto" w:fill="auto"/>
            <w:vAlign w:val="center"/>
          </w:tcPr>
          <w:p w14:paraId="7288266D">
            <w:pPr>
              <w:shd w:val="clear"/>
              <w:kinsoku/>
              <w:autoSpaceDE/>
              <w:autoSpaceDN/>
              <w:adjustRightInd/>
              <w:snapToGrid/>
              <w:textAlignment w:val="auto"/>
              <w:rPr>
                <w:rFonts w:ascii="宋体" w:hAnsi="宋体" w:eastAsia="宋体" w:cs="宋体"/>
                <w:snapToGrid/>
                <w:color w:val="auto"/>
                <w:sz w:val="21"/>
                <w:szCs w:val="21"/>
                <w:highlight w:val="none"/>
              </w:rPr>
            </w:pPr>
            <w:r>
              <w:rPr>
                <w:rFonts w:ascii="宋体" w:hAnsi="宋体" w:eastAsia="宋体" w:cs="宋体"/>
                <w:color w:val="auto"/>
                <w:sz w:val="21"/>
                <w:szCs w:val="21"/>
                <w:highlight w:val="none"/>
              </w:rPr>
              <w:t>投标货物技术指标的符合性、优越性</w:t>
            </w:r>
            <w:r>
              <w:rPr>
                <w:rFonts w:hint="eastAsia" w:ascii="宋体" w:hAnsi="宋体" w:eastAsia="宋体" w:cs="宋体"/>
                <w:snapToGrid/>
                <w:color w:val="auto"/>
                <w:sz w:val="21"/>
                <w:szCs w:val="21"/>
                <w:highlight w:val="none"/>
              </w:rPr>
              <w:t>（</w:t>
            </w:r>
            <w:r>
              <w:rPr>
                <w:rFonts w:hint="eastAsia" w:ascii="宋体" w:hAnsi="宋体" w:eastAsia="宋体" w:cs="宋体"/>
                <w:snapToGrid/>
                <w:color w:val="auto"/>
                <w:sz w:val="21"/>
                <w:szCs w:val="21"/>
                <w:highlight w:val="none"/>
                <w:lang w:val="en-US" w:eastAsia="zh-CN"/>
              </w:rPr>
              <w:t>18</w:t>
            </w:r>
            <w:r>
              <w:rPr>
                <w:rFonts w:hint="eastAsia" w:ascii="宋体" w:hAnsi="宋体" w:eastAsia="宋体" w:cs="宋体"/>
                <w:snapToGrid/>
                <w:color w:val="auto"/>
                <w:sz w:val="21"/>
                <w:szCs w:val="21"/>
                <w:highlight w:val="none"/>
              </w:rPr>
              <w:t>分）</w:t>
            </w:r>
          </w:p>
        </w:tc>
        <w:tc>
          <w:tcPr>
            <w:tcW w:w="5455" w:type="dxa"/>
            <w:shd w:val="clear" w:color="auto" w:fill="auto"/>
            <w:vAlign w:val="center"/>
          </w:tcPr>
          <w:p w14:paraId="13C6F551">
            <w:pPr>
              <w:shd w:val="clear"/>
              <w:spacing w:line="240" w:lineRule="auto"/>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highlight w:val="none"/>
                <w:lang w:bidi="ar"/>
              </w:rPr>
              <w:t>DN（15-50）水平旋翼式液封湿式水表及附属配件的技术符合性，对照“第</w:t>
            </w:r>
            <w:r>
              <w:rPr>
                <w:rFonts w:hint="eastAsia" w:ascii="宋体" w:hAnsi="宋体" w:eastAsia="宋体" w:cs="宋体"/>
                <w:color w:val="auto"/>
                <w:kern w:val="0"/>
                <w:sz w:val="21"/>
                <w:highlight w:val="none"/>
                <w:lang w:val="en-US" w:eastAsia="zh-CN" w:bidi="ar"/>
              </w:rPr>
              <w:t>五章</w:t>
            </w:r>
            <w:r>
              <w:rPr>
                <w:rFonts w:hint="eastAsia" w:ascii="宋体" w:hAnsi="宋体" w:eastAsia="宋体" w:cs="宋体"/>
                <w:color w:val="auto"/>
                <w:kern w:val="0"/>
                <w:sz w:val="21"/>
                <w:highlight w:val="none"/>
                <w:lang w:bidi="ar"/>
              </w:rPr>
              <w:t>：技术要求”，并按“</w:t>
            </w:r>
            <w:r>
              <w:rPr>
                <w:rFonts w:hint="eastAsia" w:ascii="宋体" w:hAnsi="宋体" w:eastAsia="宋体" w:cs="宋体"/>
                <w:color w:val="auto"/>
                <w:kern w:val="0"/>
                <w:sz w:val="21"/>
                <w:highlight w:val="none"/>
                <w:lang w:val="en-US" w:eastAsia="zh-CN" w:bidi="ar"/>
              </w:rPr>
              <w:t>第六章 投标文件格式</w:t>
            </w:r>
            <w:r>
              <w:rPr>
                <w:rFonts w:hint="eastAsia" w:ascii="宋体" w:hAnsi="宋体" w:eastAsia="宋体" w:cs="宋体"/>
                <w:color w:val="auto"/>
                <w:kern w:val="0"/>
                <w:sz w:val="21"/>
                <w:highlight w:val="none"/>
                <w:lang w:bidi="ar"/>
              </w:rPr>
              <w:t>的</w:t>
            </w:r>
            <w:r>
              <w:rPr>
                <w:rFonts w:hint="eastAsia" w:ascii="宋体" w:hAnsi="宋体" w:eastAsia="宋体" w:cs="宋体"/>
                <w:color w:val="auto"/>
                <w:kern w:val="0"/>
                <w:sz w:val="21"/>
                <w:highlight w:val="none"/>
                <w:lang w:val="en-US" w:eastAsia="zh-CN" w:bidi="ar"/>
              </w:rPr>
              <w:t xml:space="preserve">格式八 </w:t>
            </w:r>
            <w:r>
              <w:rPr>
                <w:rFonts w:hint="eastAsia" w:ascii="宋体" w:hAnsi="宋体" w:eastAsia="宋体" w:cs="宋体"/>
                <w:color w:val="auto"/>
                <w:kern w:val="0"/>
                <w:sz w:val="21"/>
                <w:highlight w:val="none"/>
                <w:lang w:bidi="ar"/>
              </w:rPr>
              <w:t>技术偏离表” 列出相应的内容，其中打“★”指标不允许偏离，否则作无效标处理；</w:t>
            </w:r>
            <w:r>
              <w:rPr>
                <w:rFonts w:hint="eastAsia" w:ascii="宋体" w:hAnsi="宋体" w:eastAsia="宋体" w:cs="宋体"/>
                <w:color w:val="auto"/>
                <w:kern w:val="0"/>
                <w:sz w:val="21"/>
                <w:highlight w:val="none"/>
                <w:lang w:eastAsia="zh-CN" w:bidi="ar"/>
              </w:rPr>
              <w:t>其中大“</w:t>
            </w:r>
            <w:r>
              <w:rPr>
                <w:rFonts w:hint="eastAsia" w:ascii="宋体" w:hAnsi="宋体" w:eastAsia="宋体" w:cs="宋体"/>
                <w:bCs/>
                <w:color w:val="auto"/>
                <w:kern w:val="0"/>
                <w:sz w:val="21"/>
                <w:szCs w:val="21"/>
                <w:highlight w:val="none"/>
              </w:rPr>
              <w:t>▲</w:t>
            </w:r>
            <w:r>
              <w:rPr>
                <w:rFonts w:hint="eastAsia" w:ascii="宋体" w:hAnsi="宋体" w:eastAsia="宋体" w:cs="宋体"/>
                <w:color w:val="auto"/>
                <w:kern w:val="0"/>
                <w:sz w:val="21"/>
                <w:highlight w:val="none"/>
                <w:lang w:eastAsia="zh-CN" w:bidi="ar"/>
              </w:rPr>
              <w:t>”指标为重要指标每偏离一项扣</w:t>
            </w:r>
            <w:r>
              <w:rPr>
                <w:rFonts w:hint="eastAsia" w:ascii="宋体" w:hAnsi="宋体" w:eastAsia="宋体" w:cs="宋体"/>
                <w:color w:val="auto"/>
                <w:kern w:val="0"/>
                <w:sz w:val="21"/>
                <w:highlight w:val="none"/>
                <w:lang w:val="en-US" w:eastAsia="zh-CN" w:bidi="ar"/>
              </w:rPr>
              <w:t>1分，</w:t>
            </w:r>
            <w:r>
              <w:rPr>
                <w:rFonts w:hint="eastAsia" w:ascii="宋体" w:hAnsi="宋体" w:eastAsia="宋体" w:cs="宋体"/>
                <w:color w:val="auto"/>
                <w:kern w:val="0"/>
                <w:sz w:val="21"/>
                <w:highlight w:val="none"/>
                <w:lang w:bidi="ar"/>
              </w:rPr>
              <w:t>其余指标每偏离</w:t>
            </w:r>
            <w:r>
              <w:rPr>
                <w:rFonts w:hint="eastAsia" w:ascii="宋体" w:hAnsi="宋体" w:eastAsia="宋体" w:cs="宋体"/>
                <w:color w:val="auto"/>
                <w:kern w:val="0"/>
                <w:sz w:val="21"/>
                <w:highlight w:val="none"/>
                <w:lang w:eastAsia="zh-CN" w:bidi="ar"/>
              </w:rPr>
              <w:t>一</w:t>
            </w:r>
            <w:r>
              <w:rPr>
                <w:rFonts w:hint="eastAsia" w:ascii="宋体" w:hAnsi="宋体" w:eastAsia="宋体" w:cs="宋体"/>
                <w:color w:val="auto"/>
                <w:kern w:val="0"/>
                <w:sz w:val="21"/>
                <w:highlight w:val="none"/>
                <w:lang w:bidi="ar"/>
              </w:rPr>
              <w:t>项扣</w:t>
            </w:r>
            <w:r>
              <w:rPr>
                <w:rFonts w:hint="eastAsia" w:ascii="宋体" w:hAnsi="宋体" w:eastAsia="宋体" w:cs="宋体"/>
                <w:color w:val="auto"/>
                <w:kern w:val="0"/>
                <w:sz w:val="21"/>
                <w:highlight w:val="none"/>
                <w:lang w:val="en-US" w:eastAsia="zh-CN" w:bidi="ar"/>
              </w:rPr>
              <w:t>0.5</w:t>
            </w:r>
            <w:r>
              <w:rPr>
                <w:rFonts w:hint="eastAsia" w:ascii="宋体" w:hAnsi="宋体" w:eastAsia="宋体" w:cs="宋体"/>
                <w:color w:val="auto"/>
                <w:kern w:val="0"/>
                <w:sz w:val="21"/>
                <w:highlight w:val="none"/>
                <w:lang w:bidi="ar"/>
              </w:rPr>
              <w:t>分，扣完为止</w:t>
            </w:r>
            <w:r>
              <w:rPr>
                <w:rFonts w:hint="eastAsia" w:ascii="宋体" w:hAnsi="宋体" w:eastAsia="宋体" w:cs="宋体"/>
                <w:color w:val="auto"/>
                <w:kern w:val="0"/>
                <w:sz w:val="21"/>
                <w:highlight w:val="none"/>
                <w:lang w:eastAsia="zh-CN" w:bidi="ar"/>
              </w:rPr>
              <w:t>。</w:t>
            </w:r>
          </w:p>
        </w:tc>
        <w:tc>
          <w:tcPr>
            <w:tcW w:w="2930" w:type="dxa"/>
            <w:gridSpan w:val="4"/>
            <w:shd w:val="clear" w:color="auto" w:fill="auto"/>
            <w:vAlign w:val="center"/>
          </w:tcPr>
          <w:p w14:paraId="3D4EDBFA">
            <w:pPr>
              <w:shd w:val="clear"/>
              <w:kinsoku/>
              <w:autoSpaceDE/>
              <w:autoSpaceDN/>
              <w:adjustRightInd/>
              <w:snapToGrid/>
              <w:jc w:val="center"/>
              <w:textAlignment w:val="auto"/>
              <w:rPr>
                <w:rFonts w:hint="default" w:ascii="宋体" w:hAnsi="宋体" w:eastAsia="宋体" w:cs="宋体"/>
                <w:snapToGrid/>
                <w:color w:val="auto"/>
                <w:sz w:val="21"/>
                <w:szCs w:val="21"/>
                <w:highlight w:val="none"/>
                <w:lang w:val="en-US" w:eastAsia="zh-CN"/>
              </w:rPr>
            </w:pPr>
            <w:r>
              <w:rPr>
                <w:rFonts w:hint="eastAsia" w:ascii="宋体" w:hAnsi="宋体" w:eastAsia="宋体" w:cs="宋体"/>
                <w:snapToGrid/>
                <w:color w:val="auto"/>
                <w:sz w:val="21"/>
                <w:szCs w:val="21"/>
                <w:highlight w:val="none"/>
                <w:lang w:val="en-US" w:eastAsia="zh-CN"/>
              </w:rPr>
              <w:t>0-3分</w:t>
            </w:r>
          </w:p>
        </w:tc>
      </w:tr>
      <w:tr w14:paraId="56807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557" w:type="dxa"/>
            <w:vMerge w:val="continue"/>
            <w:shd w:val="clear" w:color="auto" w:fill="auto"/>
            <w:vAlign w:val="center"/>
          </w:tcPr>
          <w:p w14:paraId="2F90C760">
            <w:pPr>
              <w:shd w:val="clear"/>
              <w:kinsoku/>
              <w:autoSpaceDE/>
              <w:autoSpaceDN/>
              <w:adjustRightInd/>
              <w:snapToGrid/>
              <w:jc w:val="center"/>
              <w:textAlignment w:val="auto"/>
              <w:rPr>
                <w:color w:val="auto"/>
                <w:highlight w:val="none"/>
              </w:rPr>
            </w:pPr>
          </w:p>
        </w:tc>
        <w:tc>
          <w:tcPr>
            <w:tcW w:w="1110" w:type="dxa"/>
            <w:vMerge w:val="continue"/>
            <w:shd w:val="clear" w:color="auto" w:fill="auto"/>
            <w:vAlign w:val="center"/>
          </w:tcPr>
          <w:p w14:paraId="57458965">
            <w:pPr>
              <w:shd w:val="clear"/>
              <w:kinsoku/>
              <w:autoSpaceDE/>
              <w:autoSpaceDN/>
              <w:adjustRightInd/>
              <w:snapToGrid/>
              <w:jc w:val="center"/>
              <w:textAlignment w:val="auto"/>
              <w:rPr>
                <w:color w:val="auto"/>
                <w:highlight w:val="none"/>
              </w:rPr>
            </w:pPr>
          </w:p>
        </w:tc>
        <w:tc>
          <w:tcPr>
            <w:tcW w:w="5455" w:type="dxa"/>
            <w:shd w:val="clear" w:color="auto" w:fill="auto"/>
            <w:vAlign w:val="center"/>
          </w:tcPr>
          <w:p w14:paraId="5A3C421F">
            <w:pPr>
              <w:pStyle w:val="10"/>
              <w:shd w:val="clear"/>
              <w:spacing w:line="240" w:lineRule="auto"/>
              <w:rPr>
                <w:rFonts w:hint="eastAsia" w:ascii="宋体" w:hAnsi="宋体" w:eastAsia="宋体" w:cs="宋体"/>
                <w:color w:val="auto"/>
                <w:kern w:val="0"/>
                <w:sz w:val="21"/>
                <w:highlight w:val="none"/>
                <w:lang w:bidi="ar"/>
              </w:rPr>
            </w:pPr>
            <w:r>
              <w:rPr>
                <w:rFonts w:hint="eastAsia" w:ascii="宋体" w:hAnsi="宋体" w:eastAsia="宋体" w:cs="宋体"/>
                <w:snapToGrid/>
                <w:color w:val="auto"/>
                <w:sz w:val="21"/>
                <w:szCs w:val="21"/>
                <w:highlight w:val="none"/>
              </w:rPr>
              <w:t>DN（40-200）螺翼式冷水水表及附属配件</w:t>
            </w:r>
            <w:r>
              <w:rPr>
                <w:rFonts w:hint="eastAsia" w:ascii="宋体" w:hAnsi="宋体" w:eastAsia="宋体" w:cs="宋体"/>
                <w:color w:val="auto"/>
                <w:kern w:val="0"/>
                <w:sz w:val="21"/>
                <w:highlight w:val="none"/>
                <w:lang w:bidi="ar"/>
              </w:rPr>
              <w:t>的技术符合性，对照“第</w:t>
            </w:r>
            <w:r>
              <w:rPr>
                <w:rFonts w:hint="eastAsia" w:ascii="宋体" w:hAnsi="宋体" w:eastAsia="宋体" w:cs="宋体"/>
                <w:color w:val="auto"/>
                <w:kern w:val="0"/>
                <w:sz w:val="21"/>
                <w:highlight w:val="none"/>
                <w:lang w:val="en-US" w:eastAsia="zh-CN" w:bidi="ar"/>
              </w:rPr>
              <w:t>五章</w:t>
            </w:r>
            <w:r>
              <w:rPr>
                <w:rFonts w:hint="eastAsia" w:ascii="宋体" w:hAnsi="宋体" w:eastAsia="宋体" w:cs="宋体"/>
                <w:color w:val="auto"/>
                <w:kern w:val="0"/>
                <w:sz w:val="21"/>
                <w:highlight w:val="none"/>
                <w:lang w:bidi="ar"/>
              </w:rPr>
              <w:t>：技术要求”，并按“</w:t>
            </w:r>
            <w:r>
              <w:rPr>
                <w:rFonts w:hint="eastAsia" w:ascii="宋体" w:hAnsi="宋体" w:eastAsia="宋体" w:cs="宋体"/>
                <w:color w:val="auto"/>
                <w:kern w:val="0"/>
                <w:sz w:val="21"/>
                <w:highlight w:val="none"/>
                <w:lang w:val="en-US" w:eastAsia="zh-CN" w:bidi="ar"/>
              </w:rPr>
              <w:t>第六章 投标文件格式</w:t>
            </w:r>
            <w:r>
              <w:rPr>
                <w:rFonts w:hint="eastAsia" w:ascii="宋体" w:hAnsi="宋体" w:eastAsia="宋体" w:cs="宋体"/>
                <w:color w:val="auto"/>
                <w:kern w:val="0"/>
                <w:sz w:val="21"/>
                <w:highlight w:val="none"/>
                <w:lang w:bidi="ar"/>
              </w:rPr>
              <w:t>的</w:t>
            </w:r>
            <w:r>
              <w:rPr>
                <w:rFonts w:hint="eastAsia" w:ascii="宋体" w:hAnsi="宋体" w:eastAsia="宋体" w:cs="宋体"/>
                <w:color w:val="auto"/>
                <w:kern w:val="0"/>
                <w:sz w:val="21"/>
                <w:highlight w:val="none"/>
                <w:lang w:val="en-US" w:eastAsia="zh-CN" w:bidi="ar"/>
              </w:rPr>
              <w:t xml:space="preserve">格式八 </w:t>
            </w:r>
            <w:r>
              <w:rPr>
                <w:rFonts w:hint="eastAsia" w:ascii="宋体" w:hAnsi="宋体" w:eastAsia="宋体" w:cs="宋体"/>
                <w:color w:val="auto"/>
                <w:kern w:val="0"/>
                <w:sz w:val="21"/>
                <w:highlight w:val="none"/>
                <w:lang w:bidi="ar"/>
              </w:rPr>
              <w:t>技术偏离表” 列出相应的内容，其中打“★”指标不允许偏离，否则作无效标处理；</w:t>
            </w:r>
            <w:r>
              <w:rPr>
                <w:rFonts w:hint="eastAsia" w:ascii="宋体" w:hAnsi="宋体" w:eastAsia="宋体" w:cs="宋体"/>
                <w:color w:val="auto"/>
                <w:kern w:val="0"/>
                <w:sz w:val="21"/>
                <w:highlight w:val="none"/>
                <w:lang w:eastAsia="zh-CN" w:bidi="ar"/>
              </w:rPr>
              <w:t>其中大“</w:t>
            </w:r>
            <w:r>
              <w:rPr>
                <w:rFonts w:hint="eastAsia" w:ascii="宋体" w:hAnsi="宋体" w:eastAsia="宋体" w:cs="宋体"/>
                <w:bCs/>
                <w:color w:val="auto"/>
                <w:kern w:val="0"/>
                <w:sz w:val="21"/>
                <w:szCs w:val="21"/>
                <w:highlight w:val="none"/>
              </w:rPr>
              <w:t>▲</w:t>
            </w:r>
            <w:r>
              <w:rPr>
                <w:rFonts w:hint="eastAsia" w:ascii="宋体" w:hAnsi="宋体" w:eastAsia="宋体" w:cs="宋体"/>
                <w:color w:val="auto"/>
                <w:kern w:val="0"/>
                <w:sz w:val="21"/>
                <w:highlight w:val="none"/>
                <w:lang w:eastAsia="zh-CN" w:bidi="ar"/>
              </w:rPr>
              <w:t>”指标为重要指标每偏离一项扣</w:t>
            </w:r>
            <w:r>
              <w:rPr>
                <w:rFonts w:hint="eastAsia" w:ascii="宋体" w:hAnsi="宋体" w:eastAsia="宋体" w:cs="宋体"/>
                <w:color w:val="auto"/>
                <w:kern w:val="0"/>
                <w:sz w:val="21"/>
                <w:highlight w:val="none"/>
                <w:lang w:val="en-US" w:eastAsia="zh-CN" w:bidi="ar"/>
              </w:rPr>
              <w:t>1分，</w:t>
            </w:r>
            <w:r>
              <w:rPr>
                <w:rFonts w:hint="eastAsia" w:ascii="宋体" w:hAnsi="宋体" w:eastAsia="宋体" w:cs="宋体"/>
                <w:color w:val="auto"/>
                <w:kern w:val="0"/>
                <w:sz w:val="21"/>
                <w:highlight w:val="none"/>
                <w:lang w:bidi="ar"/>
              </w:rPr>
              <w:t>其余指标每偏离</w:t>
            </w:r>
            <w:r>
              <w:rPr>
                <w:rFonts w:hint="eastAsia" w:ascii="宋体" w:hAnsi="宋体" w:eastAsia="宋体" w:cs="宋体"/>
                <w:color w:val="auto"/>
                <w:kern w:val="0"/>
                <w:sz w:val="21"/>
                <w:highlight w:val="none"/>
                <w:lang w:eastAsia="zh-CN" w:bidi="ar"/>
              </w:rPr>
              <w:t>一</w:t>
            </w:r>
            <w:r>
              <w:rPr>
                <w:rFonts w:hint="eastAsia" w:ascii="宋体" w:hAnsi="宋体" w:eastAsia="宋体" w:cs="宋体"/>
                <w:color w:val="auto"/>
                <w:kern w:val="0"/>
                <w:sz w:val="21"/>
                <w:highlight w:val="none"/>
                <w:lang w:bidi="ar"/>
              </w:rPr>
              <w:t>项扣</w:t>
            </w:r>
            <w:r>
              <w:rPr>
                <w:rFonts w:hint="eastAsia" w:ascii="宋体" w:hAnsi="宋体" w:eastAsia="宋体" w:cs="宋体"/>
                <w:color w:val="auto"/>
                <w:kern w:val="0"/>
                <w:sz w:val="21"/>
                <w:highlight w:val="none"/>
                <w:lang w:val="en-US" w:eastAsia="zh-CN" w:bidi="ar"/>
              </w:rPr>
              <w:t>0.5</w:t>
            </w:r>
            <w:r>
              <w:rPr>
                <w:rFonts w:hint="eastAsia" w:ascii="宋体" w:hAnsi="宋体" w:eastAsia="宋体" w:cs="宋体"/>
                <w:color w:val="auto"/>
                <w:kern w:val="0"/>
                <w:sz w:val="21"/>
                <w:highlight w:val="none"/>
                <w:lang w:bidi="ar"/>
              </w:rPr>
              <w:t>分，扣完为止</w:t>
            </w:r>
            <w:r>
              <w:rPr>
                <w:rFonts w:hint="eastAsia" w:ascii="宋体" w:hAnsi="宋体" w:eastAsia="宋体" w:cs="宋体"/>
                <w:color w:val="auto"/>
                <w:kern w:val="0"/>
                <w:sz w:val="21"/>
                <w:highlight w:val="none"/>
                <w:lang w:eastAsia="zh-CN" w:bidi="ar"/>
              </w:rPr>
              <w:t>。</w:t>
            </w:r>
          </w:p>
        </w:tc>
        <w:tc>
          <w:tcPr>
            <w:tcW w:w="2930" w:type="dxa"/>
            <w:gridSpan w:val="4"/>
            <w:shd w:val="clear" w:color="auto" w:fill="auto"/>
            <w:vAlign w:val="center"/>
          </w:tcPr>
          <w:p w14:paraId="3B02589B">
            <w:pPr>
              <w:shd w:val="clear"/>
              <w:kinsoku/>
              <w:autoSpaceDE/>
              <w:autoSpaceDN/>
              <w:adjustRightInd/>
              <w:snapToGrid/>
              <w:jc w:val="center"/>
              <w:textAlignment w:val="auto"/>
              <w:rPr>
                <w:rFonts w:hint="eastAsia" w:ascii="宋体" w:hAnsi="宋体" w:cs="宋体"/>
                <w:color w:val="auto"/>
                <w:kern w:val="0"/>
                <w:sz w:val="24"/>
                <w:highlight w:val="none"/>
                <w:lang w:bidi="ar"/>
              </w:rPr>
            </w:pPr>
            <w:r>
              <w:rPr>
                <w:rFonts w:hint="eastAsia" w:ascii="宋体" w:hAnsi="宋体" w:eastAsia="宋体" w:cs="宋体"/>
                <w:snapToGrid/>
                <w:color w:val="auto"/>
                <w:sz w:val="21"/>
                <w:szCs w:val="21"/>
                <w:highlight w:val="none"/>
                <w:lang w:val="en-US" w:eastAsia="zh-CN"/>
              </w:rPr>
              <w:t>0-3分</w:t>
            </w:r>
          </w:p>
        </w:tc>
      </w:tr>
      <w:tr w14:paraId="3AA6E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557" w:type="dxa"/>
            <w:vMerge w:val="continue"/>
            <w:shd w:val="clear" w:color="auto" w:fill="auto"/>
            <w:vAlign w:val="center"/>
          </w:tcPr>
          <w:p w14:paraId="6D189BF9">
            <w:pPr>
              <w:shd w:val="clear"/>
              <w:kinsoku/>
              <w:autoSpaceDE/>
              <w:autoSpaceDN/>
              <w:adjustRightInd/>
              <w:snapToGrid/>
              <w:jc w:val="center"/>
              <w:textAlignment w:val="auto"/>
              <w:rPr>
                <w:rFonts w:hint="eastAsia" w:ascii="宋体" w:hAnsi="宋体" w:cs="宋体"/>
                <w:color w:val="auto"/>
                <w:kern w:val="0"/>
                <w:sz w:val="24"/>
                <w:highlight w:val="none"/>
                <w:lang w:bidi="ar"/>
              </w:rPr>
            </w:pPr>
          </w:p>
        </w:tc>
        <w:tc>
          <w:tcPr>
            <w:tcW w:w="1110" w:type="dxa"/>
            <w:vMerge w:val="continue"/>
            <w:shd w:val="clear" w:color="auto" w:fill="auto"/>
            <w:vAlign w:val="center"/>
          </w:tcPr>
          <w:p w14:paraId="47EF759F">
            <w:pPr>
              <w:shd w:val="clear"/>
              <w:kinsoku/>
              <w:autoSpaceDE/>
              <w:autoSpaceDN/>
              <w:adjustRightInd/>
              <w:snapToGrid/>
              <w:jc w:val="center"/>
              <w:textAlignment w:val="auto"/>
              <w:rPr>
                <w:rFonts w:hint="eastAsia" w:ascii="宋体" w:hAnsi="宋体" w:cs="宋体"/>
                <w:color w:val="auto"/>
                <w:kern w:val="0"/>
                <w:sz w:val="24"/>
                <w:highlight w:val="none"/>
                <w:lang w:bidi="ar"/>
              </w:rPr>
            </w:pPr>
          </w:p>
        </w:tc>
        <w:tc>
          <w:tcPr>
            <w:tcW w:w="5455" w:type="dxa"/>
            <w:shd w:val="clear" w:color="auto" w:fill="auto"/>
            <w:vAlign w:val="center"/>
          </w:tcPr>
          <w:p w14:paraId="0C5C7DFC">
            <w:pPr>
              <w:pStyle w:val="10"/>
              <w:shd w:val="clear"/>
              <w:spacing w:line="240" w:lineRule="auto"/>
              <w:rPr>
                <w:rFonts w:hint="eastAsia" w:ascii="宋体" w:hAnsi="宋体" w:eastAsia="宋体" w:cs="宋体"/>
                <w:color w:val="auto"/>
                <w:kern w:val="0"/>
                <w:sz w:val="21"/>
                <w:highlight w:val="none"/>
                <w:lang w:bidi="ar"/>
              </w:rPr>
            </w:pPr>
            <w:r>
              <w:rPr>
                <w:rFonts w:hint="eastAsia" w:ascii="宋体" w:hAnsi="宋体" w:eastAsia="宋体" w:cs="宋体"/>
                <w:snapToGrid/>
                <w:color w:val="auto"/>
                <w:sz w:val="21"/>
                <w:szCs w:val="21"/>
                <w:highlight w:val="none"/>
              </w:rPr>
              <w:t>DN15旋翼式无磁远传水表及配件</w:t>
            </w:r>
            <w:r>
              <w:rPr>
                <w:rFonts w:hint="eastAsia" w:ascii="宋体" w:hAnsi="宋体" w:eastAsia="宋体" w:cs="宋体"/>
                <w:color w:val="auto"/>
                <w:kern w:val="0"/>
                <w:sz w:val="21"/>
                <w:highlight w:val="none"/>
                <w:lang w:bidi="ar"/>
              </w:rPr>
              <w:t>的技术符合性，对照“第</w:t>
            </w:r>
            <w:r>
              <w:rPr>
                <w:rFonts w:hint="eastAsia" w:ascii="宋体" w:hAnsi="宋体" w:eastAsia="宋体" w:cs="宋体"/>
                <w:color w:val="auto"/>
                <w:kern w:val="0"/>
                <w:sz w:val="21"/>
                <w:highlight w:val="none"/>
                <w:lang w:val="en-US" w:eastAsia="zh-CN" w:bidi="ar"/>
              </w:rPr>
              <w:t>五章</w:t>
            </w:r>
            <w:r>
              <w:rPr>
                <w:rFonts w:hint="eastAsia" w:ascii="宋体" w:hAnsi="宋体" w:eastAsia="宋体" w:cs="宋体"/>
                <w:color w:val="auto"/>
                <w:kern w:val="0"/>
                <w:sz w:val="21"/>
                <w:highlight w:val="none"/>
                <w:lang w:bidi="ar"/>
              </w:rPr>
              <w:t>：技术要求”，并按“</w:t>
            </w:r>
            <w:r>
              <w:rPr>
                <w:rFonts w:hint="eastAsia" w:ascii="宋体" w:hAnsi="宋体" w:eastAsia="宋体" w:cs="宋体"/>
                <w:color w:val="auto"/>
                <w:kern w:val="0"/>
                <w:sz w:val="21"/>
                <w:highlight w:val="none"/>
                <w:lang w:val="en-US" w:eastAsia="zh-CN" w:bidi="ar"/>
              </w:rPr>
              <w:t>第六章 投标文件格式</w:t>
            </w:r>
            <w:r>
              <w:rPr>
                <w:rFonts w:hint="eastAsia" w:ascii="宋体" w:hAnsi="宋体" w:eastAsia="宋体" w:cs="宋体"/>
                <w:color w:val="auto"/>
                <w:kern w:val="0"/>
                <w:sz w:val="21"/>
                <w:highlight w:val="none"/>
                <w:lang w:bidi="ar"/>
              </w:rPr>
              <w:t>的</w:t>
            </w:r>
            <w:r>
              <w:rPr>
                <w:rFonts w:hint="eastAsia" w:ascii="宋体" w:hAnsi="宋体" w:eastAsia="宋体" w:cs="宋体"/>
                <w:color w:val="auto"/>
                <w:kern w:val="0"/>
                <w:sz w:val="21"/>
                <w:highlight w:val="none"/>
                <w:lang w:val="en-US" w:eastAsia="zh-CN" w:bidi="ar"/>
              </w:rPr>
              <w:t xml:space="preserve">格式八 </w:t>
            </w:r>
            <w:r>
              <w:rPr>
                <w:rFonts w:hint="eastAsia" w:ascii="宋体" w:hAnsi="宋体" w:eastAsia="宋体" w:cs="宋体"/>
                <w:color w:val="auto"/>
                <w:kern w:val="0"/>
                <w:sz w:val="21"/>
                <w:highlight w:val="none"/>
                <w:lang w:bidi="ar"/>
              </w:rPr>
              <w:t>技术偏离表” 列出相应的内容，其中打“★”指标不允许偏离，否则作无效标处理；</w:t>
            </w:r>
            <w:r>
              <w:rPr>
                <w:rFonts w:hint="eastAsia" w:ascii="宋体" w:hAnsi="宋体" w:eastAsia="宋体" w:cs="宋体"/>
                <w:color w:val="auto"/>
                <w:kern w:val="0"/>
                <w:sz w:val="21"/>
                <w:highlight w:val="none"/>
                <w:lang w:eastAsia="zh-CN" w:bidi="ar"/>
              </w:rPr>
              <w:t>其中大“</w:t>
            </w:r>
            <w:r>
              <w:rPr>
                <w:rFonts w:hint="eastAsia" w:ascii="宋体" w:hAnsi="宋体" w:eastAsia="宋体" w:cs="宋体"/>
                <w:bCs/>
                <w:color w:val="auto"/>
                <w:kern w:val="0"/>
                <w:sz w:val="21"/>
                <w:szCs w:val="21"/>
                <w:highlight w:val="none"/>
              </w:rPr>
              <w:t>▲</w:t>
            </w:r>
            <w:r>
              <w:rPr>
                <w:rFonts w:hint="eastAsia" w:ascii="宋体" w:hAnsi="宋体" w:eastAsia="宋体" w:cs="宋体"/>
                <w:color w:val="auto"/>
                <w:kern w:val="0"/>
                <w:sz w:val="21"/>
                <w:highlight w:val="none"/>
                <w:lang w:eastAsia="zh-CN" w:bidi="ar"/>
              </w:rPr>
              <w:t>”指标为重要指标每偏离一项扣</w:t>
            </w:r>
            <w:r>
              <w:rPr>
                <w:rFonts w:hint="eastAsia" w:ascii="宋体" w:hAnsi="宋体" w:eastAsia="宋体" w:cs="宋体"/>
                <w:color w:val="auto"/>
                <w:kern w:val="0"/>
                <w:sz w:val="21"/>
                <w:highlight w:val="none"/>
                <w:lang w:val="en-US" w:eastAsia="zh-CN" w:bidi="ar"/>
              </w:rPr>
              <w:t>1分，</w:t>
            </w:r>
            <w:r>
              <w:rPr>
                <w:rFonts w:hint="eastAsia" w:ascii="宋体" w:hAnsi="宋体" w:eastAsia="宋体" w:cs="宋体"/>
                <w:color w:val="auto"/>
                <w:kern w:val="0"/>
                <w:sz w:val="21"/>
                <w:highlight w:val="none"/>
                <w:lang w:bidi="ar"/>
              </w:rPr>
              <w:t>其余指标每偏离</w:t>
            </w:r>
            <w:r>
              <w:rPr>
                <w:rFonts w:hint="eastAsia" w:ascii="宋体" w:hAnsi="宋体" w:eastAsia="宋体" w:cs="宋体"/>
                <w:color w:val="auto"/>
                <w:kern w:val="0"/>
                <w:sz w:val="21"/>
                <w:highlight w:val="none"/>
                <w:lang w:eastAsia="zh-CN" w:bidi="ar"/>
              </w:rPr>
              <w:t>一</w:t>
            </w:r>
            <w:r>
              <w:rPr>
                <w:rFonts w:hint="eastAsia" w:ascii="宋体" w:hAnsi="宋体" w:eastAsia="宋体" w:cs="宋体"/>
                <w:color w:val="auto"/>
                <w:kern w:val="0"/>
                <w:sz w:val="21"/>
                <w:highlight w:val="none"/>
                <w:lang w:bidi="ar"/>
              </w:rPr>
              <w:t>项扣</w:t>
            </w:r>
            <w:r>
              <w:rPr>
                <w:rFonts w:hint="eastAsia" w:ascii="宋体" w:hAnsi="宋体" w:eastAsia="宋体" w:cs="宋体"/>
                <w:color w:val="auto"/>
                <w:kern w:val="0"/>
                <w:sz w:val="21"/>
                <w:highlight w:val="none"/>
                <w:lang w:val="en-US" w:eastAsia="zh-CN" w:bidi="ar"/>
              </w:rPr>
              <w:t>0.5</w:t>
            </w:r>
            <w:r>
              <w:rPr>
                <w:rFonts w:hint="eastAsia" w:ascii="宋体" w:hAnsi="宋体" w:eastAsia="宋体" w:cs="宋体"/>
                <w:color w:val="auto"/>
                <w:kern w:val="0"/>
                <w:sz w:val="21"/>
                <w:highlight w:val="none"/>
                <w:lang w:bidi="ar"/>
              </w:rPr>
              <w:t>分，扣完为止</w:t>
            </w:r>
            <w:r>
              <w:rPr>
                <w:rFonts w:hint="eastAsia" w:ascii="宋体" w:hAnsi="宋体" w:eastAsia="宋体" w:cs="宋体"/>
                <w:color w:val="auto"/>
                <w:kern w:val="0"/>
                <w:sz w:val="21"/>
                <w:highlight w:val="none"/>
                <w:lang w:eastAsia="zh-CN" w:bidi="ar"/>
              </w:rPr>
              <w:t>。</w:t>
            </w:r>
          </w:p>
        </w:tc>
        <w:tc>
          <w:tcPr>
            <w:tcW w:w="2930" w:type="dxa"/>
            <w:gridSpan w:val="4"/>
            <w:shd w:val="clear" w:color="auto" w:fill="auto"/>
            <w:vAlign w:val="center"/>
          </w:tcPr>
          <w:p w14:paraId="26799AD4">
            <w:pPr>
              <w:shd w:val="clear"/>
              <w:kinsoku/>
              <w:autoSpaceDE/>
              <w:autoSpaceDN/>
              <w:adjustRightInd/>
              <w:snapToGrid/>
              <w:jc w:val="center"/>
              <w:textAlignment w:val="auto"/>
              <w:rPr>
                <w:rFonts w:hint="eastAsia" w:ascii="宋体" w:hAnsi="宋体" w:cs="宋体"/>
                <w:color w:val="auto"/>
                <w:kern w:val="0"/>
                <w:sz w:val="24"/>
                <w:highlight w:val="none"/>
                <w:lang w:bidi="ar"/>
              </w:rPr>
            </w:pPr>
            <w:r>
              <w:rPr>
                <w:rFonts w:hint="eastAsia" w:ascii="宋体" w:hAnsi="宋体" w:eastAsia="宋体" w:cs="宋体"/>
                <w:snapToGrid/>
                <w:color w:val="auto"/>
                <w:sz w:val="21"/>
                <w:szCs w:val="21"/>
                <w:highlight w:val="none"/>
                <w:lang w:val="en-US" w:eastAsia="zh-CN"/>
              </w:rPr>
              <w:t>0-3分</w:t>
            </w:r>
          </w:p>
        </w:tc>
      </w:tr>
      <w:tr w14:paraId="33ACF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557" w:type="dxa"/>
            <w:vMerge w:val="continue"/>
            <w:shd w:val="clear" w:color="auto" w:fill="auto"/>
            <w:vAlign w:val="center"/>
          </w:tcPr>
          <w:p w14:paraId="51A9EB16">
            <w:pPr>
              <w:shd w:val="clear"/>
              <w:kinsoku/>
              <w:autoSpaceDE/>
              <w:autoSpaceDN/>
              <w:adjustRightInd/>
              <w:snapToGrid/>
              <w:jc w:val="center"/>
              <w:textAlignment w:val="auto"/>
              <w:rPr>
                <w:rFonts w:hint="eastAsia" w:ascii="宋体" w:hAnsi="宋体" w:cs="宋体"/>
                <w:color w:val="auto"/>
                <w:kern w:val="0"/>
                <w:sz w:val="24"/>
                <w:highlight w:val="none"/>
                <w:lang w:bidi="ar"/>
              </w:rPr>
            </w:pPr>
          </w:p>
        </w:tc>
        <w:tc>
          <w:tcPr>
            <w:tcW w:w="1110" w:type="dxa"/>
            <w:vMerge w:val="continue"/>
            <w:shd w:val="clear" w:color="auto" w:fill="auto"/>
            <w:vAlign w:val="center"/>
          </w:tcPr>
          <w:p w14:paraId="21D98AD7">
            <w:pPr>
              <w:shd w:val="clear"/>
              <w:kinsoku/>
              <w:autoSpaceDE/>
              <w:autoSpaceDN/>
              <w:adjustRightInd/>
              <w:snapToGrid/>
              <w:jc w:val="center"/>
              <w:textAlignment w:val="auto"/>
              <w:rPr>
                <w:rFonts w:hint="eastAsia" w:ascii="宋体" w:hAnsi="宋体" w:cs="宋体"/>
                <w:color w:val="auto"/>
                <w:kern w:val="0"/>
                <w:sz w:val="24"/>
                <w:highlight w:val="none"/>
                <w:lang w:bidi="ar"/>
              </w:rPr>
            </w:pPr>
          </w:p>
        </w:tc>
        <w:tc>
          <w:tcPr>
            <w:tcW w:w="5455" w:type="dxa"/>
            <w:shd w:val="clear" w:color="auto" w:fill="auto"/>
            <w:vAlign w:val="center"/>
          </w:tcPr>
          <w:p w14:paraId="7C62D8D9">
            <w:pPr>
              <w:pStyle w:val="10"/>
              <w:shd w:val="clear"/>
              <w:spacing w:line="240" w:lineRule="auto"/>
              <w:rPr>
                <w:rFonts w:hint="eastAsia" w:ascii="宋体" w:hAnsi="宋体" w:eastAsia="宋体" w:cs="宋体"/>
                <w:color w:val="auto"/>
                <w:kern w:val="0"/>
                <w:sz w:val="21"/>
                <w:highlight w:val="none"/>
                <w:lang w:bidi="ar"/>
              </w:rPr>
            </w:pPr>
            <w:r>
              <w:rPr>
                <w:rFonts w:hint="eastAsia" w:ascii="宋体" w:hAnsi="宋体" w:eastAsia="宋体" w:cs="宋体"/>
                <w:snapToGrid/>
                <w:color w:val="auto"/>
                <w:sz w:val="21"/>
                <w:szCs w:val="21"/>
                <w:highlight w:val="none"/>
              </w:rPr>
              <w:t>超声波水表</w:t>
            </w:r>
            <w:r>
              <w:rPr>
                <w:rFonts w:hint="eastAsia" w:ascii="宋体" w:hAnsi="宋体" w:eastAsia="宋体" w:cs="宋体"/>
                <w:color w:val="auto"/>
                <w:kern w:val="0"/>
                <w:sz w:val="21"/>
                <w:highlight w:val="none"/>
                <w:lang w:bidi="ar"/>
              </w:rPr>
              <w:t>的技术符合性，对照“第</w:t>
            </w:r>
            <w:r>
              <w:rPr>
                <w:rFonts w:hint="eastAsia" w:ascii="宋体" w:hAnsi="宋体" w:eastAsia="宋体" w:cs="宋体"/>
                <w:color w:val="auto"/>
                <w:kern w:val="0"/>
                <w:sz w:val="21"/>
                <w:highlight w:val="none"/>
                <w:lang w:val="en-US" w:eastAsia="zh-CN" w:bidi="ar"/>
              </w:rPr>
              <w:t>五章</w:t>
            </w:r>
            <w:r>
              <w:rPr>
                <w:rFonts w:hint="eastAsia" w:ascii="宋体" w:hAnsi="宋体" w:eastAsia="宋体" w:cs="宋体"/>
                <w:color w:val="auto"/>
                <w:kern w:val="0"/>
                <w:sz w:val="21"/>
                <w:highlight w:val="none"/>
                <w:lang w:bidi="ar"/>
              </w:rPr>
              <w:t>：技术要求”，并按“</w:t>
            </w:r>
            <w:r>
              <w:rPr>
                <w:rFonts w:hint="eastAsia" w:ascii="宋体" w:hAnsi="宋体" w:eastAsia="宋体" w:cs="宋体"/>
                <w:color w:val="auto"/>
                <w:kern w:val="0"/>
                <w:sz w:val="21"/>
                <w:highlight w:val="none"/>
                <w:lang w:val="en-US" w:eastAsia="zh-CN" w:bidi="ar"/>
              </w:rPr>
              <w:t>第六章 投标文件格式</w:t>
            </w:r>
            <w:r>
              <w:rPr>
                <w:rFonts w:hint="eastAsia" w:ascii="宋体" w:hAnsi="宋体" w:eastAsia="宋体" w:cs="宋体"/>
                <w:color w:val="auto"/>
                <w:kern w:val="0"/>
                <w:sz w:val="21"/>
                <w:highlight w:val="none"/>
                <w:lang w:bidi="ar"/>
              </w:rPr>
              <w:t>的</w:t>
            </w:r>
            <w:r>
              <w:rPr>
                <w:rFonts w:hint="eastAsia" w:ascii="宋体" w:hAnsi="宋体" w:eastAsia="宋体" w:cs="宋体"/>
                <w:color w:val="auto"/>
                <w:kern w:val="0"/>
                <w:sz w:val="21"/>
                <w:highlight w:val="none"/>
                <w:lang w:val="en-US" w:eastAsia="zh-CN" w:bidi="ar"/>
              </w:rPr>
              <w:t xml:space="preserve">格式八 </w:t>
            </w:r>
            <w:r>
              <w:rPr>
                <w:rFonts w:hint="eastAsia" w:ascii="宋体" w:hAnsi="宋体" w:eastAsia="宋体" w:cs="宋体"/>
                <w:color w:val="auto"/>
                <w:kern w:val="0"/>
                <w:sz w:val="21"/>
                <w:highlight w:val="none"/>
                <w:lang w:bidi="ar"/>
              </w:rPr>
              <w:t>技术偏离表” 列出相应的内容，其中打“★”指标不允许偏离，否则作无效标处理；</w:t>
            </w:r>
            <w:r>
              <w:rPr>
                <w:rFonts w:hint="eastAsia" w:ascii="宋体" w:hAnsi="宋体" w:eastAsia="宋体" w:cs="宋体"/>
                <w:color w:val="auto"/>
                <w:kern w:val="0"/>
                <w:sz w:val="21"/>
                <w:highlight w:val="none"/>
                <w:lang w:eastAsia="zh-CN" w:bidi="ar"/>
              </w:rPr>
              <w:t>其中大“</w:t>
            </w:r>
            <w:r>
              <w:rPr>
                <w:rFonts w:hint="eastAsia" w:ascii="宋体" w:hAnsi="宋体" w:eastAsia="宋体" w:cs="宋体"/>
                <w:bCs/>
                <w:color w:val="auto"/>
                <w:kern w:val="0"/>
                <w:sz w:val="21"/>
                <w:szCs w:val="21"/>
                <w:highlight w:val="none"/>
              </w:rPr>
              <w:t>▲</w:t>
            </w:r>
            <w:r>
              <w:rPr>
                <w:rFonts w:hint="eastAsia" w:ascii="宋体" w:hAnsi="宋体" w:eastAsia="宋体" w:cs="宋体"/>
                <w:color w:val="auto"/>
                <w:kern w:val="0"/>
                <w:sz w:val="21"/>
                <w:highlight w:val="none"/>
                <w:lang w:eastAsia="zh-CN" w:bidi="ar"/>
              </w:rPr>
              <w:t>”指标为重要指标每偏离一项扣</w:t>
            </w:r>
            <w:r>
              <w:rPr>
                <w:rFonts w:hint="eastAsia" w:ascii="宋体" w:hAnsi="宋体" w:eastAsia="宋体" w:cs="宋体"/>
                <w:color w:val="auto"/>
                <w:kern w:val="0"/>
                <w:sz w:val="21"/>
                <w:highlight w:val="none"/>
                <w:lang w:val="en-US" w:eastAsia="zh-CN" w:bidi="ar"/>
              </w:rPr>
              <w:t>1分，</w:t>
            </w:r>
            <w:r>
              <w:rPr>
                <w:rFonts w:hint="eastAsia" w:ascii="宋体" w:hAnsi="宋体" w:eastAsia="宋体" w:cs="宋体"/>
                <w:color w:val="auto"/>
                <w:kern w:val="0"/>
                <w:sz w:val="21"/>
                <w:highlight w:val="none"/>
                <w:lang w:bidi="ar"/>
              </w:rPr>
              <w:t>其余指标每偏离</w:t>
            </w:r>
            <w:r>
              <w:rPr>
                <w:rFonts w:hint="eastAsia" w:ascii="宋体" w:hAnsi="宋体" w:eastAsia="宋体" w:cs="宋体"/>
                <w:color w:val="auto"/>
                <w:kern w:val="0"/>
                <w:sz w:val="21"/>
                <w:highlight w:val="none"/>
                <w:lang w:eastAsia="zh-CN" w:bidi="ar"/>
              </w:rPr>
              <w:t>一</w:t>
            </w:r>
            <w:r>
              <w:rPr>
                <w:rFonts w:hint="eastAsia" w:ascii="宋体" w:hAnsi="宋体" w:eastAsia="宋体" w:cs="宋体"/>
                <w:color w:val="auto"/>
                <w:kern w:val="0"/>
                <w:sz w:val="21"/>
                <w:highlight w:val="none"/>
                <w:lang w:bidi="ar"/>
              </w:rPr>
              <w:t>项扣</w:t>
            </w:r>
            <w:r>
              <w:rPr>
                <w:rFonts w:hint="eastAsia" w:ascii="宋体" w:hAnsi="宋体" w:eastAsia="宋体" w:cs="宋体"/>
                <w:color w:val="auto"/>
                <w:kern w:val="0"/>
                <w:sz w:val="21"/>
                <w:highlight w:val="none"/>
                <w:lang w:val="en-US" w:eastAsia="zh-CN" w:bidi="ar"/>
              </w:rPr>
              <w:t>0.5</w:t>
            </w:r>
            <w:r>
              <w:rPr>
                <w:rFonts w:hint="eastAsia" w:ascii="宋体" w:hAnsi="宋体" w:eastAsia="宋体" w:cs="宋体"/>
                <w:color w:val="auto"/>
                <w:kern w:val="0"/>
                <w:sz w:val="21"/>
                <w:highlight w:val="none"/>
                <w:lang w:bidi="ar"/>
              </w:rPr>
              <w:t>分，扣完为止</w:t>
            </w:r>
            <w:r>
              <w:rPr>
                <w:rFonts w:hint="eastAsia" w:ascii="宋体" w:hAnsi="宋体" w:eastAsia="宋体" w:cs="宋体"/>
                <w:color w:val="auto"/>
                <w:kern w:val="0"/>
                <w:sz w:val="21"/>
                <w:highlight w:val="none"/>
                <w:lang w:eastAsia="zh-CN" w:bidi="ar"/>
              </w:rPr>
              <w:t>。</w:t>
            </w:r>
          </w:p>
        </w:tc>
        <w:tc>
          <w:tcPr>
            <w:tcW w:w="2930" w:type="dxa"/>
            <w:gridSpan w:val="4"/>
            <w:shd w:val="clear" w:color="auto" w:fill="auto"/>
            <w:vAlign w:val="center"/>
          </w:tcPr>
          <w:p w14:paraId="032C460C">
            <w:pPr>
              <w:shd w:val="clear"/>
              <w:kinsoku/>
              <w:autoSpaceDE/>
              <w:autoSpaceDN/>
              <w:adjustRightInd/>
              <w:snapToGrid/>
              <w:jc w:val="center"/>
              <w:textAlignment w:val="auto"/>
              <w:rPr>
                <w:rFonts w:hint="eastAsia" w:ascii="宋体" w:hAnsi="宋体" w:cs="宋体"/>
                <w:color w:val="auto"/>
                <w:kern w:val="0"/>
                <w:sz w:val="24"/>
                <w:highlight w:val="none"/>
                <w:lang w:bidi="ar"/>
              </w:rPr>
            </w:pPr>
            <w:r>
              <w:rPr>
                <w:rFonts w:hint="eastAsia" w:ascii="宋体" w:hAnsi="宋体" w:eastAsia="宋体" w:cs="宋体"/>
                <w:snapToGrid/>
                <w:color w:val="auto"/>
                <w:sz w:val="21"/>
                <w:szCs w:val="21"/>
                <w:highlight w:val="none"/>
                <w:lang w:val="en-US" w:eastAsia="zh-CN"/>
              </w:rPr>
              <w:t>0-3分</w:t>
            </w:r>
          </w:p>
        </w:tc>
      </w:tr>
      <w:tr w14:paraId="051BA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557" w:type="dxa"/>
            <w:vMerge w:val="continue"/>
            <w:shd w:val="clear" w:color="auto" w:fill="auto"/>
            <w:vAlign w:val="center"/>
          </w:tcPr>
          <w:p w14:paraId="1AFAF410">
            <w:pPr>
              <w:shd w:val="clear"/>
              <w:kinsoku/>
              <w:autoSpaceDE/>
              <w:autoSpaceDN/>
              <w:adjustRightInd/>
              <w:snapToGrid/>
              <w:jc w:val="center"/>
              <w:textAlignment w:val="auto"/>
              <w:rPr>
                <w:rFonts w:hint="eastAsia" w:ascii="宋体" w:hAnsi="宋体" w:cs="宋体"/>
                <w:color w:val="auto"/>
                <w:kern w:val="0"/>
                <w:sz w:val="24"/>
                <w:highlight w:val="none"/>
                <w:lang w:bidi="ar"/>
              </w:rPr>
            </w:pPr>
          </w:p>
        </w:tc>
        <w:tc>
          <w:tcPr>
            <w:tcW w:w="1110" w:type="dxa"/>
            <w:vMerge w:val="continue"/>
            <w:shd w:val="clear" w:color="auto" w:fill="auto"/>
            <w:vAlign w:val="center"/>
          </w:tcPr>
          <w:p w14:paraId="533FC30D">
            <w:pPr>
              <w:shd w:val="clear"/>
              <w:kinsoku/>
              <w:autoSpaceDE/>
              <w:autoSpaceDN/>
              <w:adjustRightInd/>
              <w:snapToGrid/>
              <w:jc w:val="center"/>
              <w:textAlignment w:val="auto"/>
              <w:rPr>
                <w:rFonts w:hint="eastAsia" w:ascii="宋体" w:hAnsi="宋体" w:cs="宋体"/>
                <w:color w:val="auto"/>
                <w:kern w:val="0"/>
                <w:sz w:val="24"/>
                <w:highlight w:val="none"/>
                <w:lang w:bidi="ar"/>
              </w:rPr>
            </w:pPr>
          </w:p>
        </w:tc>
        <w:tc>
          <w:tcPr>
            <w:tcW w:w="5455" w:type="dxa"/>
            <w:shd w:val="clear" w:color="auto" w:fill="auto"/>
            <w:vAlign w:val="center"/>
          </w:tcPr>
          <w:p w14:paraId="7CA38BC8">
            <w:pPr>
              <w:pStyle w:val="10"/>
              <w:shd w:val="clear"/>
              <w:spacing w:line="240" w:lineRule="auto"/>
              <w:rPr>
                <w:rFonts w:hint="eastAsia" w:ascii="宋体" w:hAnsi="宋体" w:eastAsia="宋体" w:cs="宋体"/>
                <w:color w:val="auto"/>
                <w:kern w:val="0"/>
                <w:sz w:val="21"/>
                <w:highlight w:val="none"/>
                <w:lang w:bidi="ar"/>
              </w:rPr>
            </w:pPr>
            <w:r>
              <w:rPr>
                <w:rFonts w:hint="eastAsia" w:ascii="宋体" w:hAnsi="宋体" w:eastAsia="宋体" w:cs="宋体"/>
                <w:snapToGrid/>
                <w:color w:val="auto"/>
                <w:sz w:val="21"/>
                <w:szCs w:val="21"/>
                <w:highlight w:val="none"/>
              </w:rPr>
              <w:t>外夹式超声波流量计</w:t>
            </w:r>
            <w:r>
              <w:rPr>
                <w:rFonts w:hint="eastAsia" w:ascii="宋体" w:hAnsi="宋体" w:eastAsia="宋体" w:cs="宋体"/>
                <w:color w:val="auto"/>
                <w:kern w:val="0"/>
                <w:sz w:val="21"/>
                <w:highlight w:val="none"/>
                <w:lang w:bidi="ar"/>
              </w:rPr>
              <w:t>的技术符合性，对照“第</w:t>
            </w:r>
            <w:r>
              <w:rPr>
                <w:rFonts w:hint="eastAsia" w:ascii="宋体" w:hAnsi="宋体" w:eastAsia="宋体" w:cs="宋体"/>
                <w:color w:val="auto"/>
                <w:kern w:val="0"/>
                <w:sz w:val="21"/>
                <w:highlight w:val="none"/>
                <w:lang w:val="en-US" w:eastAsia="zh-CN" w:bidi="ar"/>
              </w:rPr>
              <w:t>五章</w:t>
            </w:r>
            <w:r>
              <w:rPr>
                <w:rFonts w:hint="eastAsia" w:ascii="宋体" w:hAnsi="宋体" w:eastAsia="宋体" w:cs="宋体"/>
                <w:color w:val="auto"/>
                <w:kern w:val="0"/>
                <w:sz w:val="21"/>
                <w:highlight w:val="none"/>
                <w:lang w:bidi="ar"/>
              </w:rPr>
              <w:t>：技术要求”，并按“</w:t>
            </w:r>
            <w:r>
              <w:rPr>
                <w:rFonts w:hint="eastAsia" w:ascii="宋体" w:hAnsi="宋体" w:eastAsia="宋体" w:cs="宋体"/>
                <w:color w:val="auto"/>
                <w:kern w:val="0"/>
                <w:sz w:val="21"/>
                <w:highlight w:val="none"/>
                <w:lang w:val="en-US" w:eastAsia="zh-CN" w:bidi="ar"/>
              </w:rPr>
              <w:t>第六章 投标文件格式</w:t>
            </w:r>
            <w:r>
              <w:rPr>
                <w:rFonts w:hint="eastAsia" w:ascii="宋体" w:hAnsi="宋体" w:eastAsia="宋体" w:cs="宋体"/>
                <w:color w:val="auto"/>
                <w:kern w:val="0"/>
                <w:sz w:val="21"/>
                <w:highlight w:val="none"/>
                <w:lang w:bidi="ar"/>
              </w:rPr>
              <w:t>的</w:t>
            </w:r>
            <w:r>
              <w:rPr>
                <w:rFonts w:hint="eastAsia" w:ascii="宋体" w:hAnsi="宋体" w:eastAsia="宋体" w:cs="宋体"/>
                <w:color w:val="auto"/>
                <w:kern w:val="0"/>
                <w:sz w:val="21"/>
                <w:highlight w:val="none"/>
                <w:lang w:val="en-US" w:eastAsia="zh-CN" w:bidi="ar"/>
              </w:rPr>
              <w:t xml:space="preserve">格式八 </w:t>
            </w:r>
            <w:r>
              <w:rPr>
                <w:rFonts w:hint="eastAsia" w:ascii="宋体" w:hAnsi="宋体" w:eastAsia="宋体" w:cs="宋体"/>
                <w:color w:val="auto"/>
                <w:kern w:val="0"/>
                <w:sz w:val="21"/>
                <w:highlight w:val="none"/>
                <w:lang w:bidi="ar"/>
              </w:rPr>
              <w:t>技术偏离表” 列出相应的内容，其中打“★”指标不允许偏离，否则作无效标处理；</w:t>
            </w:r>
            <w:r>
              <w:rPr>
                <w:rFonts w:hint="eastAsia" w:ascii="宋体" w:hAnsi="宋体" w:eastAsia="宋体" w:cs="宋体"/>
                <w:color w:val="auto"/>
                <w:kern w:val="0"/>
                <w:sz w:val="21"/>
                <w:highlight w:val="none"/>
                <w:lang w:eastAsia="zh-CN" w:bidi="ar"/>
              </w:rPr>
              <w:t>其中大“</w:t>
            </w:r>
            <w:r>
              <w:rPr>
                <w:rFonts w:hint="eastAsia" w:ascii="宋体" w:hAnsi="宋体" w:eastAsia="宋体" w:cs="宋体"/>
                <w:bCs/>
                <w:color w:val="auto"/>
                <w:kern w:val="0"/>
                <w:sz w:val="21"/>
                <w:szCs w:val="21"/>
                <w:highlight w:val="none"/>
              </w:rPr>
              <w:t>▲</w:t>
            </w:r>
            <w:r>
              <w:rPr>
                <w:rFonts w:hint="eastAsia" w:ascii="宋体" w:hAnsi="宋体" w:eastAsia="宋体" w:cs="宋体"/>
                <w:color w:val="auto"/>
                <w:kern w:val="0"/>
                <w:sz w:val="21"/>
                <w:highlight w:val="none"/>
                <w:lang w:eastAsia="zh-CN" w:bidi="ar"/>
              </w:rPr>
              <w:t>”指标为重要指标每偏离一项扣</w:t>
            </w:r>
            <w:r>
              <w:rPr>
                <w:rFonts w:hint="eastAsia" w:ascii="宋体" w:hAnsi="宋体" w:eastAsia="宋体" w:cs="宋体"/>
                <w:color w:val="auto"/>
                <w:kern w:val="0"/>
                <w:sz w:val="21"/>
                <w:highlight w:val="none"/>
                <w:lang w:val="en-US" w:eastAsia="zh-CN" w:bidi="ar"/>
              </w:rPr>
              <w:t>1分，</w:t>
            </w:r>
            <w:r>
              <w:rPr>
                <w:rFonts w:hint="eastAsia" w:ascii="宋体" w:hAnsi="宋体" w:eastAsia="宋体" w:cs="宋体"/>
                <w:color w:val="auto"/>
                <w:kern w:val="0"/>
                <w:sz w:val="21"/>
                <w:highlight w:val="none"/>
                <w:lang w:bidi="ar"/>
              </w:rPr>
              <w:t>其余指标每偏离</w:t>
            </w:r>
            <w:r>
              <w:rPr>
                <w:rFonts w:hint="eastAsia" w:ascii="宋体" w:hAnsi="宋体" w:eastAsia="宋体" w:cs="宋体"/>
                <w:color w:val="auto"/>
                <w:kern w:val="0"/>
                <w:sz w:val="21"/>
                <w:highlight w:val="none"/>
                <w:lang w:eastAsia="zh-CN" w:bidi="ar"/>
              </w:rPr>
              <w:t>一</w:t>
            </w:r>
            <w:r>
              <w:rPr>
                <w:rFonts w:hint="eastAsia" w:ascii="宋体" w:hAnsi="宋体" w:eastAsia="宋体" w:cs="宋体"/>
                <w:color w:val="auto"/>
                <w:kern w:val="0"/>
                <w:sz w:val="21"/>
                <w:highlight w:val="none"/>
                <w:lang w:bidi="ar"/>
              </w:rPr>
              <w:t>项扣</w:t>
            </w:r>
            <w:r>
              <w:rPr>
                <w:rFonts w:hint="eastAsia" w:ascii="宋体" w:hAnsi="宋体" w:eastAsia="宋体" w:cs="宋体"/>
                <w:color w:val="auto"/>
                <w:kern w:val="0"/>
                <w:sz w:val="21"/>
                <w:highlight w:val="none"/>
                <w:lang w:val="en-US" w:eastAsia="zh-CN" w:bidi="ar"/>
              </w:rPr>
              <w:t>0.5</w:t>
            </w:r>
            <w:r>
              <w:rPr>
                <w:rFonts w:hint="eastAsia" w:ascii="宋体" w:hAnsi="宋体" w:eastAsia="宋体" w:cs="宋体"/>
                <w:color w:val="auto"/>
                <w:kern w:val="0"/>
                <w:sz w:val="21"/>
                <w:highlight w:val="none"/>
                <w:lang w:bidi="ar"/>
              </w:rPr>
              <w:t>分，扣完为止</w:t>
            </w:r>
            <w:r>
              <w:rPr>
                <w:rFonts w:hint="eastAsia" w:ascii="宋体" w:hAnsi="宋体" w:eastAsia="宋体" w:cs="宋体"/>
                <w:color w:val="auto"/>
                <w:kern w:val="0"/>
                <w:sz w:val="21"/>
                <w:highlight w:val="none"/>
                <w:lang w:eastAsia="zh-CN" w:bidi="ar"/>
              </w:rPr>
              <w:t>。</w:t>
            </w:r>
          </w:p>
        </w:tc>
        <w:tc>
          <w:tcPr>
            <w:tcW w:w="2930" w:type="dxa"/>
            <w:gridSpan w:val="4"/>
            <w:shd w:val="clear" w:color="auto" w:fill="auto"/>
            <w:vAlign w:val="center"/>
          </w:tcPr>
          <w:p w14:paraId="275198ED">
            <w:pPr>
              <w:shd w:val="clear"/>
              <w:kinsoku/>
              <w:autoSpaceDE/>
              <w:autoSpaceDN/>
              <w:adjustRightInd/>
              <w:snapToGrid/>
              <w:jc w:val="center"/>
              <w:textAlignment w:val="auto"/>
              <w:rPr>
                <w:rFonts w:hint="eastAsia" w:ascii="宋体" w:hAnsi="宋体" w:cs="宋体"/>
                <w:color w:val="auto"/>
                <w:kern w:val="0"/>
                <w:sz w:val="24"/>
                <w:highlight w:val="none"/>
                <w:lang w:bidi="ar"/>
              </w:rPr>
            </w:pPr>
            <w:r>
              <w:rPr>
                <w:rFonts w:hint="eastAsia" w:ascii="宋体" w:hAnsi="宋体" w:eastAsia="宋体" w:cs="宋体"/>
                <w:snapToGrid/>
                <w:color w:val="auto"/>
                <w:sz w:val="21"/>
                <w:szCs w:val="21"/>
                <w:highlight w:val="none"/>
                <w:lang w:val="en-US" w:eastAsia="zh-CN"/>
              </w:rPr>
              <w:t>0-3分</w:t>
            </w:r>
          </w:p>
        </w:tc>
      </w:tr>
      <w:tr w14:paraId="124C4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557" w:type="dxa"/>
            <w:vMerge w:val="continue"/>
            <w:shd w:val="clear" w:color="auto" w:fill="auto"/>
            <w:vAlign w:val="center"/>
          </w:tcPr>
          <w:p w14:paraId="21A21FF0">
            <w:pPr>
              <w:shd w:val="clear"/>
              <w:kinsoku/>
              <w:autoSpaceDE/>
              <w:autoSpaceDN/>
              <w:adjustRightInd/>
              <w:snapToGrid/>
              <w:jc w:val="center"/>
              <w:textAlignment w:val="auto"/>
              <w:rPr>
                <w:rFonts w:hint="eastAsia" w:ascii="宋体" w:hAnsi="宋体" w:cs="宋体"/>
                <w:color w:val="auto"/>
                <w:kern w:val="0"/>
                <w:sz w:val="24"/>
                <w:highlight w:val="none"/>
                <w:lang w:bidi="ar"/>
              </w:rPr>
            </w:pPr>
          </w:p>
        </w:tc>
        <w:tc>
          <w:tcPr>
            <w:tcW w:w="1110" w:type="dxa"/>
            <w:vMerge w:val="continue"/>
            <w:shd w:val="clear" w:color="auto" w:fill="auto"/>
            <w:vAlign w:val="center"/>
          </w:tcPr>
          <w:p w14:paraId="3580222D">
            <w:pPr>
              <w:shd w:val="clear"/>
              <w:kinsoku/>
              <w:autoSpaceDE/>
              <w:autoSpaceDN/>
              <w:adjustRightInd/>
              <w:snapToGrid/>
              <w:jc w:val="center"/>
              <w:textAlignment w:val="auto"/>
              <w:rPr>
                <w:rFonts w:hint="eastAsia" w:ascii="宋体" w:hAnsi="宋体" w:cs="宋体"/>
                <w:color w:val="auto"/>
                <w:kern w:val="0"/>
                <w:sz w:val="24"/>
                <w:highlight w:val="none"/>
                <w:lang w:bidi="ar"/>
              </w:rPr>
            </w:pPr>
          </w:p>
        </w:tc>
        <w:tc>
          <w:tcPr>
            <w:tcW w:w="5455" w:type="dxa"/>
            <w:shd w:val="clear" w:color="auto" w:fill="auto"/>
            <w:vAlign w:val="top"/>
          </w:tcPr>
          <w:p w14:paraId="0EA1DC3A">
            <w:pPr>
              <w:pStyle w:val="10"/>
              <w:numPr>
                <w:ilvl w:val="0"/>
                <w:numId w:val="0"/>
              </w:numPr>
              <w:shd w:val="clear"/>
              <w:spacing w:line="240" w:lineRule="auto"/>
              <w:ind w:left="0" w:leftChars="0" w:firstLine="0" w:firstLineChars="0"/>
              <w:rPr>
                <w:rFonts w:hint="eastAsia" w:ascii="宋体" w:hAnsi="宋体" w:eastAsia="宋体" w:cs="宋体"/>
                <w:color w:val="auto"/>
                <w:kern w:val="0"/>
                <w:sz w:val="21"/>
                <w:highlight w:val="none"/>
                <w:lang w:bidi="ar"/>
              </w:rPr>
            </w:pPr>
            <w:r>
              <w:rPr>
                <w:rFonts w:hint="eastAsia" w:ascii="宋体" w:hAnsi="宋体" w:eastAsia="宋体" w:cs="宋体"/>
                <w:color w:val="auto"/>
                <w:sz w:val="21"/>
                <w:szCs w:val="21"/>
                <w:highlight w:val="none"/>
              </w:rPr>
              <w:t>管道式电磁流量计及配件</w:t>
            </w:r>
            <w:r>
              <w:rPr>
                <w:rFonts w:hint="eastAsia" w:ascii="宋体" w:hAnsi="宋体" w:eastAsia="宋体" w:cs="宋体"/>
                <w:color w:val="auto"/>
                <w:kern w:val="0"/>
                <w:sz w:val="21"/>
                <w:highlight w:val="none"/>
                <w:lang w:bidi="ar"/>
              </w:rPr>
              <w:t>的技术符合性，对照“第</w:t>
            </w:r>
            <w:r>
              <w:rPr>
                <w:rFonts w:hint="eastAsia" w:ascii="宋体" w:hAnsi="宋体" w:eastAsia="宋体" w:cs="宋体"/>
                <w:color w:val="auto"/>
                <w:kern w:val="0"/>
                <w:sz w:val="21"/>
                <w:highlight w:val="none"/>
                <w:lang w:val="en-US" w:eastAsia="zh-CN" w:bidi="ar"/>
              </w:rPr>
              <w:t>五章</w:t>
            </w:r>
            <w:r>
              <w:rPr>
                <w:rFonts w:hint="eastAsia" w:ascii="宋体" w:hAnsi="宋体" w:eastAsia="宋体" w:cs="宋体"/>
                <w:color w:val="auto"/>
                <w:kern w:val="0"/>
                <w:sz w:val="21"/>
                <w:highlight w:val="none"/>
                <w:lang w:bidi="ar"/>
              </w:rPr>
              <w:t>：技术要求”，并按“</w:t>
            </w:r>
            <w:r>
              <w:rPr>
                <w:rFonts w:hint="eastAsia" w:ascii="宋体" w:hAnsi="宋体" w:eastAsia="宋体" w:cs="宋体"/>
                <w:color w:val="auto"/>
                <w:kern w:val="0"/>
                <w:sz w:val="21"/>
                <w:highlight w:val="none"/>
                <w:lang w:val="en-US" w:eastAsia="zh-CN" w:bidi="ar"/>
              </w:rPr>
              <w:t>第六章 投标文件格式</w:t>
            </w:r>
            <w:r>
              <w:rPr>
                <w:rFonts w:hint="eastAsia" w:ascii="宋体" w:hAnsi="宋体" w:eastAsia="宋体" w:cs="宋体"/>
                <w:color w:val="auto"/>
                <w:kern w:val="0"/>
                <w:sz w:val="21"/>
                <w:highlight w:val="none"/>
                <w:lang w:bidi="ar"/>
              </w:rPr>
              <w:t>的</w:t>
            </w:r>
            <w:r>
              <w:rPr>
                <w:rFonts w:hint="eastAsia" w:ascii="宋体" w:hAnsi="宋体" w:eastAsia="宋体" w:cs="宋体"/>
                <w:color w:val="auto"/>
                <w:kern w:val="0"/>
                <w:sz w:val="21"/>
                <w:highlight w:val="none"/>
                <w:lang w:val="en-US" w:eastAsia="zh-CN" w:bidi="ar"/>
              </w:rPr>
              <w:t xml:space="preserve">格式八 </w:t>
            </w:r>
            <w:r>
              <w:rPr>
                <w:rFonts w:hint="eastAsia" w:ascii="宋体" w:hAnsi="宋体" w:eastAsia="宋体" w:cs="宋体"/>
                <w:color w:val="auto"/>
                <w:kern w:val="0"/>
                <w:sz w:val="21"/>
                <w:highlight w:val="none"/>
                <w:lang w:bidi="ar"/>
              </w:rPr>
              <w:t>技术偏离表” 列出相应的内容，其中打“★”指标不允许偏离，否则作无效标处理；</w:t>
            </w:r>
            <w:r>
              <w:rPr>
                <w:rFonts w:hint="eastAsia" w:ascii="宋体" w:hAnsi="宋体" w:eastAsia="宋体" w:cs="宋体"/>
                <w:color w:val="auto"/>
                <w:kern w:val="0"/>
                <w:sz w:val="21"/>
                <w:highlight w:val="none"/>
                <w:lang w:eastAsia="zh-CN" w:bidi="ar"/>
              </w:rPr>
              <w:t>其中大“</w:t>
            </w:r>
            <w:r>
              <w:rPr>
                <w:rFonts w:hint="eastAsia" w:ascii="宋体" w:hAnsi="宋体" w:eastAsia="宋体" w:cs="宋体"/>
                <w:bCs/>
                <w:color w:val="auto"/>
                <w:kern w:val="0"/>
                <w:sz w:val="21"/>
                <w:szCs w:val="21"/>
                <w:highlight w:val="none"/>
              </w:rPr>
              <w:t>▲</w:t>
            </w:r>
            <w:r>
              <w:rPr>
                <w:rFonts w:hint="eastAsia" w:ascii="宋体" w:hAnsi="宋体" w:eastAsia="宋体" w:cs="宋体"/>
                <w:color w:val="auto"/>
                <w:kern w:val="0"/>
                <w:sz w:val="21"/>
                <w:highlight w:val="none"/>
                <w:lang w:eastAsia="zh-CN" w:bidi="ar"/>
              </w:rPr>
              <w:t>”指标为重要指标每偏离一项扣</w:t>
            </w:r>
            <w:r>
              <w:rPr>
                <w:rFonts w:hint="eastAsia" w:ascii="宋体" w:hAnsi="宋体" w:eastAsia="宋体" w:cs="宋体"/>
                <w:color w:val="auto"/>
                <w:kern w:val="0"/>
                <w:sz w:val="21"/>
                <w:highlight w:val="none"/>
                <w:lang w:val="en-US" w:eastAsia="zh-CN" w:bidi="ar"/>
              </w:rPr>
              <w:t>1分，</w:t>
            </w:r>
            <w:r>
              <w:rPr>
                <w:rFonts w:hint="eastAsia" w:ascii="宋体" w:hAnsi="宋体" w:eastAsia="宋体" w:cs="宋体"/>
                <w:color w:val="auto"/>
                <w:kern w:val="0"/>
                <w:sz w:val="21"/>
                <w:highlight w:val="none"/>
                <w:lang w:bidi="ar"/>
              </w:rPr>
              <w:t>其余指标每偏离</w:t>
            </w:r>
            <w:r>
              <w:rPr>
                <w:rFonts w:hint="eastAsia" w:ascii="宋体" w:hAnsi="宋体" w:eastAsia="宋体" w:cs="宋体"/>
                <w:color w:val="auto"/>
                <w:kern w:val="0"/>
                <w:sz w:val="21"/>
                <w:highlight w:val="none"/>
                <w:lang w:eastAsia="zh-CN" w:bidi="ar"/>
              </w:rPr>
              <w:t>一</w:t>
            </w:r>
            <w:r>
              <w:rPr>
                <w:rFonts w:hint="eastAsia" w:ascii="宋体" w:hAnsi="宋体" w:eastAsia="宋体" w:cs="宋体"/>
                <w:color w:val="auto"/>
                <w:kern w:val="0"/>
                <w:sz w:val="21"/>
                <w:highlight w:val="none"/>
                <w:lang w:bidi="ar"/>
              </w:rPr>
              <w:t>项扣</w:t>
            </w:r>
            <w:r>
              <w:rPr>
                <w:rFonts w:hint="eastAsia" w:ascii="宋体" w:hAnsi="宋体" w:eastAsia="宋体" w:cs="宋体"/>
                <w:color w:val="auto"/>
                <w:kern w:val="0"/>
                <w:sz w:val="21"/>
                <w:highlight w:val="none"/>
                <w:lang w:val="en-US" w:eastAsia="zh-CN" w:bidi="ar"/>
              </w:rPr>
              <w:t>0.5</w:t>
            </w:r>
            <w:r>
              <w:rPr>
                <w:rFonts w:hint="eastAsia" w:ascii="宋体" w:hAnsi="宋体" w:eastAsia="宋体" w:cs="宋体"/>
                <w:color w:val="auto"/>
                <w:kern w:val="0"/>
                <w:sz w:val="21"/>
                <w:highlight w:val="none"/>
                <w:lang w:bidi="ar"/>
              </w:rPr>
              <w:t>分，扣完为止</w:t>
            </w:r>
            <w:r>
              <w:rPr>
                <w:rFonts w:hint="eastAsia" w:ascii="宋体" w:hAnsi="宋体" w:eastAsia="宋体" w:cs="宋体"/>
                <w:color w:val="auto"/>
                <w:kern w:val="0"/>
                <w:sz w:val="21"/>
                <w:highlight w:val="none"/>
                <w:lang w:eastAsia="zh-CN" w:bidi="ar"/>
              </w:rPr>
              <w:t>。</w:t>
            </w:r>
          </w:p>
        </w:tc>
        <w:tc>
          <w:tcPr>
            <w:tcW w:w="2930" w:type="dxa"/>
            <w:gridSpan w:val="4"/>
            <w:shd w:val="clear" w:color="auto" w:fill="auto"/>
            <w:vAlign w:val="center"/>
          </w:tcPr>
          <w:p w14:paraId="07DB1F11">
            <w:pPr>
              <w:shd w:val="clear"/>
              <w:kinsoku/>
              <w:autoSpaceDE/>
              <w:autoSpaceDN/>
              <w:adjustRightInd/>
              <w:snapToGrid/>
              <w:jc w:val="center"/>
              <w:textAlignment w:val="auto"/>
              <w:rPr>
                <w:rFonts w:hint="eastAsia" w:ascii="宋体" w:hAnsi="宋体" w:cs="宋体"/>
                <w:color w:val="auto"/>
                <w:kern w:val="0"/>
                <w:sz w:val="24"/>
                <w:highlight w:val="none"/>
                <w:lang w:bidi="ar"/>
              </w:rPr>
            </w:pPr>
            <w:r>
              <w:rPr>
                <w:rFonts w:hint="eastAsia" w:ascii="宋体" w:hAnsi="宋体" w:eastAsia="宋体" w:cs="宋体"/>
                <w:snapToGrid/>
                <w:color w:val="auto"/>
                <w:sz w:val="21"/>
                <w:szCs w:val="21"/>
                <w:highlight w:val="none"/>
                <w:lang w:val="en-US" w:eastAsia="zh-CN"/>
              </w:rPr>
              <w:t>0-3分</w:t>
            </w:r>
          </w:p>
        </w:tc>
      </w:tr>
      <w:tr w14:paraId="6D987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57" w:type="dxa"/>
            <w:vMerge w:val="restart"/>
            <w:shd w:val="clear" w:color="auto" w:fill="auto"/>
            <w:vAlign w:val="center"/>
          </w:tcPr>
          <w:p w14:paraId="4077F98A">
            <w:pPr>
              <w:shd w:val="clear"/>
              <w:kinsoku/>
              <w:autoSpaceDE/>
              <w:autoSpaceDN/>
              <w:adjustRightInd/>
              <w:snapToGrid/>
              <w:jc w:val="center"/>
              <w:textAlignment w:val="auto"/>
              <w:rPr>
                <w:rFonts w:hint="eastAsia" w:ascii="宋体" w:hAnsi="宋体" w:eastAsia="宋体" w:cs="宋体"/>
                <w:snapToGrid/>
                <w:color w:val="auto"/>
                <w:sz w:val="21"/>
                <w:szCs w:val="21"/>
                <w:highlight w:val="none"/>
                <w:lang w:val="en-US" w:eastAsia="zh-CN"/>
              </w:rPr>
            </w:pPr>
            <w:r>
              <w:rPr>
                <w:rFonts w:hint="eastAsia" w:ascii="宋体" w:hAnsi="宋体" w:eastAsia="宋体" w:cs="宋体"/>
                <w:snapToGrid/>
                <w:color w:val="auto"/>
                <w:sz w:val="21"/>
                <w:szCs w:val="21"/>
                <w:highlight w:val="none"/>
                <w:lang w:val="en-US" w:eastAsia="zh-CN"/>
              </w:rPr>
              <w:t>3</w:t>
            </w:r>
          </w:p>
        </w:tc>
        <w:tc>
          <w:tcPr>
            <w:tcW w:w="1110" w:type="dxa"/>
            <w:vMerge w:val="restart"/>
            <w:shd w:val="clear" w:color="auto" w:fill="auto"/>
            <w:vAlign w:val="center"/>
          </w:tcPr>
          <w:p w14:paraId="68E4E9E9">
            <w:pPr>
              <w:shd w:val="clear"/>
              <w:kinsoku/>
              <w:autoSpaceDE/>
              <w:autoSpaceDN/>
              <w:adjustRightInd/>
              <w:snapToGrid/>
              <w:textAlignment w:val="auto"/>
              <w:rPr>
                <w:rFonts w:hint="eastAsia" w:ascii="宋体" w:hAnsi="宋体" w:eastAsia="宋体" w:cs="宋体"/>
                <w:snapToGrid/>
                <w:color w:val="auto"/>
                <w:sz w:val="21"/>
                <w:szCs w:val="21"/>
                <w:highlight w:val="none"/>
              </w:rPr>
            </w:pPr>
            <w:r>
              <w:rPr>
                <w:rFonts w:ascii="宋体" w:hAnsi="宋体" w:eastAsia="宋体" w:cs="宋体"/>
                <w:color w:val="auto"/>
                <w:sz w:val="21"/>
                <w:szCs w:val="21"/>
                <w:highlight w:val="none"/>
              </w:rPr>
              <w:t>组织实施方案</w:t>
            </w:r>
            <w:r>
              <w:rPr>
                <w:rFonts w:hint="eastAsia" w:ascii="宋体" w:hAnsi="宋体" w:eastAsia="宋体" w:cs="宋体"/>
                <w:snapToGrid/>
                <w:color w:val="auto"/>
                <w:sz w:val="21"/>
                <w:szCs w:val="21"/>
                <w:highlight w:val="none"/>
              </w:rPr>
              <w:t>（</w:t>
            </w:r>
            <w:r>
              <w:rPr>
                <w:rFonts w:hint="eastAsia" w:ascii="宋体" w:hAnsi="宋体" w:eastAsia="宋体" w:cs="宋体"/>
                <w:snapToGrid/>
                <w:color w:val="auto"/>
                <w:sz w:val="21"/>
                <w:szCs w:val="21"/>
                <w:highlight w:val="none"/>
                <w:lang w:val="en-US" w:eastAsia="zh-CN"/>
              </w:rPr>
              <w:t>9</w:t>
            </w:r>
            <w:r>
              <w:rPr>
                <w:rFonts w:hint="eastAsia" w:ascii="宋体" w:hAnsi="宋体" w:eastAsia="宋体" w:cs="宋体"/>
                <w:snapToGrid/>
                <w:color w:val="auto"/>
                <w:sz w:val="21"/>
                <w:szCs w:val="21"/>
                <w:highlight w:val="none"/>
              </w:rPr>
              <w:t>分）</w:t>
            </w:r>
          </w:p>
        </w:tc>
        <w:tc>
          <w:tcPr>
            <w:tcW w:w="5455" w:type="dxa"/>
            <w:shd w:val="clear" w:color="auto" w:fill="auto"/>
            <w:vAlign w:val="center"/>
          </w:tcPr>
          <w:p w14:paraId="2F23AEE5">
            <w:pPr>
              <w:shd w:val="clear"/>
              <w:kinsoku/>
              <w:autoSpaceDE/>
              <w:autoSpaceDN/>
              <w:adjustRightInd/>
              <w:snapToGrid/>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根据投标人所提供的本项目的供货方案（方案中须包括备货计划、供货计划、供货响应时间、供货质量管理、供货应急措施、退换货方案等内容）</w:t>
            </w: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由评委进行横向比较综合评分。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1.2-3</w:t>
            </w:r>
            <w:r>
              <w:rPr>
                <w:rFonts w:hint="eastAsia" w:ascii="宋体" w:hAnsi="宋体" w:eastAsia="宋体" w:cs="宋体"/>
                <w:color w:val="auto"/>
                <w:sz w:val="21"/>
                <w:szCs w:val="21"/>
                <w:highlight w:val="none"/>
              </w:rPr>
              <w:t>）分</w:t>
            </w:r>
          </w:p>
        </w:tc>
        <w:tc>
          <w:tcPr>
            <w:tcW w:w="913" w:type="dxa"/>
            <w:shd w:val="clear" w:color="auto" w:fill="auto"/>
            <w:vAlign w:val="center"/>
          </w:tcPr>
          <w:p w14:paraId="5A1C5E33">
            <w:pPr>
              <w:shd w:val="clear"/>
              <w:kinsoku/>
              <w:autoSpaceDE/>
              <w:autoSpaceDN/>
              <w:adjustRightInd/>
              <w:snapToGrid/>
              <w:jc w:val="center"/>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val="en-US" w:eastAsia="zh-CN"/>
              </w:rPr>
              <w:t>3-2.7</w:t>
            </w:r>
          </w:p>
        </w:tc>
        <w:tc>
          <w:tcPr>
            <w:tcW w:w="1002" w:type="dxa"/>
            <w:shd w:val="clear" w:color="auto" w:fill="auto"/>
            <w:vAlign w:val="center"/>
          </w:tcPr>
          <w:p w14:paraId="78906B85">
            <w:pPr>
              <w:shd w:val="clear"/>
              <w:kinsoku/>
              <w:autoSpaceDE/>
              <w:autoSpaceDN/>
              <w:adjustRightInd/>
              <w:snapToGrid/>
              <w:jc w:val="center"/>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val="en-US" w:eastAsia="zh-CN"/>
              </w:rPr>
              <w:t>2.6-1.8</w:t>
            </w:r>
          </w:p>
        </w:tc>
        <w:tc>
          <w:tcPr>
            <w:tcW w:w="1015" w:type="dxa"/>
            <w:gridSpan w:val="2"/>
            <w:shd w:val="clear" w:color="auto" w:fill="auto"/>
            <w:vAlign w:val="center"/>
          </w:tcPr>
          <w:p w14:paraId="66426CA4">
            <w:pPr>
              <w:shd w:val="clear"/>
              <w:kinsoku/>
              <w:autoSpaceDE/>
              <w:autoSpaceDN/>
              <w:adjustRightInd/>
              <w:snapToGrid/>
              <w:jc w:val="center"/>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val="en-US" w:eastAsia="zh-CN"/>
              </w:rPr>
              <w:t>1.7-1.2</w:t>
            </w:r>
          </w:p>
        </w:tc>
      </w:tr>
      <w:tr w14:paraId="78A83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57" w:type="dxa"/>
            <w:vMerge w:val="continue"/>
            <w:shd w:val="clear" w:color="auto" w:fill="auto"/>
            <w:vAlign w:val="center"/>
          </w:tcPr>
          <w:p w14:paraId="20CF2C5B">
            <w:pPr>
              <w:shd w:val="clear"/>
              <w:kinsoku/>
              <w:autoSpaceDE/>
              <w:autoSpaceDN/>
              <w:adjustRightInd/>
              <w:snapToGrid/>
              <w:jc w:val="center"/>
              <w:textAlignment w:val="auto"/>
              <w:rPr>
                <w:rFonts w:hint="eastAsia" w:ascii="宋体" w:hAnsi="宋体" w:eastAsia="宋体" w:cs="宋体"/>
                <w:snapToGrid/>
                <w:color w:val="auto"/>
                <w:sz w:val="21"/>
                <w:szCs w:val="21"/>
                <w:highlight w:val="none"/>
              </w:rPr>
            </w:pPr>
          </w:p>
        </w:tc>
        <w:tc>
          <w:tcPr>
            <w:tcW w:w="1110" w:type="dxa"/>
            <w:vMerge w:val="continue"/>
            <w:shd w:val="clear" w:color="auto" w:fill="auto"/>
            <w:vAlign w:val="center"/>
          </w:tcPr>
          <w:p w14:paraId="6043F7CE">
            <w:pPr>
              <w:shd w:val="clear"/>
              <w:kinsoku/>
              <w:autoSpaceDE/>
              <w:autoSpaceDN/>
              <w:adjustRightInd/>
              <w:snapToGrid/>
              <w:textAlignment w:val="auto"/>
              <w:rPr>
                <w:rFonts w:ascii="宋体" w:hAnsi="宋体" w:eastAsia="宋体" w:cs="宋体"/>
                <w:color w:val="auto"/>
                <w:sz w:val="21"/>
                <w:szCs w:val="21"/>
                <w:highlight w:val="none"/>
              </w:rPr>
            </w:pPr>
          </w:p>
        </w:tc>
        <w:tc>
          <w:tcPr>
            <w:tcW w:w="5455" w:type="dxa"/>
            <w:shd w:val="clear" w:color="auto" w:fill="auto"/>
            <w:vAlign w:val="center"/>
          </w:tcPr>
          <w:p w14:paraId="62FC8A54">
            <w:pPr>
              <w:shd w:val="clear"/>
              <w:kinsoku/>
              <w:autoSpaceDE/>
              <w:autoSpaceDN/>
              <w:adjustRightInd/>
              <w:snapToGrid/>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根据投标人所提供的本项目的施工组织方案</w:t>
            </w: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方案</w:t>
            </w:r>
            <w:r>
              <w:rPr>
                <w:rFonts w:hint="eastAsia" w:ascii="宋体" w:hAnsi="宋体" w:eastAsia="宋体" w:cs="宋体"/>
                <w:snapToGrid/>
                <w:color w:val="auto"/>
                <w:sz w:val="21"/>
                <w:szCs w:val="21"/>
                <w:highlight w:val="none"/>
                <w:lang w:eastAsia="zh-CN"/>
              </w:rPr>
              <w:t>中</w:t>
            </w:r>
            <w:r>
              <w:rPr>
                <w:rFonts w:hint="eastAsia" w:ascii="宋体" w:hAnsi="宋体" w:eastAsia="宋体" w:cs="宋体"/>
                <w:snapToGrid/>
                <w:color w:val="auto"/>
                <w:sz w:val="21"/>
                <w:szCs w:val="21"/>
                <w:highlight w:val="none"/>
              </w:rPr>
              <w:t>须</w:t>
            </w:r>
            <w:r>
              <w:rPr>
                <w:rFonts w:hint="eastAsia" w:ascii="宋体" w:hAnsi="宋体" w:eastAsia="宋体" w:cs="宋体"/>
                <w:snapToGrid/>
                <w:color w:val="auto"/>
                <w:sz w:val="21"/>
                <w:szCs w:val="21"/>
                <w:highlight w:val="none"/>
                <w:lang w:val="en-US" w:eastAsia="zh-CN"/>
              </w:rPr>
              <w:t>包括</w:t>
            </w:r>
            <w:r>
              <w:rPr>
                <w:rFonts w:hint="eastAsia" w:ascii="宋体" w:hAnsi="宋体" w:eastAsia="宋体" w:cs="宋体"/>
                <w:snapToGrid/>
                <w:color w:val="auto"/>
                <w:sz w:val="21"/>
                <w:szCs w:val="21"/>
                <w:highlight w:val="none"/>
              </w:rPr>
              <w:t>质量管理、安全管理、应急措施等</w:t>
            </w:r>
            <w:r>
              <w:rPr>
                <w:rFonts w:hint="eastAsia" w:ascii="宋体" w:hAnsi="宋体" w:eastAsia="宋体" w:cs="宋体"/>
                <w:snapToGrid/>
                <w:color w:val="auto"/>
                <w:sz w:val="21"/>
                <w:szCs w:val="21"/>
                <w:highlight w:val="none"/>
                <w:lang w:val="en-US" w:eastAsia="zh-CN"/>
              </w:rPr>
              <w:t>内容</w:t>
            </w: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由评委进行横向比较综合评分。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1.2-3</w:t>
            </w:r>
            <w:r>
              <w:rPr>
                <w:rFonts w:hint="eastAsia" w:ascii="宋体" w:hAnsi="宋体" w:eastAsia="宋体" w:cs="宋体"/>
                <w:color w:val="auto"/>
                <w:sz w:val="21"/>
                <w:szCs w:val="21"/>
                <w:highlight w:val="none"/>
              </w:rPr>
              <w:t>）分</w:t>
            </w:r>
          </w:p>
        </w:tc>
        <w:tc>
          <w:tcPr>
            <w:tcW w:w="913" w:type="dxa"/>
            <w:shd w:val="clear" w:color="auto" w:fill="auto"/>
            <w:vAlign w:val="center"/>
          </w:tcPr>
          <w:p w14:paraId="5F1642E0">
            <w:pPr>
              <w:shd w:val="clear"/>
              <w:kinsoku/>
              <w:autoSpaceDE/>
              <w:autoSpaceDN/>
              <w:adjustRightInd/>
              <w:snapToGrid/>
              <w:jc w:val="center"/>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val="en-US" w:eastAsia="zh-CN"/>
              </w:rPr>
              <w:t>3-2.7</w:t>
            </w:r>
          </w:p>
        </w:tc>
        <w:tc>
          <w:tcPr>
            <w:tcW w:w="1002" w:type="dxa"/>
            <w:shd w:val="clear" w:color="auto" w:fill="auto"/>
            <w:vAlign w:val="center"/>
          </w:tcPr>
          <w:p w14:paraId="1A7B9E6C">
            <w:pPr>
              <w:shd w:val="clear"/>
              <w:kinsoku/>
              <w:autoSpaceDE/>
              <w:autoSpaceDN/>
              <w:adjustRightInd/>
              <w:snapToGrid/>
              <w:jc w:val="center"/>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val="en-US" w:eastAsia="zh-CN"/>
              </w:rPr>
              <w:t>2.6-1.8</w:t>
            </w:r>
          </w:p>
        </w:tc>
        <w:tc>
          <w:tcPr>
            <w:tcW w:w="1015" w:type="dxa"/>
            <w:gridSpan w:val="2"/>
            <w:shd w:val="clear" w:color="auto" w:fill="auto"/>
            <w:vAlign w:val="center"/>
          </w:tcPr>
          <w:p w14:paraId="5FFC3745">
            <w:pPr>
              <w:shd w:val="clear"/>
              <w:kinsoku/>
              <w:autoSpaceDE/>
              <w:autoSpaceDN/>
              <w:adjustRightInd/>
              <w:snapToGrid/>
              <w:jc w:val="center"/>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val="en-US" w:eastAsia="zh-CN"/>
              </w:rPr>
              <w:t>1.7-1.2</w:t>
            </w:r>
          </w:p>
        </w:tc>
      </w:tr>
      <w:tr w14:paraId="677AD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57" w:type="dxa"/>
            <w:vMerge w:val="continue"/>
            <w:shd w:val="clear" w:color="auto" w:fill="auto"/>
            <w:vAlign w:val="center"/>
          </w:tcPr>
          <w:p w14:paraId="4D6A0273">
            <w:pPr>
              <w:shd w:val="clear"/>
              <w:kinsoku/>
              <w:autoSpaceDE/>
              <w:autoSpaceDN/>
              <w:adjustRightInd/>
              <w:snapToGrid/>
              <w:jc w:val="center"/>
              <w:textAlignment w:val="auto"/>
              <w:rPr>
                <w:rFonts w:hint="eastAsia" w:ascii="宋体" w:hAnsi="宋体" w:eastAsia="宋体" w:cs="宋体"/>
                <w:snapToGrid/>
                <w:color w:val="auto"/>
                <w:sz w:val="21"/>
                <w:szCs w:val="21"/>
                <w:highlight w:val="none"/>
              </w:rPr>
            </w:pPr>
          </w:p>
        </w:tc>
        <w:tc>
          <w:tcPr>
            <w:tcW w:w="1110" w:type="dxa"/>
            <w:vMerge w:val="continue"/>
            <w:shd w:val="clear" w:color="auto" w:fill="auto"/>
            <w:vAlign w:val="center"/>
          </w:tcPr>
          <w:p w14:paraId="617FAD16">
            <w:pPr>
              <w:shd w:val="clear"/>
              <w:kinsoku/>
              <w:autoSpaceDE/>
              <w:autoSpaceDN/>
              <w:adjustRightInd/>
              <w:snapToGrid/>
              <w:textAlignment w:val="auto"/>
              <w:rPr>
                <w:rFonts w:ascii="宋体" w:hAnsi="宋体" w:eastAsia="宋体" w:cs="宋体"/>
                <w:color w:val="auto"/>
                <w:sz w:val="21"/>
                <w:szCs w:val="21"/>
                <w:highlight w:val="none"/>
              </w:rPr>
            </w:pPr>
          </w:p>
        </w:tc>
        <w:tc>
          <w:tcPr>
            <w:tcW w:w="5455" w:type="dxa"/>
            <w:shd w:val="clear" w:color="auto" w:fill="auto"/>
            <w:vAlign w:val="center"/>
          </w:tcPr>
          <w:p w14:paraId="1569FF58">
            <w:pPr>
              <w:widowControl/>
              <w:shd w:val="clear" w:color="auto" w:fill="auto"/>
              <w:kinsoku/>
              <w:autoSpaceDE/>
              <w:autoSpaceDN/>
              <w:adjustRightInd/>
              <w:snapToGrid/>
              <w:jc w:val="left"/>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kern w:val="0"/>
                <w:sz w:val="21"/>
                <w:szCs w:val="21"/>
                <w:highlight w:val="none"/>
                <w:lang w:val="en-US" w:eastAsia="zh-CN"/>
              </w:rPr>
              <w:t>根据投标人针对本项目拟派团队能力水平（团队主要负责人类似工程业绩、拟派项目团队人员资质实力等），由评委进行横向比较综合评分。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1.2-3</w:t>
            </w:r>
            <w:r>
              <w:rPr>
                <w:rFonts w:hint="eastAsia" w:ascii="宋体" w:hAnsi="宋体" w:eastAsia="宋体" w:cs="宋体"/>
                <w:color w:val="auto"/>
                <w:sz w:val="21"/>
                <w:szCs w:val="21"/>
                <w:highlight w:val="none"/>
              </w:rPr>
              <w:t>）分</w:t>
            </w:r>
          </w:p>
        </w:tc>
        <w:tc>
          <w:tcPr>
            <w:tcW w:w="913" w:type="dxa"/>
            <w:shd w:val="clear" w:color="auto" w:fill="auto"/>
            <w:vAlign w:val="center"/>
          </w:tcPr>
          <w:p w14:paraId="3A840407">
            <w:pPr>
              <w:widowControl/>
              <w:shd w:val="clear" w:color="auto" w:fill="auto"/>
              <w:kinsoku/>
              <w:autoSpaceDE/>
              <w:autoSpaceDN/>
              <w:adjustRightInd/>
              <w:snapToGrid/>
              <w:jc w:val="center"/>
              <w:textAlignment w:val="auto"/>
              <w:rPr>
                <w:rFonts w:hint="eastAsia" w:ascii="宋体" w:hAnsi="宋体" w:eastAsia="宋体" w:cs="宋体"/>
                <w:snapToGrid/>
                <w:color w:val="auto"/>
                <w:sz w:val="21"/>
                <w:szCs w:val="21"/>
                <w:highlight w:val="none"/>
                <w:lang w:val="en-US" w:eastAsia="zh-CN"/>
              </w:rPr>
            </w:pPr>
            <w:r>
              <w:rPr>
                <w:rFonts w:hint="eastAsia" w:ascii="宋体" w:hAnsi="宋体" w:eastAsia="宋体" w:cs="宋体"/>
                <w:snapToGrid/>
                <w:color w:val="auto"/>
                <w:kern w:val="0"/>
                <w:sz w:val="21"/>
                <w:szCs w:val="21"/>
                <w:highlight w:val="none"/>
                <w:lang w:val="en-US" w:eastAsia="zh-CN"/>
              </w:rPr>
              <w:t>3-2.7</w:t>
            </w:r>
          </w:p>
        </w:tc>
        <w:tc>
          <w:tcPr>
            <w:tcW w:w="1002" w:type="dxa"/>
            <w:shd w:val="clear" w:color="auto" w:fill="auto"/>
            <w:vAlign w:val="center"/>
          </w:tcPr>
          <w:p w14:paraId="38A836C5">
            <w:pPr>
              <w:widowControl/>
              <w:shd w:val="clear" w:color="auto" w:fill="auto"/>
              <w:kinsoku/>
              <w:autoSpaceDE/>
              <w:autoSpaceDN/>
              <w:adjustRightInd/>
              <w:snapToGrid/>
              <w:jc w:val="center"/>
              <w:textAlignment w:val="auto"/>
              <w:rPr>
                <w:rFonts w:hint="eastAsia" w:ascii="宋体" w:hAnsi="宋体" w:eastAsia="宋体" w:cs="宋体"/>
                <w:snapToGrid/>
                <w:color w:val="auto"/>
                <w:sz w:val="21"/>
                <w:szCs w:val="21"/>
                <w:highlight w:val="none"/>
                <w:lang w:val="en-US" w:eastAsia="zh-CN"/>
              </w:rPr>
            </w:pPr>
            <w:r>
              <w:rPr>
                <w:rFonts w:hint="eastAsia" w:ascii="宋体" w:hAnsi="宋体" w:eastAsia="宋体" w:cs="宋体"/>
                <w:snapToGrid/>
                <w:color w:val="auto"/>
                <w:kern w:val="0"/>
                <w:sz w:val="21"/>
                <w:szCs w:val="21"/>
                <w:highlight w:val="none"/>
                <w:lang w:val="en-US" w:eastAsia="zh-CN"/>
              </w:rPr>
              <w:t>2.6-1.8</w:t>
            </w:r>
          </w:p>
        </w:tc>
        <w:tc>
          <w:tcPr>
            <w:tcW w:w="1015" w:type="dxa"/>
            <w:gridSpan w:val="2"/>
            <w:shd w:val="clear" w:color="auto" w:fill="auto"/>
            <w:vAlign w:val="center"/>
          </w:tcPr>
          <w:p w14:paraId="3FD8A118">
            <w:pPr>
              <w:widowControl/>
              <w:shd w:val="clear" w:color="auto" w:fill="auto"/>
              <w:kinsoku/>
              <w:autoSpaceDE/>
              <w:autoSpaceDN/>
              <w:adjustRightInd/>
              <w:snapToGrid/>
              <w:jc w:val="center"/>
              <w:textAlignment w:val="auto"/>
              <w:rPr>
                <w:rFonts w:hint="eastAsia" w:ascii="宋体" w:hAnsi="宋体" w:eastAsia="宋体" w:cs="宋体"/>
                <w:snapToGrid/>
                <w:color w:val="auto"/>
                <w:sz w:val="21"/>
                <w:szCs w:val="21"/>
                <w:highlight w:val="none"/>
                <w:lang w:val="en-US" w:eastAsia="zh-CN"/>
              </w:rPr>
            </w:pPr>
            <w:r>
              <w:rPr>
                <w:rFonts w:hint="eastAsia" w:ascii="宋体" w:hAnsi="宋体" w:eastAsia="宋体" w:cs="宋体"/>
                <w:snapToGrid/>
                <w:color w:val="auto"/>
                <w:kern w:val="0"/>
                <w:sz w:val="21"/>
                <w:szCs w:val="21"/>
                <w:highlight w:val="none"/>
                <w:lang w:val="en-US" w:eastAsia="zh-CN"/>
              </w:rPr>
              <w:t>1.7-1.2</w:t>
            </w:r>
          </w:p>
        </w:tc>
      </w:tr>
      <w:tr w14:paraId="32427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57" w:type="dxa"/>
            <w:vMerge w:val="restart"/>
            <w:shd w:val="clear" w:color="auto" w:fill="auto"/>
            <w:vAlign w:val="center"/>
          </w:tcPr>
          <w:p w14:paraId="3F130AD3">
            <w:pPr>
              <w:shd w:val="clear"/>
              <w:kinsoku/>
              <w:autoSpaceDE/>
              <w:autoSpaceDN/>
              <w:adjustRightInd/>
              <w:snapToGrid/>
              <w:jc w:val="center"/>
              <w:textAlignment w:val="auto"/>
              <w:rPr>
                <w:rFonts w:hint="eastAsia" w:ascii="宋体" w:hAnsi="宋体" w:eastAsia="宋体" w:cs="宋体"/>
                <w:snapToGrid/>
                <w:color w:val="auto"/>
                <w:sz w:val="21"/>
                <w:szCs w:val="21"/>
                <w:highlight w:val="none"/>
                <w:lang w:eastAsia="zh-CN"/>
              </w:rPr>
            </w:pPr>
            <w:r>
              <w:rPr>
                <w:rFonts w:hint="eastAsia" w:ascii="宋体" w:hAnsi="宋体" w:eastAsia="宋体" w:cs="宋体"/>
                <w:snapToGrid/>
                <w:color w:val="auto"/>
                <w:sz w:val="21"/>
                <w:szCs w:val="21"/>
                <w:highlight w:val="none"/>
                <w:lang w:val="en-US" w:eastAsia="zh-CN"/>
              </w:rPr>
              <w:t>4</w:t>
            </w:r>
          </w:p>
        </w:tc>
        <w:tc>
          <w:tcPr>
            <w:tcW w:w="1110" w:type="dxa"/>
            <w:vMerge w:val="restart"/>
            <w:shd w:val="clear" w:color="auto" w:fill="auto"/>
            <w:vAlign w:val="center"/>
          </w:tcPr>
          <w:p w14:paraId="51B4744E">
            <w:pPr>
              <w:shd w:val="clear"/>
              <w:kinsoku/>
              <w:autoSpaceDE/>
              <w:autoSpaceDN/>
              <w:adjustRightInd/>
              <w:snapToGrid/>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质量保证期</w:t>
            </w:r>
            <w:r>
              <w:rPr>
                <w:rFonts w:hint="eastAsia" w:ascii="宋体" w:hAnsi="宋体" w:eastAsia="宋体" w:cs="宋体"/>
                <w:snapToGrid/>
                <w:color w:val="auto"/>
                <w:sz w:val="21"/>
                <w:szCs w:val="21"/>
                <w:highlight w:val="none"/>
              </w:rPr>
              <w:t>及售后服务（</w:t>
            </w:r>
            <w:r>
              <w:rPr>
                <w:rFonts w:hint="eastAsia" w:ascii="宋体" w:hAnsi="宋体" w:eastAsia="宋体" w:cs="宋体"/>
                <w:snapToGrid/>
                <w:color w:val="auto"/>
                <w:sz w:val="21"/>
                <w:szCs w:val="21"/>
                <w:highlight w:val="none"/>
                <w:lang w:val="en-US" w:eastAsia="zh-CN"/>
              </w:rPr>
              <w:t>6</w:t>
            </w:r>
            <w:r>
              <w:rPr>
                <w:rFonts w:hint="eastAsia" w:ascii="宋体" w:hAnsi="宋体" w:eastAsia="宋体" w:cs="宋体"/>
                <w:snapToGrid/>
                <w:color w:val="auto"/>
                <w:sz w:val="21"/>
                <w:szCs w:val="21"/>
                <w:highlight w:val="none"/>
              </w:rPr>
              <w:t>分）</w:t>
            </w:r>
          </w:p>
        </w:tc>
        <w:tc>
          <w:tcPr>
            <w:tcW w:w="5455" w:type="dxa"/>
            <w:shd w:val="clear" w:color="auto" w:fill="auto"/>
            <w:vAlign w:val="center"/>
          </w:tcPr>
          <w:p w14:paraId="36F7BA79">
            <w:pPr>
              <w:shd w:val="clear"/>
              <w:kinsoku/>
              <w:autoSpaceDE/>
              <w:autoSpaceDN/>
              <w:adjustRightInd/>
              <w:snapToGrid/>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投标人在项目所在地或周边是否设有售后服务网点及仓储场地，根据投标人售后服务资质、售后服务网点及仓储场地距离项目所在地远近、规模、仓储实力、设备设施的配备情况，由评委进行横向比较综合评分。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1.2-3</w:t>
            </w:r>
            <w:r>
              <w:rPr>
                <w:rFonts w:hint="eastAsia" w:ascii="宋体" w:hAnsi="宋体" w:eastAsia="宋体" w:cs="宋体"/>
                <w:color w:val="auto"/>
                <w:sz w:val="21"/>
                <w:szCs w:val="21"/>
                <w:highlight w:val="none"/>
              </w:rPr>
              <w:t>）分</w:t>
            </w:r>
          </w:p>
        </w:tc>
        <w:tc>
          <w:tcPr>
            <w:tcW w:w="913" w:type="dxa"/>
            <w:shd w:val="clear" w:color="auto" w:fill="auto"/>
            <w:vAlign w:val="center"/>
          </w:tcPr>
          <w:p w14:paraId="54904B87">
            <w:pPr>
              <w:widowControl/>
              <w:shd w:val="clear" w:color="auto" w:fill="auto"/>
              <w:kinsoku/>
              <w:autoSpaceDE/>
              <w:autoSpaceDN/>
              <w:adjustRightInd/>
              <w:snapToGrid/>
              <w:jc w:val="center"/>
              <w:textAlignment w:val="auto"/>
              <w:rPr>
                <w:rFonts w:hint="default" w:ascii="宋体" w:hAnsi="宋体" w:eastAsia="宋体" w:cs="宋体"/>
                <w:snapToGrid/>
                <w:color w:val="auto"/>
                <w:sz w:val="21"/>
                <w:szCs w:val="21"/>
                <w:highlight w:val="none"/>
                <w:lang w:val="en-US" w:eastAsia="zh-CN"/>
              </w:rPr>
            </w:pPr>
            <w:r>
              <w:rPr>
                <w:rFonts w:hint="eastAsia" w:ascii="宋体" w:hAnsi="宋体" w:eastAsia="宋体" w:cs="宋体"/>
                <w:snapToGrid/>
                <w:color w:val="auto"/>
                <w:kern w:val="0"/>
                <w:sz w:val="21"/>
                <w:szCs w:val="21"/>
                <w:highlight w:val="none"/>
                <w:lang w:val="en-US" w:eastAsia="zh-CN"/>
              </w:rPr>
              <w:t>3-2.7</w:t>
            </w:r>
          </w:p>
        </w:tc>
        <w:tc>
          <w:tcPr>
            <w:tcW w:w="1002" w:type="dxa"/>
            <w:shd w:val="clear" w:color="auto" w:fill="auto"/>
            <w:vAlign w:val="center"/>
          </w:tcPr>
          <w:p w14:paraId="69C683DE">
            <w:pPr>
              <w:widowControl/>
              <w:shd w:val="clear" w:color="auto" w:fill="auto"/>
              <w:kinsoku/>
              <w:autoSpaceDE/>
              <w:autoSpaceDN/>
              <w:adjustRightInd/>
              <w:snapToGrid/>
              <w:jc w:val="center"/>
              <w:textAlignment w:val="auto"/>
              <w:rPr>
                <w:rFonts w:hint="default" w:ascii="宋体" w:hAnsi="宋体" w:eastAsia="宋体" w:cs="宋体"/>
                <w:snapToGrid/>
                <w:color w:val="auto"/>
                <w:sz w:val="21"/>
                <w:szCs w:val="21"/>
                <w:highlight w:val="none"/>
                <w:lang w:val="en-US"/>
              </w:rPr>
            </w:pPr>
            <w:r>
              <w:rPr>
                <w:rFonts w:hint="eastAsia" w:ascii="宋体" w:hAnsi="宋体" w:eastAsia="宋体" w:cs="宋体"/>
                <w:snapToGrid/>
                <w:color w:val="auto"/>
                <w:kern w:val="0"/>
                <w:sz w:val="21"/>
                <w:szCs w:val="21"/>
                <w:highlight w:val="none"/>
                <w:lang w:val="en-US" w:eastAsia="zh-CN"/>
              </w:rPr>
              <w:t>2.6-1.8</w:t>
            </w:r>
          </w:p>
        </w:tc>
        <w:tc>
          <w:tcPr>
            <w:tcW w:w="1015" w:type="dxa"/>
            <w:gridSpan w:val="2"/>
            <w:shd w:val="clear" w:color="auto" w:fill="auto"/>
            <w:vAlign w:val="center"/>
          </w:tcPr>
          <w:p w14:paraId="7A4D1D62">
            <w:pPr>
              <w:widowControl/>
              <w:shd w:val="clear" w:color="auto" w:fill="auto"/>
              <w:kinsoku/>
              <w:autoSpaceDE/>
              <w:autoSpaceDN/>
              <w:adjustRightInd/>
              <w:snapToGrid/>
              <w:jc w:val="center"/>
              <w:textAlignment w:val="auto"/>
              <w:rPr>
                <w:rFonts w:hint="default" w:ascii="宋体" w:hAnsi="宋体" w:eastAsia="宋体" w:cs="宋体"/>
                <w:snapToGrid/>
                <w:color w:val="auto"/>
                <w:sz w:val="21"/>
                <w:szCs w:val="21"/>
                <w:highlight w:val="none"/>
                <w:lang w:val="en-US"/>
              </w:rPr>
            </w:pPr>
            <w:r>
              <w:rPr>
                <w:rFonts w:hint="eastAsia" w:ascii="宋体" w:hAnsi="宋体" w:eastAsia="宋体" w:cs="宋体"/>
                <w:snapToGrid/>
                <w:color w:val="auto"/>
                <w:kern w:val="0"/>
                <w:sz w:val="21"/>
                <w:szCs w:val="21"/>
                <w:highlight w:val="none"/>
                <w:lang w:val="en-US" w:eastAsia="zh-CN"/>
              </w:rPr>
              <w:t>1.7-1.2</w:t>
            </w:r>
          </w:p>
        </w:tc>
      </w:tr>
      <w:tr w14:paraId="09ED3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57" w:type="dxa"/>
            <w:vMerge w:val="continue"/>
            <w:shd w:val="clear" w:color="auto" w:fill="auto"/>
            <w:vAlign w:val="center"/>
          </w:tcPr>
          <w:p w14:paraId="0E8A0F56">
            <w:pPr>
              <w:shd w:val="clear"/>
              <w:kinsoku/>
              <w:autoSpaceDE/>
              <w:autoSpaceDN/>
              <w:adjustRightInd/>
              <w:snapToGrid/>
              <w:jc w:val="center"/>
              <w:textAlignment w:val="auto"/>
              <w:rPr>
                <w:rFonts w:ascii="宋体" w:hAnsi="宋体" w:eastAsia="宋体" w:cs="宋体"/>
                <w:snapToGrid/>
                <w:color w:val="auto"/>
                <w:sz w:val="21"/>
                <w:szCs w:val="21"/>
                <w:highlight w:val="none"/>
              </w:rPr>
            </w:pPr>
          </w:p>
        </w:tc>
        <w:tc>
          <w:tcPr>
            <w:tcW w:w="1110" w:type="dxa"/>
            <w:vMerge w:val="continue"/>
            <w:shd w:val="clear" w:color="auto" w:fill="auto"/>
            <w:vAlign w:val="center"/>
          </w:tcPr>
          <w:p w14:paraId="5D5DEAFB">
            <w:pPr>
              <w:shd w:val="clear"/>
              <w:kinsoku/>
              <w:autoSpaceDE/>
              <w:autoSpaceDN/>
              <w:adjustRightInd/>
              <w:snapToGrid/>
              <w:textAlignment w:val="auto"/>
              <w:rPr>
                <w:rFonts w:ascii="宋体" w:hAnsi="宋体" w:eastAsia="宋体" w:cs="宋体"/>
                <w:snapToGrid/>
                <w:color w:val="auto"/>
                <w:sz w:val="21"/>
                <w:szCs w:val="21"/>
                <w:highlight w:val="none"/>
              </w:rPr>
            </w:pPr>
          </w:p>
        </w:tc>
        <w:tc>
          <w:tcPr>
            <w:tcW w:w="5455" w:type="dxa"/>
            <w:shd w:val="clear" w:color="auto" w:fill="auto"/>
            <w:vAlign w:val="center"/>
          </w:tcPr>
          <w:p w14:paraId="3B5758AC">
            <w:pPr>
              <w:shd w:val="clear"/>
              <w:kinsoku/>
              <w:autoSpaceDE/>
              <w:autoSpaceDN/>
              <w:adjustRightInd/>
              <w:snapToGrid/>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根据投标人对本项目的售后服务方案及质量保证期限进行综合评分。</w:t>
            </w:r>
          </w:p>
          <w:p w14:paraId="6A6DA6D0">
            <w:pPr>
              <w:shd w:val="clear"/>
              <w:kinsoku/>
              <w:autoSpaceDE/>
              <w:autoSpaceDN/>
              <w:adjustRightInd/>
              <w:snapToGrid/>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投标人提供详细的售后服务承方案（方案中须具备服务人数、服务车辆、备品备件、应急预案等内容），由评委进行横向比较综合评分。（0-2）分。</w:t>
            </w:r>
          </w:p>
          <w:p w14:paraId="4AEE9107">
            <w:pPr>
              <w:shd w:val="clear"/>
              <w:kinsoku/>
              <w:autoSpaceDE/>
              <w:autoSpaceDN/>
              <w:adjustRightInd/>
              <w:snapToGrid/>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在满足标书第四章合同条款及格式中质量保证期限要求的基础上，除DN（15-25）的水表外，承诺其他所有产品质量保证期限每延长1年得0.5分（不足一年不计分），(0-1分）。</w:t>
            </w:r>
          </w:p>
        </w:tc>
        <w:tc>
          <w:tcPr>
            <w:tcW w:w="2930" w:type="dxa"/>
            <w:gridSpan w:val="4"/>
            <w:shd w:val="clear" w:color="auto" w:fill="auto"/>
            <w:vAlign w:val="center"/>
          </w:tcPr>
          <w:p w14:paraId="4B2D6DC9">
            <w:pPr>
              <w:shd w:val="clear"/>
              <w:kinsoku/>
              <w:autoSpaceDE/>
              <w:autoSpaceDN/>
              <w:adjustRightInd/>
              <w:snapToGrid/>
              <w:jc w:val="center"/>
              <w:textAlignment w:val="auto"/>
              <w:rPr>
                <w:rFonts w:hint="default" w:ascii="宋体" w:hAnsi="宋体" w:eastAsia="宋体" w:cs="宋体"/>
                <w:snapToGrid/>
                <w:color w:val="auto"/>
                <w:sz w:val="21"/>
                <w:szCs w:val="21"/>
                <w:highlight w:val="none"/>
                <w:lang w:val="en-US" w:eastAsia="zh-CN"/>
              </w:rPr>
            </w:pPr>
            <w:r>
              <w:rPr>
                <w:rFonts w:hint="eastAsia" w:ascii="宋体" w:hAnsi="宋体" w:eastAsia="宋体" w:cs="宋体"/>
                <w:snapToGrid/>
                <w:color w:val="auto"/>
                <w:sz w:val="21"/>
                <w:szCs w:val="21"/>
                <w:highlight w:val="none"/>
                <w:lang w:val="en-US" w:eastAsia="zh-CN"/>
              </w:rPr>
              <w:t>0-3分</w:t>
            </w:r>
          </w:p>
        </w:tc>
      </w:tr>
      <w:tr w14:paraId="155B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57" w:type="dxa"/>
            <w:shd w:val="clear" w:color="auto" w:fill="auto"/>
            <w:vAlign w:val="center"/>
          </w:tcPr>
          <w:p w14:paraId="626471B5">
            <w:pPr>
              <w:shd w:val="clear"/>
              <w:kinsoku/>
              <w:autoSpaceDE/>
              <w:autoSpaceDN/>
              <w:adjustRightInd/>
              <w:snapToGrid/>
              <w:jc w:val="center"/>
              <w:textAlignment w:val="auto"/>
              <w:rPr>
                <w:rFonts w:hint="eastAsia" w:ascii="宋体" w:hAnsi="宋体" w:eastAsia="宋体" w:cs="宋体"/>
                <w:snapToGrid/>
                <w:color w:val="auto"/>
                <w:sz w:val="21"/>
                <w:szCs w:val="21"/>
                <w:highlight w:val="none"/>
                <w:lang w:val="en-US" w:eastAsia="zh-CN"/>
              </w:rPr>
            </w:pPr>
            <w:r>
              <w:rPr>
                <w:rFonts w:hint="eastAsia" w:ascii="宋体" w:hAnsi="宋体" w:eastAsia="宋体" w:cs="宋体"/>
                <w:snapToGrid/>
                <w:color w:val="auto"/>
                <w:sz w:val="21"/>
                <w:szCs w:val="21"/>
                <w:highlight w:val="none"/>
                <w:lang w:val="en-US" w:eastAsia="zh-CN"/>
              </w:rPr>
              <w:t>5</w:t>
            </w:r>
          </w:p>
        </w:tc>
        <w:tc>
          <w:tcPr>
            <w:tcW w:w="1110" w:type="dxa"/>
            <w:shd w:val="clear" w:color="auto" w:fill="auto"/>
            <w:vAlign w:val="center"/>
          </w:tcPr>
          <w:p w14:paraId="529A760B">
            <w:pPr>
              <w:shd w:val="clear"/>
              <w:kinsoku/>
              <w:autoSpaceDE/>
              <w:autoSpaceDN/>
              <w:adjustRightInd/>
              <w:snapToGrid/>
              <w:textAlignment w:val="auto"/>
              <w:rPr>
                <w:rFonts w:hint="eastAsia" w:ascii="宋体" w:hAnsi="宋体" w:eastAsia="宋体" w:cs="宋体"/>
                <w:snapToGrid/>
                <w:color w:val="auto"/>
                <w:sz w:val="21"/>
                <w:szCs w:val="21"/>
                <w:highlight w:val="none"/>
                <w:lang w:eastAsia="zh-CN"/>
              </w:rPr>
            </w:pPr>
            <w:r>
              <w:rPr>
                <w:rFonts w:ascii="宋体" w:hAnsi="宋体" w:eastAsia="宋体" w:cs="宋体"/>
                <w:color w:val="auto"/>
                <w:sz w:val="21"/>
                <w:szCs w:val="21"/>
                <w:highlight w:val="none"/>
              </w:rPr>
              <w:t>投标人提供的样品质量比较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3分</w:t>
            </w:r>
            <w:r>
              <w:rPr>
                <w:rFonts w:hint="eastAsia" w:ascii="宋体" w:hAnsi="宋体" w:eastAsia="宋体" w:cs="宋体"/>
                <w:color w:val="auto"/>
                <w:sz w:val="21"/>
                <w:szCs w:val="21"/>
                <w:highlight w:val="none"/>
                <w:lang w:eastAsia="zh-CN"/>
              </w:rPr>
              <w:t>）</w:t>
            </w:r>
          </w:p>
        </w:tc>
        <w:tc>
          <w:tcPr>
            <w:tcW w:w="5455" w:type="dxa"/>
            <w:shd w:val="clear" w:color="auto" w:fill="auto"/>
            <w:vAlign w:val="center"/>
          </w:tcPr>
          <w:p w14:paraId="2648F441">
            <w:pPr>
              <w:shd w:val="clear"/>
              <w:kinsoku/>
              <w:autoSpaceDE/>
              <w:autoSpaceDN/>
              <w:adjustRightInd/>
              <w:snapToGrid/>
              <w:jc w:val="left"/>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对投标人提供</w:t>
            </w:r>
            <w:r>
              <w:rPr>
                <w:rFonts w:hint="eastAsia" w:ascii="宋体" w:hAnsi="宋体" w:eastAsia="宋体" w:cs="宋体"/>
                <w:snapToGrid/>
                <w:color w:val="auto"/>
                <w:sz w:val="21"/>
                <w:szCs w:val="21"/>
                <w:highlight w:val="none"/>
                <w:lang w:val="en-US" w:eastAsia="zh-CN"/>
              </w:rPr>
              <w:t>的</w:t>
            </w:r>
            <w:r>
              <w:rPr>
                <w:rFonts w:hint="eastAsia" w:ascii="宋体" w:hAnsi="宋体" w:eastAsia="宋体" w:cs="宋体"/>
                <w:snapToGrid/>
                <w:color w:val="auto"/>
                <w:sz w:val="21"/>
                <w:szCs w:val="21"/>
                <w:highlight w:val="none"/>
              </w:rPr>
              <w:t>DN15旋翼式无磁远传水表及配件样品的材质、结构、外观设计进行评价：                                                                              （1</w:t>
            </w: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水表表盘字轮读数清晰，无气泡。（</w:t>
            </w:r>
            <w:r>
              <w:rPr>
                <w:rFonts w:hint="eastAsia" w:ascii="宋体" w:hAnsi="宋体" w:eastAsia="宋体" w:cs="宋体"/>
                <w:snapToGrid/>
                <w:color w:val="auto"/>
                <w:sz w:val="21"/>
                <w:szCs w:val="21"/>
                <w:highlight w:val="none"/>
                <w:lang w:val="en-US" w:eastAsia="zh-CN"/>
              </w:rPr>
              <w:t>0.5</w:t>
            </w:r>
            <w:r>
              <w:rPr>
                <w:rFonts w:hint="eastAsia" w:ascii="宋体" w:hAnsi="宋体" w:eastAsia="宋体" w:cs="宋体"/>
                <w:snapToGrid/>
                <w:color w:val="auto"/>
                <w:sz w:val="21"/>
                <w:szCs w:val="21"/>
                <w:highlight w:val="none"/>
              </w:rPr>
              <w:t>分）                                       （2</w:t>
            </w: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表壳静电喷塑处理情况，无气泡及漆块堆积。</w:t>
            </w:r>
          </w:p>
          <w:p w14:paraId="7F79D29B">
            <w:pPr>
              <w:shd w:val="clear"/>
              <w:kinsoku/>
              <w:autoSpaceDE/>
              <w:autoSpaceDN/>
              <w:adjustRightInd/>
              <w:snapToGrid/>
              <w:jc w:val="left"/>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w:t>
            </w:r>
            <w:r>
              <w:rPr>
                <w:rFonts w:hint="eastAsia" w:ascii="宋体" w:hAnsi="宋体" w:eastAsia="宋体" w:cs="宋体"/>
                <w:snapToGrid/>
                <w:color w:val="auto"/>
                <w:sz w:val="21"/>
                <w:szCs w:val="21"/>
                <w:highlight w:val="none"/>
                <w:lang w:val="en-US" w:eastAsia="zh-CN"/>
              </w:rPr>
              <w:t>0.5</w:t>
            </w:r>
            <w:r>
              <w:rPr>
                <w:rFonts w:hint="eastAsia" w:ascii="宋体" w:hAnsi="宋体" w:eastAsia="宋体" w:cs="宋体"/>
                <w:snapToGrid/>
                <w:color w:val="auto"/>
                <w:sz w:val="21"/>
                <w:szCs w:val="21"/>
                <w:highlight w:val="none"/>
              </w:rPr>
              <w:t xml:space="preserve">分）                             </w:t>
            </w:r>
          </w:p>
          <w:p w14:paraId="1C34CAF1">
            <w:pPr>
              <w:numPr>
                <w:ilvl w:val="0"/>
                <w:numId w:val="7"/>
              </w:numPr>
              <w:shd w:val="clear"/>
              <w:kinsoku/>
              <w:autoSpaceDE/>
              <w:autoSpaceDN/>
              <w:adjustRightInd/>
              <w:snapToGrid/>
              <w:jc w:val="left"/>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水表整体外观和水表机芯表盘设计美观。（</w:t>
            </w:r>
            <w:r>
              <w:rPr>
                <w:rFonts w:hint="eastAsia" w:ascii="宋体" w:hAnsi="宋体" w:eastAsia="宋体" w:cs="宋体"/>
                <w:snapToGrid/>
                <w:color w:val="auto"/>
                <w:sz w:val="21"/>
                <w:szCs w:val="21"/>
                <w:highlight w:val="none"/>
                <w:lang w:val="en-US" w:eastAsia="zh-CN"/>
              </w:rPr>
              <w:t>0.5</w:t>
            </w:r>
          </w:p>
          <w:p w14:paraId="382421BC">
            <w:pPr>
              <w:numPr>
                <w:ilvl w:val="0"/>
                <w:numId w:val="0"/>
              </w:numPr>
              <w:shd w:val="clear"/>
              <w:kinsoku/>
              <w:autoSpaceDE/>
              <w:autoSpaceDN/>
              <w:adjustRightInd/>
              <w:snapToGrid/>
              <w:jc w:val="left"/>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 xml:space="preserve">分）                                </w:t>
            </w:r>
          </w:p>
          <w:p w14:paraId="1D7167D8">
            <w:pPr>
              <w:numPr>
                <w:ilvl w:val="0"/>
                <w:numId w:val="0"/>
              </w:numPr>
              <w:shd w:val="clear"/>
              <w:kinsoku/>
              <w:autoSpaceDE/>
              <w:autoSpaceDN/>
              <w:adjustRightInd/>
              <w:snapToGrid/>
              <w:jc w:val="left"/>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（4）提供的DN15水表安装防冻玻璃的，得1分；且防冻玻璃材质为尼龙TR90材料，并提供原材料采购发票复印件并加盖公章的再得</w:t>
            </w:r>
            <w:r>
              <w:rPr>
                <w:rFonts w:hint="eastAsia" w:ascii="宋体" w:hAnsi="宋体" w:eastAsia="宋体" w:cs="宋体"/>
                <w:snapToGrid/>
                <w:color w:val="auto"/>
                <w:sz w:val="21"/>
                <w:szCs w:val="21"/>
                <w:highlight w:val="none"/>
                <w:lang w:val="en-US" w:eastAsia="zh-CN"/>
              </w:rPr>
              <w:t>0.5</w:t>
            </w:r>
            <w:r>
              <w:rPr>
                <w:rFonts w:hint="eastAsia" w:ascii="宋体" w:hAnsi="宋体" w:eastAsia="宋体" w:cs="宋体"/>
                <w:snapToGrid/>
                <w:color w:val="auto"/>
                <w:sz w:val="21"/>
                <w:szCs w:val="21"/>
                <w:highlight w:val="none"/>
              </w:rPr>
              <w:t>分。                                           本项最高得</w:t>
            </w:r>
            <w:r>
              <w:rPr>
                <w:rFonts w:hint="eastAsia" w:ascii="宋体" w:hAnsi="宋体" w:eastAsia="宋体" w:cs="宋体"/>
                <w:snapToGrid/>
                <w:color w:val="auto"/>
                <w:sz w:val="21"/>
                <w:szCs w:val="21"/>
                <w:highlight w:val="none"/>
                <w:lang w:val="en-US" w:eastAsia="zh-CN"/>
              </w:rPr>
              <w:t>3</w:t>
            </w:r>
            <w:r>
              <w:rPr>
                <w:rFonts w:hint="eastAsia" w:ascii="宋体" w:hAnsi="宋体" w:eastAsia="宋体" w:cs="宋体"/>
                <w:snapToGrid/>
                <w:color w:val="auto"/>
                <w:sz w:val="21"/>
                <w:szCs w:val="21"/>
                <w:highlight w:val="none"/>
              </w:rPr>
              <w:t>分，不提供样品不得分。</w:t>
            </w:r>
          </w:p>
        </w:tc>
        <w:tc>
          <w:tcPr>
            <w:tcW w:w="2930" w:type="dxa"/>
            <w:gridSpan w:val="4"/>
            <w:shd w:val="clear" w:color="auto" w:fill="auto"/>
            <w:vAlign w:val="center"/>
          </w:tcPr>
          <w:p w14:paraId="5CB6A95E">
            <w:pPr>
              <w:shd w:val="clear"/>
              <w:kinsoku/>
              <w:autoSpaceDE/>
              <w:autoSpaceDN/>
              <w:adjustRightInd/>
              <w:snapToGrid/>
              <w:jc w:val="center"/>
              <w:textAlignment w:val="auto"/>
              <w:rPr>
                <w:rFonts w:hint="eastAsia" w:ascii="宋体" w:hAnsi="宋体" w:eastAsia="宋体" w:cs="宋体"/>
                <w:snapToGrid/>
                <w:color w:val="auto"/>
                <w:sz w:val="21"/>
                <w:szCs w:val="21"/>
                <w:highlight w:val="none"/>
                <w:lang w:val="en-US" w:eastAsia="zh-CN"/>
              </w:rPr>
            </w:pPr>
            <w:r>
              <w:rPr>
                <w:rFonts w:hint="eastAsia" w:ascii="宋体" w:hAnsi="宋体" w:eastAsia="宋体" w:cs="宋体"/>
                <w:snapToGrid/>
                <w:color w:val="auto"/>
                <w:sz w:val="21"/>
                <w:szCs w:val="21"/>
                <w:highlight w:val="none"/>
                <w:lang w:val="en-US" w:eastAsia="zh-CN"/>
              </w:rPr>
              <w:t>0-3分</w:t>
            </w:r>
          </w:p>
        </w:tc>
      </w:tr>
    </w:tbl>
    <w:p w14:paraId="01E8B2CD">
      <w:pPr>
        <w:spacing w:line="420" w:lineRule="exact"/>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（四）</w:t>
      </w:r>
      <w:r>
        <w:rPr>
          <w:rFonts w:ascii="宋体" w:eastAsia="宋体" w:cs="宋体"/>
          <w:color w:val="auto"/>
          <w:sz w:val="21"/>
          <w:szCs w:val="21"/>
          <w:highlight w:val="none"/>
        </w:rPr>
        <w:t>投标文件的商务标评审</w:t>
      </w:r>
    </w:p>
    <w:p w14:paraId="40D4B283">
      <w:pPr>
        <w:spacing w:line="420" w:lineRule="exact"/>
        <w:ind w:firstLine="495"/>
        <w:jc w:val="both"/>
        <w:rPr>
          <w:rFonts w:ascii="宋体" w:eastAsia="宋体" w:cs="宋体"/>
          <w:color w:val="auto"/>
          <w:sz w:val="21"/>
          <w:szCs w:val="21"/>
          <w:highlight w:val="none"/>
        </w:rPr>
      </w:pPr>
      <w:r>
        <w:rPr>
          <w:rFonts w:ascii="宋体" w:eastAsia="宋体" w:cs="宋体"/>
          <w:color w:val="auto"/>
          <w:sz w:val="21"/>
          <w:szCs w:val="21"/>
          <w:highlight w:val="none"/>
        </w:rPr>
        <w:t>1.由评标委员会全体成员对投标文件的报价进行评审。评标专家应对报价的范围、数量、单价、费用组成和总价等进行全面审阅和对比分析，找出报价差异的原因及存在的问题。</w:t>
      </w:r>
    </w:p>
    <w:p w14:paraId="69DEC27B">
      <w:pPr>
        <w:spacing w:line="420" w:lineRule="exact"/>
        <w:ind w:firstLine="483"/>
        <w:jc w:val="both"/>
        <w:rPr>
          <w:rFonts w:ascii="宋体" w:eastAsia="宋体" w:cs="宋体"/>
          <w:color w:val="auto"/>
          <w:sz w:val="21"/>
          <w:szCs w:val="21"/>
          <w:highlight w:val="none"/>
        </w:rPr>
      </w:pPr>
      <w:r>
        <w:rPr>
          <w:rFonts w:ascii="宋体" w:eastAsia="宋体" w:cs="宋体"/>
          <w:color w:val="auto"/>
          <w:sz w:val="21"/>
          <w:szCs w:val="21"/>
          <w:highlight w:val="none"/>
        </w:rPr>
        <w:t>2.报价评审应以报价口径范围一致的投标评标价为依据。投标评标价应在最终报价的基础上，按照招标文件约定的因素和方法进行计算。</w:t>
      </w:r>
    </w:p>
    <w:p w14:paraId="650ABA19">
      <w:pPr>
        <w:spacing w:line="420" w:lineRule="exact"/>
        <w:ind w:firstLine="483"/>
        <w:jc w:val="both"/>
        <w:rPr>
          <w:rFonts w:ascii="宋体" w:eastAsia="宋体" w:cs="宋体"/>
          <w:color w:val="auto"/>
          <w:sz w:val="21"/>
          <w:szCs w:val="21"/>
          <w:highlight w:val="none"/>
        </w:rPr>
      </w:pPr>
      <w:r>
        <w:rPr>
          <w:rFonts w:ascii="宋体" w:eastAsia="宋体" w:cs="宋体"/>
          <w:color w:val="auto"/>
          <w:sz w:val="21"/>
          <w:szCs w:val="21"/>
          <w:highlight w:val="none"/>
        </w:rPr>
        <w:t>3.评标基准价由评标委员会依据下述方法计算，除计算差错外，确认后的评标基准价在本次招标期间保持不变。</w:t>
      </w:r>
    </w:p>
    <w:p w14:paraId="22BA1128">
      <w:pPr>
        <w:spacing w:line="420" w:lineRule="exact"/>
        <w:ind w:firstLine="420" w:firstLineChars="200"/>
        <w:jc w:val="both"/>
        <w:rPr>
          <w:rFonts w:ascii="宋体" w:eastAsia="宋体" w:cs="宋体"/>
          <w:color w:val="auto"/>
          <w:sz w:val="21"/>
          <w:szCs w:val="21"/>
          <w:highlight w:val="none"/>
        </w:rPr>
      </w:pPr>
      <w:r>
        <w:rPr>
          <w:rFonts w:ascii="宋体" w:eastAsia="宋体" w:cs="宋体"/>
          <w:color w:val="auto"/>
          <w:sz w:val="21"/>
          <w:szCs w:val="21"/>
          <w:highlight w:val="none"/>
        </w:rPr>
        <w:t>计算差错，仅限于以下两种情况：</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1</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纯算术性四则运算差错；</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2</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未按约定的计算方</w:t>
      </w:r>
    </w:p>
    <w:p w14:paraId="39C7887B">
      <w:pPr>
        <w:spacing w:line="420" w:lineRule="exact"/>
        <w:ind w:firstLine="2"/>
        <w:jc w:val="both"/>
        <w:rPr>
          <w:rFonts w:ascii="宋体" w:eastAsia="宋体" w:cs="宋体"/>
          <w:color w:val="auto"/>
          <w:sz w:val="21"/>
          <w:szCs w:val="21"/>
          <w:highlight w:val="none"/>
        </w:rPr>
      </w:pPr>
      <w:r>
        <w:rPr>
          <w:rFonts w:ascii="宋体" w:eastAsia="宋体" w:cs="宋体"/>
          <w:color w:val="auto"/>
          <w:sz w:val="21"/>
          <w:szCs w:val="21"/>
          <w:highlight w:val="none"/>
        </w:rPr>
        <w:t>法，多计或者少计投标人报价的。由于评标差错，导致否决投标错误，重新评标纠正等其他情况，不属于计算差错。</w:t>
      </w:r>
    </w:p>
    <w:p w14:paraId="28F77021">
      <w:pPr>
        <w:spacing w:line="420" w:lineRule="exact"/>
        <w:ind w:firstLine="420" w:firstLineChars="200"/>
        <w:jc w:val="both"/>
        <w:rPr>
          <w:rFonts w:ascii="宋体" w:eastAsia="宋体" w:cs="宋体"/>
          <w:color w:val="auto"/>
          <w:sz w:val="21"/>
          <w:szCs w:val="21"/>
          <w:highlight w:val="none"/>
        </w:rPr>
      </w:pPr>
      <w:r>
        <w:rPr>
          <w:rFonts w:ascii="宋体" w:eastAsia="宋体" w:cs="宋体"/>
          <w:color w:val="auto"/>
          <w:sz w:val="21"/>
          <w:szCs w:val="21"/>
          <w:highlight w:val="none"/>
        </w:rPr>
        <w:t>4.报价评分</w:t>
      </w:r>
      <w:r>
        <w:rPr>
          <w:rFonts w:hint="eastAsia" w:ascii="宋体" w:eastAsia="宋体" w:cs="宋体"/>
          <w:color w:val="auto"/>
          <w:sz w:val="21"/>
          <w:szCs w:val="21"/>
          <w:highlight w:val="none"/>
          <w:lang w:eastAsia="zh-CN"/>
        </w:rPr>
        <w:t>（</w:t>
      </w:r>
      <w:r>
        <w:rPr>
          <w:rFonts w:hint="eastAsia" w:ascii="宋体" w:eastAsia="宋体" w:cs="宋体"/>
          <w:color w:val="auto"/>
          <w:sz w:val="21"/>
          <w:szCs w:val="21"/>
          <w:highlight w:val="none"/>
          <w:lang w:val="en-US" w:eastAsia="zh-CN"/>
        </w:rPr>
        <w:t>55</w:t>
      </w:r>
      <w:r>
        <w:rPr>
          <w:rFonts w:ascii="宋体" w:eastAsia="宋体" w:cs="宋体"/>
          <w:color w:val="auto"/>
          <w:sz w:val="21"/>
          <w:szCs w:val="21"/>
          <w:highlight w:val="none"/>
        </w:rPr>
        <w:t>分</w:t>
      </w:r>
      <w:r>
        <w:rPr>
          <w:rFonts w:hint="eastAsia" w:ascii="宋体" w:eastAsia="宋体" w:cs="宋体"/>
          <w:color w:val="auto"/>
          <w:sz w:val="21"/>
          <w:szCs w:val="21"/>
          <w:highlight w:val="none"/>
          <w:lang w:eastAsia="zh-CN"/>
        </w:rPr>
        <w:t>）</w:t>
      </w:r>
    </w:p>
    <w:p w14:paraId="65F2E8EC">
      <w:pPr>
        <w:spacing w:before="117" w:line="228" w:lineRule="auto"/>
        <w:ind w:left="516"/>
        <w:jc w:val="both"/>
        <w:rPr>
          <w:rFonts w:ascii="宋体" w:eastAsia="宋体" w:cs="宋体"/>
          <w:color w:val="auto"/>
          <w:sz w:val="21"/>
          <w:szCs w:val="21"/>
          <w:highlight w:val="none"/>
        </w:rPr>
      </w:pPr>
      <w:r>
        <w:rPr>
          <w:rFonts w:hint="eastAsia" w:ascii="宋体" w:eastAsia="宋体" w:cs="宋体"/>
          <w:snapToGrid/>
          <w:color w:val="auto"/>
          <w:kern w:val="2"/>
          <w:highlight w:val="none"/>
          <w:lang w:eastAsia="zh-CN"/>
        </w:rPr>
        <w:t>☑</w:t>
      </w:r>
      <w:r>
        <w:rPr>
          <w:rFonts w:ascii="宋体" w:eastAsia="宋体" w:cs="宋体"/>
          <w:color w:val="auto"/>
          <w:sz w:val="21"/>
          <w:szCs w:val="21"/>
          <w:highlight w:val="none"/>
        </w:rPr>
        <w:t>平均价法（方法一）</w:t>
      </w:r>
    </w:p>
    <w:p w14:paraId="2624E74B">
      <w:pPr>
        <w:spacing w:before="156" w:line="228" w:lineRule="auto"/>
        <w:ind w:left="503"/>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（1）</w:t>
      </w:r>
      <w:r>
        <w:rPr>
          <w:rFonts w:ascii="宋体" w:eastAsia="宋体" w:cs="宋体"/>
          <w:color w:val="auto"/>
          <w:sz w:val="21"/>
          <w:szCs w:val="21"/>
          <w:highlight w:val="none"/>
        </w:rPr>
        <w:t>评分范围：通过符合性审查的所有投标文件进入评分范围。</w:t>
      </w:r>
    </w:p>
    <w:p w14:paraId="7E7477A5">
      <w:pPr>
        <w:spacing w:before="154" w:line="228" w:lineRule="auto"/>
        <w:ind w:left="503"/>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（2）</w:t>
      </w:r>
      <w:r>
        <w:rPr>
          <w:rFonts w:ascii="宋体" w:eastAsia="宋体" w:cs="宋体"/>
          <w:color w:val="auto"/>
          <w:sz w:val="21"/>
          <w:szCs w:val="21"/>
          <w:highlight w:val="none"/>
        </w:rPr>
        <w:t>评标基准价：进入评分范围的投标评标价的算术平均值为评标基准价</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其中，</w:t>
      </w:r>
    </w:p>
    <w:p w14:paraId="098E2225">
      <w:pPr>
        <w:spacing w:line="420" w:lineRule="exact"/>
        <w:jc w:val="both"/>
        <w:rPr>
          <w:rFonts w:ascii="宋体" w:eastAsia="宋体" w:cs="宋体"/>
          <w:color w:val="auto"/>
          <w:sz w:val="21"/>
          <w:szCs w:val="21"/>
          <w:highlight w:val="none"/>
        </w:rPr>
      </w:pPr>
      <w:r>
        <w:rPr>
          <w:rFonts w:ascii="宋体" w:eastAsia="宋体" w:cs="宋体"/>
          <w:color w:val="auto"/>
          <w:sz w:val="21"/>
          <w:szCs w:val="21"/>
          <w:highlight w:val="none"/>
        </w:rPr>
        <w:t>投标评标价在5个至7个时，去除一个最高价和一个最低价；投标评标价在8个及以上时，去除一个最高、次高价和一个最低、次低价</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w:t>
      </w:r>
    </w:p>
    <w:p w14:paraId="01B6A4B2">
      <w:pPr>
        <w:spacing w:line="420" w:lineRule="exact"/>
        <w:ind w:firstLine="483"/>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（3）</w:t>
      </w:r>
      <w:r>
        <w:rPr>
          <w:rFonts w:ascii="宋体" w:eastAsia="宋体" w:cs="宋体"/>
          <w:color w:val="auto"/>
          <w:sz w:val="21"/>
          <w:szCs w:val="21"/>
          <w:highlight w:val="none"/>
        </w:rPr>
        <w:t>根据投标文件的投标评标价与评标基准价对比，计算投标人的商务报价的得分值。</w:t>
      </w:r>
    </w:p>
    <w:p w14:paraId="3A1E9A06">
      <w:pPr>
        <w:spacing w:before="132" w:line="228" w:lineRule="auto"/>
        <w:ind w:left="18"/>
        <w:jc w:val="both"/>
        <w:rPr>
          <w:rFonts w:ascii="宋体" w:eastAsia="宋体" w:cs="宋体"/>
          <w:color w:val="auto"/>
          <w:sz w:val="21"/>
          <w:szCs w:val="21"/>
          <w:highlight w:val="none"/>
        </w:rPr>
      </w:pPr>
      <w:r>
        <w:rPr>
          <w:rFonts w:ascii="宋体" w:eastAsia="宋体" w:cs="宋体"/>
          <w:color w:val="auto"/>
          <w:sz w:val="21"/>
          <w:szCs w:val="21"/>
          <w:highlight w:val="none"/>
        </w:rPr>
        <w:t>即：</w:t>
      </w:r>
    </w:p>
    <w:p w14:paraId="67D0FB01">
      <w:pPr>
        <w:spacing w:before="156" w:line="439" w:lineRule="exact"/>
        <w:ind w:left="481"/>
        <w:jc w:val="both"/>
        <w:rPr>
          <w:rFonts w:ascii="宋体" w:eastAsia="宋体" w:cs="宋体"/>
          <w:color w:val="auto"/>
          <w:sz w:val="21"/>
          <w:szCs w:val="21"/>
          <w:highlight w:val="none"/>
        </w:rPr>
      </w:pPr>
      <w:r>
        <w:rPr>
          <w:rFonts w:ascii="宋体" w:eastAsia="宋体" w:cs="宋体"/>
          <w:color w:val="auto"/>
          <w:position w:val="15"/>
          <w:sz w:val="21"/>
          <w:szCs w:val="21"/>
          <w:highlight w:val="none"/>
        </w:rPr>
        <w:t>a.投标评标价等于评标基准价时，得满分；</w:t>
      </w:r>
    </w:p>
    <w:p w14:paraId="235AD210">
      <w:pPr>
        <w:spacing w:line="228" w:lineRule="auto"/>
        <w:ind w:left="477"/>
        <w:jc w:val="both"/>
        <w:rPr>
          <w:rFonts w:ascii="宋体" w:eastAsia="宋体" w:cs="宋体"/>
          <w:color w:val="auto"/>
          <w:sz w:val="21"/>
          <w:szCs w:val="21"/>
          <w:highlight w:val="none"/>
        </w:rPr>
      </w:pPr>
      <w:r>
        <w:rPr>
          <w:rFonts w:ascii="宋体" w:eastAsia="宋体" w:cs="宋体"/>
          <w:color w:val="auto"/>
          <w:sz w:val="21"/>
          <w:szCs w:val="21"/>
          <w:highlight w:val="none"/>
        </w:rPr>
        <w:t>b.投标评标价每低于评标基准价1个百分点，扣0.5分；</w:t>
      </w:r>
    </w:p>
    <w:p w14:paraId="02A21339">
      <w:pPr>
        <w:spacing w:before="155" w:line="228" w:lineRule="auto"/>
        <w:ind w:left="485"/>
        <w:jc w:val="both"/>
        <w:rPr>
          <w:rFonts w:ascii="宋体" w:eastAsia="宋体" w:cs="宋体"/>
          <w:color w:val="auto"/>
          <w:sz w:val="21"/>
          <w:szCs w:val="21"/>
          <w:highlight w:val="none"/>
        </w:rPr>
      </w:pPr>
      <w:r>
        <w:rPr>
          <w:rFonts w:ascii="宋体" w:eastAsia="宋体" w:cs="宋体"/>
          <w:color w:val="auto"/>
          <w:sz w:val="21"/>
          <w:szCs w:val="21"/>
          <w:highlight w:val="none"/>
        </w:rPr>
        <w:t>c.投标评标价每高于评标基准价1个百分点，扣1分。</w:t>
      </w:r>
    </w:p>
    <w:p w14:paraId="21ADB622">
      <w:pPr>
        <w:spacing w:before="158" w:line="353" w:lineRule="auto"/>
        <w:ind w:left="11" w:right="119" w:firstLine="420" w:firstLineChars="200"/>
        <w:jc w:val="both"/>
        <w:rPr>
          <w:rFonts w:ascii="宋体" w:eastAsia="宋体" w:cs="宋体"/>
          <w:color w:val="auto"/>
          <w:sz w:val="21"/>
          <w:szCs w:val="21"/>
          <w:highlight w:val="none"/>
        </w:rPr>
      </w:pPr>
      <w:r>
        <w:rPr>
          <w:rFonts w:ascii="宋体" w:eastAsia="宋体" w:cs="宋体"/>
          <w:color w:val="auto"/>
          <w:sz w:val="21"/>
          <w:szCs w:val="21"/>
          <w:highlight w:val="none"/>
        </w:rPr>
        <w:t>以上报价得分不足一个百分点时，使用直线插入法计算，保留小数2位。投标文件的商务标评分不足10分的，计为10分。</w:t>
      </w:r>
    </w:p>
    <w:p w14:paraId="19473F61">
      <w:pPr>
        <w:spacing w:line="228" w:lineRule="auto"/>
        <w:ind w:left="505"/>
        <w:jc w:val="both"/>
        <w:rPr>
          <w:rFonts w:ascii="宋体" w:eastAsia="宋体" w:cs="宋体"/>
          <w:strike/>
          <w:color w:val="auto"/>
          <w:sz w:val="21"/>
          <w:szCs w:val="21"/>
          <w:highlight w:val="none"/>
        </w:rPr>
      </w:pPr>
      <w:r>
        <w:rPr>
          <w:rFonts w:hint="eastAsia" w:ascii="宋体" w:eastAsia="宋体" w:cs="宋体"/>
          <w:strike/>
          <w:snapToGrid/>
          <w:color w:val="auto"/>
          <w:kern w:val="2"/>
          <w:highlight w:val="none"/>
        </w:rPr>
        <w:t>□</w:t>
      </w:r>
      <w:r>
        <w:rPr>
          <w:rFonts w:ascii="宋体" w:eastAsia="宋体" w:cs="宋体"/>
          <w:strike/>
          <w:color w:val="auto"/>
          <w:sz w:val="21"/>
          <w:szCs w:val="21"/>
          <w:highlight w:val="none"/>
        </w:rPr>
        <w:t>二次平均法（方法二）</w:t>
      </w:r>
    </w:p>
    <w:p w14:paraId="3B909517">
      <w:pPr>
        <w:spacing w:before="157" w:line="228" w:lineRule="auto"/>
        <w:ind w:left="492"/>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（1）</w:t>
      </w:r>
      <w:r>
        <w:rPr>
          <w:rFonts w:ascii="宋体" w:eastAsia="宋体" w:cs="宋体"/>
          <w:strike/>
          <w:color w:val="auto"/>
          <w:sz w:val="21"/>
          <w:szCs w:val="21"/>
          <w:highlight w:val="none"/>
        </w:rPr>
        <w:t>评分范围：通过符合性审查的所有投标文件进入评分范围。</w:t>
      </w:r>
    </w:p>
    <w:p w14:paraId="19D15AC7">
      <w:pPr>
        <w:spacing w:line="420" w:lineRule="exact"/>
        <w:ind w:firstLine="420" w:firstLineChars="200"/>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（2）</w:t>
      </w:r>
      <w:r>
        <w:rPr>
          <w:rFonts w:ascii="宋体" w:eastAsia="宋体" w:cs="宋体"/>
          <w:strike/>
          <w:color w:val="auto"/>
          <w:sz w:val="21"/>
          <w:szCs w:val="21"/>
          <w:highlight w:val="none"/>
        </w:rPr>
        <w:t>报价平均值：进入评分范围的投标评标价的算术平均值为报价平均值</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其中，投标评标价在5个至7个时，去除一个最高价和一个最低价；投标评标价在8个及以上时，去除一个最高、次高价和一个最低、次低价</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w:t>
      </w:r>
    </w:p>
    <w:p w14:paraId="1C80B34D">
      <w:pPr>
        <w:spacing w:line="420" w:lineRule="exact"/>
        <w:ind w:firstLine="492"/>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（3）</w:t>
      </w:r>
      <w:r>
        <w:rPr>
          <w:rFonts w:ascii="宋体" w:eastAsia="宋体" w:cs="宋体"/>
          <w:strike/>
          <w:color w:val="auto"/>
          <w:sz w:val="21"/>
          <w:szCs w:val="21"/>
          <w:highlight w:val="none"/>
        </w:rPr>
        <w:t>评标基准价：报价平均值与进入评分范围的投标评标价中的次低投标评标价</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不足4个的与最低投标评标价</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的算术平均值为评标基准价。</w:t>
      </w:r>
    </w:p>
    <w:p w14:paraId="471BC6A0">
      <w:pPr>
        <w:spacing w:line="420" w:lineRule="exact"/>
        <w:ind w:firstLine="473"/>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（4）</w:t>
      </w:r>
      <w:r>
        <w:rPr>
          <w:rFonts w:ascii="宋体" w:eastAsia="宋体" w:cs="宋体"/>
          <w:strike/>
          <w:color w:val="auto"/>
          <w:sz w:val="21"/>
          <w:szCs w:val="21"/>
          <w:highlight w:val="none"/>
        </w:rPr>
        <w:t>根据投标文件的投标评标价与评标基准价对比，计算投标人的商务报价的得分值。即：</w:t>
      </w:r>
    </w:p>
    <w:p w14:paraId="7676EFB2">
      <w:pPr>
        <w:spacing w:line="442" w:lineRule="exact"/>
        <w:ind w:left="481"/>
        <w:jc w:val="both"/>
        <w:rPr>
          <w:rFonts w:ascii="宋体" w:eastAsia="宋体" w:cs="宋体"/>
          <w:strike/>
          <w:color w:val="auto"/>
          <w:sz w:val="21"/>
          <w:szCs w:val="21"/>
          <w:highlight w:val="none"/>
        </w:rPr>
      </w:pPr>
      <w:r>
        <w:rPr>
          <w:rFonts w:ascii="宋体" w:eastAsia="宋体" w:cs="宋体"/>
          <w:strike/>
          <w:color w:val="auto"/>
          <w:position w:val="15"/>
          <w:sz w:val="21"/>
          <w:szCs w:val="21"/>
          <w:highlight w:val="none"/>
        </w:rPr>
        <w:t>a.投标评标价等于评标基准价时，得满分</w:t>
      </w:r>
      <w:r>
        <w:rPr>
          <w:rFonts w:hint="eastAsia" w:ascii="宋体" w:eastAsia="宋体" w:cs="宋体"/>
          <w:strike/>
          <w:color w:val="auto"/>
          <w:position w:val="15"/>
          <w:sz w:val="21"/>
          <w:szCs w:val="21"/>
          <w:highlight w:val="none"/>
          <w:lang w:eastAsia="zh-CN"/>
        </w:rPr>
        <w:t>（</w:t>
      </w:r>
      <w:r>
        <w:rPr>
          <w:rFonts w:ascii="宋体" w:eastAsia="宋体" w:cs="宋体"/>
          <w:strike/>
          <w:color w:val="auto"/>
          <w:position w:val="15"/>
          <w:sz w:val="21"/>
          <w:szCs w:val="21"/>
          <w:highlight w:val="none"/>
        </w:rPr>
        <w:t>67</w:t>
      </w:r>
      <w:r>
        <w:rPr>
          <w:rFonts w:hint="eastAsia" w:ascii="宋体" w:eastAsia="宋体" w:cs="宋体"/>
          <w:strike/>
          <w:color w:val="auto"/>
          <w:position w:val="15"/>
          <w:sz w:val="21"/>
          <w:szCs w:val="21"/>
          <w:highlight w:val="none"/>
          <w:lang w:eastAsia="zh-CN"/>
        </w:rPr>
        <w:t>～</w:t>
      </w:r>
      <w:r>
        <w:rPr>
          <w:rFonts w:ascii="宋体" w:eastAsia="宋体" w:cs="宋体"/>
          <w:strike/>
          <w:color w:val="auto"/>
          <w:position w:val="15"/>
          <w:sz w:val="21"/>
          <w:szCs w:val="21"/>
          <w:highlight w:val="none"/>
        </w:rPr>
        <w:t>37分</w:t>
      </w:r>
      <w:r>
        <w:rPr>
          <w:rFonts w:hint="eastAsia" w:ascii="宋体" w:eastAsia="宋体" w:cs="宋体"/>
          <w:strike/>
          <w:color w:val="auto"/>
          <w:position w:val="15"/>
          <w:sz w:val="21"/>
          <w:szCs w:val="21"/>
          <w:highlight w:val="none"/>
          <w:lang w:eastAsia="zh-CN"/>
        </w:rPr>
        <w:t>）</w:t>
      </w:r>
      <w:r>
        <w:rPr>
          <w:rFonts w:ascii="宋体" w:eastAsia="宋体" w:cs="宋体"/>
          <w:strike/>
          <w:color w:val="auto"/>
          <w:position w:val="15"/>
          <w:sz w:val="21"/>
          <w:szCs w:val="21"/>
          <w:highlight w:val="none"/>
        </w:rPr>
        <w:t>；</w:t>
      </w:r>
    </w:p>
    <w:p w14:paraId="0C8971C0">
      <w:pPr>
        <w:spacing w:line="228" w:lineRule="auto"/>
        <w:ind w:left="477"/>
        <w:jc w:val="both"/>
        <w:rPr>
          <w:rFonts w:ascii="宋体" w:eastAsia="宋体" w:cs="宋体"/>
          <w:strike/>
          <w:color w:val="auto"/>
          <w:sz w:val="21"/>
          <w:szCs w:val="21"/>
          <w:highlight w:val="none"/>
        </w:rPr>
      </w:pPr>
      <w:r>
        <w:rPr>
          <w:rFonts w:ascii="宋体" w:eastAsia="宋体" w:cs="宋体"/>
          <w:strike/>
          <w:color w:val="auto"/>
          <w:sz w:val="21"/>
          <w:szCs w:val="21"/>
          <w:highlight w:val="none"/>
        </w:rPr>
        <w:t>b.投标评标价每低于评标基准价1个百分点，扣0.5分；</w:t>
      </w:r>
    </w:p>
    <w:p w14:paraId="54174707">
      <w:pPr>
        <w:spacing w:before="155" w:line="228" w:lineRule="auto"/>
        <w:ind w:left="485"/>
        <w:jc w:val="both"/>
        <w:rPr>
          <w:rFonts w:ascii="宋体" w:eastAsia="宋体" w:cs="宋体"/>
          <w:strike/>
          <w:color w:val="auto"/>
          <w:sz w:val="21"/>
          <w:szCs w:val="21"/>
          <w:highlight w:val="none"/>
        </w:rPr>
      </w:pPr>
      <w:r>
        <w:rPr>
          <w:rFonts w:ascii="宋体" w:eastAsia="宋体" w:cs="宋体"/>
          <w:strike/>
          <w:color w:val="auto"/>
          <w:sz w:val="21"/>
          <w:szCs w:val="21"/>
          <w:highlight w:val="none"/>
        </w:rPr>
        <w:t>c.投标评标价每高于评标基准价1个百分点，扣1分。</w:t>
      </w:r>
    </w:p>
    <w:p w14:paraId="2A7B9D80">
      <w:pPr>
        <w:spacing w:before="158" w:line="353" w:lineRule="auto"/>
        <w:ind w:left="11" w:right="119" w:firstLine="420" w:firstLineChars="200"/>
        <w:jc w:val="both"/>
        <w:rPr>
          <w:rFonts w:ascii="宋体" w:eastAsia="宋体" w:cs="宋体"/>
          <w:strike/>
          <w:color w:val="auto"/>
          <w:sz w:val="21"/>
          <w:szCs w:val="21"/>
          <w:highlight w:val="none"/>
        </w:rPr>
      </w:pPr>
      <w:r>
        <w:rPr>
          <w:rFonts w:ascii="宋体" w:eastAsia="宋体" w:cs="宋体"/>
          <w:strike/>
          <w:color w:val="auto"/>
          <w:sz w:val="21"/>
          <w:szCs w:val="21"/>
          <w:highlight w:val="none"/>
        </w:rPr>
        <w:t>以上报价得分不足一个百分点时，使用直线插入法计算，保留小数2位。投标文件的商务标评分不足10分的，计为10分。</w:t>
      </w:r>
    </w:p>
    <w:p w14:paraId="373306B3">
      <w:pPr>
        <w:spacing w:line="226" w:lineRule="auto"/>
        <w:ind w:left="505"/>
        <w:jc w:val="both"/>
        <w:rPr>
          <w:rFonts w:ascii="宋体" w:eastAsia="宋体" w:cs="宋体"/>
          <w:strike/>
          <w:color w:val="auto"/>
          <w:sz w:val="21"/>
          <w:szCs w:val="21"/>
          <w:highlight w:val="none"/>
        </w:rPr>
      </w:pPr>
      <w:r>
        <w:rPr>
          <w:rFonts w:hint="eastAsia" w:ascii="宋体" w:eastAsia="宋体" w:cs="宋体"/>
          <w:strike/>
          <w:color w:val="auto"/>
          <w:highlight w:val="none"/>
          <w:lang w:eastAsia="zh-CN"/>
        </w:rPr>
        <w:t>□</w:t>
      </w:r>
      <w:r>
        <w:rPr>
          <w:rFonts w:ascii="宋体" w:eastAsia="宋体" w:cs="宋体"/>
          <w:strike/>
          <w:color w:val="auto"/>
          <w:sz w:val="21"/>
          <w:szCs w:val="21"/>
          <w:highlight w:val="none"/>
        </w:rPr>
        <w:t>平均价下浮法（方法三）</w:t>
      </w:r>
    </w:p>
    <w:p w14:paraId="790E4FAB">
      <w:pPr>
        <w:spacing w:line="420" w:lineRule="exact"/>
        <w:ind w:firstLine="492"/>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（1）</w:t>
      </w:r>
      <w:r>
        <w:rPr>
          <w:rFonts w:ascii="宋体" w:eastAsia="宋体" w:cs="宋体"/>
          <w:strike/>
          <w:color w:val="auto"/>
          <w:sz w:val="21"/>
          <w:szCs w:val="21"/>
          <w:highlight w:val="none"/>
        </w:rPr>
        <w:t>评分范围：通过符合性审查的所有投标文件进入评分范围。</w:t>
      </w:r>
    </w:p>
    <w:p w14:paraId="3D5A71A7">
      <w:pPr>
        <w:spacing w:line="420" w:lineRule="exact"/>
        <w:ind w:firstLine="492"/>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（2）</w:t>
      </w:r>
      <w:r>
        <w:rPr>
          <w:rFonts w:ascii="宋体" w:eastAsia="宋体" w:cs="宋体"/>
          <w:strike/>
          <w:color w:val="auto"/>
          <w:sz w:val="21"/>
          <w:szCs w:val="21"/>
          <w:highlight w:val="none"/>
        </w:rPr>
        <w:t>报价平均值：进入评分范围的所有投标人的评标价的算术平均值为报价平均值</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其中，投标评标价在5个至7个时，去除一个最高价和一个最低价；投标评标价在8个及以上时，去除一个最高、次高价和一个最低、次低价</w:t>
      </w:r>
      <w:r>
        <w:rPr>
          <w:rFonts w:hint="eastAsia" w:ascii="宋体" w:eastAsia="宋体" w:cs="宋体"/>
          <w:strike/>
          <w:color w:val="auto"/>
          <w:sz w:val="21"/>
          <w:szCs w:val="21"/>
          <w:highlight w:val="none"/>
          <w:lang w:eastAsia="zh-CN"/>
        </w:rPr>
        <w:t>）</w:t>
      </w:r>
      <w:r>
        <w:rPr>
          <w:rFonts w:ascii="宋体" w:eastAsia="宋体" w:cs="宋体"/>
          <w:strike/>
          <w:color w:val="auto"/>
          <w:sz w:val="21"/>
          <w:szCs w:val="21"/>
          <w:highlight w:val="none"/>
        </w:rPr>
        <w:t>。</w:t>
      </w:r>
    </w:p>
    <w:p w14:paraId="071EF19E">
      <w:pPr>
        <w:spacing w:line="420" w:lineRule="exact"/>
        <w:ind w:firstLine="492"/>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（3）</w:t>
      </w:r>
      <w:r>
        <w:rPr>
          <w:rFonts w:ascii="宋体" w:eastAsia="宋体" w:cs="宋体"/>
          <w:strike/>
          <w:color w:val="auto"/>
          <w:sz w:val="21"/>
          <w:szCs w:val="21"/>
          <w:highlight w:val="none"/>
        </w:rPr>
        <w:t>评标基准值：</w:t>
      </w:r>
    </w:p>
    <w:p w14:paraId="786E04A0">
      <w:pPr>
        <w:spacing w:line="420" w:lineRule="exact"/>
        <w:ind w:firstLine="492"/>
        <w:jc w:val="both"/>
        <w:rPr>
          <w:rFonts w:ascii="宋体" w:eastAsia="宋体" w:cs="宋体"/>
          <w:strike/>
          <w:color w:val="auto"/>
          <w:sz w:val="21"/>
          <w:szCs w:val="21"/>
          <w:highlight w:val="none"/>
        </w:rPr>
      </w:pPr>
      <w:r>
        <w:rPr>
          <w:rFonts w:ascii="宋体" w:eastAsia="宋体" w:cs="宋体"/>
          <w:strike/>
          <w:color w:val="auto"/>
          <w:sz w:val="21"/>
          <w:szCs w:val="21"/>
          <w:highlight w:val="none"/>
        </w:rPr>
        <w:t>a.由招标人代表在开标</w:t>
      </w:r>
      <w:r>
        <w:rPr>
          <w:rFonts w:hint="eastAsia" w:ascii="宋体" w:eastAsia="宋体" w:cs="宋体"/>
          <w:strike/>
          <w:color w:val="auto"/>
          <w:sz w:val="21"/>
          <w:szCs w:val="21"/>
          <w:highlight w:val="none"/>
        </w:rPr>
        <w:t>室</w:t>
      </w:r>
      <w:r>
        <w:rPr>
          <w:rFonts w:ascii="宋体" w:eastAsia="宋体" w:cs="宋体"/>
          <w:strike/>
          <w:color w:val="auto"/>
          <w:sz w:val="21"/>
          <w:szCs w:val="21"/>
          <w:highlight w:val="none"/>
        </w:rPr>
        <w:t>从</w:t>
      </w:r>
      <w:r>
        <w:rPr>
          <w:rFonts w:hint="eastAsia" w:ascii="宋体" w:eastAsia="宋体" w:cs="宋体"/>
          <w:strike/>
          <w:color w:val="auto"/>
          <w:highlight w:val="none"/>
          <w:u w:val="single"/>
        </w:rPr>
        <w:t>0</w:t>
      </w:r>
      <w:r>
        <w:rPr>
          <w:rFonts w:ascii="宋体" w:eastAsia="宋体" w:cs="宋体"/>
          <w:strike/>
          <w:color w:val="auto"/>
          <w:sz w:val="21"/>
          <w:szCs w:val="21"/>
          <w:highlight w:val="none"/>
        </w:rPr>
        <w:t>%、</w:t>
      </w:r>
      <w:r>
        <w:rPr>
          <w:rFonts w:hint="eastAsia" w:ascii="宋体" w:eastAsia="宋体" w:cs="宋体"/>
          <w:strike/>
          <w:color w:val="auto"/>
          <w:highlight w:val="none"/>
          <w:u w:val="single"/>
        </w:rPr>
        <w:t>0.75</w:t>
      </w:r>
      <w:r>
        <w:rPr>
          <w:rFonts w:ascii="宋体" w:eastAsia="宋体" w:cs="宋体"/>
          <w:strike/>
          <w:color w:val="auto"/>
          <w:sz w:val="21"/>
          <w:szCs w:val="21"/>
          <w:highlight w:val="none"/>
        </w:rPr>
        <w:t>%、</w:t>
      </w:r>
      <w:r>
        <w:rPr>
          <w:rFonts w:hint="eastAsia" w:ascii="宋体" w:eastAsia="宋体" w:cs="宋体"/>
          <w:strike/>
          <w:color w:val="auto"/>
          <w:highlight w:val="none"/>
          <w:u w:val="single"/>
        </w:rPr>
        <w:t>1.50</w:t>
      </w:r>
      <w:r>
        <w:rPr>
          <w:rFonts w:ascii="宋体" w:eastAsia="宋体" w:cs="宋体"/>
          <w:strike/>
          <w:color w:val="auto"/>
          <w:sz w:val="21"/>
          <w:szCs w:val="21"/>
          <w:highlight w:val="none"/>
        </w:rPr>
        <w:t>%、</w:t>
      </w:r>
      <w:r>
        <w:rPr>
          <w:rFonts w:hint="eastAsia" w:ascii="宋体" w:eastAsia="宋体" w:cs="宋体"/>
          <w:strike/>
          <w:color w:val="auto"/>
          <w:highlight w:val="none"/>
          <w:u w:val="single"/>
        </w:rPr>
        <w:t>2.25</w:t>
      </w:r>
      <w:r>
        <w:rPr>
          <w:rFonts w:ascii="宋体" w:eastAsia="宋体" w:cs="宋体"/>
          <w:strike/>
          <w:color w:val="auto"/>
          <w:sz w:val="21"/>
          <w:szCs w:val="21"/>
          <w:highlight w:val="none"/>
        </w:rPr>
        <w:t>%、</w:t>
      </w:r>
      <w:r>
        <w:rPr>
          <w:rFonts w:hint="eastAsia" w:ascii="宋体" w:eastAsia="宋体" w:cs="宋体"/>
          <w:strike/>
          <w:color w:val="auto"/>
          <w:highlight w:val="none"/>
          <w:u w:val="single"/>
        </w:rPr>
        <w:t>3.0</w:t>
      </w:r>
      <w:r>
        <w:rPr>
          <w:rFonts w:hint="eastAsia" w:ascii="宋体" w:eastAsia="宋体" w:cs="宋体"/>
          <w:strike/>
          <w:color w:val="auto"/>
          <w:highlight w:val="none"/>
          <w:u w:val="single"/>
          <w:lang w:val="en-US" w:eastAsia="zh-CN"/>
        </w:rPr>
        <w:t>0</w:t>
      </w:r>
      <w:r>
        <w:rPr>
          <w:rFonts w:ascii="宋体" w:eastAsia="宋体" w:cs="宋体"/>
          <w:strike/>
          <w:color w:val="auto"/>
          <w:sz w:val="21"/>
          <w:szCs w:val="21"/>
          <w:highlight w:val="none"/>
        </w:rPr>
        <w:t>%中随机抽取一个百分数，作为下浮值；</w:t>
      </w:r>
      <w:r>
        <w:rPr>
          <w:rStyle w:val="38"/>
          <w:rFonts w:hint="eastAsia" w:ascii="宋体" w:eastAsia="宋体" w:cs="宋体"/>
          <w:strike/>
          <w:color w:val="auto"/>
          <w:highlight w:val="none"/>
        </w:rPr>
        <w:t>（招标人可在0%-10%范围内设定不少于5个数值，间距不少于3%，步长不低于0.5%）</w:t>
      </w:r>
    </w:p>
    <w:p w14:paraId="29CD6D1D">
      <w:pPr>
        <w:spacing w:line="420" w:lineRule="exact"/>
        <w:ind w:firstLine="492"/>
        <w:jc w:val="both"/>
        <w:rPr>
          <w:rFonts w:ascii="宋体" w:eastAsia="宋体" w:cs="宋体"/>
          <w:strike/>
          <w:color w:val="auto"/>
          <w:sz w:val="21"/>
          <w:szCs w:val="21"/>
          <w:highlight w:val="none"/>
        </w:rPr>
      </w:pPr>
      <w:r>
        <w:rPr>
          <w:rFonts w:ascii="宋体" w:eastAsia="宋体" w:cs="宋体"/>
          <w:strike/>
          <w:color w:val="auto"/>
          <w:sz w:val="21"/>
          <w:szCs w:val="21"/>
          <w:highlight w:val="none"/>
        </w:rPr>
        <w:t>b.评标委员会按以下公式计算出评标基准价：</w:t>
      </w:r>
    </w:p>
    <w:p w14:paraId="5BB9F750">
      <w:pPr>
        <w:spacing w:before="128" w:line="228" w:lineRule="auto"/>
        <w:ind w:left="480"/>
        <w:jc w:val="both"/>
        <w:rPr>
          <w:rFonts w:ascii="宋体" w:eastAsia="宋体" w:cs="宋体"/>
          <w:strike/>
          <w:color w:val="auto"/>
          <w:sz w:val="21"/>
          <w:szCs w:val="21"/>
          <w:highlight w:val="none"/>
        </w:rPr>
      </w:pPr>
      <w:r>
        <w:rPr>
          <w:rFonts w:ascii="宋体" w:eastAsia="宋体" w:cs="宋体"/>
          <w:strike/>
          <w:color w:val="auto"/>
          <w:sz w:val="21"/>
          <w:szCs w:val="21"/>
          <w:highlight w:val="none"/>
        </w:rPr>
        <w:t>评标基准价=报价平均值×(1-下浮值</w:t>
      </w:r>
      <w:r>
        <w:rPr>
          <w:rFonts w:hint="eastAsia" w:ascii="宋体" w:eastAsia="宋体" w:cs="宋体"/>
          <w:strike/>
          <w:color w:val="auto"/>
          <w:sz w:val="21"/>
          <w:szCs w:val="21"/>
          <w:highlight w:val="none"/>
          <w:lang w:eastAsia="zh-CN"/>
        </w:rPr>
        <w:t>）</w:t>
      </w:r>
    </w:p>
    <w:p w14:paraId="51A660FA">
      <w:pPr>
        <w:spacing w:before="157" w:line="228" w:lineRule="auto"/>
        <w:ind w:left="492"/>
        <w:jc w:val="both"/>
        <w:rPr>
          <w:rFonts w:ascii="宋体" w:eastAsia="宋体" w:cs="宋体"/>
          <w:strike/>
          <w:color w:val="auto"/>
          <w:sz w:val="21"/>
          <w:szCs w:val="21"/>
          <w:highlight w:val="none"/>
        </w:rPr>
      </w:pPr>
      <w:r>
        <w:rPr>
          <w:rFonts w:hint="eastAsia" w:ascii="宋体" w:eastAsia="宋体" w:cs="宋体"/>
          <w:strike/>
          <w:color w:val="auto"/>
          <w:sz w:val="21"/>
          <w:szCs w:val="21"/>
          <w:highlight w:val="none"/>
          <w:lang w:eastAsia="zh-CN"/>
        </w:rPr>
        <w:t>（4）</w:t>
      </w:r>
      <w:r>
        <w:rPr>
          <w:rFonts w:ascii="宋体" w:eastAsia="宋体" w:cs="宋体"/>
          <w:strike/>
          <w:color w:val="auto"/>
          <w:sz w:val="21"/>
          <w:szCs w:val="21"/>
          <w:highlight w:val="none"/>
        </w:rPr>
        <w:t>根据投标文件的投标评标价与评标基准价对比，计算投标人的商务报价的得分值。</w:t>
      </w:r>
    </w:p>
    <w:p w14:paraId="3A4B1287">
      <w:pPr>
        <w:spacing w:before="132" w:line="228" w:lineRule="auto"/>
        <w:ind w:left="19"/>
        <w:jc w:val="both"/>
        <w:rPr>
          <w:rFonts w:ascii="宋体" w:eastAsia="宋体" w:cs="宋体"/>
          <w:strike/>
          <w:color w:val="auto"/>
          <w:sz w:val="21"/>
          <w:szCs w:val="21"/>
          <w:highlight w:val="none"/>
        </w:rPr>
      </w:pPr>
      <w:r>
        <w:rPr>
          <w:rFonts w:ascii="宋体" w:eastAsia="宋体" w:cs="宋体"/>
          <w:strike/>
          <w:color w:val="auto"/>
          <w:sz w:val="21"/>
          <w:szCs w:val="21"/>
          <w:highlight w:val="none"/>
        </w:rPr>
        <w:t>即：</w:t>
      </w:r>
    </w:p>
    <w:p w14:paraId="472742D6">
      <w:pPr>
        <w:spacing w:before="156" w:line="439" w:lineRule="exact"/>
        <w:ind w:left="482"/>
        <w:jc w:val="both"/>
        <w:rPr>
          <w:rFonts w:ascii="宋体" w:eastAsia="宋体" w:cs="宋体"/>
          <w:strike/>
          <w:color w:val="auto"/>
          <w:sz w:val="21"/>
          <w:szCs w:val="21"/>
          <w:highlight w:val="none"/>
        </w:rPr>
      </w:pPr>
      <w:r>
        <w:rPr>
          <w:rFonts w:ascii="宋体" w:eastAsia="宋体" w:cs="宋体"/>
          <w:strike/>
          <w:color w:val="auto"/>
          <w:position w:val="15"/>
          <w:sz w:val="21"/>
          <w:szCs w:val="21"/>
          <w:highlight w:val="none"/>
        </w:rPr>
        <w:t>a.投标评标价等于评标基准价时，得满分</w:t>
      </w:r>
      <w:r>
        <w:rPr>
          <w:rFonts w:hint="eastAsia" w:ascii="宋体" w:eastAsia="宋体" w:cs="宋体"/>
          <w:strike/>
          <w:color w:val="auto"/>
          <w:position w:val="15"/>
          <w:sz w:val="21"/>
          <w:szCs w:val="21"/>
          <w:highlight w:val="none"/>
          <w:lang w:eastAsia="zh-CN"/>
        </w:rPr>
        <w:t>（</w:t>
      </w:r>
      <w:r>
        <w:rPr>
          <w:rFonts w:ascii="宋体" w:eastAsia="宋体" w:cs="宋体"/>
          <w:strike/>
          <w:color w:val="auto"/>
          <w:position w:val="15"/>
          <w:sz w:val="21"/>
          <w:szCs w:val="21"/>
          <w:highlight w:val="none"/>
        </w:rPr>
        <w:t>37分</w:t>
      </w:r>
      <w:r>
        <w:rPr>
          <w:rFonts w:hint="eastAsia" w:ascii="宋体" w:eastAsia="宋体" w:cs="宋体"/>
          <w:strike/>
          <w:color w:val="auto"/>
          <w:position w:val="15"/>
          <w:sz w:val="21"/>
          <w:szCs w:val="21"/>
          <w:highlight w:val="none"/>
          <w:lang w:eastAsia="zh-CN"/>
        </w:rPr>
        <w:t>）</w:t>
      </w:r>
      <w:r>
        <w:rPr>
          <w:rFonts w:ascii="宋体" w:eastAsia="宋体" w:cs="宋体"/>
          <w:strike/>
          <w:color w:val="auto"/>
          <w:position w:val="15"/>
          <w:sz w:val="21"/>
          <w:szCs w:val="21"/>
          <w:highlight w:val="none"/>
        </w:rPr>
        <w:t>；</w:t>
      </w:r>
    </w:p>
    <w:p w14:paraId="7B46AFD7">
      <w:pPr>
        <w:spacing w:line="228" w:lineRule="auto"/>
        <w:ind w:left="478"/>
        <w:jc w:val="both"/>
        <w:rPr>
          <w:rFonts w:ascii="宋体" w:eastAsia="宋体" w:cs="宋体"/>
          <w:strike/>
          <w:color w:val="auto"/>
          <w:sz w:val="21"/>
          <w:szCs w:val="21"/>
          <w:highlight w:val="none"/>
        </w:rPr>
      </w:pPr>
      <w:r>
        <w:rPr>
          <w:rFonts w:ascii="宋体" w:eastAsia="宋体" w:cs="宋体"/>
          <w:strike/>
          <w:color w:val="auto"/>
          <w:sz w:val="21"/>
          <w:szCs w:val="21"/>
          <w:highlight w:val="none"/>
        </w:rPr>
        <w:t>b.投标评标价每低于评标基准价1个百分点，扣0.5分；</w:t>
      </w:r>
    </w:p>
    <w:p w14:paraId="093896EC">
      <w:pPr>
        <w:spacing w:before="155" w:line="228" w:lineRule="auto"/>
        <w:ind w:left="486"/>
        <w:jc w:val="both"/>
        <w:rPr>
          <w:rFonts w:ascii="宋体" w:eastAsia="宋体" w:cs="宋体"/>
          <w:strike/>
          <w:color w:val="auto"/>
          <w:sz w:val="21"/>
          <w:szCs w:val="21"/>
          <w:highlight w:val="none"/>
        </w:rPr>
      </w:pPr>
      <w:r>
        <w:rPr>
          <w:rFonts w:ascii="宋体" w:eastAsia="宋体" w:cs="宋体"/>
          <w:strike/>
          <w:color w:val="auto"/>
          <w:sz w:val="21"/>
          <w:szCs w:val="21"/>
          <w:highlight w:val="none"/>
        </w:rPr>
        <w:t>c.投标评标价每高于评标基准价1个百分点，扣1分。</w:t>
      </w:r>
    </w:p>
    <w:p w14:paraId="31293767">
      <w:pPr>
        <w:spacing w:before="158" w:line="353" w:lineRule="auto"/>
        <w:ind w:left="11" w:right="79" w:firstLine="420" w:firstLineChars="200"/>
        <w:jc w:val="both"/>
        <w:rPr>
          <w:rFonts w:ascii="宋体" w:eastAsia="宋体" w:cs="宋体"/>
          <w:strike/>
          <w:color w:val="auto"/>
          <w:sz w:val="21"/>
          <w:szCs w:val="21"/>
          <w:highlight w:val="none"/>
        </w:rPr>
      </w:pPr>
      <w:r>
        <w:rPr>
          <w:rFonts w:ascii="宋体" w:eastAsia="宋体" w:cs="宋体"/>
          <w:strike/>
          <w:color w:val="auto"/>
          <w:sz w:val="21"/>
          <w:szCs w:val="21"/>
          <w:highlight w:val="none"/>
        </w:rPr>
        <w:t>以上报价得分不足一个百分点时，使用直线插入法计算，保留小数2位。投标文件的商务标评分不足10分的，计为10分。</w:t>
      </w:r>
    </w:p>
    <w:p w14:paraId="14CCD85D">
      <w:pPr>
        <w:spacing w:line="228" w:lineRule="auto"/>
        <w:ind w:left="493"/>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（五）</w:t>
      </w:r>
      <w:r>
        <w:rPr>
          <w:rFonts w:ascii="宋体" w:eastAsia="宋体" w:cs="宋体"/>
          <w:color w:val="auto"/>
          <w:sz w:val="21"/>
          <w:szCs w:val="21"/>
          <w:highlight w:val="none"/>
        </w:rPr>
        <w:t>投标文件的综合评分：投标文件的资信业绩评分、技术评分、商务评分的总和。</w:t>
      </w:r>
    </w:p>
    <w:p w14:paraId="00A6C391">
      <w:pPr>
        <w:spacing w:before="157" w:line="228" w:lineRule="auto"/>
        <w:ind w:left="493"/>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（六）</w:t>
      </w:r>
      <w:r>
        <w:rPr>
          <w:rFonts w:ascii="宋体" w:eastAsia="宋体" w:cs="宋体"/>
          <w:color w:val="auto"/>
          <w:sz w:val="21"/>
          <w:szCs w:val="21"/>
          <w:highlight w:val="none"/>
        </w:rPr>
        <w:t>对投标人进行排序，推荐中标候选人</w:t>
      </w:r>
    </w:p>
    <w:p w14:paraId="30D061B0">
      <w:pPr>
        <w:spacing w:before="154" w:line="353" w:lineRule="auto"/>
        <w:ind w:right="65" w:firstLine="498"/>
        <w:jc w:val="both"/>
        <w:rPr>
          <w:rFonts w:ascii="宋体" w:eastAsia="宋体" w:cs="宋体"/>
          <w:color w:val="auto"/>
          <w:sz w:val="21"/>
          <w:szCs w:val="21"/>
          <w:highlight w:val="none"/>
        </w:rPr>
      </w:pPr>
      <w:r>
        <w:rPr>
          <w:rFonts w:ascii="宋体" w:eastAsia="宋体" w:cs="宋体"/>
          <w:color w:val="auto"/>
          <w:sz w:val="21"/>
          <w:szCs w:val="21"/>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或</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记名投票表决</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方式排序。</w:t>
      </w:r>
    </w:p>
    <w:p w14:paraId="4B32B000">
      <w:pPr>
        <w:spacing w:before="1" w:line="228" w:lineRule="auto"/>
        <w:ind w:left="484"/>
        <w:jc w:val="both"/>
        <w:rPr>
          <w:rFonts w:ascii="宋体" w:eastAsia="宋体" w:cs="宋体"/>
          <w:color w:val="auto"/>
          <w:sz w:val="21"/>
          <w:szCs w:val="21"/>
          <w:highlight w:val="none"/>
        </w:rPr>
      </w:pPr>
      <w:r>
        <w:rPr>
          <w:rFonts w:ascii="宋体" w:eastAsia="宋体" w:cs="宋体"/>
          <w:color w:val="auto"/>
          <w:sz w:val="21"/>
          <w:szCs w:val="21"/>
          <w:highlight w:val="none"/>
        </w:rPr>
        <w:t>2.评标委员会根据投标人须知前附表7.1规定，确定中标人或推荐中标候选人。</w:t>
      </w:r>
    </w:p>
    <w:p w14:paraId="1E142737">
      <w:pPr>
        <w:spacing w:before="154" w:line="238" w:lineRule="auto"/>
        <w:ind w:left="485"/>
        <w:jc w:val="both"/>
        <w:outlineLvl w:val="1"/>
        <w:rPr>
          <w:rFonts w:ascii="宋体" w:eastAsia="宋体" w:cs="宋体"/>
          <w:color w:val="auto"/>
          <w:sz w:val="21"/>
          <w:szCs w:val="21"/>
          <w:highlight w:val="none"/>
        </w:rPr>
      </w:pPr>
      <w:bookmarkStart w:id="201" w:name="_Toc5758"/>
      <w:bookmarkStart w:id="202" w:name="_Toc2171"/>
      <w:bookmarkStart w:id="203" w:name="_Toc32628"/>
      <w:bookmarkStart w:id="204" w:name="_Toc13714"/>
      <w:r>
        <w:rPr>
          <w:rFonts w:ascii="宋体" w:eastAsia="宋体" w:cs="宋体"/>
          <w:color w:val="auto"/>
          <w:sz w:val="21"/>
          <w:szCs w:val="21"/>
          <w:highlight w:val="none"/>
        </w:rPr>
        <w:t>五、完成评标报告</w:t>
      </w:r>
      <w:bookmarkEnd w:id="201"/>
      <w:bookmarkEnd w:id="202"/>
      <w:bookmarkEnd w:id="203"/>
      <w:bookmarkEnd w:id="204"/>
    </w:p>
    <w:p w14:paraId="57CF3913">
      <w:pPr>
        <w:spacing w:before="154" w:line="353" w:lineRule="auto"/>
        <w:ind w:right="65" w:firstLine="498"/>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（一）</w:t>
      </w:r>
      <w:r>
        <w:rPr>
          <w:rFonts w:ascii="宋体" w:eastAsia="宋体" w:cs="宋体"/>
          <w:color w:val="auto"/>
          <w:sz w:val="21"/>
          <w:szCs w:val="21"/>
          <w:highlight w:val="none"/>
        </w:rPr>
        <w:t>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06E99AC6">
      <w:pPr>
        <w:spacing w:before="1" w:line="226" w:lineRule="auto"/>
        <w:ind w:left="493"/>
        <w:jc w:val="both"/>
        <w:rPr>
          <w:rFonts w:ascii="宋体" w:eastAsia="宋体" w:cs="宋体"/>
          <w:color w:val="auto"/>
          <w:sz w:val="21"/>
          <w:szCs w:val="21"/>
          <w:highlight w:val="none"/>
        </w:rPr>
      </w:pPr>
      <w:r>
        <w:rPr>
          <w:rFonts w:hint="eastAsia" w:ascii="宋体" w:eastAsia="宋体" w:cs="宋体"/>
          <w:color w:val="auto"/>
          <w:sz w:val="21"/>
          <w:szCs w:val="21"/>
          <w:highlight w:val="none"/>
          <w:lang w:eastAsia="zh-CN"/>
        </w:rPr>
        <w:t>（二）</w:t>
      </w:r>
      <w:r>
        <w:rPr>
          <w:rFonts w:ascii="宋体" w:eastAsia="宋体" w:cs="宋体"/>
          <w:color w:val="auto"/>
          <w:sz w:val="21"/>
          <w:szCs w:val="21"/>
          <w:highlight w:val="none"/>
        </w:rPr>
        <w:t>评标报告应包括以下内容：</w:t>
      </w:r>
    </w:p>
    <w:p w14:paraId="43E9E0C2">
      <w:pPr>
        <w:spacing w:before="157" w:line="441" w:lineRule="exact"/>
        <w:ind w:left="499"/>
        <w:jc w:val="both"/>
        <w:rPr>
          <w:rFonts w:ascii="宋体" w:eastAsia="宋体" w:cs="宋体"/>
          <w:color w:val="auto"/>
          <w:sz w:val="21"/>
          <w:szCs w:val="21"/>
          <w:highlight w:val="none"/>
        </w:rPr>
      </w:pPr>
      <w:r>
        <w:rPr>
          <w:rFonts w:ascii="宋体" w:eastAsia="宋体" w:cs="宋体"/>
          <w:color w:val="auto"/>
          <w:position w:val="15"/>
          <w:sz w:val="21"/>
          <w:szCs w:val="21"/>
          <w:highlight w:val="none"/>
        </w:rPr>
        <w:t>1.开标记录；</w:t>
      </w:r>
    </w:p>
    <w:p w14:paraId="6A6A5261">
      <w:pPr>
        <w:spacing w:line="312" w:lineRule="exact"/>
        <w:ind w:left="484"/>
        <w:jc w:val="both"/>
        <w:rPr>
          <w:rFonts w:ascii="宋体" w:eastAsia="宋体" w:cs="宋体"/>
          <w:color w:val="auto"/>
          <w:sz w:val="21"/>
          <w:szCs w:val="21"/>
          <w:highlight w:val="none"/>
        </w:rPr>
      </w:pPr>
      <w:r>
        <w:rPr>
          <w:rFonts w:ascii="宋体" w:eastAsia="宋体" w:cs="宋体"/>
          <w:color w:val="auto"/>
          <w:position w:val="1"/>
          <w:sz w:val="21"/>
          <w:szCs w:val="21"/>
          <w:highlight w:val="none"/>
        </w:rPr>
        <w:t>2.评标内容、过程和结果；</w:t>
      </w:r>
    </w:p>
    <w:p w14:paraId="45AF5446">
      <w:pPr>
        <w:spacing w:before="128" w:line="309" w:lineRule="exact"/>
        <w:ind w:left="486"/>
        <w:jc w:val="both"/>
        <w:rPr>
          <w:rFonts w:ascii="宋体" w:eastAsia="宋体" w:cs="宋体"/>
          <w:color w:val="auto"/>
          <w:sz w:val="21"/>
          <w:szCs w:val="21"/>
          <w:highlight w:val="none"/>
        </w:rPr>
      </w:pPr>
      <w:r>
        <w:rPr>
          <w:rFonts w:ascii="宋体" w:eastAsia="宋体" w:cs="宋体"/>
          <w:color w:val="auto"/>
          <w:position w:val="1"/>
          <w:sz w:val="21"/>
          <w:szCs w:val="21"/>
          <w:highlight w:val="none"/>
        </w:rPr>
        <w:t>3.询标澄清纪要；</w:t>
      </w:r>
    </w:p>
    <w:p w14:paraId="7EB3416C">
      <w:pPr>
        <w:spacing w:before="130" w:line="311" w:lineRule="exact"/>
        <w:ind w:left="480"/>
        <w:jc w:val="both"/>
        <w:rPr>
          <w:rFonts w:ascii="宋体" w:eastAsia="宋体" w:cs="宋体"/>
          <w:color w:val="auto"/>
          <w:sz w:val="21"/>
          <w:szCs w:val="21"/>
          <w:highlight w:val="none"/>
        </w:rPr>
      </w:pPr>
      <w:r>
        <w:rPr>
          <w:rFonts w:ascii="宋体" w:eastAsia="宋体" w:cs="宋体"/>
          <w:color w:val="auto"/>
          <w:position w:val="1"/>
          <w:sz w:val="21"/>
          <w:szCs w:val="21"/>
          <w:highlight w:val="none"/>
        </w:rPr>
        <w:t>4.否决投标情况说明及依据；</w:t>
      </w:r>
    </w:p>
    <w:p w14:paraId="61478757">
      <w:pPr>
        <w:spacing w:before="130" w:line="310" w:lineRule="exact"/>
        <w:ind w:left="486"/>
        <w:jc w:val="both"/>
        <w:rPr>
          <w:rFonts w:ascii="宋体" w:eastAsia="宋体" w:cs="宋体"/>
          <w:color w:val="auto"/>
          <w:sz w:val="21"/>
          <w:szCs w:val="21"/>
          <w:highlight w:val="none"/>
        </w:rPr>
      </w:pPr>
      <w:r>
        <w:rPr>
          <w:rFonts w:ascii="宋体" w:eastAsia="宋体" w:cs="宋体"/>
          <w:color w:val="auto"/>
          <w:position w:val="1"/>
          <w:sz w:val="21"/>
          <w:szCs w:val="21"/>
          <w:highlight w:val="none"/>
        </w:rPr>
        <w:t>5.推荐中标候选人；</w:t>
      </w:r>
    </w:p>
    <w:p w14:paraId="5D7C37A6">
      <w:pPr>
        <w:spacing w:before="130" w:line="324" w:lineRule="auto"/>
        <w:ind w:left="10" w:firstLine="473"/>
        <w:jc w:val="both"/>
        <w:rPr>
          <w:rFonts w:ascii="宋体" w:eastAsia="宋体" w:cs="宋体"/>
          <w:color w:val="auto"/>
          <w:sz w:val="21"/>
          <w:szCs w:val="21"/>
          <w:highlight w:val="none"/>
        </w:rPr>
      </w:pPr>
      <w:r>
        <w:rPr>
          <w:rFonts w:ascii="宋体" w:eastAsia="宋体" w:cs="宋体"/>
          <w:color w:val="auto"/>
          <w:sz w:val="21"/>
          <w:szCs w:val="21"/>
          <w:highlight w:val="none"/>
        </w:rPr>
        <w:t>6.中标候选人投标资格条件业绩和评分业绩</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招标文件对投标资格或评分有业绩要求的</w:t>
      </w:r>
      <w:r>
        <w:rPr>
          <w:rFonts w:hint="eastAsia" w:ascii="宋体" w:eastAsia="宋体" w:cs="宋体"/>
          <w:color w:val="auto"/>
          <w:sz w:val="21"/>
          <w:szCs w:val="21"/>
          <w:highlight w:val="none"/>
          <w:lang w:eastAsia="zh-CN"/>
        </w:rPr>
        <w:t>）</w:t>
      </w:r>
      <w:r>
        <w:rPr>
          <w:rFonts w:ascii="宋体" w:eastAsia="宋体" w:cs="宋体"/>
          <w:color w:val="auto"/>
          <w:sz w:val="21"/>
          <w:szCs w:val="21"/>
          <w:highlight w:val="none"/>
        </w:rPr>
        <w:t>；</w:t>
      </w:r>
    </w:p>
    <w:p w14:paraId="3DE18A53">
      <w:pPr>
        <w:spacing w:line="310" w:lineRule="exact"/>
        <w:ind w:left="487"/>
        <w:jc w:val="both"/>
        <w:rPr>
          <w:rFonts w:ascii="宋体" w:eastAsia="宋体" w:cs="宋体"/>
          <w:color w:val="auto"/>
          <w:sz w:val="23"/>
          <w:szCs w:val="23"/>
          <w:highlight w:val="none"/>
        </w:rPr>
      </w:pPr>
      <w:r>
        <w:rPr>
          <w:rFonts w:ascii="宋体" w:eastAsia="宋体" w:cs="宋体"/>
          <w:color w:val="auto"/>
          <w:position w:val="1"/>
          <w:sz w:val="21"/>
          <w:szCs w:val="21"/>
          <w:highlight w:val="none"/>
        </w:rPr>
        <w:t>7.其他建议。</w:t>
      </w:r>
    </w:p>
    <w:p w14:paraId="2624A704">
      <w:pPr>
        <w:jc w:val="both"/>
        <w:rPr>
          <w:color w:val="auto"/>
          <w:highlight w:val="none"/>
        </w:rPr>
        <w:sectPr>
          <w:footerReference r:id="rId16" w:type="default"/>
          <w:pgSz w:w="11907" w:h="16840"/>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pPr>
    </w:p>
    <w:p w14:paraId="7253954A">
      <w:pPr>
        <w:spacing w:before="0" w:line="440" w:lineRule="exact"/>
        <w:ind w:left="0"/>
        <w:jc w:val="center"/>
        <w:outlineLvl w:val="0"/>
        <w:rPr>
          <w:rFonts w:ascii="宋体" w:eastAsia="宋体" w:cs="宋体"/>
          <w:color w:val="auto"/>
          <w:sz w:val="36"/>
          <w:szCs w:val="36"/>
          <w:highlight w:val="none"/>
        </w:rPr>
      </w:pPr>
      <w:bookmarkStart w:id="205" w:name="_bookmark12"/>
      <w:bookmarkEnd w:id="205"/>
      <w:bookmarkStart w:id="206" w:name="_Toc1141"/>
      <w:bookmarkStart w:id="207" w:name="_Toc24791"/>
      <w:r>
        <w:rPr>
          <w:rFonts w:ascii="宋体" w:eastAsia="宋体" w:cs="宋体"/>
          <w:color w:val="auto"/>
          <w:sz w:val="36"/>
          <w:szCs w:val="36"/>
          <w:highlight w:val="none"/>
        </w:rPr>
        <w:t>第四章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合同条款及格式</w:t>
      </w:r>
      <w:bookmarkEnd w:id="206"/>
      <w:bookmarkEnd w:id="207"/>
    </w:p>
    <w:p w14:paraId="791C1739">
      <w:pPr>
        <w:shd w:val="clear"/>
        <w:spacing w:line="360" w:lineRule="auto"/>
        <w:ind w:firstLine="422" w:firstLineChars="200"/>
        <w:jc w:val="center"/>
        <w:rPr>
          <w:rFonts w:hint="eastAsia" w:ascii="宋体" w:hAnsi="宋体" w:eastAsia="宋体" w:cs="宋体"/>
          <w:b/>
          <w:bCs/>
          <w:color w:val="auto"/>
          <w:sz w:val="21"/>
          <w:szCs w:val="21"/>
          <w:highlight w:val="none"/>
        </w:rPr>
      </w:pPr>
      <w:bookmarkStart w:id="208" w:name="_Toc2786"/>
    </w:p>
    <w:p w14:paraId="473DE615">
      <w:pPr>
        <w:shd w:val="clear"/>
        <w:spacing w:line="360" w:lineRule="auto"/>
        <w:ind w:firstLine="422" w:firstLineChars="20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第一节通用合同条款</w:t>
      </w:r>
    </w:p>
    <w:p w14:paraId="69C30AD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1.一般约定</w:t>
      </w:r>
    </w:p>
    <w:p w14:paraId="4D1EA2CC">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1.1词语定义</w:t>
      </w:r>
    </w:p>
    <w:p w14:paraId="3498AC7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除专用合同条款另有约定外，合同中的下列词语应具有本款所赋予的含义。</w:t>
      </w:r>
    </w:p>
    <w:p w14:paraId="5023EC2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1.1.1合同</w:t>
      </w:r>
    </w:p>
    <w:p w14:paraId="6E2B145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1.1.1.1合同文件（或称合同）：指合同协议书、中标通知书、投标函、商务和技术偏差表、专用合同条款、通用合同条款、供货要求、分项报价表、中标设备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材料）技术性能指标的详细描述、技术服务和</w:t>
      </w:r>
      <w:r>
        <w:rPr>
          <w:rFonts w:hint="eastAsia" w:ascii="宋体" w:hAnsi="宋体" w:eastAsia="宋体" w:cs="宋体"/>
          <w:color w:val="auto"/>
          <w:sz w:val="21"/>
          <w:szCs w:val="21"/>
          <w:highlight w:val="none"/>
          <w:lang w:eastAsia="zh-CN"/>
        </w:rPr>
        <w:t>质量保证期</w:t>
      </w:r>
      <w:r>
        <w:rPr>
          <w:rFonts w:hint="eastAsia" w:ascii="宋体" w:hAnsi="宋体" w:eastAsia="宋体" w:cs="宋体"/>
          <w:color w:val="auto"/>
          <w:sz w:val="21"/>
          <w:szCs w:val="21"/>
          <w:highlight w:val="none"/>
        </w:rPr>
        <w:t>服务计划，以及其他构成合同组成部分的文件。</w:t>
      </w:r>
    </w:p>
    <w:p w14:paraId="6EB52FD1">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1.1.1.2合同协议书：指买方和卖方共同签署的合同协议书。</w:t>
      </w:r>
    </w:p>
    <w:p w14:paraId="483EEA51">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1.1.1.3中标通知书：指买方通知卖方中标的函件。</w:t>
      </w:r>
    </w:p>
    <w:p w14:paraId="52229F48">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1.1.1.4投标函：指由卖方填写并签署的，名为“投标函”的函件。</w:t>
      </w:r>
    </w:p>
    <w:p w14:paraId="37BF55F9">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1.1.1.5商务和技术偏差表：指卖方投标文件中的商务和技术偏差表。</w:t>
      </w:r>
    </w:p>
    <w:p w14:paraId="4153D94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1.1.1.6供货要求：指合同文件中名为“供货要求”的文件。</w:t>
      </w:r>
    </w:p>
    <w:p w14:paraId="37EEF1D3">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1.1.1.7中标设备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材料）技术性能指标的详细描述：指卖方投标文件中的投标设备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材料）技术性能指标的详细描述。</w:t>
      </w:r>
    </w:p>
    <w:p w14:paraId="35BC016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1.1.1.8技术服务和</w:t>
      </w:r>
      <w:r>
        <w:rPr>
          <w:rFonts w:hint="eastAsia" w:ascii="宋体" w:hAnsi="宋体" w:eastAsia="宋体" w:cs="宋体"/>
          <w:color w:val="auto"/>
          <w:sz w:val="21"/>
          <w:szCs w:val="21"/>
          <w:highlight w:val="none"/>
          <w:lang w:eastAsia="zh-CN"/>
        </w:rPr>
        <w:t>质量保证期</w:t>
      </w:r>
      <w:r>
        <w:rPr>
          <w:rFonts w:hint="eastAsia" w:ascii="宋体" w:hAnsi="宋体" w:eastAsia="宋体" w:cs="宋体"/>
          <w:color w:val="auto"/>
          <w:sz w:val="21"/>
          <w:szCs w:val="21"/>
          <w:highlight w:val="none"/>
        </w:rPr>
        <w:t>服务计划：指卖方投标文件中的技术服务和</w:t>
      </w:r>
      <w:r>
        <w:rPr>
          <w:rFonts w:hint="eastAsia" w:ascii="宋体" w:hAnsi="宋体" w:eastAsia="宋体" w:cs="宋体"/>
          <w:color w:val="auto"/>
          <w:sz w:val="21"/>
          <w:szCs w:val="21"/>
          <w:highlight w:val="none"/>
          <w:lang w:eastAsia="zh-CN"/>
        </w:rPr>
        <w:t>质量保证期</w:t>
      </w:r>
      <w:r>
        <w:rPr>
          <w:rFonts w:hint="eastAsia" w:ascii="宋体" w:hAnsi="宋体" w:eastAsia="宋体" w:cs="宋体"/>
          <w:color w:val="auto"/>
          <w:sz w:val="21"/>
          <w:szCs w:val="21"/>
          <w:highlight w:val="none"/>
        </w:rPr>
        <w:t>服务计划。</w:t>
      </w:r>
    </w:p>
    <w:p w14:paraId="3E017173">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1.1.1.9分项报价表：指卖方投标文件中的分项报价表。</w:t>
      </w:r>
    </w:p>
    <w:p w14:paraId="5D75C494">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1.1.1.10其他合同文件：指经合同双方当事人确认构成合同文件的其他文件。</w:t>
      </w:r>
    </w:p>
    <w:p w14:paraId="4869C8E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1.1.2合同当事人</w:t>
      </w:r>
    </w:p>
    <w:p w14:paraId="6A31BC3F">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1.1.2.1合同当事人：指买方和（或）卖方。</w:t>
      </w:r>
    </w:p>
    <w:p w14:paraId="62D2F7DE">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1.1.2.2买方：指与卖方签订合同协议书，购买合同设备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材料）和技术服务和</w:t>
      </w:r>
      <w:r>
        <w:rPr>
          <w:rFonts w:hint="eastAsia" w:ascii="宋体" w:hAnsi="宋体" w:eastAsia="宋体" w:cs="宋体"/>
          <w:color w:val="auto"/>
          <w:sz w:val="21"/>
          <w:szCs w:val="21"/>
          <w:highlight w:val="none"/>
          <w:lang w:eastAsia="zh-CN"/>
        </w:rPr>
        <w:t>质量保证期</w:t>
      </w:r>
      <w:r>
        <w:rPr>
          <w:rFonts w:hint="eastAsia" w:ascii="宋体" w:hAnsi="宋体" w:eastAsia="宋体" w:cs="宋体"/>
          <w:color w:val="auto"/>
          <w:sz w:val="21"/>
          <w:szCs w:val="21"/>
          <w:highlight w:val="none"/>
        </w:rPr>
        <w:t>服务的当事人，及其合法继承人。</w:t>
      </w:r>
    </w:p>
    <w:p w14:paraId="2592879C">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1.1.2.3卖方：指与买方签订合同协议书，提供合同设备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材料）和技术服务和</w:t>
      </w:r>
      <w:r>
        <w:rPr>
          <w:rFonts w:hint="eastAsia" w:ascii="宋体" w:hAnsi="宋体" w:eastAsia="宋体" w:cs="宋体"/>
          <w:color w:val="auto"/>
          <w:sz w:val="21"/>
          <w:szCs w:val="21"/>
          <w:highlight w:val="none"/>
          <w:lang w:eastAsia="zh-CN"/>
        </w:rPr>
        <w:t>质量保证期</w:t>
      </w:r>
      <w:r>
        <w:rPr>
          <w:rFonts w:hint="eastAsia" w:ascii="宋体" w:hAnsi="宋体" w:eastAsia="宋体" w:cs="宋体"/>
          <w:color w:val="auto"/>
          <w:sz w:val="21"/>
          <w:szCs w:val="21"/>
          <w:highlight w:val="none"/>
        </w:rPr>
        <w:t>服务的当事人，及其合法继承人。</w:t>
      </w:r>
    </w:p>
    <w:p w14:paraId="7D552074">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1.1.3合同价格</w:t>
      </w:r>
    </w:p>
    <w:p w14:paraId="3BB0461A">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1.1.3.1签约合同价：是签订合同时合同协议书中写明的合同总金额。</w:t>
      </w:r>
    </w:p>
    <w:p w14:paraId="6C02B13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1.1.3.2合同价格：指卖方按合同约定履行了全部合同义务后，买方应付给卖方的金额。</w:t>
      </w:r>
    </w:p>
    <w:p w14:paraId="3C84E8C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1.1.4合同设备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材料）：指卖方按合同约定应向买方提供的设备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材料）、装置、备品、备件、易损易耗件、配套使用的软件或其他辅助电子应用程序及技术资料，或其中任何一部分。</w:t>
      </w:r>
    </w:p>
    <w:p w14:paraId="4C3129E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1.1.5技术资料：指各种纸质及电子载体的与合同设备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材料）的设计、检验、安装、调试、考核、操作、维修以及保养等有关的技术指标、规格、图纸和说明文件。</w:t>
      </w:r>
    </w:p>
    <w:p w14:paraId="2BC3ECE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1.1.6安装：指对合同设备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材料）进行的组装、连接以及根据需要将合同设备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材料）固定在施工场地内一定的位置上，使其就位并与相关设备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材料）、工程实现连接。</w:t>
      </w:r>
    </w:p>
    <w:p w14:paraId="6770568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1.1.7调试：指在合同设备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材料）安装完成后，对合同设备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材料）所进行的调校和测试。</w:t>
      </w:r>
    </w:p>
    <w:p w14:paraId="4D5B0AEA">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1.1.8考核：指在合同设备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材料）调试完成后，对合同设备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材料）进行的用于确定其是否达到合同约定的技术性能考核指标的考核。</w:t>
      </w:r>
    </w:p>
    <w:p w14:paraId="484FE8B5">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1.1.9验收：指合同设备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材料）通过考核达到合同约定的技术性能考核指标后，买方作出接受合同设备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材料）的确认。</w:t>
      </w:r>
    </w:p>
    <w:p w14:paraId="3DA583E4">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1.1.10技术服务：指卖方按合同约定，在合同设备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材料）验收前，向买方提供的安装、调试服务，或者在由买方负责的安装、调试、考核中对买方进行的技术指导、协助、监督和培训等。</w:t>
      </w:r>
    </w:p>
    <w:p w14:paraId="136EC21E">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1.1.11质量保证期：指合同设备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材料）验收后，卖方按合同约定保证合同设备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材料）适当、稳定运行，并负责消除合同设备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材料）故障的期限。</w:t>
      </w:r>
    </w:p>
    <w:p w14:paraId="3A37101F">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1.1.12</w:t>
      </w:r>
      <w:r>
        <w:rPr>
          <w:rFonts w:hint="eastAsia" w:ascii="宋体" w:hAnsi="宋体" w:eastAsia="宋体" w:cs="宋体"/>
          <w:color w:val="auto"/>
          <w:sz w:val="21"/>
          <w:szCs w:val="21"/>
          <w:highlight w:val="none"/>
          <w:lang w:eastAsia="zh-CN"/>
        </w:rPr>
        <w:t>质量保证期</w:t>
      </w:r>
      <w:r>
        <w:rPr>
          <w:rFonts w:hint="eastAsia" w:ascii="宋体" w:hAnsi="宋体" w:eastAsia="宋体" w:cs="宋体"/>
          <w:color w:val="auto"/>
          <w:sz w:val="21"/>
          <w:szCs w:val="21"/>
          <w:highlight w:val="none"/>
        </w:rPr>
        <w:t>服务：指在质量保证期内，卖方向买方提供的合同设备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材料）维护服务、咨询服务、技术指导、协助以及对出现故障的合同设备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材料）进行修理或更换的服务。</w:t>
      </w:r>
    </w:p>
    <w:p w14:paraId="305007C8">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1.1.13工程</w:t>
      </w:r>
    </w:p>
    <w:p w14:paraId="6AC0488C">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1.1.13.1工程：指在专用合同条款中指明的，安装运行合同设备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材料）的工程。</w:t>
      </w:r>
    </w:p>
    <w:p w14:paraId="778FC0F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1.1.13.2施工场地（或称工地、施工现场）：指专用合同条款中指明的工程所在场所。</w:t>
      </w:r>
    </w:p>
    <w:p w14:paraId="1D45F5D8">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1.1.14天（或称日）：除特别指明外，指日历天。合同中按天计算时间的，开始当天不计入，从次日开始计算。合同约定的期间的最后一天是星期日或者其他法定休假日的，以休假日的次日为期间的最后一天。</w:t>
      </w:r>
    </w:p>
    <w:p w14:paraId="27AD89B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1.1.15月：按照公历月计算。合同中按月计算时间的，开始当天不计入，从次日开始计算。合同约定的期间的最后一天是星期日或者其他法定休假日的，以休假日的次日为期间的最后一天。</w:t>
      </w:r>
    </w:p>
    <w:p w14:paraId="5C3B58A8">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1.1.16书面形式：指合同文件、信件和数据电文（包括电报、电传、传真、电子数据交换和电子邮件）等可以有形地表现所载内容的形式。</w:t>
      </w:r>
    </w:p>
    <w:p w14:paraId="54754AA8">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1.2语言文字</w:t>
      </w:r>
    </w:p>
    <w:p w14:paraId="3310F0D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合同使用的语言文字为中文。专用术语使用外文的，应附有中文注释。</w:t>
      </w:r>
    </w:p>
    <w:p w14:paraId="4395060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1.3合同文件的优先顺序</w:t>
      </w:r>
    </w:p>
    <w:p w14:paraId="37C5F47C">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组成合同的各项文件应互相解释，互为说明。除专用合同条款另有约定外，解释合同文件的优先顺序如下：</w:t>
      </w:r>
    </w:p>
    <w:p w14:paraId="34C04810">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（1）合同协议书；</w:t>
      </w:r>
    </w:p>
    <w:p w14:paraId="330F89F3">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（2）中标通知书；</w:t>
      </w:r>
    </w:p>
    <w:p w14:paraId="6AEADA00">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（3）投标函；</w:t>
      </w:r>
    </w:p>
    <w:p w14:paraId="19EC0A2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（4）商务和技术偏差表；</w:t>
      </w:r>
    </w:p>
    <w:p w14:paraId="34F93E3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（5）专用合同条款；</w:t>
      </w:r>
    </w:p>
    <w:p w14:paraId="2B825044">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（6）通用合同条款；</w:t>
      </w:r>
    </w:p>
    <w:p w14:paraId="6B1CC3D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（7）供货要求；</w:t>
      </w:r>
    </w:p>
    <w:p w14:paraId="5DF4C5F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（8）分项报价表；</w:t>
      </w:r>
    </w:p>
    <w:p w14:paraId="0656759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（9）中标设备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材料）技术性能指标的详细描述；</w:t>
      </w:r>
    </w:p>
    <w:p w14:paraId="409E7A3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（10）技术服务和</w:t>
      </w:r>
      <w:r>
        <w:rPr>
          <w:rFonts w:hint="eastAsia" w:ascii="宋体" w:hAnsi="宋体" w:eastAsia="宋体" w:cs="宋体"/>
          <w:color w:val="auto"/>
          <w:sz w:val="21"/>
          <w:szCs w:val="21"/>
          <w:highlight w:val="none"/>
          <w:lang w:eastAsia="zh-CN"/>
        </w:rPr>
        <w:t>质量保证期</w:t>
      </w:r>
      <w:r>
        <w:rPr>
          <w:rFonts w:hint="eastAsia" w:ascii="宋体" w:hAnsi="宋体" w:eastAsia="宋体" w:cs="宋体"/>
          <w:color w:val="auto"/>
          <w:sz w:val="21"/>
          <w:szCs w:val="21"/>
          <w:highlight w:val="none"/>
        </w:rPr>
        <w:t>服务计划；</w:t>
      </w:r>
    </w:p>
    <w:p w14:paraId="3B96E740">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（11）其他合同文件。</w:t>
      </w:r>
    </w:p>
    <w:p w14:paraId="1F03C55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1.4合同的生效及变更</w:t>
      </w:r>
    </w:p>
    <w:p w14:paraId="5915D333">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1.4.1除专用合同条款另有约定外，买方和卖方的法定代表人（单位负责人）或其授权代表在合同协议书上签字并加盖单位章后，合同生效。</w:t>
      </w:r>
    </w:p>
    <w:p w14:paraId="15532EC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1.4.2除专用合同条款另有约定外，在合同履行过程中，如需对合同进行变更，双方应签订书面协议，并经双方法定代表人（单位负责人）或其授权代表签字并加盖单位章后生效。</w:t>
      </w:r>
    </w:p>
    <w:p w14:paraId="63EDFE0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1.5联络</w:t>
      </w:r>
    </w:p>
    <w:p w14:paraId="2B3B0AA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317E38D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1.5.2合同履行中或与合同有关的任何联络，送达到第1.5.1项指定的联系人即视为送达。</w:t>
      </w:r>
    </w:p>
    <w:p w14:paraId="4DD2AC4E">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1.5.3买方可以安排监理等相关人员作为买方人员，与卖方进行联络或参加合同设备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材料）的监造（如有）、交货前检验（如有）、开箱检验、安装、调试、考核、验收等，但应按照第1.5.1项的约定事先书面通知卖方。</w:t>
      </w:r>
    </w:p>
    <w:p w14:paraId="443CD2D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1.6联合体</w:t>
      </w:r>
    </w:p>
    <w:p w14:paraId="13BB72A1">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1.6.1卖方为联合体的，联合体各方应当共同与买方签订合同，并向买方为履行合同承担连带责任。</w:t>
      </w:r>
    </w:p>
    <w:p w14:paraId="22A17573">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1.6.2在合同履行过程中，未经买方同意，不得修改联合体协议。联合体协议中关于联合体成员间权利义务的划分，并不影响或减损联合体各方应就履行合同向买方承担的连带责任。</w:t>
      </w:r>
    </w:p>
    <w:p w14:paraId="49CB764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6E69BC0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1.7转让</w:t>
      </w:r>
    </w:p>
    <w:p w14:paraId="375F445E">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未经对方当事人书面同意，合同任何一方均不得转让其在合同项下的权利和（或）义务。</w:t>
      </w:r>
    </w:p>
    <w:p w14:paraId="1763E09C">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2.合同范围</w:t>
      </w:r>
    </w:p>
    <w:p w14:paraId="45849F99">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卖方应根据供货要求、中标设备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材料）技术性能指标的详细描述、技术服务和</w:t>
      </w:r>
      <w:r>
        <w:rPr>
          <w:rFonts w:hint="eastAsia" w:ascii="宋体" w:hAnsi="宋体" w:eastAsia="宋体" w:cs="宋体"/>
          <w:color w:val="auto"/>
          <w:sz w:val="21"/>
          <w:szCs w:val="21"/>
          <w:highlight w:val="none"/>
          <w:lang w:eastAsia="zh-CN"/>
        </w:rPr>
        <w:t>质量保证期</w:t>
      </w:r>
      <w:r>
        <w:rPr>
          <w:rFonts w:hint="eastAsia" w:ascii="宋体" w:hAnsi="宋体" w:eastAsia="宋体" w:cs="宋体"/>
          <w:color w:val="auto"/>
          <w:sz w:val="21"/>
          <w:szCs w:val="21"/>
          <w:highlight w:val="none"/>
        </w:rPr>
        <w:t>服务计划等合同文件的约定向买方提供合同设备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材料）、技术服务和</w:t>
      </w:r>
      <w:r>
        <w:rPr>
          <w:rFonts w:hint="eastAsia" w:ascii="宋体" w:hAnsi="宋体" w:eastAsia="宋体" w:cs="宋体"/>
          <w:color w:val="auto"/>
          <w:sz w:val="21"/>
          <w:szCs w:val="21"/>
          <w:highlight w:val="none"/>
          <w:lang w:eastAsia="zh-CN"/>
        </w:rPr>
        <w:t>质量保证期</w:t>
      </w:r>
      <w:r>
        <w:rPr>
          <w:rFonts w:hint="eastAsia" w:ascii="宋体" w:hAnsi="宋体" w:eastAsia="宋体" w:cs="宋体"/>
          <w:color w:val="auto"/>
          <w:sz w:val="21"/>
          <w:szCs w:val="21"/>
          <w:highlight w:val="none"/>
        </w:rPr>
        <w:t>服务。</w:t>
      </w:r>
    </w:p>
    <w:p w14:paraId="05083599">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3.合同价格与支付</w:t>
      </w:r>
    </w:p>
    <w:p w14:paraId="30B4BDA0">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3.1合同价格</w:t>
      </w:r>
    </w:p>
    <w:p w14:paraId="0C48BE2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3.1.1合同协议书中载明的签约合同价包括卖方为完成合同全部义务应承担的一切成本、费用和支出以及卖方的合理利润。</w:t>
      </w:r>
    </w:p>
    <w:p w14:paraId="27FD23F5">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3.1.2除专用合同条款另有约定外，签约合同价为固定价格。</w:t>
      </w:r>
    </w:p>
    <w:p w14:paraId="7A5AB98A">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3.2合同价款的支付</w:t>
      </w:r>
    </w:p>
    <w:p w14:paraId="0C48CB7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除专用合同条款另有约定外，买方应通过以下方式和比例向卖方支付合同价款：</w:t>
      </w:r>
    </w:p>
    <w:p w14:paraId="4C85AC62">
      <w:pPr>
        <w:shd w:val="clear"/>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3.2.1</w:t>
      </w:r>
      <w:r>
        <w:rPr>
          <w:rFonts w:hint="eastAsia" w:ascii="宋体" w:hAnsi="宋体" w:eastAsia="宋体" w:cs="宋体"/>
          <w:color w:val="auto"/>
          <w:sz w:val="21"/>
          <w:szCs w:val="21"/>
          <w:highlight w:val="none"/>
        </w:rPr>
        <w:t>预付款：</w:t>
      </w:r>
      <w:r>
        <w:rPr>
          <w:rFonts w:hint="eastAsia" w:ascii="宋体" w:hAnsi="宋体" w:eastAsia="宋体" w:cs="宋体"/>
          <w:color w:val="auto"/>
          <w:sz w:val="21"/>
          <w:szCs w:val="21"/>
          <w:highlight w:val="none"/>
          <w:lang w:eastAsia="zh-CN"/>
        </w:rPr>
        <w:t>不支付预付款</w:t>
      </w:r>
      <w:r>
        <w:rPr>
          <w:rFonts w:hint="eastAsia" w:ascii="宋体" w:hAnsi="宋体" w:eastAsia="宋体" w:cs="宋体"/>
          <w:color w:val="auto"/>
          <w:sz w:val="21"/>
          <w:szCs w:val="21"/>
          <w:highlight w:val="none"/>
        </w:rPr>
        <w:t>。</w:t>
      </w:r>
    </w:p>
    <w:p w14:paraId="7BA8DDC5">
      <w:pPr>
        <w:shd w:val="clear"/>
        <w:spacing w:line="360" w:lineRule="auto"/>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3.2.2</w:t>
      </w:r>
      <w:r>
        <w:rPr>
          <w:rFonts w:hint="eastAsia" w:ascii="宋体" w:hAnsi="宋体" w:eastAsia="宋体" w:cs="宋体"/>
          <w:color w:val="auto"/>
          <w:sz w:val="21"/>
          <w:szCs w:val="21"/>
          <w:highlight w:val="none"/>
        </w:rPr>
        <w:t>进度款：合同签订后，由卖方实施供货，货物运至买方指定地点并安装完成通过验收合格后，按每三个月为一个结算周期进行结算；买方于每个结算周期期满后</w:t>
      </w:r>
      <w:r>
        <w:rPr>
          <w:rFonts w:hint="eastAsia" w:ascii="宋体" w:hAnsi="宋体" w:eastAsia="宋体" w:cs="宋体"/>
          <w:color w:val="auto"/>
          <w:sz w:val="21"/>
          <w:szCs w:val="21"/>
          <w:highlight w:val="none"/>
          <w:lang w:val="en-US" w:eastAsia="zh-CN"/>
        </w:rPr>
        <w:t>15天内</w:t>
      </w:r>
      <w:r>
        <w:rPr>
          <w:rFonts w:hint="eastAsia" w:ascii="宋体" w:hAnsi="宋体" w:eastAsia="宋体" w:cs="宋体"/>
          <w:color w:val="auto"/>
          <w:sz w:val="21"/>
          <w:szCs w:val="21"/>
          <w:highlight w:val="none"/>
        </w:rPr>
        <w:t>，向卖方支付至上</w:t>
      </w:r>
      <w:r>
        <w:rPr>
          <w:rFonts w:hint="eastAsia" w:ascii="宋体" w:hAnsi="宋体" w:eastAsia="宋体" w:cs="宋体"/>
          <w:color w:val="auto"/>
          <w:sz w:val="21"/>
          <w:szCs w:val="21"/>
          <w:highlight w:val="none"/>
          <w:lang w:val="en-US" w:eastAsia="zh-CN"/>
        </w:rPr>
        <w:t>个周期</w:t>
      </w:r>
      <w:r>
        <w:rPr>
          <w:rFonts w:hint="eastAsia" w:ascii="宋体" w:hAnsi="宋体" w:eastAsia="宋体" w:cs="宋体"/>
          <w:color w:val="auto"/>
          <w:sz w:val="21"/>
          <w:szCs w:val="21"/>
          <w:highlight w:val="none"/>
        </w:rPr>
        <w:t>已验收合格货物总价款的70%</w:t>
      </w:r>
      <w:r>
        <w:rPr>
          <w:rFonts w:hint="eastAsia" w:ascii="宋体" w:hAnsi="宋体" w:eastAsia="宋体" w:cs="宋体"/>
          <w:color w:val="auto"/>
          <w:sz w:val="21"/>
          <w:szCs w:val="21"/>
          <w:highlight w:val="none"/>
          <w:lang w:val="en-US" w:eastAsia="zh-CN"/>
        </w:rPr>
        <w:t>货款。</w:t>
      </w:r>
    </w:p>
    <w:p w14:paraId="22B93278">
      <w:pPr>
        <w:shd w:val="clear"/>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3.2.3</w:t>
      </w:r>
      <w:r>
        <w:rPr>
          <w:rFonts w:hint="eastAsia" w:ascii="宋体" w:hAnsi="宋体" w:eastAsia="宋体" w:cs="宋体"/>
          <w:color w:val="auto"/>
          <w:sz w:val="21"/>
          <w:szCs w:val="21"/>
          <w:highlight w:val="none"/>
        </w:rPr>
        <w:t>尾款：项目竣工验收合格后，无任何违反合同条款情况后支付</w:t>
      </w:r>
      <w:r>
        <w:rPr>
          <w:rFonts w:hint="eastAsia" w:ascii="宋体" w:hAnsi="宋体" w:eastAsia="宋体" w:cs="宋体"/>
          <w:color w:val="auto"/>
          <w:sz w:val="21"/>
          <w:szCs w:val="21"/>
          <w:highlight w:val="none"/>
          <w:lang w:eastAsia="zh-CN"/>
        </w:rPr>
        <w:t>至</w:t>
      </w:r>
      <w:r>
        <w:rPr>
          <w:rFonts w:hint="eastAsia" w:ascii="宋体" w:hAnsi="宋体" w:eastAsia="宋体" w:cs="宋体"/>
          <w:color w:val="auto"/>
          <w:sz w:val="21"/>
          <w:szCs w:val="21"/>
          <w:highlight w:val="none"/>
        </w:rPr>
        <w:t>供货总价的98.5%。并同时退还履约保证金（如果以保函的形式递交的，退还保函）。</w:t>
      </w:r>
    </w:p>
    <w:p w14:paraId="4BF4CDDA">
      <w:pPr>
        <w:shd w:val="clear"/>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3.2.4</w:t>
      </w:r>
      <w:r>
        <w:rPr>
          <w:rFonts w:hint="eastAsia" w:ascii="宋体" w:hAnsi="宋体" w:eastAsia="宋体" w:cs="宋体"/>
          <w:color w:val="auto"/>
          <w:sz w:val="21"/>
          <w:szCs w:val="21"/>
          <w:highlight w:val="none"/>
        </w:rPr>
        <w:t>质保金：实际供货总价的1.5%作为质量保证金，质量保证期内无发生质量问题，质量保证期满后全额付清。</w:t>
      </w:r>
    </w:p>
    <w:p w14:paraId="0431C2F6">
      <w:pPr>
        <w:shd w:val="clear"/>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3.2.5</w:t>
      </w:r>
      <w:r>
        <w:rPr>
          <w:rFonts w:hint="eastAsia" w:ascii="宋体" w:hAnsi="宋体" w:eastAsia="宋体" w:cs="宋体"/>
          <w:color w:val="auto"/>
          <w:sz w:val="21"/>
          <w:szCs w:val="21"/>
          <w:highlight w:val="none"/>
        </w:rPr>
        <w:t>发票应随付款申请书同时提供（按照国家有关规定缴纳相应税费，开具增值税专票，若在合同履行期间，如遇国家的增值税税率调整则按新税率执行）。</w:t>
      </w:r>
    </w:p>
    <w:p w14:paraId="1389262C">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3.3买方扣款的权利</w:t>
      </w:r>
    </w:p>
    <w:p w14:paraId="1DBAC8C0">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当卖方应向买方支付合同项下的违约金或赔偿金时，买方有权从上述任何一笔应付款中予以直接扣除和（或）兑付履约保证金。</w:t>
      </w:r>
    </w:p>
    <w:p w14:paraId="5B6CD110">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4.监造及交货前检验</w:t>
      </w:r>
    </w:p>
    <w:p w14:paraId="47CE069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4.1监造</w:t>
      </w:r>
    </w:p>
    <w:p w14:paraId="7E4C7164">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专用合同条款约定买方对合同设备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材料）进行监造的，双方应按本款及专用合同条款约定履行。</w:t>
      </w:r>
    </w:p>
    <w:p w14:paraId="72D0C8F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4.1.1在合同设备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材料）的制造过程中，买方可派出监造人员，对合同设备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材料）的生产制造进行监造，</w:t>
      </w:r>
    </w:p>
    <w:p w14:paraId="3C5F6601">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监督合同设备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材料）制造、检验等情况。监造的范围、方式等应符合专用合同条款和（或）供货要求等合同文件的约定。</w:t>
      </w:r>
    </w:p>
    <w:p w14:paraId="0AD1D6D4">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0C37DADA">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4.1.3卖方制订生产制造合同设备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材料）的进度计划时，应将买方监造纳入计划安排，并提前通知买方；买方进行监造不应影响合同设备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材料）的正常生产。除专用合同条款和（或）供货要求等合同文件另有约定外，卖方应提前7日将需要买方监造人员现场监造事项通知买方；如买方监造人员未按通知出席，不影响合同设备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材料）及其关键部件的制造或检验，但买方监造人员有权事后了解、查阅、复制相关制造或检验记录。</w:t>
      </w:r>
    </w:p>
    <w:p w14:paraId="49BC6F0A">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4.1.4买方监造人员在监造中如发现合同设备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材料）及其关键部件不符合合同约定的标准，则有权提出意见和建议。卖方应采取必要措施消除合同设备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材料）的不符，由此增加的费用和（或）造成的延误由卖方负责。</w:t>
      </w:r>
    </w:p>
    <w:p w14:paraId="142E145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4.1.5买方监造人员对合同设备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材料）的监造，不视为对合同设备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材料）质量的确认，不影响卖方交货后买方依照合同约定对合同设备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材料）提出质量异议和（或）退货的权利，也不免除卖方依照合同约定对合同设备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材料）所应承担的任何义务或责任。</w:t>
      </w:r>
    </w:p>
    <w:p w14:paraId="6922E1F9">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4.2交货前检验</w:t>
      </w:r>
    </w:p>
    <w:p w14:paraId="247CAA1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专用合同条款约定买方参与交货前检验的，双方应按本款及专用合同条款约定履行。</w:t>
      </w:r>
    </w:p>
    <w:p w14:paraId="4981A7F0">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4.2.1合同设备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材料）交货前，卖方应会同买方代表根据合同约定对合同设备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20A344C4">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4.2.2除专用合同条款和（或）供货要求等合同文件另有约定外，卖方应提前7日将需要买方代表检验事项通知买方；如买方代表未按通知出席，不影响合同设备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材料）的检验。若卖方未依照合同约定提前通知买方而自行检验，则买方有权要求卖方暂停发货并重新进行检验，由此增加的费用和（或）造成的延误由卖方负责。</w:t>
      </w:r>
    </w:p>
    <w:p w14:paraId="333D242C">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4.2.3买方代表在检验中如发现合同设备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材料）不符合合同约定的标准，则有权提出异议。卖方应采取必要措施消除合同设备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材料）的不符，由此增加的费用和（或）造成的延误由卖方负责。</w:t>
      </w:r>
    </w:p>
    <w:p w14:paraId="2CA8844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4.2.4买方代表参与交货前检验及签署交货前检验记录的行为，不视为对合同设备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材料）质量的确认，不影响卖方交货后买方依照合同约定对合同设备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材料）提出质量异议和（或）退货的权利，也不免除卖方依照合同约定对合同设备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材料）所应承担的任何义务或责任。</w:t>
      </w:r>
    </w:p>
    <w:p w14:paraId="535DDF2E">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5.包装、标记、运输和交付</w:t>
      </w:r>
    </w:p>
    <w:p w14:paraId="4C3DE54A">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5.1包装</w:t>
      </w:r>
    </w:p>
    <w:p w14:paraId="7E1F31D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5.1.1卖方应对合同设备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材料）进行妥善包装，以满足合同设备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材料）运至施工场地及在施工场地保管的需要。包装应采取防潮、防晒、防锈、防腐蚀、防震动及防止其他损坏的必要保护措施，从而保护合同设备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材料）能够经受多次搬运、装卸、长途运输并适宜保管。</w:t>
      </w:r>
    </w:p>
    <w:p w14:paraId="29A23D4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5.1.2每个独立包装箱内应附装箱清单、质量合格证、装配图、说明书、操作指南等资料。</w:t>
      </w:r>
    </w:p>
    <w:p w14:paraId="72893D84">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5.1.3除专用合同条款另有约定外，买方无需将包装物退还给卖方。</w:t>
      </w:r>
    </w:p>
    <w:p w14:paraId="3F08CAB9">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5.2标记</w:t>
      </w:r>
    </w:p>
    <w:p w14:paraId="7BA29D4E">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5.2.1除专用合同条款另有约定外，卖方应在每一包装箱相邻的四个侧面以不可擦除的、明显的方式标记必要的装运信息和标记，以满足合同设备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材料）运输和保管的需要。</w:t>
      </w:r>
    </w:p>
    <w:p w14:paraId="7BC53B58">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5.2.2根据合同设备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材料）中含有易燃易爆物品、腐蚀物品、放射性物质等危险品，则应在包装箱上标明危险品标志。</w:t>
      </w:r>
    </w:p>
    <w:p w14:paraId="69D2C03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5.3运输</w:t>
      </w:r>
    </w:p>
    <w:p w14:paraId="5B4478D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5.3.1卖方应自行选择适宜的运输工具及线路安排合同设备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材料）运输。</w:t>
      </w:r>
    </w:p>
    <w:p w14:paraId="6B389F8A">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5.3.2除专用合同条款另有约定外，每件能够独立运行的设备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材料）应整套装运。该设备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材料）安装、调试、考核和运行所使用的备品、备件、易损易耗件等应随相关的主机一齐装运。</w:t>
      </w:r>
    </w:p>
    <w:p w14:paraId="1EC996A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5.3.3除专用合同条款另有约定外，卖方应在合同设备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材料）预计启运7日前，将合同设备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材料）名称、数量、箱数、总毛重、总体积（用m</w:t>
      </w:r>
      <w:r>
        <w:rPr>
          <w:rFonts w:hint="eastAsia" w:ascii="宋体" w:hAnsi="宋体" w:eastAsia="宋体" w:cs="宋体"/>
          <w:color w:val="auto"/>
          <w:sz w:val="21"/>
          <w:szCs w:val="21"/>
          <w:highlight w:val="none"/>
          <w:vertAlign w:val="superscript"/>
        </w:rPr>
        <w:t>3</w:t>
      </w:r>
      <w:r>
        <w:rPr>
          <w:rFonts w:hint="eastAsia" w:ascii="宋体" w:hAnsi="宋体" w:eastAsia="宋体" w:cs="宋体"/>
          <w:color w:val="auto"/>
          <w:sz w:val="21"/>
          <w:szCs w:val="21"/>
          <w:highlight w:val="none"/>
        </w:rPr>
        <w:t>表示）、每箱尺寸（长×宽×高）、装运合同设备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材料）总金额、运输方式、预计交付日期和合同设备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材料）在运输、装卸、保管中的注意事项等预通知买方，并在合同设备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材料）启运后24小时之内正式通知买方。</w:t>
      </w:r>
    </w:p>
    <w:p w14:paraId="5F6CB6B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5.3.4卖方在根据第5.3.3项进行通知时，如果发运合同设备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材料）中包括专用合同条款约定的超大超重包装，则卖方应将超大和（或）超重的每个包装箱的重量和尺寸通知买方；如果发运合同设备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材料）中包括易燃易爆物品、腐蚀物品、放射性物质等危险品，则危险品的品名、性质、在运输、装卸、保管方面的特殊要求、注意事项和处理意外情况的方法等，也应一并通知买方。</w:t>
      </w:r>
    </w:p>
    <w:p w14:paraId="24DFF2B1">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5.4交付</w:t>
      </w:r>
    </w:p>
    <w:p w14:paraId="3663876E">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5.4.1除专用合同条款另有约定外，卖方应根据合同约定的交付时间和批次在施工场地车面上将合同设备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材料）交付给买方。买方对卖方交付的包装的合同设备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材料）的外观及件数进行清点核验后应签发收货清单，并自负风险和费用进行卸货。买方签发收货清单不代表对合同设备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材料）的接受，双方还应按合同约定进行后续的检验和验收。</w:t>
      </w:r>
    </w:p>
    <w:p w14:paraId="5887536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5.4.2合同设备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材料）的所有权和风险自交付时起由卖方转移至买方，合同设备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材料）交付给买方之前包括运输在内的所有风险均由卖方承担。</w:t>
      </w:r>
    </w:p>
    <w:p w14:paraId="5CEAA6F8">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29345001">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6.开箱检验、安装、调试、考核、验收</w:t>
      </w:r>
    </w:p>
    <w:p w14:paraId="362E2765">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6.1开箱检验</w:t>
      </w:r>
    </w:p>
    <w:p w14:paraId="634C8E8C">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6.1.1合同设备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材料）交付后应进行开箱检验，即合同设备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材料）数量及外观检验。开箱检验在专用合同</w:t>
      </w:r>
    </w:p>
    <w:p w14:paraId="3A752D98">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条款约定的下列任一种时间进行：</w:t>
      </w:r>
    </w:p>
    <w:p w14:paraId="5608CD3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材料）交付时；</w:t>
      </w:r>
    </w:p>
    <w:p w14:paraId="3B0C9DD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材料）交付后的一定期限内。如开箱检验不在合同设备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材料）交付时进行，买方应在开箱检验3日前将开箱检验的时间和地点通知卖方。</w:t>
      </w:r>
    </w:p>
    <w:p w14:paraId="08F3E8C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6.1.2除专用合同条款另有约定外，合同设备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材料）的开箱检验应在施工场地进行。</w:t>
      </w:r>
    </w:p>
    <w:p w14:paraId="5AE669D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6.1.3开箱检验由买卖双方共同进行，卖方应</w:t>
      </w:r>
      <w:r>
        <w:rPr>
          <w:rFonts w:hint="eastAsia" w:ascii="宋体" w:hAnsi="宋体" w:eastAsia="宋体" w:cs="宋体"/>
          <w:color w:val="auto"/>
          <w:sz w:val="21"/>
          <w:szCs w:val="21"/>
          <w:highlight w:val="none"/>
          <w:lang w:eastAsia="zh-CN"/>
        </w:rPr>
        <w:t>自付</w:t>
      </w:r>
      <w:r>
        <w:rPr>
          <w:rFonts w:hint="eastAsia" w:ascii="宋体" w:hAnsi="宋体" w:eastAsia="宋体" w:cs="宋体"/>
          <w:color w:val="auto"/>
          <w:sz w:val="21"/>
          <w:szCs w:val="21"/>
          <w:highlight w:val="none"/>
        </w:rPr>
        <w:t>费用派遣代表到场参加开箱检验。</w:t>
      </w:r>
    </w:p>
    <w:p w14:paraId="094C8661">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6.1.4在开箱检验中，买方和卖方应共同签署数量、外观检验报告，报告应列明检验结果，包括检验合格或发现的任何短缺、损坏或其他与合同约定不符的情形。</w:t>
      </w:r>
    </w:p>
    <w:p w14:paraId="7DA82F69">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51790931">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6.1.6如开箱检验不在合同设备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材料）交付时进行，则合同设备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材料）交付以后到开箱检验之前，应由买方负责按交货时外包装原样对合同设备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材料）进行妥善保管。除专用合同条款另有约定外，在开箱检验时如果合同设备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材料）外包装与交货时一致，则开箱检验中发现的合同设备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材料）的短缺、损坏或其他与合同约定不符的情形，由卖方负责，卖方应补齐、更换及采取其他补救措施。如果在开箱检验时合同设备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材料）外包装不是交货时的包装或虽是交货时的包装但与交货时不一致且出现很可能导致合同设备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材料）短缺或损坏的包装破损，则开箱检验中发现合同设备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材料）短缺、损坏或其他与合同约定不符的情形的风险，由买方承担，但买方能够证明是由于卖方原因或合同设备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材料）交付前非买方原因导致的除外。</w:t>
      </w:r>
    </w:p>
    <w:p w14:paraId="50129B55">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6.1.7如双方在专用合同条款和（或）供货要求等合同文件中约定由第三方检测机构对合同设备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材料）进行开箱检验或在开箱检验过程中另行约定由第三方检验的，则第三方检测机构的检验结果对双方均具有约束力。</w:t>
      </w:r>
    </w:p>
    <w:p w14:paraId="05B05BE3">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6.1.8开箱检验的检验结果不能对抗在合同设备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材料）的安装、调试、考核、验收中及质量保证期内发现的合同设备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材料）质量问题，也不能免除或影响卖方依照合同约定对买方负有的包括合同设备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材料）质量在内的任何义务或责任。</w:t>
      </w:r>
    </w:p>
    <w:p w14:paraId="016BF4A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6.2安装、调试</w:t>
      </w:r>
    </w:p>
    <w:p w14:paraId="08E565CA">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6.2.1开箱检验完成后，双方应对合同设备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材料）进行安装、调试，以使其具备考核的状态。安装、调试应按照专用合同条款约定的下列任一种方式进行：</w:t>
      </w:r>
    </w:p>
    <w:p w14:paraId="3EDEEEAF">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（1）卖方按照合同约定完成合同设备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材料）的安装、调试工作；</w:t>
      </w:r>
    </w:p>
    <w:p w14:paraId="759088D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（2）买方或买方安排第三方负责合同设备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材料）的安装、调试工作，卖方提供技术服务。除专用合同条款另有约定外，在安装、调试过程中，如由于买方或买方安排的第三方未按照卖方现场服务人员的指导导致安装、调试不成功和（或）出现合同设备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材料）损坏，买方应自行承担责任。如在买方或买方安排的第三方按照卖方现场服务人员的指导进行安装、调试的情况下出现安装、调试不成功和（或）造成合同设备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材料）损坏的情况，卖方应承担责任。</w:t>
      </w:r>
    </w:p>
    <w:p w14:paraId="7D4321B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6.2.2除专用合同条款另有约定外，安装、调试中合同设备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材料）运行需要的用水、用电、其他动力和原材料（如需要）等均由买方承担。</w:t>
      </w:r>
    </w:p>
    <w:p w14:paraId="1CA95CE0">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6.2.3双方应对合同设备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材料）的安装、调试情况共同及时进行记录。</w:t>
      </w:r>
    </w:p>
    <w:p w14:paraId="72F7D27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6.3考核</w:t>
      </w:r>
    </w:p>
    <w:p w14:paraId="030E2E25">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6.3.1安装、调试完成后，双方应对合同设备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材料）进行考核，以确定合同设备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材料）是否达到合同约定的技术性能考核指标。除专用合同条款另有约定外，考核中合同设备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材料）运行需要的用水、用电、其他动力和原材料（如需要）等均由买方承担。</w:t>
      </w:r>
    </w:p>
    <w:p w14:paraId="2E1B667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6.3.2如由于卖方原因合同设备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材料）在考核中未能达到合同约定的技术性能考核指标，则卖方应在双方同意的期限内采取措施消除合同设备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材料）中存在的缺陷，并在缺陷消除以后，尽快进行再次考核。</w:t>
      </w:r>
    </w:p>
    <w:p w14:paraId="20DB46CE">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材料）的最低技术性能考核指标，且合同设备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材料）达到了最低技术性能考核指标的，视为合同设备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材料）已达到技术性能考核指标，买方无权解除合同，且应接受合同设备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材料），但卖方应按专用合同条款的约定进行减价或向买方支付补偿金。</w:t>
      </w:r>
    </w:p>
    <w:p w14:paraId="7F68FF4A">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6.3.4如由于买方原因合同设备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材料）在考核中未能达到合同约定的技术性能考核指标，则卖方应协助买方安排再次考核。由于买方原因未能达到技术性能考核指标时，为买方进行考核的机会不超过三次。</w:t>
      </w:r>
    </w:p>
    <w:p w14:paraId="1E00244E">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6.3.5考核期间，双方应及时共同记录合同设备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材料）的用水、用电、其他动力和原材料（如有）的使用及设备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材料）考核情况。对于未达到技术性能考核指标的，应如实记录设备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材料）表现、可能原因及处理情况等。</w:t>
      </w:r>
    </w:p>
    <w:p w14:paraId="73572C2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6.4验收</w:t>
      </w:r>
    </w:p>
    <w:p w14:paraId="2FD4FE8A">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6.4.1如合同设备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材料）在考核中达到或视为达到技术性能考核指标，则买卖双方应在考核完成后7日内或专用合同条款另行约定的时间内签署合同设备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材料）验收证书</w:t>
      </w:r>
      <w:r>
        <w:rPr>
          <w:rFonts w:hint="eastAsia" w:ascii="宋体" w:hAnsi="宋体" w:eastAsia="宋体" w:cs="宋体"/>
          <w:color w:val="auto"/>
          <w:sz w:val="21"/>
          <w:szCs w:val="21"/>
          <w:highlight w:val="none"/>
          <w:lang w:eastAsia="zh-CN"/>
        </w:rPr>
        <w:t>一式两份，双方</w:t>
      </w:r>
      <w:r>
        <w:rPr>
          <w:rFonts w:hint="eastAsia" w:ascii="宋体" w:hAnsi="宋体" w:eastAsia="宋体" w:cs="宋体"/>
          <w:color w:val="auto"/>
          <w:sz w:val="21"/>
          <w:szCs w:val="21"/>
          <w:highlight w:val="none"/>
        </w:rPr>
        <w:t>各持一份。验收日期应为合同设备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材料）达到或视为达到技术性能考核指标的日期。</w:t>
      </w:r>
    </w:p>
    <w:p w14:paraId="7D4F684A">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6.4.2如由于买方原因合同设备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材料）达到技术性能考核指标。买方应承担卖方因此产生的全部费用。在上述12个月的期限内，如合同设备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材料）经过考核达到或视为达到技术性能考核指标，则买卖双方应按照第6.4.1项的约定签署合同设备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材料）验收证书。</w:t>
      </w:r>
    </w:p>
    <w:p w14:paraId="27A24E3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6.4.3除专用合同条款另有约定外，如由于买方原因在最后一批合同设备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材料）达到技术性能考核指标，且买方无需因此向卖方支付费用。在上述6个月的期限内，如合同设备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材料）经过考核达到或视为达到技术性能考核指标，则买卖双方应按照第6.4.1项的约定签署合同设备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材料）验收证书。</w:t>
      </w:r>
    </w:p>
    <w:p w14:paraId="0AA56C5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6.4.4在第6.4.2项和第6.4.3项情形下，卖方也可单方签署验收款支付函提交买方，如果买方在收到卖方签署的验收款支付函后14日内未向卖方提出书面异议，则验收款支付函自签署之日起生效。</w:t>
      </w:r>
    </w:p>
    <w:p w14:paraId="37DAD804">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6.4.5合同设备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材料）验收证书的签署不能免除卖方在质量保证期内对合同设备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材料）应承担的保证责任。</w:t>
      </w:r>
    </w:p>
    <w:p w14:paraId="6D46DD6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7.技术服务</w:t>
      </w:r>
    </w:p>
    <w:p w14:paraId="2414106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7.1卖方应派遣技术熟练、称职的技术人员到施工场地为买方提供技术服务。卖方的技术服务应符合合同的约定。</w:t>
      </w:r>
    </w:p>
    <w:p w14:paraId="59F55F73">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7.2买方应免费为卖方技术人员提供工作条件及便利，包括但不限于必要的办公场所、技术资料及出入许可等。除专用合同条款另有约定外，卖方技术人员的交通、食宿费用由卖方承担。</w:t>
      </w:r>
    </w:p>
    <w:p w14:paraId="5A22A7E4">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7.3卖方技术人员应遵守买方施工现场的各项规章制度和安全操作规程，并服从买方的现场管理。</w:t>
      </w:r>
    </w:p>
    <w:p w14:paraId="50393D2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7.4如果任何技术人员不合格，买方有权要求卖方撤换，因撤换而产生的费用应由卖方承担。在不影响技术服务并且征得买方同意的条件下，卖方也可自负费用更换其技术人员。</w:t>
      </w:r>
    </w:p>
    <w:p w14:paraId="02208A6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8.质量保证期</w:t>
      </w:r>
    </w:p>
    <w:p w14:paraId="3B4BFFF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8.1除专用合同条款和（或）供货要求等合同文件另有约定外，合同设备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材料）整体质量保证期</w:t>
      </w:r>
      <w:r>
        <w:rPr>
          <w:rFonts w:hint="eastAsia" w:ascii="宋体" w:hAnsi="宋体" w:eastAsia="宋体" w:cs="宋体"/>
          <w:color w:val="auto"/>
          <w:sz w:val="21"/>
          <w:szCs w:val="21"/>
          <w:highlight w:val="none"/>
          <w:lang w:eastAsia="zh-CN"/>
        </w:rPr>
        <w:t>以各水表</w:t>
      </w:r>
      <w:r>
        <w:rPr>
          <w:rFonts w:hint="eastAsia" w:ascii="宋体" w:hAnsi="宋体" w:eastAsia="宋体" w:cs="宋体"/>
          <w:color w:val="auto"/>
          <w:sz w:val="21"/>
          <w:szCs w:val="21"/>
          <w:highlight w:val="none"/>
          <w:lang w:val="en-US" w:eastAsia="zh-CN"/>
        </w:rPr>
        <w:t>及流量计等</w:t>
      </w:r>
      <w:r>
        <w:rPr>
          <w:rFonts w:hint="eastAsia" w:ascii="宋体" w:hAnsi="宋体" w:eastAsia="宋体" w:cs="宋体"/>
          <w:color w:val="auto"/>
          <w:sz w:val="21"/>
          <w:szCs w:val="21"/>
          <w:highlight w:val="none"/>
          <w:lang w:eastAsia="zh-CN"/>
        </w:rPr>
        <w:t>参数要求的时间为准（具体以投标承诺质量保证期为准 ），卖方承诺超过本要求的，以投标文件质量保证期为准</w:t>
      </w:r>
      <w:r>
        <w:rPr>
          <w:rFonts w:hint="eastAsia" w:ascii="宋体" w:hAnsi="宋体" w:eastAsia="宋体" w:cs="宋体"/>
          <w:color w:val="auto"/>
          <w:sz w:val="21"/>
          <w:szCs w:val="21"/>
          <w:highlight w:val="none"/>
        </w:rPr>
        <w:t>。如对合同设备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材料）中关键部件的质量保证期有特殊要求的，买卖双方可在专用合同条款中约定。</w:t>
      </w:r>
    </w:p>
    <w:p w14:paraId="51EA6BF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8.2在质量保证期内如果合同设备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材料）出现故障，卖方应自负费用提供</w:t>
      </w:r>
      <w:r>
        <w:rPr>
          <w:rFonts w:hint="eastAsia" w:ascii="宋体" w:hAnsi="宋体" w:eastAsia="宋体" w:cs="宋体"/>
          <w:color w:val="auto"/>
          <w:sz w:val="21"/>
          <w:szCs w:val="21"/>
          <w:highlight w:val="none"/>
          <w:lang w:eastAsia="zh-CN"/>
        </w:rPr>
        <w:t>质量保证期</w:t>
      </w:r>
      <w:r>
        <w:rPr>
          <w:rFonts w:hint="eastAsia" w:ascii="宋体" w:hAnsi="宋体" w:eastAsia="宋体" w:cs="宋体"/>
          <w:color w:val="auto"/>
          <w:sz w:val="21"/>
          <w:szCs w:val="21"/>
          <w:highlight w:val="none"/>
        </w:rPr>
        <w:t>服务，对相关合同设备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材料）进行修理或更换以消除故障。更换的合同设备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材料）和（或）关键部件的质量保证期应重新计算。但如果合同设备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材料）的故障是由于买方原因造成的，则对合同设备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材料）进行修理和更换的费用应由买方承担。</w:t>
      </w:r>
    </w:p>
    <w:p w14:paraId="3C434A5A">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8.3质量保证期届满后，买方应在7日内或专用合同条款另行约定的时间内向卖方出具合同设备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材料）的质量保证期届满证书。</w:t>
      </w:r>
    </w:p>
    <w:p w14:paraId="22B1DEA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8.4在合同第6.4.2项情形下，如在验收款支付函签署后12个月内由于买方原因合同设备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材料）仍未能达到技术性能考核指标，则买卖双方应在该12个月届满后7日内或专用合同条款另行约定的时间内签署结清款支付函。</w:t>
      </w:r>
    </w:p>
    <w:p w14:paraId="4736ABE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8.5在合同第6.4.3项情形下，如在验收款支付函签署后6个月内由于买方原因合同设备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材料）仍未进行考核或仍未达到技术性能考核指标，则买卖双方应在该6个月届满后7日内或专用合同条款另行约定的时间内签署结清款支付函。</w:t>
      </w:r>
    </w:p>
    <w:p w14:paraId="773A02B0">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8.6在第8.4款和第8.5款情形下，卖方也可单方签署结清款支付函提交买方，如果买方在收到卖方签署的结清款支付函后14日内未向卖方提出书面异议，则结清款支付函自签署之日起生效。</w:t>
      </w:r>
    </w:p>
    <w:p w14:paraId="02D8DCB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9.</w:t>
      </w:r>
      <w:r>
        <w:rPr>
          <w:rFonts w:hint="eastAsia" w:ascii="宋体" w:hAnsi="宋体" w:eastAsia="宋体" w:cs="宋体"/>
          <w:b w:val="0"/>
          <w:bCs w:val="0"/>
          <w:color w:val="auto"/>
          <w:sz w:val="21"/>
          <w:szCs w:val="21"/>
          <w:highlight w:val="none"/>
          <w:lang w:eastAsia="zh-CN"/>
        </w:rPr>
        <w:t>质量保证期</w:t>
      </w:r>
      <w:r>
        <w:rPr>
          <w:rFonts w:hint="eastAsia" w:ascii="宋体" w:hAnsi="宋体" w:eastAsia="宋体" w:cs="宋体"/>
          <w:b w:val="0"/>
          <w:bCs w:val="0"/>
          <w:color w:val="auto"/>
          <w:sz w:val="21"/>
          <w:szCs w:val="21"/>
          <w:highlight w:val="none"/>
        </w:rPr>
        <w:t>服务</w:t>
      </w:r>
    </w:p>
    <w:p w14:paraId="6337C6A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9.1卖方应为</w:t>
      </w:r>
      <w:r>
        <w:rPr>
          <w:rFonts w:hint="eastAsia" w:ascii="宋体" w:hAnsi="宋体" w:eastAsia="宋体" w:cs="宋体"/>
          <w:color w:val="auto"/>
          <w:sz w:val="21"/>
          <w:szCs w:val="21"/>
          <w:highlight w:val="none"/>
          <w:lang w:eastAsia="zh-CN"/>
        </w:rPr>
        <w:t>质量保证期</w:t>
      </w:r>
      <w:r>
        <w:rPr>
          <w:rFonts w:hint="eastAsia" w:ascii="宋体" w:hAnsi="宋体" w:eastAsia="宋体" w:cs="宋体"/>
          <w:color w:val="auto"/>
          <w:sz w:val="21"/>
          <w:szCs w:val="21"/>
          <w:highlight w:val="none"/>
        </w:rPr>
        <w:t>服务配备充足的技术人员、工具和备件并保证提供的联系方式畅通。除专用合同条款和（或）供货要求等合同文件另有约定外，卖方应在收到买方通知后24小时内做出响应，如需卖方到合同设备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材料）现场，卖方应在收到买方通知后48小时内到达，并在到达后7日内解决合同设备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材料）的故障（重大故障除外）。如果卖方未在上述时间内作出响应，则买方有权自行或委托他人解决相关问题或查找和解决合同设备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材料）的故障，卖方应承担由此发生的全部费用。</w:t>
      </w:r>
    </w:p>
    <w:p w14:paraId="058247B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9.2如卖方技术人员需到合同设备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材料）现场进行</w:t>
      </w:r>
      <w:r>
        <w:rPr>
          <w:rFonts w:hint="eastAsia" w:ascii="宋体" w:hAnsi="宋体" w:eastAsia="宋体" w:cs="宋体"/>
          <w:color w:val="auto"/>
          <w:sz w:val="21"/>
          <w:szCs w:val="21"/>
          <w:highlight w:val="none"/>
          <w:lang w:eastAsia="zh-CN"/>
        </w:rPr>
        <w:t>质量保证期</w:t>
      </w:r>
      <w:r>
        <w:rPr>
          <w:rFonts w:hint="eastAsia" w:ascii="宋体" w:hAnsi="宋体" w:eastAsia="宋体" w:cs="宋体"/>
          <w:color w:val="auto"/>
          <w:sz w:val="21"/>
          <w:szCs w:val="21"/>
          <w:highlight w:val="none"/>
        </w:rPr>
        <w:t>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266D3D03">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9.3如果任何技术人员不合格，买方有权要求卖方撤换，因撤换而产生的费用应由卖方承担。在不影响</w:t>
      </w:r>
      <w:r>
        <w:rPr>
          <w:rFonts w:hint="eastAsia" w:ascii="宋体" w:hAnsi="宋体" w:eastAsia="宋体" w:cs="宋体"/>
          <w:color w:val="auto"/>
          <w:sz w:val="21"/>
          <w:szCs w:val="21"/>
          <w:highlight w:val="none"/>
          <w:lang w:eastAsia="zh-CN"/>
        </w:rPr>
        <w:t>质量保证期</w:t>
      </w:r>
      <w:r>
        <w:rPr>
          <w:rFonts w:hint="eastAsia" w:ascii="宋体" w:hAnsi="宋体" w:eastAsia="宋体" w:cs="宋体"/>
          <w:color w:val="auto"/>
          <w:sz w:val="21"/>
          <w:szCs w:val="21"/>
          <w:highlight w:val="none"/>
        </w:rPr>
        <w:t>服务并且征得买方同意的条件下，卖方也可自负费用更换其技术人员。</w:t>
      </w:r>
    </w:p>
    <w:p w14:paraId="69D25AA0">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9.4除专用合同条款另有约定外，卖方应就在施工现场进行</w:t>
      </w:r>
      <w:r>
        <w:rPr>
          <w:rFonts w:hint="eastAsia" w:ascii="宋体" w:hAnsi="宋体" w:eastAsia="宋体" w:cs="宋体"/>
          <w:color w:val="auto"/>
          <w:sz w:val="21"/>
          <w:szCs w:val="21"/>
          <w:highlight w:val="none"/>
          <w:lang w:eastAsia="zh-CN"/>
        </w:rPr>
        <w:t>质量保证期</w:t>
      </w:r>
      <w:r>
        <w:rPr>
          <w:rFonts w:hint="eastAsia" w:ascii="宋体" w:hAnsi="宋体" w:eastAsia="宋体" w:cs="宋体"/>
          <w:color w:val="auto"/>
          <w:sz w:val="21"/>
          <w:szCs w:val="21"/>
          <w:highlight w:val="none"/>
        </w:rPr>
        <w:t>服务的情况进行记录，记载合同设备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材料）故障发生的时间、原因及解决情况等，由买方签字确认，并在质量保证期结束后提交给买方。</w:t>
      </w:r>
    </w:p>
    <w:p w14:paraId="1B0CF1A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10.履约保证金</w:t>
      </w:r>
    </w:p>
    <w:p w14:paraId="06F55741">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除专用合同条款另有约定外，履约保证金自合同生效之日起生效，在合同设备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材料）验收证书或验收款支付函签署之日起28日后失效。如果卖方不履行合同约定的义务或其履行不符合合同的约定，买方有权扣划相应金额的履约保证金。</w:t>
      </w:r>
    </w:p>
    <w:p w14:paraId="5E6414B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11.保证</w:t>
      </w:r>
    </w:p>
    <w:p w14:paraId="410E6E0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11.1卖方保证其具有完全的能力履行本合同项下的全部义务。</w:t>
      </w:r>
    </w:p>
    <w:p w14:paraId="72109E2F">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11.2卖方保证其所提供的合同设备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材料）及对合同的履行符合所有应适用的法律、行政法规、地方性法规、自治条例和单行条例、规章及其他规范性文件的强制性规定。</w:t>
      </w:r>
    </w:p>
    <w:p w14:paraId="40635D5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11.3卖方保证其对合同设备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材料）的销售不损害任何第三方的合法权益和社会公众利益。任何第三方不会因卖方原因而基于所有权、抵押权、留置权或其他任何权利或事由对合同设备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材料）主张权利。</w:t>
      </w:r>
    </w:p>
    <w:p w14:paraId="3FF16091">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11.4卖方保证合同设备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材料）符合合同约定的规格、标准、技术性能考核指标等，能够安全和稳定地运行，且合同设备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材料）（包括全部部件）全新、完整、未使用过，除非专用合同条款和（或）供货要求等合同文件另有约定。</w:t>
      </w:r>
    </w:p>
    <w:p w14:paraId="41A4BDA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11.5卖方保证，卖方所提供的技术资料完整、清晰、准确，符合合同约定并且能够满足合同设备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材料）的安装、调试、考核、操作以及维修和保养的需要。</w:t>
      </w:r>
    </w:p>
    <w:p w14:paraId="6CF0F468">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11.6卖方保证合同范围内提供的备品备件能够满足合同设备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材料）在质量保证期结束前正常运行及维修的需要，如在质量保证期结束前因卖方原因出现备品备件短缺影响合同设备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材料）正常运行的，卖方应免费提供。</w:t>
      </w:r>
    </w:p>
    <w:p w14:paraId="6CA31111">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11.7除专用合同条款和（或）供货要求等合同文件另有约定外，如果在合同设备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材料）设计使用寿命期内发生合同项下备品备件停止生产的情况，卖方应事先将拟停止生产的计划通知买方，使买方有足够的时间考虑备品备件的需求量。根据买方要求，卖方应：</w:t>
      </w:r>
    </w:p>
    <w:p w14:paraId="66840011">
      <w:pPr>
        <w:numPr>
          <w:ilvl w:val="0"/>
          <w:numId w:val="8"/>
        </w:num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以不高于同期市场价格或其向任何第三方销售同类产品的价格提供合同设备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材料）正常运行所需的全部备品备件。</w:t>
      </w:r>
    </w:p>
    <w:p w14:paraId="4C3008CA">
      <w:pPr>
        <w:numPr>
          <w:ilvl w:val="0"/>
          <w:numId w:val="8"/>
        </w:num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免费提供可供买方或第三方制造停产备品备件所需的全部技术资料，以便买方持续获得上述备品备件以满足合同设备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材料）在寿命期内正常运行的需要。卖方保证买方或买方委托的第三方制造及买方使用这些备品备件不侵犯任何人的知识产权。</w:t>
      </w:r>
    </w:p>
    <w:p w14:paraId="3E5A103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11.8卖方保证，在合同设备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材料）设计使用寿命期内，如果卖方发现合同设备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材料）由于设计、制造、标识等原因存在足以危及人身、财产安全的缺陷，卖方将及时通知买方并及时采取修正或者补充标识、修理、更换等措施消除缺陷。</w:t>
      </w:r>
    </w:p>
    <w:p w14:paraId="2D4F728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12.知识产权</w:t>
      </w:r>
    </w:p>
    <w:p w14:paraId="54EF6D1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12.1买方在履行合同过程中提供给卖方的全部图纸、文件和其他含有数据和信息的资料，其知识产权属于买方。</w:t>
      </w:r>
    </w:p>
    <w:p w14:paraId="05010E7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12.2除专用合同条款另有约定外，买方不因签署和履行合同而享有卖方在履行合同过程中提供给买方的图纸、文件、配套软件、电子辅助程序和其他含有数据和信息的资料的知识产权。</w:t>
      </w:r>
    </w:p>
    <w:p w14:paraId="730E95B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12.3如合同设备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材料）涉及知识产权，则卖方保证买方在使用合同设备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材料）过程中免于受到第三方提出的有关知识产权侵权的主张、索赔或诉讼的伤害。</w:t>
      </w:r>
    </w:p>
    <w:p w14:paraId="00BE47F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3283603F">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13.保密</w:t>
      </w:r>
    </w:p>
    <w:p w14:paraId="445F615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合同双方应对因履行合同而取得的另一方当事人的信息、资料等予以保密。未经另一方当事人书面同意，任何一方均不得为与履行合同无关的目的使用或向第三方披露另一方当事人提供的信息、资料。</w:t>
      </w:r>
    </w:p>
    <w:p w14:paraId="52A8EB60">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合同当事人的保密义务不适用于下列信息：</w:t>
      </w:r>
    </w:p>
    <w:p w14:paraId="2F7B430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（1）非因接受信息一方的过失现在或以后进入公共领域的信息；</w:t>
      </w:r>
    </w:p>
    <w:p w14:paraId="5474301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（2）接受信息一方当事人合法地从第三方获得并且据其善意了解第三方也不对此承担保密义务的信息；</w:t>
      </w:r>
    </w:p>
    <w:p w14:paraId="20B0D58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（3）法律或法律的执行要求披露的信息。</w:t>
      </w:r>
    </w:p>
    <w:p w14:paraId="69333998">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14.违约责任</w:t>
      </w:r>
    </w:p>
    <w:p w14:paraId="1DDDB73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14.1合同一方不履行合同义务、履行合同义务不符合约定或者违反合同项下所作保证的，应向对方承担继续履行、采取修理、更换、退货等补救措施或者赔偿损失等违约责任。</w:t>
      </w:r>
    </w:p>
    <w:p w14:paraId="4520EF1A">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14.2卖方未能按时交付合同设备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材料）（包括仅迟延交付技术资料但足以导致合同设备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材料）安装、调试、考核、验收工作推迟的）的，应向买方支付迟延交付违约金。除专用合同条款另有约定外，迟延交付违约金的计算方法如下：</w:t>
      </w:r>
    </w:p>
    <w:p w14:paraId="232E1EBA">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（1）从迟交的第一周到第四周，每周迟延交付违约金为迟交合同设备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材料）价格的0.5%；</w:t>
      </w:r>
    </w:p>
    <w:p w14:paraId="10BACBD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（2）从迟交的第五周到第八周，每周迟延交付违约金为迟交合同设备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材料）价格的1%；</w:t>
      </w:r>
    </w:p>
    <w:p w14:paraId="25E1C5E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（3）从迟交第九周起，每周迟延交付违约金为迟交合同设备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材料）价格的1.5%。在计算迟延交付违约金时，迟交不足一周的按一周计算。迟延交付违约金的总额不得超过合同价格的10%。迟延交付违约金的支付不能免除卖方继续交付相关合同设备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材料）的义务，但如迟延交付必然导致合同设备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材料）安装、调试、考核、验收工作推迟的，相关工作应相应顺延。</w:t>
      </w:r>
    </w:p>
    <w:p w14:paraId="57D382E3">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15.合同的解除</w:t>
      </w:r>
    </w:p>
    <w:p w14:paraId="49C871A5">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除专用合同条款另有约定外，有下述情形之一，当事人可发出书面通知全部或部分地解除合同，合同自通知到达对方时全部或部分地解除：</w:t>
      </w:r>
    </w:p>
    <w:p w14:paraId="6B4011E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（1）卖方迟延交付合同设备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材料）超过3个月；</w:t>
      </w:r>
    </w:p>
    <w:p w14:paraId="62FD82D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160FD87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一方当事人未能履行合同项下任何其他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16870372">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）合同一方当事人出现破产、清算、资不抵债、成为失信被执行人等可能丧失履约能力的情形，且未能提供令对方满意的履约保证金。</w:t>
      </w:r>
    </w:p>
    <w:p w14:paraId="5B1C101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16.不可抗力</w:t>
      </w:r>
    </w:p>
    <w:p w14:paraId="122B8676">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5236EFC5">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16.2受不可抗力事件影响的一方当事人对于不可抗力事件导致的任何合同义务的迟延履行或不能履行不承担违约责任。但该方当事人应尽快将不可抗力事件结束或消除的情况通知另一方当事人。</w:t>
      </w:r>
    </w:p>
    <w:p w14:paraId="576D9D93">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213CD4CF">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17.争议的解决</w:t>
      </w:r>
    </w:p>
    <w:p w14:paraId="0D739E2D">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因本合同引起的或与本合同有关的任何争议，双方可通过友好协商解决。友好协商解决不成的，可在专用合同条款中约定下列一种方式解决：</w:t>
      </w:r>
    </w:p>
    <w:p w14:paraId="01CF041B">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（1）向约定的仲裁委员会申请仲裁；</w:t>
      </w:r>
    </w:p>
    <w:p w14:paraId="05AED7D8">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（2）向有管辖权的人民法院提起诉讼。</w:t>
      </w:r>
    </w:p>
    <w:p w14:paraId="75DE0DF2">
      <w:pPr>
        <w:shd w:val="clear"/>
        <w:spacing w:line="360" w:lineRule="auto"/>
        <w:ind w:firstLine="422" w:firstLineChars="200"/>
        <w:jc w:val="both"/>
        <w:rPr>
          <w:rFonts w:hint="eastAsia" w:ascii="宋体" w:hAnsi="宋体" w:eastAsia="宋体" w:cs="宋体"/>
          <w:b/>
          <w:bCs/>
          <w:color w:val="auto"/>
          <w:sz w:val="21"/>
          <w:szCs w:val="21"/>
          <w:highlight w:val="none"/>
        </w:rPr>
      </w:pPr>
    </w:p>
    <w:p w14:paraId="1D55916D">
      <w:pPr>
        <w:shd w:val="clear"/>
        <w:spacing w:line="360" w:lineRule="auto"/>
        <w:ind w:firstLine="422" w:firstLineChars="200"/>
        <w:jc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第二节专用合同条款</w:t>
      </w:r>
    </w:p>
    <w:p w14:paraId="277981C4">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本合同专用条款是对合同一般条款的补充，两者之间如有抵触，以本专用条款为准。</w:t>
      </w:r>
    </w:p>
    <w:p w14:paraId="17065110">
      <w:pPr>
        <w:widowControl w:val="0"/>
        <w:shd w:val="clear"/>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sz w:val="21"/>
          <w:szCs w:val="21"/>
          <w:highlight w:val="none"/>
          <w:lang w:eastAsia="zh-CN"/>
        </w:rPr>
      </w:pPr>
      <w:r>
        <w:rPr>
          <w:rFonts w:hint="eastAsia" w:ascii="宋体" w:hAnsi="宋体" w:eastAsia="宋体" w:cs="宋体"/>
          <w:snapToGrid/>
          <w:color w:val="auto"/>
          <w:kern w:val="2"/>
          <w:sz w:val="21"/>
          <w:szCs w:val="21"/>
          <w:highlight w:val="none"/>
          <w:lang w:eastAsia="zh-CN"/>
        </w:rPr>
        <w:t>1.合同金额及相关内容</w:t>
      </w:r>
    </w:p>
    <w:p w14:paraId="6631A43B">
      <w:pPr>
        <w:widowControl w:val="0"/>
        <w:shd w:val="clear"/>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sz w:val="21"/>
          <w:szCs w:val="21"/>
          <w:highlight w:val="none"/>
          <w:lang w:eastAsia="zh-CN"/>
        </w:rPr>
      </w:pPr>
      <w:r>
        <w:rPr>
          <w:rFonts w:hint="eastAsia" w:ascii="宋体" w:hAnsi="宋体" w:eastAsia="宋体" w:cs="宋体"/>
          <w:snapToGrid/>
          <w:color w:val="auto"/>
          <w:kern w:val="2"/>
          <w:sz w:val="21"/>
          <w:szCs w:val="21"/>
          <w:highlight w:val="none"/>
          <w:lang w:val="en-US" w:eastAsia="zh-CN"/>
        </w:rPr>
        <w:t>1.1</w:t>
      </w:r>
      <w:r>
        <w:rPr>
          <w:rFonts w:hint="eastAsia" w:ascii="宋体" w:hAnsi="宋体" w:eastAsia="宋体" w:cs="宋体"/>
          <w:snapToGrid/>
          <w:color w:val="auto"/>
          <w:kern w:val="2"/>
          <w:sz w:val="21"/>
          <w:szCs w:val="21"/>
          <w:highlight w:val="none"/>
          <w:lang w:eastAsia="zh-CN"/>
        </w:rPr>
        <w:t>本合同总价款为人民币¥</w:t>
      </w:r>
      <w:r>
        <w:rPr>
          <w:rFonts w:hint="eastAsia" w:ascii="宋体" w:hAnsi="宋体" w:eastAsia="宋体" w:cs="宋体"/>
          <w:snapToGrid/>
          <w:color w:val="auto"/>
          <w:kern w:val="2"/>
          <w:sz w:val="21"/>
          <w:szCs w:val="21"/>
          <w:highlight w:val="none"/>
          <w:u w:val="single"/>
          <w:lang w:val="en-US" w:eastAsia="zh-CN"/>
        </w:rPr>
        <w:t xml:space="preserve">            </w:t>
      </w:r>
      <w:r>
        <w:rPr>
          <w:rFonts w:hint="eastAsia" w:ascii="宋体" w:hAnsi="宋体" w:eastAsia="宋体" w:cs="宋体"/>
          <w:snapToGrid/>
          <w:color w:val="auto"/>
          <w:kern w:val="2"/>
          <w:sz w:val="21"/>
          <w:szCs w:val="21"/>
          <w:highlight w:val="none"/>
          <w:lang w:eastAsia="zh-CN"/>
        </w:rPr>
        <w:t>元(大写:</w:t>
      </w:r>
      <w:r>
        <w:rPr>
          <w:rFonts w:hint="eastAsia" w:ascii="宋体" w:hAnsi="宋体" w:eastAsia="宋体" w:cs="宋体"/>
          <w:b/>
          <w:bCs/>
          <w:snapToGrid/>
          <w:color w:val="auto"/>
          <w:kern w:val="2"/>
          <w:sz w:val="21"/>
          <w:szCs w:val="21"/>
          <w:highlight w:val="none"/>
          <w:lang w:eastAsia="zh-CN"/>
        </w:rPr>
        <w:t>人民币</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lang w:eastAsia="zh-CN"/>
        </w:rPr>
        <w:t>元整</w:t>
      </w:r>
      <w:r>
        <w:rPr>
          <w:rFonts w:hint="eastAsia" w:ascii="宋体" w:hAnsi="宋体" w:eastAsia="宋体" w:cs="宋体"/>
          <w:snapToGrid/>
          <w:color w:val="auto"/>
          <w:kern w:val="2"/>
          <w:sz w:val="21"/>
          <w:szCs w:val="21"/>
          <w:highlight w:val="none"/>
          <w:lang w:eastAsia="zh-CN"/>
        </w:rPr>
        <w:t>)</w:t>
      </w:r>
    </w:p>
    <w:p w14:paraId="2B35356C">
      <w:pPr>
        <w:widowControl w:val="0"/>
        <w:shd w:val="clear"/>
        <w:tabs>
          <w:tab w:val="left" w:pos="732"/>
        </w:tabs>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lang w:val="en-US" w:eastAsia="zh-CN"/>
        </w:rPr>
        <w:t>1.2</w:t>
      </w:r>
      <w:r>
        <w:rPr>
          <w:rFonts w:hint="eastAsia" w:ascii="宋体" w:hAnsi="宋体" w:eastAsia="宋体" w:cs="宋体"/>
          <w:snapToGrid/>
          <w:color w:val="auto"/>
          <w:kern w:val="2"/>
          <w:sz w:val="21"/>
          <w:szCs w:val="21"/>
          <w:highlight w:val="none"/>
        </w:rPr>
        <w:t>合同总工期：</w:t>
      </w:r>
      <w:r>
        <w:rPr>
          <w:rFonts w:hint="eastAsia" w:ascii="宋体" w:hAnsi="宋体" w:eastAsia="宋体" w:cs="宋体"/>
          <w:snapToGrid/>
          <w:color w:val="auto"/>
          <w:kern w:val="2"/>
          <w:sz w:val="21"/>
          <w:szCs w:val="21"/>
          <w:highlight w:val="none"/>
          <w:u w:val="single"/>
        </w:rPr>
        <w:t xml:space="preserve"> 450 </w:t>
      </w:r>
      <w:r>
        <w:rPr>
          <w:rFonts w:hint="eastAsia" w:ascii="宋体" w:hAnsi="宋体" w:eastAsia="宋体" w:cs="宋体"/>
          <w:snapToGrid/>
          <w:color w:val="auto"/>
          <w:kern w:val="2"/>
          <w:sz w:val="21"/>
          <w:szCs w:val="21"/>
          <w:highlight w:val="none"/>
        </w:rPr>
        <w:t>日历天。现场安装、调试、交验，以买方（监理人）书面通知日开始计算工期。</w:t>
      </w:r>
    </w:p>
    <w:p w14:paraId="25DE880D">
      <w:pPr>
        <w:widowControl w:val="0"/>
        <w:shd w:val="clear"/>
        <w:tabs>
          <w:tab w:val="left" w:pos="732"/>
        </w:tabs>
        <w:kinsoku/>
        <w:autoSpaceDE/>
        <w:autoSpaceDN/>
        <w:adjustRightInd/>
        <w:snapToGrid/>
        <w:spacing w:line="360" w:lineRule="auto"/>
        <w:ind w:firstLine="420" w:firstLineChars="200"/>
        <w:jc w:val="both"/>
        <w:textAlignment w:val="auto"/>
        <w:rPr>
          <w:rFonts w:hint="eastAsia" w:ascii="宋体" w:hAnsi="宋体" w:eastAsia="宋体" w:cs="宋体"/>
          <w:snapToGrid/>
          <w:color w:val="auto"/>
          <w:kern w:val="2"/>
          <w:sz w:val="21"/>
          <w:szCs w:val="21"/>
          <w:highlight w:val="none"/>
          <w:lang w:val="en-US" w:eastAsia="zh-CN"/>
        </w:rPr>
      </w:pPr>
      <w:r>
        <w:rPr>
          <w:rFonts w:hint="eastAsia" w:ascii="宋体" w:hAnsi="宋体" w:eastAsia="宋体" w:cs="宋体"/>
          <w:snapToGrid/>
          <w:color w:val="auto"/>
          <w:kern w:val="2"/>
          <w:sz w:val="21"/>
          <w:szCs w:val="21"/>
          <w:highlight w:val="none"/>
          <w:lang w:val="en-US" w:eastAsia="zh-CN"/>
        </w:rPr>
        <w:t>1.3</w:t>
      </w:r>
      <w:r>
        <w:rPr>
          <w:rFonts w:hint="eastAsia" w:ascii="宋体" w:hAnsi="宋体" w:eastAsia="宋体" w:cs="宋体"/>
          <w:snapToGrid/>
          <w:color w:val="auto"/>
          <w:kern w:val="2"/>
          <w:highlight w:val="none"/>
        </w:rPr>
        <w:t>履约保证金的形式：现金、支票、汇票、转账、银行保函、融资担保公司保函或者保险机构保证、保险、保单。履约保证金的金额：合同总价的</w:t>
      </w:r>
      <w:r>
        <w:rPr>
          <w:rFonts w:hint="eastAsia" w:ascii="宋体" w:hAnsi="宋体" w:eastAsia="宋体" w:cs="宋体"/>
          <w:snapToGrid/>
          <w:color w:val="auto"/>
          <w:kern w:val="2"/>
          <w:highlight w:val="none"/>
          <w:u w:val="none"/>
        </w:rPr>
        <w:t>2</w:t>
      </w:r>
      <w:r>
        <w:rPr>
          <w:rFonts w:hint="eastAsia" w:ascii="宋体" w:hAnsi="宋体" w:eastAsia="宋体" w:cs="宋体"/>
          <w:snapToGrid/>
          <w:color w:val="auto"/>
          <w:kern w:val="2"/>
          <w:highlight w:val="none"/>
        </w:rPr>
        <w:t>%</w:t>
      </w:r>
      <w:r>
        <w:rPr>
          <w:rFonts w:hint="eastAsia" w:ascii="宋体" w:hAnsi="宋体" w:eastAsia="宋体" w:cs="宋体"/>
          <w:snapToGrid/>
          <w:color w:val="auto"/>
          <w:kern w:val="2"/>
          <w:highlight w:val="none"/>
          <w:lang w:eastAsia="zh-CN"/>
        </w:rPr>
        <w:t>（</w:t>
      </w:r>
      <w:r>
        <w:rPr>
          <w:rFonts w:hint="eastAsia" w:ascii="宋体" w:hAnsi="宋体" w:eastAsia="宋体" w:cs="宋体"/>
          <w:snapToGrid/>
          <w:color w:val="auto"/>
          <w:kern w:val="2"/>
          <w:highlight w:val="none"/>
        </w:rPr>
        <w:t>不得超过2%</w:t>
      </w:r>
      <w:r>
        <w:rPr>
          <w:rFonts w:hint="eastAsia" w:ascii="宋体" w:hAnsi="宋体" w:eastAsia="宋体" w:cs="宋体"/>
          <w:snapToGrid/>
          <w:color w:val="auto"/>
          <w:kern w:val="2"/>
          <w:highlight w:val="none"/>
          <w:lang w:eastAsia="zh-CN"/>
        </w:rPr>
        <w:t>），</w:t>
      </w:r>
      <w:r>
        <w:rPr>
          <w:rFonts w:hint="eastAsia" w:ascii="宋体" w:hAnsi="宋体" w:eastAsia="宋体" w:cs="宋体"/>
          <w:snapToGrid/>
          <w:color w:val="auto"/>
          <w:kern w:val="2"/>
          <w:highlight w:val="none"/>
          <w:lang w:val="en-US" w:eastAsia="zh-CN"/>
        </w:rPr>
        <w:t>合同签订时缴纳</w:t>
      </w:r>
      <w:r>
        <w:rPr>
          <w:rFonts w:hint="eastAsia" w:ascii="宋体" w:hAnsi="宋体" w:eastAsia="宋体" w:cs="宋体"/>
          <w:snapToGrid/>
          <w:color w:val="auto"/>
          <w:kern w:val="2"/>
          <w:highlight w:val="none"/>
        </w:rPr>
        <w:t>。</w:t>
      </w:r>
    </w:p>
    <w:p w14:paraId="4243D2AB">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lang w:eastAsia="zh-CN"/>
        </w:rPr>
        <w:t>2.</w:t>
      </w:r>
      <w:r>
        <w:rPr>
          <w:rFonts w:hint="eastAsia" w:ascii="宋体" w:hAnsi="宋体" w:eastAsia="宋体" w:cs="宋体"/>
          <w:snapToGrid/>
          <w:color w:val="auto"/>
          <w:kern w:val="2"/>
          <w:sz w:val="21"/>
          <w:szCs w:val="21"/>
          <w:highlight w:val="none"/>
        </w:rPr>
        <w:t>交货方式</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lang w:val="en-US" w:eastAsia="zh-CN"/>
        </w:rPr>
        <w:t>时间及</w:t>
      </w:r>
      <w:r>
        <w:rPr>
          <w:rFonts w:hint="eastAsia" w:ascii="宋体" w:hAnsi="宋体" w:eastAsia="宋体" w:cs="宋体"/>
          <w:snapToGrid/>
          <w:color w:val="auto"/>
          <w:kern w:val="2"/>
          <w:sz w:val="21"/>
          <w:szCs w:val="21"/>
          <w:highlight w:val="none"/>
        </w:rPr>
        <w:t>地点：项目现场交货，并堆放至买方指定地点。卖方将设备运抵工地现场并初验合格的日期为交货日期</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lang w:val="en-US" w:eastAsia="zh-CN"/>
        </w:rPr>
        <w:t>供货期限以买方通知卖方供货期限为准）</w:t>
      </w:r>
      <w:r>
        <w:rPr>
          <w:rFonts w:hint="eastAsia" w:ascii="宋体" w:hAnsi="宋体" w:eastAsia="宋体" w:cs="宋体"/>
          <w:snapToGrid/>
          <w:color w:val="auto"/>
          <w:kern w:val="2"/>
          <w:sz w:val="21"/>
          <w:szCs w:val="21"/>
          <w:highlight w:val="none"/>
        </w:rPr>
        <w:t>。买方可以要求卖方根据项目进度要求分批交货但不再额外增加其他费用。</w:t>
      </w:r>
    </w:p>
    <w:p w14:paraId="0E2AF285">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lang w:eastAsia="zh-CN"/>
        </w:rPr>
        <w:t>3.</w:t>
      </w:r>
      <w:r>
        <w:rPr>
          <w:rFonts w:hint="eastAsia" w:ascii="宋体" w:hAnsi="宋体" w:eastAsia="宋体" w:cs="宋体"/>
          <w:snapToGrid/>
          <w:color w:val="auto"/>
          <w:kern w:val="2"/>
          <w:sz w:val="21"/>
          <w:szCs w:val="21"/>
          <w:highlight w:val="none"/>
        </w:rPr>
        <w:t>接货、运输及装卸保险</w:t>
      </w:r>
    </w:p>
    <w:p w14:paraId="2176CF4C">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3.1卖方在设备发运前10日历天，需将准备发运的设备名称、规格、数量、包装箱件数、每件包装箱的尺码、毛重及对货物的卸车、贮存的特殊要求以传真的形式通知买方，以便接货。买方只协助</w:t>
      </w:r>
      <w:r>
        <w:rPr>
          <w:rFonts w:hint="eastAsia" w:ascii="宋体" w:hAnsi="宋体" w:eastAsia="宋体" w:cs="宋体"/>
          <w:snapToGrid/>
          <w:color w:val="auto"/>
          <w:kern w:val="2"/>
          <w:sz w:val="21"/>
          <w:szCs w:val="21"/>
          <w:highlight w:val="none"/>
          <w:lang w:eastAsia="zh-CN"/>
        </w:rPr>
        <w:t>卖方</w:t>
      </w:r>
      <w:r>
        <w:rPr>
          <w:rFonts w:hint="eastAsia" w:ascii="宋体" w:hAnsi="宋体" w:eastAsia="宋体" w:cs="宋体"/>
          <w:snapToGrid/>
          <w:color w:val="auto"/>
          <w:kern w:val="2"/>
          <w:sz w:val="21"/>
          <w:szCs w:val="21"/>
          <w:highlight w:val="none"/>
        </w:rPr>
        <w:t>接货。卸货、清点、搬运、保管、调试、试运行等均由卖方负责，并承担相应费用。</w:t>
      </w:r>
    </w:p>
    <w:p w14:paraId="4B406BD1">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3.2货物在装运前由卖方投保，一旦货物在装卸、运输过程中发生损坏或短缺，由卖方负责索赔。</w:t>
      </w:r>
    </w:p>
    <w:p w14:paraId="0499ABDA">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3.3卖方保证在确认货物因装卸、运输中发生损坏或短缺后，在一个月内给予调换、修复和补齐缺件，不管其造成的原因如何，也不以办理索赔为由而拖延。</w:t>
      </w:r>
    </w:p>
    <w:p w14:paraId="15E73D35">
      <w:pPr>
        <w:widowControl w:val="0"/>
        <w:shd w:val="clear"/>
        <w:kinsoku/>
        <w:autoSpaceDE/>
        <w:autoSpaceDN/>
        <w:adjustRightInd/>
        <w:snapToGri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3.4卖方工作人员及设备进场时，应遵守交货现场环境卫生管理、安全管理的有关规定，配备相应的环境保护及安全措施。承担因自身原因违反有关规定而导致的所有责任。</w:t>
      </w:r>
    </w:p>
    <w:p w14:paraId="203F5CA0">
      <w:pPr>
        <w:widowControl w:val="0"/>
        <w:shd w:val="clear"/>
        <w:kinsoku/>
        <w:autoSpaceDE/>
        <w:autoSpaceDN/>
        <w:adjustRightInd/>
        <w:snapToGrid/>
        <w:spacing w:line="360" w:lineRule="auto"/>
        <w:ind w:firstLine="422" w:firstLineChars="200"/>
        <w:jc w:val="both"/>
        <w:textAlignment w:val="auto"/>
        <w:rPr>
          <w:rFonts w:ascii="宋体" w:hAnsi="宋体" w:eastAsia="宋体" w:cs="宋体"/>
          <w:b/>
          <w:bCs/>
          <w:snapToGrid/>
          <w:color w:val="auto"/>
          <w:kern w:val="2"/>
          <w:sz w:val="21"/>
          <w:szCs w:val="21"/>
          <w:highlight w:val="none"/>
          <w:u w:val="single"/>
        </w:rPr>
      </w:pPr>
      <w:r>
        <w:rPr>
          <w:rFonts w:hint="eastAsia" w:ascii="宋体" w:hAnsi="宋体" w:eastAsia="宋体" w:cs="宋体"/>
          <w:b/>
          <w:bCs/>
          <w:snapToGrid/>
          <w:color w:val="auto"/>
          <w:kern w:val="2"/>
          <w:sz w:val="21"/>
          <w:szCs w:val="21"/>
          <w:highlight w:val="none"/>
          <w:u w:val="single"/>
        </w:rPr>
        <w:t>3</w:t>
      </w:r>
      <w:r>
        <w:rPr>
          <w:rFonts w:ascii="宋体" w:hAnsi="宋体" w:eastAsia="宋体" w:cs="宋体"/>
          <w:b/>
          <w:bCs/>
          <w:snapToGrid/>
          <w:color w:val="auto"/>
          <w:kern w:val="2"/>
          <w:sz w:val="21"/>
          <w:szCs w:val="21"/>
          <w:highlight w:val="none"/>
          <w:u w:val="single"/>
        </w:rPr>
        <w:t xml:space="preserve">.5 </w:t>
      </w:r>
      <w:r>
        <w:rPr>
          <w:rFonts w:hint="eastAsia" w:ascii="宋体" w:hAnsi="宋体" w:eastAsia="宋体" w:cs="宋体"/>
          <w:b/>
          <w:bCs/>
          <w:snapToGrid/>
          <w:color w:val="auto"/>
          <w:kern w:val="2"/>
          <w:sz w:val="21"/>
          <w:szCs w:val="21"/>
          <w:highlight w:val="none"/>
          <w:u w:val="single"/>
        </w:rPr>
        <w:t>如卖方使用的是柴油动力移动源（柴油货车、非道路移动机械）则必须符合低排放要求并已向生态环境部门申领绿色编码，在进入作业现场前须如实向</w:t>
      </w:r>
      <w:r>
        <w:rPr>
          <w:rFonts w:hint="eastAsia" w:ascii="宋体" w:hAnsi="宋体" w:eastAsia="宋体" w:cs="宋体"/>
          <w:b/>
          <w:bCs/>
          <w:snapToGrid/>
          <w:color w:val="auto"/>
          <w:kern w:val="2"/>
          <w:sz w:val="21"/>
          <w:szCs w:val="21"/>
          <w:highlight w:val="none"/>
          <w:u w:val="single"/>
          <w:lang w:eastAsia="zh-CN"/>
        </w:rPr>
        <w:t>买方</w:t>
      </w:r>
      <w:r>
        <w:rPr>
          <w:rFonts w:hint="eastAsia" w:ascii="宋体" w:hAnsi="宋体" w:eastAsia="宋体" w:cs="宋体"/>
          <w:b/>
          <w:bCs/>
          <w:snapToGrid/>
          <w:color w:val="auto"/>
          <w:kern w:val="2"/>
          <w:sz w:val="21"/>
          <w:szCs w:val="21"/>
          <w:highlight w:val="none"/>
          <w:u w:val="single"/>
        </w:rPr>
        <w:t>登记报备绿色编码，未申领绿色编码的柴油动力移动源不得进入作业现场施工和服务。</w:t>
      </w:r>
    </w:p>
    <w:p w14:paraId="7BFF6CFD">
      <w:pPr>
        <w:widowControl w:val="0"/>
        <w:numPr>
          <w:ilvl w:val="0"/>
          <w:numId w:val="9"/>
        </w:numPr>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工程和设备</w:t>
      </w:r>
    </w:p>
    <w:p w14:paraId="746EF092">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4.1永久工程：本项目所有内容均属永久工程，卖方应完成本工程招标范围内永久工程的采购、施工、调试及试运行、验收及保修服务等。</w:t>
      </w:r>
    </w:p>
    <w:p w14:paraId="026DF52D">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4.2临时工程：项目现场管理用房和其他临时设施。</w:t>
      </w:r>
    </w:p>
    <w:p w14:paraId="724F904B">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4.3永久占地：建设永久工程的用地及其附属设施用地。</w:t>
      </w:r>
    </w:p>
    <w:p w14:paraId="6590A6B7">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4.4临时占地：建设临时工程的用地或用于施工所需的临时场地，用地红线外的临时占地由</w:t>
      </w:r>
      <w:r>
        <w:rPr>
          <w:rFonts w:hint="eastAsia" w:ascii="宋体" w:hAnsi="宋体" w:eastAsia="宋体" w:cs="Times New Roman"/>
          <w:snapToGrid/>
          <w:color w:val="auto"/>
          <w:kern w:val="2"/>
          <w:sz w:val="21"/>
          <w:szCs w:val="21"/>
          <w:highlight w:val="none"/>
          <w:lang w:eastAsia="zh-CN"/>
        </w:rPr>
        <w:t>卖方</w:t>
      </w:r>
      <w:r>
        <w:rPr>
          <w:rFonts w:hint="eastAsia" w:ascii="宋体" w:hAnsi="宋体" w:eastAsia="宋体" w:cs="Times New Roman"/>
          <w:snapToGrid/>
          <w:color w:val="auto"/>
          <w:kern w:val="2"/>
          <w:sz w:val="21"/>
          <w:szCs w:val="21"/>
          <w:highlight w:val="none"/>
        </w:rPr>
        <w:t>自行解决 。</w:t>
      </w:r>
    </w:p>
    <w:p w14:paraId="609F4D6C">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bookmarkStart w:id="209" w:name="_Toc21937"/>
      <w:r>
        <w:rPr>
          <w:rFonts w:hint="eastAsia" w:ascii="宋体" w:hAnsi="宋体" w:eastAsia="宋体" w:cs="Times New Roman"/>
          <w:snapToGrid/>
          <w:color w:val="auto"/>
          <w:kern w:val="2"/>
          <w:sz w:val="21"/>
          <w:szCs w:val="21"/>
          <w:highlight w:val="none"/>
          <w:lang w:eastAsia="zh-CN"/>
        </w:rPr>
        <w:t>5.</w:t>
      </w:r>
      <w:bookmarkStart w:id="210" w:name="_Hlk141207799"/>
      <w:r>
        <w:rPr>
          <w:rFonts w:hint="eastAsia" w:ascii="宋体" w:hAnsi="宋体" w:eastAsia="宋体" w:cs="Times New Roman"/>
          <w:snapToGrid/>
          <w:color w:val="auto"/>
          <w:kern w:val="2"/>
          <w:sz w:val="21"/>
          <w:szCs w:val="21"/>
          <w:highlight w:val="none"/>
        </w:rPr>
        <w:t>变更</w:t>
      </w:r>
    </w:p>
    <w:p w14:paraId="37DE1748">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5.1变更程序</w:t>
      </w:r>
    </w:p>
    <w:p w14:paraId="330DF230">
      <w:pPr>
        <w:widowControl w:val="0"/>
        <w:shd w:val="clear"/>
        <w:kinsoku/>
        <w:autoSpaceDE/>
        <w:autoSpaceDN/>
        <w:adjustRightInd/>
        <w:snapToGrid/>
        <w:spacing w:line="360" w:lineRule="auto"/>
        <w:ind w:firstLine="420" w:firstLineChars="200"/>
        <w:jc w:val="both"/>
        <w:textAlignment w:val="auto"/>
        <w:outlineLvl w:val="0"/>
        <w:rPr>
          <w:rFonts w:ascii="宋体" w:hAnsi="宋体" w:eastAsia="宋体" w:cs="Times New Roman"/>
          <w:snapToGrid/>
          <w:color w:val="auto"/>
          <w:kern w:val="2"/>
          <w:sz w:val="21"/>
          <w:szCs w:val="21"/>
          <w:highlight w:val="none"/>
        </w:rPr>
      </w:pPr>
      <w:r>
        <w:rPr>
          <w:rFonts w:ascii="宋体" w:hAnsi="宋体" w:eastAsia="宋体" w:cs="Times New Roman"/>
          <w:snapToGrid/>
          <w:color w:val="auto"/>
          <w:kern w:val="2"/>
          <w:sz w:val="21"/>
          <w:szCs w:val="21"/>
          <w:highlight w:val="none"/>
        </w:rPr>
        <w:t>5.</w:t>
      </w:r>
      <w:r>
        <w:rPr>
          <w:rFonts w:hint="eastAsia" w:ascii="宋体" w:hAnsi="宋体" w:eastAsia="宋体" w:cs="Times New Roman"/>
          <w:snapToGrid/>
          <w:color w:val="auto"/>
          <w:kern w:val="2"/>
          <w:sz w:val="21"/>
          <w:szCs w:val="21"/>
          <w:highlight w:val="none"/>
        </w:rPr>
        <w:t>1</w:t>
      </w:r>
      <w:r>
        <w:rPr>
          <w:rFonts w:ascii="宋体" w:hAnsi="宋体" w:eastAsia="宋体" w:cs="Times New Roman"/>
          <w:snapToGrid/>
          <w:color w:val="auto"/>
          <w:kern w:val="2"/>
          <w:sz w:val="21"/>
          <w:szCs w:val="21"/>
          <w:highlight w:val="none"/>
        </w:rPr>
        <w:t xml:space="preserve">.1 </w:t>
      </w:r>
      <w:r>
        <w:rPr>
          <w:rFonts w:hint="eastAsia" w:ascii="宋体" w:hAnsi="宋体" w:eastAsia="宋体" w:cs="Times New Roman"/>
          <w:snapToGrid/>
          <w:color w:val="auto"/>
          <w:kern w:val="2"/>
          <w:sz w:val="21"/>
          <w:szCs w:val="21"/>
          <w:highlight w:val="none"/>
        </w:rPr>
        <w:t>变更的提出补充</w:t>
      </w:r>
    </w:p>
    <w:p w14:paraId="53763511">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（1）属人力不可抗力造成卖方直接损失的，或在改造实施现场出现没有纳入设计的较大设备设施隐患，根据买方现场确定需要处理的，买方将根据实际情况协商解决。</w:t>
      </w:r>
    </w:p>
    <w:p w14:paraId="5A932536">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w:t>
      </w:r>
      <w:r>
        <w:rPr>
          <w:rFonts w:ascii="宋体" w:hAnsi="宋体" w:eastAsia="宋体" w:cs="Times New Roman"/>
          <w:snapToGrid/>
          <w:color w:val="auto"/>
          <w:kern w:val="2"/>
          <w:sz w:val="21"/>
          <w:szCs w:val="21"/>
          <w:highlight w:val="none"/>
        </w:rPr>
        <w:t>2</w:t>
      </w:r>
      <w:r>
        <w:rPr>
          <w:rFonts w:hint="eastAsia" w:ascii="宋体" w:hAnsi="宋体" w:eastAsia="宋体" w:cs="Times New Roman"/>
          <w:snapToGrid/>
          <w:color w:val="auto"/>
          <w:kern w:val="2"/>
          <w:sz w:val="21"/>
          <w:szCs w:val="21"/>
          <w:highlight w:val="none"/>
        </w:rPr>
        <w:t>）在项目实施过程中，买方认为可能存在安全隐患或难以实施的情形，有权要求卖方整改，其产生的额外费用由卖方承担，不计入变更费用。</w:t>
      </w:r>
    </w:p>
    <w:p w14:paraId="5B10A073">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w:t>
      </w:r>
      <w:r>
        <w:rPr>
          <w:rFonts w:ascii="宋体" w:hAnsi="宋体" w:eastAsia="宋体" w:cs="Times New Roman"/>
          <w:snapToGrid/>
          <w:color w:val="auto"/>
          <w:kern w:val="2"/>
          <w:sz w:val="21"/>
          <w:szCs w:val="21"/>
          <w:highlight w:val="none"/>
        </w:rPr>
        <w:t>3</w:t>
      </w:r>
      <w:r>
        <w:rPr>
          <w:rFonts w:hint="eastAsia" w:ascii="宋体" w:hAnsi="宋体" w:eastAsia="宋体" w:cs="Times New Roman"/>
          <w:snapToGrid/>
          <w:color w:val="auto"/>
          <w:kern w:val="2"/>
          <w:sz w:val="21"/>
          <w:szCs w:val="21"/>
          <w:highlight w:val="none"/>
        </w:rPr>
        <w:t>）在材料及设备运用中未达到设计方案预期效果的，买方可以要求更换或返工，其产生的额外费用由卖方承担，不计入变更费用。</w:t>
      </w:r>
    </w:p>
    <w:p w14:paraId="4EE465A8">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w:t>
      </w:r>
      <w:r>
        <w:rPr>
          <w:rFonts w:ascii="宋体" w:hAnsi="宋体" w:eastAsia="宋体" w:cs="Times New Roman"/>
          <w:snapToGrid/>
          <w:color w:val="auto"/>
          <w:kern w:val="2"/>
          <w:sz w:val="21"/>
          <w:szCs w:val="21"/>
          <w:highlight w:val="none"/>
        </w:rPr>
        <w:t>4</w:t>
      </w:r>
      <w:r>
        <w:rPr>
          <w:rFonts w:hint="eastAsia" w:ascii="宋体" w:hAnsi="宋体" w:eastAsia="宋体" w:cs="Times New Roman"/>
          <w:snapToGrid/>
          <w:color w:val="auto"/>
          <w:kern w:val="2"/>
          <w:sz w:val="21"/>
          <w:szCs w:val="21"/>
          <w:highlight w:val="none"/>
        </w:rPr>
        <w:t>）在施工过程中，卖方如欲提出工期或费用变更申请，应在可预知时间发生24小时前/突发事件发生24小时内向买方提出书面报告，并明确告知变更引起工期及费用变化情况，否则买方有权不予受理。</w:t>
      </w:r>
    </w:p>
    <w:p w14:paraId="1BF6F826">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bookmarkStart w:id="211" w:name="_Hlk154136414"/>
      <w:r>
        <w:rPr>
          <w:rFonts w:hint="eastAsia" w:ascii="宋体" w:hAnsi="宋体" w:eastAsia="宋体" w:cs="Times New Roman"/>
          <w:snapToGrid/>
          <w:color w:val="auto"/>
          <w:kern w:val="2"/>
          <w:sz w:val="21"/>
          <w:szCs w:val="21"/>
          <w:highlight w:val="none"/>
        </w:rPr>
        <w:t>（</w:t>
      </w:r>
      <w:r>
        <w:rPr>
          <w:rFonts w:ascii="宋体" w:hAnsi="宋体" w:eastAsia="宋体" w:cs="Times New Roman"/>
          <w:snapToGrid/>
          <w:color w:val="auto"/>
          <w:kern w:val="2"/>
          <w:sz w:val="21"/>
          <w:szCs w:val="21"/>
          <w:highlight w:val="none"/>
        </w:rPr>
        <w:t>5</w:t>
      </w:r>
      <w:r>
        <w:rPr>
          <w:rFonts w:hint="eastAsia" w:ascii="宋体" w:hAnsi="宋体" w:eastAsia="宋体" w:cs="Times New Roman"/>
          <w:snapToGrid/>
          <w:color w:val="auto"/>
          <w:kern w:val="2"/>
          <w:sz w:val="21"/>
          <w:szCs w:val="21"/>
          <w:highlight w:val="none"/>
        </w:rPr>
        <w:t>）按合同约定单价固定，工程量按实调整执行；确实需要纳入变更范畴同时由设计出具设计变更，按本合同5.1.2执行；</w:t>
      </w:r>
    </w:p>
    <w:p w14:paraId="77BF0C5E">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w:t>
      </w:r>
      <w:r>
        <w:rPr>
          <w:rFonts w:ascii="宋体" w:hAnsi="宋体" w:eastAsia="宋体" w:cs="Times New Roman"/>
          <w:snapToGrid/>
          <w:color w:val="auto"/>
          <w:kern w:val="2"/>
          <w:sz w:val="21"/>
          <w:szCs w:val="21"/>
          <w:highlight w:val="none"/>
        </w:rPr>
        <w:t>7</w:t>
      </w:r>
      <w:r>
        <w:rPr>
          <w:rFonts w:hint="eastAsia" w:ascii="宋体" w:hAnsi="宋体" w:eastAsia="宋体" w:cs="Times New Roman"/>
          <w:snapToGrid/>
          <w:color w:val="auto"/>
          <w:kern w:val="2"/>
          <w:sz w:val="21"/>
          <w:szCs w:val="21"/>
          <w:highlight w:val="none"/>
        </w:rPr>
        <w:t>）设备部分，在招标范围内的工程量变化不影响该部分结算，对确实出现不可预见的变更情况，需设计出具变更并经监理工程师审核，买方按相关程序批准后确定，按本合同 5.1.2执行；</w:t>
      </w:r>
    </w:p>
    <w:p w14:paraId="69B0A52A">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（8）招标清单中的工程量、清单描述若与图纸及答疑不一致时，</w:t>
      </w:r>
      <w:r>
        <w:rPr>
          <w:rFonts w:hint="eastAsia" w:ascii="宋体" w:hAnsi="宋体" w:eastAsia="宋体" w:cs="宋体"/>
          <w:bCs/>
          <w:snapToGrid/>
          <w:color w:val="auto"/>
          <w:kern w:val="2"/>
          <w:sz w:val="21"/>
          <w:szCs w:val="21"/>
          <w:highlight w:val="none"/>
        </w:rPr>
        <w:t>以招标文件中招标设备清单</w:t>
      </w:r>
      <w:r>
        <w:rPr>
          <w:rFonts w:hint="eastAsia" w:ascii="宋体" w:hAnsi="宋体" w:eastAsia="宋体" w:cs="Times New Roman"/>
          <w:snapToGrid/>
          <w:color w:val="auto"/>
          <w:kern w:val="2"/>
          <w:sz w:val="21"/>
          <w:szCs w:val="21"/>
          <w:highlight w:val="none"/>
        </w:rPr>
        <w:t>及答疑为准并须满足各专业的功能要求，由卖方复核计算，如因功能性大调整（具体双方协商界定），出现变更内容的按合同约定的结算方式按实结算，买方按相关程序批准后确定。</w:t>
      </w:r>
    </w:p>
    <w:p w14:paraId="2639BC9A">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（9）买方保留合同履行中调整部分方案及订购货物数量的权利，按投标单价不变的前提下进行调整，双方不得拒绝。合同最终结算金额按实际使用量乘以投标单价进行计算。</w:t>
      </w:r>
    </w:p>
    <w:bookmarkEnd w:id="211"/>
    <w:p w14:paraId="1768AB85">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 xml:space="preserve">5.1.2变更估价 </w:t>
      </w:r>
    </w:p>
    <w:p w14:paraId="5390B0D8">
      <w:pPr>
        <w:widowControl w:val="0"/>
        <w:shd w:val="clear"/>
        <w:kinsoku/>
        <w:autoSpaceDE/>
        <w:autoSpaceDN/>
        <w:adjustRightInd/>
        <w:snapToGrid/>
        <w:spacing w:line="360" w:lineRule="auto"/>
        <w:ind w:firstLine="422" w:firstLineChars="200"/>
        <w:jc w:val="both"/>
        <w:textAlignment w:val="auto"/>
        <w:rPr>
          <w:rFonts w:ascii="宋体" w:hAnsi="宋体" w:eastAsia="宋体" w:cs="Times New Roman"/>
          <w:b/>
          <w:snapToGrid/>
          <w:color w:val="auto"/>
          <w:kern w:val="2"/>
          <w:sz w:val="21"/>
          <w:szCs w:val="21"/>
          <w:highlight w:val="none"/>
          <w:u w:val="single"/>
        </w:rPr>
      </w:pPr>
      <w:bookmarkStart w:id="212" w:name="_Hlk142170082"/>
      <w:r>
        <w:rPr>
          <w:rFonts w:hint="eastAsia" w:ascii="宋体" w:hAnsi="宋体" w:eastAsia="宋体" w:cs="Times New Roman"/>
          <w:b/>
          <w:snapToGrid/>
          <w:color w:val="auto"/>
          <w:kern w:val="2"/>
          <w:sz w:val="21"/>
          <w:szCs w:val="21"/>
          <w:highlight w:val="none"/>
          <w:u w:val="single"/>
        </w:rPr>
        <w:t>对每项变更价款的计算方法约定：</w:t>
      </w:r>
    </w:p>
    <w:p w14:paraId="26C9F340">
      <w:pPr>
        <w:widowControl w:val="0"/>
        <w:shd w:val="clear"/>
        <w:kinsoku/>
        <w:autoSpaceDE/>
        <w:autoSpaceDN/>
        <w:adjustRightInd/>
        <w:snapToGrid/>
        <w:spacing w:line="360" w:lineRule="auto"/>
        <w:ind w:firstLine="422" w:firstLineChars="200"/>
        <w:textAlignment w:val="auto"/>
        <w:rPr>
          <w:rFonts w:ascii="宋体" w:hAnsi="宋体" w:eastAsia="宋体" w:cs="Times New Roman"/>
          <w:b/>
          <w:snapToGrid/>
          <w:color w:val="auto"/>
          <w:kern w:val="2"/>
          <w:sz w:val="21"/>
          <w:szCs w:val="21"/>
          <w:highlight w:val="none"/>
          <w:u w:val="single"/>
        </w:rPr>
      </w:pPr>
      <w:r>
        <w:rPr>
          <w:rFonts w:hint="eastAsia" w:ascii="宋体" w:hAnsi="宋体" w:eastAsia="宋体" w:cs="Times New Roman"/>
          <w:b/>
          <w:snapToGrid/>
          <w:color w:val="auto"/>
          <w:kern w:val="2"/>
          <w:sz w:val="21"/>
          <w:szCs w:val="21"/>
          <w:highlight w:val="none"/>
          <w:u w:val="single"/>
        </w:rPr>
        <w:t>（1）本项目按</w:t>
      </w:r>
      <w:r>
        <w:rPr>
          <w:rFonts w:hint="eastAsia" w:ascii="宋体" w:hAnsi="宋体" w:eastAsia="宋体" w:cs="Times New Roman"/>
          <w:b/>
          <w:snapToGrid/>
          <w:color w:val="auto"/>
          <w:kern w:val="2"/>
          <w:sz w:val="21"/>
          <w:szCs w:val="21"/>
          <w:highlight w:val="none"/>
          <w:u w:val="single"/>
          <w:lang w:eastAsia="zh-CN"/>
        </w:rPr>
        <w:t>卖方</w:t>
      </w:r>
      <w:r>
        <w:rPr>
          <w:rFonts w:hint="eastAsia" w:ascii="宋体" w:hAnsi="宋体" w:eastAsia="宋体" w:cs="Times New Roman"/>
          <w:b/>
          <w:snapToGrid/>
          <w:color w:val="auto"/>
          <w:kern w:val="2"/>
          <w:sz w:val="21"/>
          <w:szCs w:val="21"/>
          <w:highlight w:val="none"/>
          <w:u w:val="single"/>
        </w:rPr>
        <w:t>中标单价固定，工程量可调整。</w:t>
      </w:r>
    </w:p>
    <w:p w14:paraId="3653CCE7">
      <w:pPr>
        <w:widowControl w:val="0"/>
        <w:shd w:val="clear"/>
        <w:kinsoku/>
        <w:autoSpaceDE/>
        <w:autoSpaceDN/>
        <w:adjustRightInd/>
        <w:snapToGrid/>
        <w:spacing w:line="360" w:lineRule="auto"/>
        <w:ind w:firstLine="422" w:firstLineChars="200"/>
        <w:textAlignment w:val="auto"/>
        <w:rPr>
          <w:rFonts w:ascii="宋体" w:hAnsi="宋体" w:eastAsia="宋体" w:cs="Times New Roman"/>
          <w:b/>
          <w:bCs/>
          <w:i/>
          <w:iCs/>
          <w:snapToGrid/>
          <w:color w:val="auto"/>
          <w:kern w:val="2"/>
          <w:sz w:val="21"/>
          <w:szCs w:val="21"/>
          <w:highlight w:val="none"/>
          <w:u w:val="single"/>
        </w:rPr>
      </w:pPr>
      <w:bookmarkStart w:id="213" w:name="_Hlk154136438"/>
      <w:r>
        <w:rPr>
          <w:rFonts w:hint="eastAsia" w:ascii="宋体" w:hAnsi="宋体" w:eastAsia="宋体" w:cs="Times New Roman"/>
          <w:b/>
          <w:snapToGrid/>
          <w:color w:val="auto"/>
          <w:kern w:val="2"/>
          <w:sz w:val="21"/>
          <w:szCs w:val="21"/>
          <w:highlight w:val="none"/>
          <w:u w:val="single"/>
        </w:rPr>
        <w:t>（</w:t>
      </w:r>
      <w:r>
        <w:rPr>
          <w:rFonts w:ascii="宋体" w:hAnsi="宋体" w:eastAsia="宋体" w:cs="Times New Roman"/>
          <w:b/>
          <w:snapToGrid/>
          <w:color w:val="auto"/>
          <w:kern w:val="2"/>
          <w:sz w:val="21"/>
          <w:szCs w:val="21"/>
          <w:highlight w:val="none"/>
          <w:u w:val="single"/>
        </w:rPr>
        <w:t>2</w:t>
      </w:r>
      <w:r>
        <w:rPr>
          <w:rFonts w:hint="eastAsia" w:ascii="宋体" w:hAnsi="宋体" w:eastAsia="宋体" w:cs="Times New Roman"/>
          <w:b/>
          <w:snapToGrid/>
          <w:color w:val="auto"/>
          <w:kern w:val="2"/>
          <w:sz w:val="21"/>
          <w:szCs w:val="21"/>
          <w:highlight w:val="none"/>
          <w:u w:val="single"/>
        </w:rPr>
        <w:t>）确实出现不可预见的变更情况，即设计出具变更且又无法套用投标报价的单价时，可</w:t>
      </w:r>
      <w:r>
        <w:rPr>
          <w:rFonts w:hint="eastAsia" w:ascii="宋体" w:hAnsi="宋体" w:eastAsia="宋体" w:cs="Times New Roman"/>
          <w:b/>
          <w:bCs/>
          <w:snapToGrid/>
          <w:color w:val="auto"/>
          <w:kern w:val="2"/>
          <w:sz w:val="21"/>
          <w:szCs w:val="21"/>
          <w:highlight w:val="none"/>
          <w:u w:val="single"/>
        </w:rPr>
        <w:t>参照投标报价中类似项目单价，或套用市场信息价和定额，或通过市场调研询价，经买方和卖方双方协商同意后，由买方或其委托的咨询单位工程师审定，并按相关程序批准后进行调整。</w:t>
      </w:r>
      <w:bookmarkEnd w:id="210"/>
      <w:bookmarkEnd w:id="212"/>
      <w:bookmarkStart w:id="214" w:name="_Hlk149050119"/>
    </w:p>
    <w:bookmarkEnd w:id="213"/>
    <w:p w14:paraId="2183D96B">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6.</w:t>
      </w:r>
      <w:bookmarkEnd w:id="209"/>
      <w:bookmarkEnd w:id="214"/>
      <w:r>
        <w:rPr>
          <w:rFonts w:hint="eastAsia" w:ascii="宋体" w:hAnsi="宋体" w:eastAsia="宋体" w:cs="Times New Roman"/>
          <w:snapToGrid/>
          <w:color w:val="auto"/>
          <w:kern w:val="2"/>
          <w:sz w:val="21"/>
          <w:szCs w:val="21"/>
          <w:highlight w:val="none"/>
        </w:rPr>
        <w:t xml:space="preserve">付款方式 </w:t>
      </w:r>
    </w:p>
    <w:p w14:paraId="0B5363A1">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6.1预付款：不支付预付款。</w:t>
      </w:r>
    </w:p>
    <w:p w14:paraId="1784DF9F">
      <w:pPr>
        <w:widowControl w:val="0"/>
        <w:shd w:val="clear"/>
        <w:kinsoku/>
        <w:autoSpaceDE/>
        <w:autoSpaceDN/>
        <w:adjustRightInd/>
        <w:snapToGrid/>
        <w:spacing w:line="360" w:lineRule="auto"/>
        <w:ind w:firstLine="420" w:firstLineChars="200"/>
        <w:jc w:val="both"/>
        <w:textAlignment w:val="auto"/>
        <w:rPr>
          <w:rFonts w:hint="eastAsia"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6.2进度款：</w:t>
      </w:r>
      <w:r>
        <w:rPr>
          <w:rFonts w:hint="eastAsia" w:ascii="宋体" w:hAnsi="宋体" w:eastAsia="宋体" w:cs="宋体"/>
          <w:color w:val="auto"/>
          <w:sz w:val="21"/>
          <w:szCs w:val="21"/>
          <w:highlight w:val="none"/>
        </w:rPr>
        <w:t>合同签订后，由卖方实施供货，货物运至买方指定地点并安装完成通过验收合格后，按每三个月为一个结算周期进行结算；买方于每个结算周期期满后</w:t>
      </w:r>
      <w:r>
        <w:rPr>
          <w:rFonts w:hint="eastAsia" w:ascii="宋体" w:hAnsi="宋体" w:eastAsia="宋体" w:cs="宋体"/>
          <w:color w:val="auto"/>
          <w:sz w:val="21"/>
          <w:szCs w:val="21"/>
          <w:highlight w:val="none"/>
          <w:lang w:val="en-US" w:eastAsia="zh-CN"/>
        </w:rPr>
        <w:t>15天内</w:t>
      </w:r>
      <w:r>
        <w:rPr>
          <w:rFonts w:hint="eastAsia" w:ascii="宋体" w:hAnsi="宋体" w:eastAsia="宋体" w:cs="宋体"/>
          <w:color w:val="auto"/>
          <w:sz w:val="21"/>
          <w:szCs w:val="21"/>
          <w:highlight w:val="none"/>
        </w:rPr>
        <w:t>，向卖方支付至上</w:t>
      </w:r>
      <w:r>
        <w:rPr>
          <w:rFonts w:hint="eastAsia" w:ascii="宋体" w:hAnsi="宋体" w:eastAsia="宋体" w:cs="宋体"/>
          <w:color w:val="auto"/>
          <w:sz w:val="21"/>
          <w:szCs w:val="21"/>
          <w:highlight w:val="none"/>
          <w:lang w:val="en-US" w:eastAsia="zh-CN"/>
        </w:rPr>
        <w:t>个周期</w:t>
      </w:r>
      <w:r>
        <w:rPr>
          <w:rFonts w:hint="eastAsia" w:ascii="宋体" w:hAnsi="宋体" w:eastAsia="宋体" w:cs="宋体"/>
          <w:color w:val="auto"/>
          <w:sz w:val="21"/>
          <w:szCs w:val="21"/>
          <w:highlight w:val="none"/>
        </w:rPr>
        <w:t>已验收合格货物总价款的70%</w:t>
      </w:r>
      <w:r>
        <w:rPr>
          <w:rFonts w:hint="eastAsia" w:ascii="宋体" w:hAnsi="宋体" w:eastAsia="宋体" w:cs="宋体"/>
          <w:color w:val="auto"/>
          <w:sz w:val="21"/>
          <w:szCs w:val="21"/>
          <w:highlight w:val="none"/>
          <w:lang w:val="en-US" w:eastAsia="zh-CN"/>
        </w:rPr>
        <w:t>货款。</w:t>
      </w:r>
    </w:p>
    <w:p w14:paraId="6EDBA827">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6.3尾款：项目竣工验收合格后，无任何违反合同条款情况后支付</w:t>
      </w:r>
      <w:r>
        <w:rPr>
          <w:rFonts w:hint="eastAsia" w:ascii="宋体" w:hAnsi="宋体" w:eastAsia="宋体" w:cs="宋体"/>
          <w:bCs/>
          <w:snapToGrid/>
          <w:color w:val="auto"/>
          <w:kern w:val="2"/>
          <w:sz w:val="21"/>
          <w:szCs w:val="21"/>
          <w:highlight w:val="none"/>
          <w:lang w:eastAsia="zh-CN"/>
        </w:rPr>
        <w:t>至</w:t>
      </w:r>
      <w:r>
        <w:rPr>
          <w:rFonts w:hint="eastAsia" w:ascii="宋体" w:hAnsi="宋体" w:eastAsia="宋体" w:cs="宋体"/>
          <w:bCs/>
          <w:snapToGrid/>
          <w:color w:val="auto"/>
          <w:kern w:val="2"/>
          <w:sz w:val="21"/>
          <w:szCs w:val="21"/>
          <w:highlight w:val="none"/>
        </w:rPr>
        <w:t>供货总价的98.5%。并同时退还履约保证金（如果以保函的形式递交的，退还保函）。</w:t>
      </w:r>
    </w:p>
    <w:p w14:paraId="1E74037F">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6.4质保金：实际供货总价的1.5%作为质量保证金，</w:t>
      </w:r>
      <w:r>
        <w:rPr>
          <w:rFonts w:hint="eastAsia" w:ascii="宋体" w:hAnsi="宋体" w:eastAsia="宋体" w:cs="宋体"/>
          <w:bCs/>
          <w:snapToGrid/>
          <w:color w:val="auto"/>
          <w:kern w:val="2"/>
          <w:sz w:val="21"/>
          <w:szCs w:val="21"/>
          <w:highlight w:val="none"/>
          <w:lang w:eastAsia="zh-CN"/>
        </w:rPr>
        <w:t>质量保证期</w:t>
      </w:r>
      <w:r>
        <w:rPr>
          <w:rFonts w:hint="eastAsia" w:ascii="宋体" w:hAnsi="宋体" w:eastAsia="宋体" w:cs="宋体"/>
          <w:bCs/>
          <w:snapToGrid/>
          <w:color w:val="auto"/>
          <w:kern w:val="2"/>
          <w:sz w:val="21"/>
          <w:szCs w:val="21"/>
          <w:highlight w:val="none"/>
        </w:rPr>
        <w:t>内无发生质量问题，</w:t>
      </w:r>
      <w:r>
        <w:rPr>
          <w:rFonts w:hint="eastAsia" w:ascii="宋体" w:hAnsi="宋体" w:eastAsia="宋体" w:cs="宋体"/>
          <w:bCs/>
          <w:snapToGrid/>
          <w:color w:val="auto"/>
          <w:kern w:val="2"/>
          <w:sz w:val="21"/>
          <w:szCs w:val="21"/>
          <w:highlight w:val="none"/>
          <w:lang w:eastAsia="zh-CN"/>
        </w:rPr>
        <w:t>质量保证期</w:t>
      </w:r>
      <w:r>
        <w:rPr>
          <w:rFonts w:hint="eastAsia" w:ascii="宋体" w:hAnsi="宋体" w:eastAsia="宋体" w:cs="宋体"/>
          <w:bCs/>
          <w:snapToGrid/>
          <w:color w:val="auto"/>
          <w:kern w:val="2"/>
          <w:sz w:val="21"/>
          <w:szCs w:val="21"/>
          <w:highlight w:val="none"/>
        </w:rPr>
        <w:t>满后全额付清。</w:t>
      </w:r>
    </w:p>
    <w:p w14:paraId="06DB794E">
      <w:pPr>
        <w:widowControl w:val="0"/>
        <w:shd w:val="clear"/>
        <w:kinsoku/>
        <w:autoSpaceDE/>
        <w:autoSpaceDN/>
        <w:adjustRightInd/>
        <w:snapToGrid/>
        <w:spacing w:line="360" w:lineRule="auto"/>
        <w:ind w:firstLine="420" w:firstLineChars="200"/>
        <w:jc w:val="both"/>
        <w:textAlignment w:val="auto"/>
        <w:rPr>
          <w:rFonts w:hint="eastAsia" w:ascii="宋体" w:hAnsi="宋体" w:eastAsia="宋体" w:cs="Times New Roman"/>
          <w:snapToGrid/>
          <w:color w:val="auto"/>
          <w:kern w:val="2"/>
          <w:sz w:val="21"/>
          <w:szCs w:val="21"/>
          <w:highlight w:val="none"/>
          <w:lang w:eastAsia="zh-CN"/>
        </w:rPr>
      </w:pPr>
      <w:r>
        <w:rPr>
          <w:rFonts w:hint="eastAsia" w:ascii="宋体" w:hAnsi="宋体" w:eastAsia="宋体" w:cs="宋体"/>
          <w:bCs/>
          <w:snapToGrid/>
          <w:color w:val="auto"/>
          <w:kern w:val="2"/>
          <w:sz w:val="21"/>
          <w:szCs w:val="21"/>
          <w:highlight w:val="none"/>
        </w:rPr>
        <w:t>6.4发票应随付款申请书同时提供（按照国家有关规定缴纳相应税费，开具增值税专票，若在合同履行期间，如遇国家的增值税税率调整则按新税率执行）。</w:t>
      </w:r>
    </w:p>
    <w:p w14:paraId="35D87225">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lang w:eastAsia="zh-CN"/>
        </w:rPr>
        <w:t>7.</w:t>
      </w:r>
      <w:r>
        <w:rPr>
          <w:rFonts w:hint="eastAsia" w:ascii="宋体" w:hAnsi="宋体" w:eastAsia="宋体" w:cs="Times New Roman"/>
          <w:snapToGrid/>
          <w:color w:val="auto"/>
          <w:kern w:val="2"/>
          <w:sz w:val="21"/>
          <w:szCs w:val="21"/>
          <w:highlight w:val="none"/>
        </w:rPr>
        <w:t>合同价结算口径：</w:t>
      </w:r>
    </w:p>
    <w:p w14:paraId="45B87017">
      <w:pPr>
        <w:pStyle w:val="135"/>
        <w:shd w:val="clear"/>
        <w:spacing w:line="360" w:lineRule="auto"/>
        <w:ind w:firstLine="420"/>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7.1中标单价为固定单价，不再调整，在结算时按实结算。</w:t>
      </w:r>
    </w:p>
    <w:p w14:paraId="06D65341">
      <w:pPr>
        <w:pStyle w:val="135"/>
        <w:shd w:val="clear"/>
        <w:spacing w:line="360" w:lineRule="auto"/>
        <w:ind w:firstLine="420"/>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7.2本合同约定的货物单价不含税部分不调整，若在合同履行期间，如遇国家的增值税税率调整，则货物综合单价（价税合计）相应调整。</w:t>
      </w:r>
    </w:p>
    <w:p w14:paraId="3E52374B">
      <w:pPr>
        <w:pStyle w:val="135"/>
        <w:shd w:val="clear"/>
        <w:spacing w:line="360" w:lineRule="auto"/>
        <w:ind w:firstLine="420"/>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lang w:eastAsia="zh-CN"/>
        </w:rPr>
        <w:t>8.</w:t>
      </w:r>
      <w:r>
        <w:rPr>
          <w:rFonts w:hint="eastAsia" w:ascii="宋体" w:hAnsi="宋体" w:eastAsia="宋体" w:cs="宋体"/>
          <w:bCs w:val="0"/>
          <w:color w:val="auto"/>
          <w:sz w:val="21"/>
          <w:szCs w:val="21"/>
          <w:highlight w:val="none"/>
        </w:rPr>
        <w:t>文件和技术资料</w:t>
      </w:r>
    </w:p>
    <w:p w14:paraId="107AB618">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设备交货前卖方向买方提供下列技术资料、图纸和文件：</w:t>
      </w:r>
    </w:p>
    <w:p w14:paraId="169F96D9">
      <w:pPr>
        <w:widowControl w:val="0"/>
        <w:shd w:val="clear"/>
        <w:kinsoku/>
        <w:autoSpaceDE/>
        <w:autoSpaceDN/>
        <w:spacing w:line="360" w:lineRule="auto"/>
        <w:ind w:firstLine="420" w:firstLineChars="200"/>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（1）样本及技术规格书。</w:t>
      </w:r>
    </w:p>
    <w:p w14:paraId="1B04D39C">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（2）制造厂的设备生产许可证明和设备合格证书。</w:t>
      </w:r>
    </w:p>
    <w:p w14:paraId="2A959774">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（3）制造厂出具的品质保证书正本。</w:t>
      </w:r>
    </w:p>
    <w:p w14:paraId="13F6AD15">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（4）制作期间的试验、检试报告。</w:t>
      </w:r>
    </w:p>
    <w:p w14:paraId="379E7FD4">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（5）出厂检试报告。设备、操作、维护手册或说明书。此手册或说明书不应少于如下内容：</w:t>
      </w:r>
    </w:p>
    <w:p w14:paraId="0046E57F">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（6）省级及以上卫生部门《生活饮用水输配水设备及防护材料卫生安全评价标准》GB/T17219的检测报告</w:t>
      </w:r>
    </w:p>
    <w:p w14:paraId="1E6765BD">
      <w:pPr>
        <w:widowControl w:val="0"/>
        <w:shd w:val="clear"/>
        <w:tabs>
          <w:tab w:val="left" w:pos="560"/>
          <w:tab w:val="left" w:pos="1400"/>
        </w:tabs>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 xml:space="preserve">    a.电气接线图；</w:t>
      </w:r>
    </w:p>
    <w:p w14:paraId="7C7EE1DD">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 xml:space="preserve">    b.设备操作与维修手册。</w:t>
      </w:r>
    </w:p>
    <w:p w14:paraId="7D1D7117">
      <w:pPr>
        <w:widowControl w:val="0"/>
        <w:shd w:val="clear"/>
        <w:kinsoku/>
        <w:autoSpaceDE/>
        <w:autoSpaceDN/>
        <w:adjustRightInd/>
        <w:snapToGri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（6）买方认为有必要提供的其他技术资料。</w:t>
      </w:r>
    </w:p>
    <w:p w14:paraId="7349F503">
      <w:pPr>
        <w:widowControl w:val="0"/>
        <w:shd w:val="clear"/>
        <w:kinsoku/>
        <w:autoSpaceDE/>
        <w:autoSpaceDN/>
        <w:adjustRightInd/>
        <w:snapToGri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（7）以上所有资料必须为中文，同时必须含纸质版和电子版（P</w:t>
      </w:r>
      <w:r>
        <w:rPr>
          <w:rFonts w:ascii="宋体" w:hAnsi="宋体" w:eastAsia="宋体" w:cs="宋体"/>
          <w:snapToGrid/>
          <w:color w:val="auto"/>
          <w:kern w:val="2"/>
          <w:sz w:val="21"/>
          <w:szCs w:val="21"/>
          <w:highlight w:val="none"/>
        </w:rPr>
        <w:t>DF</w:t>
      </w:r>
      <w:r>
        <w:rPr>
          <w:rFonts w:hint="eastAsia" w:ascii="宋体" w:hAnsi="宋体" w:eastAsia="宋体" w:cs="宋体"/>
          <w:snapToGrid/>
          <w:color w:val="auto"/>
          <w:kern w:val="2"/>
          <w:sz w:val="21"/>
          <w:szCs w:val="21"/>
          <w:highlight w:val="none"/>
        </w:rPr>
        <w:t>、J</w:t>
      </w:r>
      <w:r>
        <w:rPr>
          <w:rFonts w:ascii="宋体" w:hAnsi="宋体" w:eastAsia="宋体" w:cs="宋体"/>
          <w:snapToGrid/>
          <w:color w:val="auto"/>
          <w:kern w:val="2"/>
          <w:sz w:val="21"/>
          <w:szCs w:val="21"/>
          <w:highlight w:val="none"/>
        </w:rPr>
        <w:t>PG</w:t>
      </w:r>
      <w:r>
        <w:rPr>
          <w:rFonts w:hint="eastAsia" w:ascii="宋体" w:hAnsi="宋体" w:eastAsia="宋体" w:cs="宋体"/>
          <w:snapToGrid/>
          <w:color w:val="auto"/>
          <w:kern w:val="2"/>
          <w:sz w:val="21"/>
          <w:szCs w:val="21"/>
          <w:highlight w:val="none"/>
        </w:rPr>
        <w:t>或</w:t>
      </w:r>
      <w:r>
        <w:rPr>
          <w:rFonts w:ascii="宋体" w:hAnsi="宋体" w:eastAsia="宋体" w:cs="宋体"/>
          <w:snapToGrid/>
          <w:color w:val="auto"/>
          <w:kern w:val="2"/>
          <w:sz w:val="21"/>
          <w:szCs w:val="21"/>
          <w:highlight w:val="none"/>
        </w:rPr>
        <w:t>W</w:t>
      </w:r>
      <w:r>
        <w:rPr>
          <w:rFonts w:hint="eastAsia" w:ascii="宋体" w:hAnsi="宋体" w:eastAsia="宋体" w:cs="宋体"/>
          <w:snapToGrid/>
          <w:color w:val="auto"/>
          <w:kern w:val="2"/>
          <w:sz w:val="21"/>
          <w:szCs w:val="21"/>
          <w:highlight w:val="none"/>
        </w:rPr>
        <w:t>ord格式）。</w:t>
      </w:r>
    </w:p>
    <w:p w14:paraId="2AE180AD">
      <w:pPr>
        <w:widowControl w:val="0"/>
        <w:shd w:val="clear"/>
        <w:kinsoku/>
        <w:autoSpaceDE/>
        <w:autoSpaceDN/>
        <w:adjustRightInd/>
        <w:snapToGri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Calibri" w:hAnsi="Calibri" w:eastAsia="宋体" w:cs="Times New Roman"/>
          <w:snapToGrid/>
          <w:color w:val="auto"/>
          <w:kern w:val="2"/>
          <w:sz w:val="21"/>
          <w:szCs w:val="21"/>
          <w:highlight w:val="none"/>
        </w:rPr>
        <w:t>（8）以上所有资料最后将编制成册，按照买方提供的清单进行整理和编制，由监理公司审核无误后，在项目整体竣工验收前提交给买方归档。</w:t>
      </w:r>
    </w:p>
    <w:p w14:paraId="36AC956E">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lang w:eastAsia="zh-CN"/>
        </w:rPr>
        <w:t>9.</w:t>
      </w:r>
      <w:r>
        <w:rPr>
          <w:rFonts w:hint="eastAsia" w:ascii="宋体" w:hAnsi="宋体" w:eastAsia="宋体" w:cs="宋体"/>
          <w:snapToGrid/>
          <w:color w:val="auto"/>
          <w:kern w:val="2"/>
          <w:sz w:val="21"/>
          <w:szCs w:val="21"/>
          <w:highlight w:val="none"/>
        </w:rPr>
        <w:t>技术服务</w:t>
      </w:r>
    </w:p>
    <w:p w14:paraId="4FF66075">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卖方免费对买方的操作、维修人员在厂方或使用地进行技术培训。卖方提供的负责培训人员应具备同类产品5年以上的维修经验。</w:t>
      </w:r>
    </w:p>
    <w:p w14:paraId="1525D689">
      <w:pPr>
        <w:widowControl w:val="0"/>
        <w:shd w:val="clear"/>
        <w:tabs>
          <w:tab w:val="left" w:pos="280"/>
        </w:tabs>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lang w:eastAsia="zh-CN"/>
        </w:rPr>
        <w:t>10.</w:t>
      </w:r>
      <w:r>
        <w:rPr>
          <w:rFonts w:hint="eastAsia" w:ascii="宋体" w:hAnsi="宋体" w:eastAsia="宋体" w:cs="宋体"/>
          <w:snapToGrid/>
          <w:color w:val="auto"/>
          <w:kern w:val="2"/>
          <w:sz w:val="21"/>
          <w:szCs w:val="21"/>
          <w:highlight w:val="none"/>
        </w:rPr>
        <w:t>质量、技术标准</w:t>
      </w:r>
    </w:p>
    <w:p w14:paraId="14ABC663">
      <w:pPr>
        <w:widowControl w:val="0"/>
        <w:shd w:val="clear"/>
        <w:tabs>
          <w:tab w:val="left" w:pos="280"/>
        </w:tabs>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10.1 设备的制造、验收标准及技术规范，必须符合中国国家标准，或买方认可的其他标准。卖方必须保证交货产品各项性能不得低于国家标准或</w:t>
      </w:r>
      <w:r>
        <w:rPr>
          <w:rFonts w:hint="eastAsia" w:ascii="宋体" w:hAnsi="宋体" w:eastAsia="宋体" w:cs="宋体"/>
          <w:snapToGrid/>
          <w:color w:val="auto"/>
          <w:kern w:val="2"/>
          <w:sz w:val="21"/>
          <w:szCs w:val="21"/>
          <w:highlight w:val="none"/>
          <w:lang w:eastAsia="zh-CN"/>
        </w:rPr>
        <w:t>买方</w:t>
      </w:r>
      <w:r>
        <w:rPr>
          <w:rFonts w:hint="eastAsia" w:ascii="宋体" w:hAnsi="宋体" w:eastAsia="宋体" w:cs="宋体"/>
          <w:snapToGrid/>
          <w:color w:val="auto"/>
          <w:kern w:val="2"/>
          <w:sz w:val="21"/>
          <w:szCs w:val="21"/>
          <w:highlight w:val="none"/>
        </w:rPr>
        <w:t>认可的其他标准，买方随时有抽检及送检产品的权利，检验机构为政府法定检验机构。对于产品的任何技术及质量不合格，卖方承担检测费用，买方有权拒收、部分拒收、退货、部分退货直至解除本合同，追究卖方违约责任，并要求卖方支付承担因此造成的所有损失。因此造成工期违约的，同时承担工期违约的违约责任。</w:t>
      </w:r>
    </w:p>
    <w:p w14:paraId="0D25CD12">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10.2未经买方同意，卖方不得擅自更改或换用投标产品的零部件或配件，否则，卖方承担由此发生的费用，并赔偿买方的有关损失，延误的供货日期不予顺延。</w:t>
      </w:r>
    </w:p>
    <w:p w14:paraId="21307EC3">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lang w:eastAsia="zh-CN"/>
        </w:rPr>
        <w:t>11.</w:t>
      </w:r>
      <w:r>
        <w:rPr>
          <w:rFonts w:hint="eastAsia" w:ascii="宋体" w:hAnsi="宋体" w:eastAsia="宋体" w:cs="宋体"/>
          <w:snapToGrid/>
          <w:color w:val="auto"/>
          <w:kern w:val="2"/>
          <w:sz w:val="21"/>
          <w:szCs w:val="21"/>
          <w:highlight w:val="none"/>
        </w:rPr>
        <w:t xml:space="preserve">设备、材料检验 </w:t>
      </w:r>
    </w:p>
    <w:p w14:paraId="1AF8D184">
      <w:pPr>
        <w:widowControl w:val="0"/>
        <w:shd w:val="clear"/>
        <w:spacing w:after="120" w:line="360" w:lineRule="auto"/>
        <w:ind w:firstLine="420" w:firstLineChars="200"/>
        <w:jc w:val="both"/>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设备品牌不可简单填写国产，若简单描述国产一旦中标则由买方在推荐生产厂或品牌范围内确定，卖方须无条件服从，价格不予调整。未按要求执行的则按违约论处，包括但不限于解除合同，扣除履约保证金等措施。</w:t>
      </w:r>
    </w:p>
    <w:p w14:paraId="639548FA">
      <w:pPr>
        <w:widowControl w:val="0"/>
        <w:shd w:val="clear"/>
        <w:spacing w:after="120" w:line="360" w:lineRule="auto"/>
        <w:ind w:firstLine="420" w:firstLineChars="200"/>
        <w:jc w:val="both"/>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所有的货物准备进场时须同时提供货物出厂合格证书、检测报告。国外生产的必须有合法的进货渠道证明，如海关报关单、原产地证明、商检证明等。须保证所有设备出厂日期在2</w:t>
      </w:r>
      <w:r>
        <w:rPr>
          <w:rFonts w:ascii="宋体" w:hAnsi="宋体" w:eastAsia="宋体" w:cs="宋体"/>
          <w:color w:val="auto"/>
          <w:kern w:val="2"/>
          <w:sz w:val="21"/>
          <w:szCs w:val="21"/>
          <w:highlight w:val="none"/>
        </w:rPr>
        <w:t>02</w:t>
      </w:r>
      <w:r>
        <w:rPr>
          <w:rFonts w:hint="eastAsia" w:ascii="宋体" w:hAnsi="宋体" w:eastAsia="宋体" w:cs="宋体"/>
          <w:color w:val="auto"/>
          <w:kern w:val="2"/>
          <w:sz w:val="21"/>
          <w:szCs w:val="21"/>
          <w:highlight w:val="none"/>
        </w:rPr>
        <w:t>4年1月1日以后。</w:t>
      </w:r>
    </w:p>
    <w:p w14:paraId="053BA339">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bookmarkStart w:id="215" w:name="_Toc27309"/>
      <w:bookmarkStart w:id="216" w:name="_Toc812"/>
      <w:r>
        <w:rPr>
          <w:rFonts w:hint="eastAsia" w:ascii="宋体" w:hAnsi="宋体" w:eastAsia="宋体" w:cs="宋体"/>
          <w:snapToGrid/>
          <w:color w:val="auto"/>
          <w:kern w:val="2"/>
          <w:sz w:val="21"/>
          <w:szCs w:val="21"/>
          <w:highlight w:val="none"/>
          <w:lang w:eastAsia="zh-CN"/>
        </w:rPr>
        <w:t>12.</w:t>
      </w:r>
      <w:r>
        <w:rPr>
          <w:rFonts w:hint="eastAsia" w:ascii="宋体" w:hAnsi="宋体" w:eastAsia="宋体" w:cs="宋体"/>
          <w:snapToGrid/>
          <w:color w:val="auto"/>
          <w:kern w:val="2"/>
          <w:sz w:val="21"/>
          <w:szCs w:val="21"/>
          <w:highlight w:val="none"/>
        </w:rPr>
        <w:t>设备的调试</w:t>
      </w:r>
      <w:bookmarkEnd w:id="215"/>
      <w:bookmarkEnd w:id="216"/>
    </w:p>
    <w:p w14:paraId="1D519661">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12.1合同所订的货物到达项目现场后，卖方应在收到</w:t>
      </w:r>
      <w:r>
        <w:rPr>
          <w:rFonts w:hint="eastAsia" w:ascii="宋体" w:hAnsi="宋体" w:eastAsia="宋体" w:cs="宋体"/>
          <w:snapToGrid/>
          <w:color w:val="auto"/>
          <w:kern w:val="2"/>
          <w:sz w:val="21"/>
          <w:szCs w:val="21"/>
          <w:highlight w:val="none"/>
          <w:lang w:eastAsia="zh-CN"/>
        </w:rPr>
        <w:t>买方</w:t>
      </w:r>
      <w:r>
        <w:rPr>
          <w:rFonts w:hint="eastAsia" w:ascii="宋体" w:hAnsi="宋体" w:eastAsia="宋体" w:cs="宋体"/>
          <w:snapToGrid/>
          <w:color w:val="auto"/>
          <w:kern w:val="2"/>
          <w:sz w:val="21"/>
          <w:szCs w:val="21"/>
          <w:highlight w:val="none"/>
        </w:rPr>
        <w:t>通知后2天内，及时派人前往设备交货地点对设备进行安装调试。</w:t>
      </w:r>
    </w:p>
    <w:p w14:paraId="32D640E3">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12.</w:t>
      </w:r>
      <w:r>
        <w:rPr>
          <w:rFonts w:ascii="宋体" w:hAnsi="宋体" w:eastAsia="宋体" w:cs="宋体"/>
          <w:snapToGrid/>
          <w:color w:val="auto"/>
          <w:kern w:val="2"/>
          <w:sz w:val="21"/>
          <w:szCs w:val="21"/>
          <w:highlight w:val="none"/>
        </w:rPr>
        <w:t>2</w:t>
      </w:r>
      <w:r>
        <w:rPr>
          <w:rFonts w:hint="eastAsia" w:ascii="宋体" w:hAnsi="宋体" w:eastAsia="宋体" w:cs="宋体"/>
          <w:snapToGrid/>
          <w:color w:val="auto"/>
          <w:kern w:val="2"/>
          <w:sz w:val="21"/>
          <w:szCs w:val="21"/>
          <w:highlight w:val="none"/>
        </w:rPr>
        <w:t>卖方应在设备安装完毕后的5日内完成设备调试工作；调试完毕后须经过二个月的试运行。如因卖方责任而造成的延期，所有因调试延期而产生的费用由卖方负担并卖方应承担相应的违约责任。每逾期一天，卖方按1万元/天向买方支付违约金；逾期超过 30天的，买方有权解除合同、没收全部的履约保证金，并由卖方承担所有的违约责任并承担由此造成的买方的全部损失。</w:t>
      </w:r>
    </w:p>
    <w:p w14:paraId="3BED3D4A">
      <w:pPr>
        <w:widowControl w:val="0"/>
        <w:shd w:val="clear"/>
        <w:kinsoku/>
        <w:autoSpaceDE/>
        <w:autoSpaceDN/>
        <w:adjustRightInd/>
        <w:spacing w:line="360" w:lineRule="auto"/>
        <w:ind w:firstLine="420" w:firstLineChars="200"/>
        <w:jc w:val="both"/>
        <w:textAlignment w:val="auto"/>
        <w:rPr>
          <w:rFonts w:ascii="宋体" w:hAnsi="宋体" w:eastAsia="宋体" w:cs="宋体"/>
          <w:strike/>
          <w:snapToGrid/>
          <w:color w:val="auto"/>
          <w:kern w:val="2"/>
          <w:sz w:val="21"/>
          <w:szCs w:val="21"/>
          <w:highlight w:val="none"/>
        </w:rPr>
      </w:pPr>
      <w:r>
        <w:rPr>
          <w:rFonts w:hint="eastAsia" w:ascii="宋体" w:hAnsi="宋体" w:eastAsia="宋体" w:cs="宋体"/>
          <w:snapToGrid/>
          <w:color w:val="auto"/>
          <w:kern w:val="2"/>
          <w:sz w:val="21"/>
          <w:szCs w:val="21"/>
          <w:highlight w:val="none"/>
        </w:rPr>
        <w:t>安装完毕后，卖方应派遣有经验的工程技术人员进行设备的调试及试运行，买方可以要求卖方或具有检测资质的第三方用专用仪器进行测试，卖方应负责测试和调试所需的人员、工具、材料、仪器及检测费用等一切费用，并填写测试报告交由买方存档。如需买方派有关人员配合，卖方应在设备安装调试前一周提出需配合工作人员的工种、人数等计划书交予买方，以便买方提前做好准备，确保整个项目顺利进行。</w:t>
      </w:r>
    </w:p>
    <w:p w14:paraId="47883EA0">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lang w:eastAsia="zh-CN"/>
        </w:rPr>
        <w:t>13.</w:t>
      </w:r>
      <w:r>
        <w:rPr>
          <w:rFonts w:hint="eastAsia" w:ascii="宋体" w:hAnsi="宋体" w:eastAsia="宋体" w:cs="宋体"/>
          <w:snapToGrid/>
          <w:color w:val="auto"/>
          <w:kern w:val="2"/>
          <w:sz w:val="21"/>
          <w:szCs w:val="21"/>
          <w:highlight w:val="none"/>
        </w:rPr>
        <w:t>设备验收</w:t>
      </w:r>
    </w:p>
    <w:p w14:paraId="10FEFDE4">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13.1卖方应提供验收大纲和验收标准供买方参考，经买方确认后，作为验收的依据。</w:t>
      </w:r>
    </w:p>
    <w:p w14:paraId="244EA4F7">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13.2设备到达现场后，卖方派人到现场与买方一起开箱初步验收。卖方负责本合同项目所在地政府主管部门（技术质量监督局或卫生管理部门）的备案以及办理所需相关手续</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rPr>
        <w:t>如有）；</w:t>
      </w:r>
    </w:p>
    <w:p w14:paraId="7082DE1C">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13.3设备在安装、调试结束后，经过二个月的试运行考核无故障，买卖双</w:t>
      </w:r>
      <w:r>
        <w:rPr>
          <w:rFonts w:hint="eastAsia" w:ascii="宋体" w:hAnsi="宋体" w:eastAsia="宋体" w:cs="宋体"/>
          <w:snapToGrid/>
          <w:color w:val="auto"/>
          <w:kern w:val="2"/>
          <w:sz w:val="21"/>
          <w:szCs w:val="21"/>
          <w:highlight w:val="none"/>
          <w:lang w:eastAsia="zh-CN"/>
        </w:rPr>
        <w:t>方</w:t>
      </w:r>
      <w:r>
        <w:rPr>
          <w:rFonts w:hint="eastAsia" w:ascii="宋体" w:hAnsi="宋体" w:eastAsia="宋体" w:cs="宋体"/>
          <w:snapToGrid/>
          <w:color w:val="auto"/>
          <w:kern w:val="2"/>
          <w:sz w:val="21"/>
          <w:szCs w:val="21"/>
          <w:highlight w:val="none"/>
        </w:rPr>
        <w:t>会同当地有关部门（如有）等对设备共同进行验收，卖方自行承担第三方检验费用（第三方检测单位须买方及相关验收主管部门认可）。达到验收标准后，买方在验收合格后七日内完成设备交接，并在《产品交付报告》上签字。《产品交付报告》一式两份，双方各执一份。同时卖方向</w:t>
      </w:r>
      <w:r>
        <w:rPr>
          <w:rFonts w:hint="eastAsia" w:ascii="宋体" w:hAnsi="宋体" w:eastAsia="宋体" w:cs="宋体"/>
          <w:snapToGrid/>
          <w:color w:val="auto"/>
          <w:kern w:val="2"/>
          <w:sz w:val="21"/>
          <w:szCs w:val="21"/>
          <w:highlight w:val="none"/>
          <w:lang w:eastAsia="zh-CN"/>
        </w:rPr>
        <w:t>买方</w:t>
      </w:r>
      <w:r>
        <w:rPr>
          <w:rFonts w:hint="eastAsia" w:ascii="宋体" w:hAnsi="宋体" w:eastAsia="宋体" w:cs="宋体"/>
          <w:snapToGrid/>
          <w:color w:val="auto"/>
          <w:kern w:val="2"/>
          <w:sz w:val="21"/>
          <w:szCs w:val="21"/>
          <w:highlight w:val="none"/>
        </w:rPr>
        <w:t>提供《设备合格证》《设备使用说明书》《检验报告》等技术文件。</w:t>
      </w:r>
    </w:p>
    <w:p w14:paraId="387DF291">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bookmarkStart w:id="217" w:name="_Toc8150"/>
      <w:bookmarkStart w:id="218" w:name="_Toc20765"/>
      <w:r>
        <w:rPr>
          <w:rFonts w:hint="eastAsia" w:ascii="宋体" w:hAnsi="宋体" w:eastAsia="宋体" w:cs="宋体"/>
          <w:snapToGrid/>
          <w:color w:val="auto"/>
          <w:kern w:val="2"/>
          <w:sz w:val="21"/>
          <w:szCs w:val="21"/>
          <w:highlight w:val="none"/>
          <w:lang w:eastAsia="zh-CN"/>
        </w:rPr>
        <w:t>14.</w:t>
      </w:r>
      <w:r>
        <w:rPr>
          <w:rFonts w:hint="eastAsia" w:ascii="宋体" w:hAnsi="宋体" w:eastAsia="宋体" w:cs="宋体"/>
          <w:snapToGrid/>
          <w:color w:val="auto"/>
          <w:kern w:val="2"/>
          <w:sz w:val="21"/>
          <w:szCs w:val="21"/>
          <w:highlight w:val="none"/>
        </w:rPr>
        <w:t>质保及维修</w:t>
      </w:r>
      <w:bookmarkEnd w:id="217"/>
      <w:bookmarkEnd w:id="218"/>
    </w:p>
    <w:p w14:paraId="106EBCE4">
      <w:pPr>
        <w:widowControl w:val="0"/>
        <w:shd w:val="clear"/>
        <w:kinsoku/>
        <w:autoSpaceDE/>
        <w:autoSpaceDN/>
        <w:adjustRightInd/>
        <w:snapToGrid/>
        <w:spacing w:line="360" w:lineRule="auto"/>
        <w:ind w:firstLine="420" w:firstLineChars="200"/>
        <w:jc w:val="both"/>
        <w:textAlignment w:val="auto"/>
        <w:rPr>
          <w:rFonts w:hint="eastAsia" w:ascii="宋体" w:hAnsi="宋体" w:eastAsia="宋体" w:cs="宋体"/>
          <w:b/>
          <w:bCs/>
          <w:snapToGrid/>
          <w:color w:val="auto"/>
          <w:kern w:val="2"/>
          <w:sz w:val="21"/>
          <w:szCs w:val="21"/>
          <w:highlight w:val="none"/>
          <w:u w:val="single"/>
          <w:lang w:eastAsia="zh-CN"/>
        </w:rPr>
      </w:pPr>
      <w:r>
        <w:rPr>
          <w:rFonts w:hint="eastAsia" w:ascii="宋体" w:hAnsi="宋体" w:eastAsia="宋体" w:cs="宋体"/>
          <w:snapToGrid/>
          <w:color w:val="auto"/>
          <w:kern w:val="2"/>
          <w:sz w:val="21"/>
          <w:szCs w:val="21"/>
          <w:highlight w:val="none"/>
        </w:rPr>
        <w:t>14.1产品的质量保证期</w:t>
      </w:r>
      <w:r>
        <w:rPr>
          <w:rFonts w:hint="eastAsia" w:ascii="宋体" w:hAnsi="宋体" w:eastAsia="宋体" w:cs="宋体"/>
          <w:b/>
          <w:bCs/>
          <w:snapToGrid/>
          <w:color w:val="auto"/>
          <w:kern w:val="2"/>
          <w:sz w:val="21"/>
          <w:szCs w:val="21"/>
          <w:highlight w:val="none"/>
          <w:u w:val="single"/>
          <w:lang w:eastAsia="zh-CN"/>
        </w:rPr>
        <w:t>为</w:t>
      </w:r>
    </w:p>
    <w:p w14:paraId="01E5B0CF">
      <w:pPr>
        <w:widowControl w:val="0"/>
        <w:shd w:val="clear"/>
        <w:kinsoku/>
        <w:autoSpaceDE/>
        <w:autoSpaceDN/>
        <w:adjustRightInd/>
        <w:snapToGrid/>
        <w:spacing w:line="360" w:lineRule="auto"/>
        <w:ind w:firstLine="422" w:firstLineChars="200"/>
        <w:jc w:val="both"/>
        <w:textAlignment w:val="auto"/>
        <w:rPr>
          <w:rFonts w:hint="eastAsia" w:ascii="宋体" w:hAnsi="宋体" w:eastAsia="宋体" w:cs="宋体"/>
          <w:b/>
          <w:bCs/>
          <w:snapToGrid/>
          <w:color w:val="auto"/>
          <w:kern w:val="2"/>
          <w:sz w:val="21"/>
          <w:szCs w:val="21"/>
          <w:highlight w:val="none"/>
          <w:u w:val="none"/>
          <w:lang w:eastAsia="zh-CN"/>
        </w:rPr>
      </w:pPr>
      <w:r>
        <w:rPr>
          <w:rFonts w:hint="eastAsia" w:ascii="宋体" w:hAnsi="宋体" w:eastAsia="宋体" w:cs="宋体"/>
          <w:b/>
          <w:bCs/>
          <w:snapToGrid/>
          <w:color w:val="auto"/>
          <w:kern w:val="2"/>
          <w:sz w:val="21"/>
          <w:szCs w:val="21"/>
          <w:highlight w:val="none"/>
          <w:u w:val="none"/>
          <w:lang w:eastAsia="zh-CN"/>
        </w:rPr>
        <w:t>DN（15-25）水平旋翼式液封湿式水表质量保证期统一为</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single"/>
          <w:lang w:eastAsia="zh-CN"/>
        </w:rPr>
        <w:t>6</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none"/>
          <w:lang w:eastAsia="zh-CN"/>
        </w:rPr>
        <w:t>年；</w:t>
      </w:r>
    </w:p>
    <w:p w14:paraId="695375F3">
      <w:pPr>
        <w:widowControl w:val="0"/>
        <w:shd w:val="clear"/>
        <w:kinsoku/>
        <w:autoSpaceDE/>
        <w:autoSpaceDN/>
        <w:adjustRightInd/>
        <w:snapToGrid/>
        <w:spacing w:line="360" w:lineRule="auto"/>
        <w:ind w:firstLine="422" w:firstLineChars="200"/>
        <w:jc w:val="both"/>
        <w:textAlignment w:val="auto"/>
        <w:rPr>
          <w:rFonts w:hint="eastAsia" w:ascii="宋体" w:hAnsi="宋体" w:eastAsia="宋体" w:cs="宋体"/>
          <w:b/>
          <w:bCs/>
          <w:snapToGrid/>
          <w:color w:val="auto"/>
          <w:kern w:val="2"/>
          <w:sz w:val="21"/>
          <w:szCs w:val="21"/>
          <w:highlight w:val="none"/>
          <w:u w:val="none"/>
          <w:lang w:eastAsia="zh-CN"/>
        </w:rPr>
      </w:pPr>
      <w:r>
        <w:rPr>
          <w:rFonts w:hint="eastAsia" w:ascii="宋体" w:hAnsi="宋体" w:eastAsia="宋体" w:cs="宋体"/>
          <w:b/>
          <w:bCs/>
          <w:snapToGrid/>
          <w:color w:val="auto"/>
          <w:kern w:val="2"/>
          <w:sz w:val="21"/>
          <w:szCs w:val="21"/>
          <w:highlight w:val="none"/>
          <w:u w:val="none"/>
          <w:lang w:eastAsia="zh-CN"/>
        </w:rPr>
        <w:t>DN（40-50）水平旋翼式液封湿式水表基础质量保证期统一为</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single"/>
          <w:lang w:eastAsia="zh-CN"/>
        </w:rPr>
        <w:t>4</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none"/>
          <w:lang w:eastAsia="zh-CN"/>
        </w:rPr>
        <w:t>年；</w:t>
      </w:r>
    </w:p>
    <w:p w14:paraId="7D2AED63">
      <w:pPr>
        <w:widowControl w:val="0"/>
        <w:shd w:val="clear"/>
        <w:kinsoku/>
        <w:autoSpaceDE/>
        <w:autoSpaceDN/>
        <w:adjustRightInd/>
        <w:snapToGrid/>
        <w:spacing w:line="360" w:lineRule="auto"/>
        <w:ind w:firstLine="422" w:firstLineChars="200"/>
        <w:jc w:val="both"/>
        <w:textAlignment w:val="auto"/>
        <w:rPr>
          <w:rFonts w:hint="eastAsia" w:ascii="宋体" w:hAnsi="宋体" w:eastAsia="宋体" w:cs="宋体"/>
          <w:b/>
          <w:bCs/>
          <w:snapToGrid/>
          <w:color w:val="auto"/>
          <w:kern w:val="2"/>
          <w:sz w:val="21"/>
          <w:szCs w:val="21"/>
          <w:highlight w:val="none"/>
          <w:u w:val="none"/>
          <w:lang w:eastAsia="zh-CN"/>
        </w:rPr>
      </w:pPr>
      <w:r>
        <w:rPr>
          <w:rFonts w:hint="eastAsia" w:ascii="宋体" w:hAnsi="宋体" w:eastAsia="宋体" w:cs="宋体"/>
          <w:b/>
          <w:bCs/>
          <w:snapToGrid/>
          <w:color w:val="auto"/>
          <w:kern w:val="2"/>
          <w:sz w:val="21"/>
          <w:szCs w:val="21"/>
          <w:highlight w:val="none"/>
          <w:u w:val="none"/>
          <w:lang w:eastAsia="zh-CN"/>
        </w:rPr>
        <w:t>DN（40-50）螺翼式冷水水表基础质量保证期统一为</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single"/>
          <w:lang w:eastAsia="zh-CN"/>
        </w:rPr>
        <w:t>4</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none"/>
          <w:lang w:eastAsia="zh-CN"/>
        </w:rPr>
        <w:t>年；</w:t>
      </w:r>
    </w:p>
    <w:p w14:paraId="004962DA">
      <w:pPr>
        <w:widowControl w:val="0"/>
        <w:shd w:val="clear"/>
        <w:kinsoku/>
        <w:autoSpaceDE/>
        <w:autoSpaceDN/>
        <w:adjustRightInd/>
        <w:snapToGrid/>
        <w:spacing w:line="360" w:lineRule="auto"/>
        <w:ind w:firstLine="422" w:firstLineChars="200"/>
        <w:jc w:val="both"/>
        <w:textAlignment w:val="auto"/>
        <w:rPr>
          <w:rFonts w:hint="eastAsia" w:ascii="宋体" w:hAnsi="宋体" w:eastAsia="宋体" w:cs="宋体"/>
          <w:b/>
          <w:bCs/>
          <w:snapToGrid/>
          <w:color w:val="auto"/>
          <w:kern w:val="2"/>
          <w:sz w:val="21"/>
          <w:szCs w:val="21"/>
          <w:highlight w:val="none"/>
          <w:u w:val="none"/>
          <w:lang w:eastAsia="zh-CN"/>
        </w:rPr>
      </w:pPr>
      <w:r>
        <w:rPr>
          <w:rFonts w:hint="eastAsia" w:ascii="宋体" w:hAnsi="宋体" w:eastAsia="宋体" w:cs="宋体"/>
          <w:b/>
          <w:bCs/>
          <w:snapToGrid/>
          <w:color w:val="auto"/>
          <w:kern w:val="2"/>
          <w:sz w:val="21"/>
          <w:szCs w:val="21"/>
          <w:highlight w:val="none"/>
          <w:u w:val="none"/>
          <w:lang w:eastAsia="zh-CN"/>
        </w:rPr>
        <w:t>DN（80-200）螺翼式冷水水表基础质量保证期统一为</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single"/>
          <w:lang w:eastAsia="zh-CN"/>
        </w:rPr>
        <w:t>2</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none"/>
          <w:lang w:eastAsia="zh-CN"/>
        </w:rPr>
        <w:t>年；</w:t>
      </w:r>
    </w:p>
    <w:p w14:paraId="48224811">
      <w:pPr>
        <w:widowControl w:val="0"/>
        <w:shd w:val="clear"/>
        <w:kinsoku/>
        <w:autoSpaceDE/>
        <w:autoSpaceDN/>
        <w:adjustRightInd/>
        <w:snapToGrid/>
        <w:spacing w:line="360" w:lineRule="auto"/>
        <w:ind w:firstLine="422" w:firstLineChars="200"/>
        <w:jc w:val="both"/>
        <w:textAlignment w:val="auto"/>
        <w:rPr>
          <w:rFonts w:hint="eastAsia" w:ascii="宋体" w:hAnsi="宋体" w:eastAsia="宋体" w:cs="宋体"/>
          <w:b/>
          <w:bCs/>
          <w:snapToGrid/>
          <w:color w:val="auto"/>
          <w:kern w:val="2"/>
          <w:sz w:val="21"/>
          <w:szCs w:val="21"/>
          <w:highlight w:val="none"/>
          <w:u w:val="none"/>
          <w:lang w:eastAsia="zh-CN"/>
        </w:rPr>
      </w:pPr>
      <w:r>
        <w:rPr>
          <w:rFonts w:hint="eastAsia" w:ascii="宋体" w:hAnsi="宋体" w:eastAsia="宋体" w:cs="宋体"/>
          <w:b/>
          <w:bCs/>
          <w:snapToGrid/>
          <w:color w:val="auto"/>
          <w:kern w:val="2"/>
          <w:sz w:val="21"/>
          <w:szCs w:val="21"/>
          <w:highlight w:val="none"/>
          <w:u w:val="none"/>
          <w:lang w:eastAsia="zh-CN"/>
        </w:rPr>
        <w:t>DN15旋翼式无磁远传水表质量保证期统一为</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single"/>
          <w:lang w:eastAsia="zh-CN"/>
        </w:rPr>
        <w:t>6</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none"/>
          <w:lang w:eastAsia="zh-CN"/>
        </w:rPr>
        <w:t>年；</w:t>
      </w:r>
    </w:p>
    <w:p w14:paraId="5E7475C0">
      <w:pPr>
        <w:widowControl w:val="0"/>
        <w:shd w:val="clear"/>
        <w:kinsoku/>
        <w:autoSpaceDE/>
        <w:autoSpaceDN/>
        <w:adjustRightInd/>
        <w:snapToGrid/>
        <w:spacing w:line="360" w:lineRule="auto"/>
        <w:ind w:firstLine="422" w:firstLineChars="200"/>
        <w:jc w:val="both"/>
        <w:textAlignment w:val="auto"/>
        <w:rPr>
          <w:rFonts w:hint="eastAsia" w:ascii="宋体" w:hAnsi="宋体" w:eastAsia="宋体" w:cs="宋体"/>
          <w:b/>
          <w:bCs/>
          <w:snapToGrid/>
          <w:color w:val="auto"/>
          <w:kern w:val="2"/>
          <w:sz w:val="21"/>
          <w:szCs w:val="21"/>
          <w:highlight w:val="none"/>
          <w:u w:val="none"/>
          <w:lang w:eastAsia="zh-CN"/>
        </w:rPr>
      </w:pPr>
      <w:r>
        <w:rPr>
          <w:rFonts w:hint="eastAsia" w:ascii="宋体" w:hAnsi="宋体" w:eastAsia="宋体" w:cs="宋体"/>
          <w:b/>
          <w:bCs/>
          <w:snapToGrid/>
          <w:color w:val="auto"/>
          <w:kern w:val="2"/>
          <w:sz w:val="21"/>
          <w:szCs w:val="21"/>
          <w:highlight w:val="none"/>
          <w:u w:val="none"/>
          <w:lang w:eastAsia="zh-CN"/>
        </w:rPr>
        <w:t>超声波水表质量保证期统一为</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single"/>
          <w:lang w:eastAsia="zh-CN"/>
        </w:rPr>
        <w:t>6</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none"/>
          <w:lang w:eastAsia="zh-CN"/>
        </w:rPr>
        <w:t>年；</w:t>
      </w:r>
    </w:p>
    <w:p w14:paraId="082ADE68">
      <w:pPr>
        <w:widowControl w:val="0"/>
        <w:shd w:val="clear"/>
        <w:kinsoku/>
        <w:autoSpaceDE/>
        <w:autoSpaceDN/>
        <w:adjustRightInd/>
        <w:snapToGrid/>
        <w:spacing w:line="360" w:lineRule="auto"/>
        <w:ind w:firstLine="422" w:firstLineChars="200"/>
        <w:jc w:val="both"/>
        <w:textAlignment w:val="auto"/>
        <w:rPr>
          <w:rFonts w:hint="eastAsia" w:ascii="宋体" w:hAnsi="宋体" w:eastAsia="宋体" w:cs="宋体"/>
          <w:b/>
          <w:bCs/>
          <w:snapToGrid/>
          <w:color w:val="auto"/>
          <w:kern w:val="2"/>
          <w:sz w:val="21"/>
          <w:szCs w:val="21"/>
          <w:highlight w:val="none"/>
          <w:u w:val="none"/>
          <w:lang w:eastAsia="zh-CN"/>
        </w:rPr>
      </w:pPr>
      <w:r>
        <w:rPr>
          <w:rFonts w:hint="eastAsia" w:ascii="宋体" w:hAnsi="宋体" w:eastAsia="宋体" w:cs="宋体"/>
          <w:b/>
          <w:bCs/>
          <w:snapToGrid/>
          <w:color w:val="auto"/>
          <w:kern w:val="2"/>
          <w:sz w:val="21"/>
          <w:szCs w:val="21"/>
          <w:highlight w:val="none"/>
          <w:u w:val="none"/>
          <w:lang w:eastAsia="zh-CN"/>
        </w:rPr>
        <w:t>外夹式超声波流量计基础质量保证期统一为</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single"/>
          <w:lang w:eastAsia="zh-CN"/>
        </w:rPr>
        <w:t>2</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none"/>
          <w:lang w:eastAsia="zh-CN"/>
        </w:rPr>
        <w:t>年；</w:t>
      </w:r>
    </w:p>
    <w:p w14:paraId="6FEF7A7D">
      <w:pPr>
        <w:widowControl w:val="0"/>
        <w:shd w:val="clear"/>
        <w:kinsoku/>
        <w:autoSpaceDE/>
        <w:autoSpaceDN/>
        <w:adjustRightInd/>
        <w:snapToGrid/>
        <w:spacing w:line="360" w:lineRule="auto"/>
        <w:ind w:firstLine="422" w:firstLineChars="200"/>
        <w:jc w:val="both"/>
        <w:textAlignment w:val="auto"/>
        <w:rPr>
          <w:rFonts w:hint="eastAsia" w:ascii="宋体" w:hAnsi="宋体" w:eastAsia="宋体" w:cs="宋体"/>
          <w:b/>
          <w:bCs/>
          <w:snapToGrid/>
          <w:color w:val="auto"/>
          <w:kern w:val="2"/>
          <w:sz w:val="21"/>
          <w:szCs w:val="21"/>
          <w:highlight w:val="none"/>
          <w:u w:val="none"/>
          <w:lang w:eastAsia="zh-CN"/>
        </w:rPr>
      </w:pPr>
      <w:r>
        <w:rPr>
          <w:rFonts w:hint="eastAsia" w:ascii="宋体" w:hAnsi="宋体" w:eastAsia="宋体" w:cs="宋体"/>
          <w:b/>
          <w:bCs/>
          <w:snapToGrid/>
          <w:color w:val="auto"/>
          <w:kern w:val="2"/>
          <w:sz w:val="21"/>
          <w:szCs w:val="21"/>
          <w:highlight w:val="none"/>
          <w:u w:val="none"/>
          <w:lang w:eastAsia="zh-CN"/>
        </w:rPr>
        <w:t>管道式电磁流量计质量基础保证期统一为</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single"/>
          <w:lang w:eastAsia="zh-CN"/>
        </w:rPr>
        <w:t>2</w:t>
      </w:r>
      <w:r>
        <w:rPr>
          <w:rFonts w:hint="eastAsia" w:ascii="宋体" w:hAnsi="宋体" w:eastAsia="宋体" w:cs="宋体"/>
          <w:b/>
          <w:bCs/>
          <w:snapToGrid/>
          <w:color w:val="auto"/>
          <w:kern w:val="2"/>
          <w:sz w:val="21"/>
          <w:szCs w:val="21"/>
          <w:highlight w:val="none"/>
          <w:u w:val="single"/>
          <w:lang w:val="en-US" w:eastAsia="zh-CN"/>
        </w:rPr>
        <w:t xml:space="preserve"> </w:t>
      </w:r>
      <w:r>
        <w:rPr>
          <w:rFonts w:hint="eastAsia" w:ascii="宋体" w:hAnsi="宋体" w:eastAsia="宋体" w:cs="宋体"/>
          <w:b/>
          <w:bCs/>
          <w:snapToGrid/>
          <w:color w:val="auto"/>
          <w:kern w:val="2"/>
          <w:sz w:val="21"/>
          <w:szCs w:val="21"/>
          <w:highlight w:val="none"/>
          <w:u w:val="none"/>
          <w:lang w:eastAsia="zh-CN"/>
        </w:rPr>
        <w:t>年；</w:t>
      </w:r>
    </w:p>
    <w:p w14:paraId="530B5FDA">
      <w:pPr>
        <w:widowControl w:val="0"/>
        <w:shd w:val="clear"/>
        <w:kinsoku/>
        <w:autoSpaceDE/>
        <w:autoSpaceDN/>
        <w:adjustRightInd/>
        <w:snapToGrid/>
        <w:spacing w:line="360" w:lineRule="auto"/>
        <w:ind w:firstLine="422"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b/>
          <w:bCs/>
          <w:snapToGrid/>
          <w:color w:val="auto"/>
          <w:kern w:val="2"/>
          <w:sz w:val="21"/>
          <w:szCs w:val="21"/>
          <w:highlight w:val="none"/>
          <w:u w:val="single"/>
          <w:lang w:eastAsia="zh-CN"/>
        </w:rPr>
        <w:t>（以上</w:t>
      </w:r>
      <w:r>
        <w:rPr>
          <w:rFonts w:hint="eastAsia" w:ascii="宋体" w:hAnsi="宋体" w:eastAsia="宋体" w:cs="宋体"/>
          <w:b/>
          <w:bCs/>
          <w:snapToGrid/>
          <w:color w:val="auto"/>
          <w:kern w:val="2"/>
          <w:sz w:val="21"/>
          <w:szCs w:val="21"/>
          <w:highlight w:val="none"/>
          <w:u w:val="single"/>
          <w:lang w:val="en-US" w:eastAsia="zh-CN"/>
        </w:rPr>
        <w:t>产品</w:t>
      </w:r>
      <w:r>
        <w:rPr>
          <w:rFonts w:hint="eastAsia" w:ascii="宋体" w:hAnsi="宋体" w:eastAsia="宋体" w:cs="宋体"/>
          <w:b/>
          <w:bCs/>
          <w:snapToGrid/>
          <w:color w:val="auto"/>
          <w:kern w:val="2"/>
          <w:sz w:val="21"/>
          <w:szCs w:val="21"/>
          <w:highlight w:val="none"/>
          <w:u w:val="single"/>
          <w:lang w:eastAsia="zh-CN"/>
        </w:rPr>
        <w:t>具体以投标承诺质保期为准 ）</w:t>
      </w:r>
      <w:r>
        <w:rPr>
          <w:rFonts w:hint="eastAsia" w:ascii="宋体" w:hAnsi="宋体" w:eastAsia="宋体" w:cs="宋体"/>
          <w:snapToGrid/>
          <w:color w:val="auto"/>
          <w:kern w:val="2"/>
          <w:sz w:val="21"/>
          <w:szCs w:val="21"/>
          <w:highlight w:val="none"/>
        </w:rPr>
        <w:t>，卖方承诺超过本要求的，以投标文件</w:t>
      </w:r>
      <w:r>
        <w:rPr>
          <w:rFonts w:hint="eastAsia" w:ascii="宋体" w:hAnsi="宋体" w:eastAsia="宋体" w:cs="宋体"/>
          <w:snapToGrid/>
          <w:color w:val="auto"/>
          <w:kern w:val="2"/>
          <w:sz w:val="21"/>
          <w:szCs w:val="21"/>
          <w:highlight w:val="none"/>
          <w:lang w:eastAsia="zh-CN"/>
        </w:rPr>
        <w:t>质量保证期</w:t>
      </w:r>
      <w:r>
        <w:rPr>
          <w:rFonts w:hint="eastAsia" w:ascii="宋体" w:hAnsi="宋体" w:eastAsia="宋体" w:cs="宋体"/>
          <w:snapToGrid/>
          <w:color w:val="auto"/>
          <w:kern w:val="2"/>
          <w:sz w:val="21"/>
          <w:szCs w:val="21"/>
          <w:highlight w:val="none"/>
        </w:rPr>
        <w:t>为准。在产品质量保证期之内，卖方对由于产品设计、工艺、材料、配套件的缺陷而造成的任何产品质量问题或故障，均承担免费提供同类产品的责任。</w:t>
      </w:r>
    </w:p>
    <w:p w14:paraId="0965B0DA">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14.2在设备</w:t>
      </w:r>
      <w:r>
        <w:rPr>
          <w:rFonts w:hint="eastAsia" w:ascii="宋体" w:hAnsi="宋体" w:eastAsia="宋体" w:cs="宋体"/>
          <w:snapToGrid/>
          <w:color w:val="auto"/>
          <w:kern w:val="2"/>
          <w:sz w:val="21"/>
          <w:szCs w:val="21"/>
          <w:highlight w:val="none"/>
          <w:lang w:eastAsia="zh-CN"/>
        </w:rPr>
        <w:t>质量保证期</w:t>
      </w:r>
      <w:r>
        <w:rPr>
          <w:rFonts w:hint="eastAsia" w:ascii="宋体" w:hAnsi="宋体" w:eastAsia="宋体" w:cs="宋体"/>
          <w:snapToGrid/>
          <w:color w:val="auto"/>
          <w:kern w:val="2"/>
          <w:sz w:val="21"/>
          <w:szCs w:val="21"/>
          <w:highlight w:val="none"/>
        </w:rPr>
        <w:t>内，因设备本身的缺陷导致各种故障，卖方应负责免费更换产品，提供技术服务和指导设备维修，以更换之日起起算</w:t>
      </w:r>
      <w:r>
        <w:rPr>
          <w:rFonts w:hint="eastAsia" w:ascii="宋体" w:hAnsi="宋体" w:eastAsia="宋体" w:cs="宋体"/>
          <w:snapToGrid/>
          <w:color w:val="auto"/>
          <w:kern w:val="2"/>
          <w:sz w:val="21"/>
          <w:szCs w:val="21"/>
          <w:highlight w:val="none"/>
          <w:lang w:eastAsia="zh-CN"/>
        </w:rPr>
        <w:t>质量保证期</w:t>
      </w:r>
      <w:r>
        <w:rPr>
          <w:rFonts w:hint="eastAsia" w:ascii="宋体" w:hAnsi="宋体" w:eastAsia="宋体" w:cs="宋体"/>
          <w:snapToGrid/>
          <w:color w:val="auto"/>
          <w:kern w:val="2"/>
          <w:sz w:val="21"/>
          <w:szCs w:val="21"/>
          <w:highlight w:val="none"/>
        </w:rPr>
        <w:t>。</w:t>
      </w:r>
    </w:p>
    <w:p w14:paraId="36F5DF47">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14.3如设备在</w:t>
      </w:r>
      <w:r>
        <w:rPr>
          <w:rFonts w:hint="eastAsia" w:ascii="宋体" w:hAnsi="宋体" w:eastAsia="宋体" w:cs="宋体"/>
          <w:snapToGrid/>
          <w:color w:val="auto"/>
          <w:kern w:val="2"/>
          <w:sz w:val="21"/>
          <w:szCs w:val="21"/>
          <w:highlight w:val="none"/>
          <w:lang w:eastAsia="zh-CN"/>
        </w:rPr>
        <w:t>质量保证期</w:t>
      </w:r>
      <w:r>
        <w:rPr>
          <w:rFonts w:hint="eastAsia" w:ascii="宋体" w:hAnsi="宋体" w:eastAsia="宋体" w:cs="宋体"/>
          <w:snapToGrid/>
          <w:color w:val="auto"/>
          <w:kern w:val="2"/>
          <w:sz w:val="21"/>
          <w:szCs w:val="21"/>
          <w:highlight w:val="none"/>
        </w:rPr>
        <w:t>后发生故障，卖方在接到买方的维修通知后，应及时给予响应。</w:t>
      </w:r>
    </w:p>
    <w:p w14:paraId="360BDFC3">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14.4卖方在投标文件中所承诺的辅材、配件价格及服务方案作为合同的一部分。</w:t>
      </w:r>
    </w:p>
    <w:p w14:paraId="777BB2E7">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14.5在</w:t>
      </w:r>
      <w:r>
        <w:rPr>
          <w:rFonts w:hint="eastAsia" w:ascii="宋体" w:hAnsi="宋体" w:eastAsia="宋体" w:cs="宋体"/>
          <w:snapToGrid/>
          <w:color w:val="auto"/>
          <w:kern w:val="2"/>
          <w:sz w:val="21"/>
          <w:szCs w:val="21"/>
          <w:highlight w:val="none"/>
          <w:lang w:eastAsia="zh-CN"/>
        </w:rPr>
        <w:t>质量保证期</w:t>
      </w:r>
      <w:r>
        <w:rPr>
          <w:rFonts w:hint="eastAsia" w:ascii="宋体" w:hAnsi="宋体" w:eastAsia="宋体" w:cs="宋体"/>
          <w:snapToGrid/>
          <w:color w:val="auto"/>
          <w:kern w:val="2"/>
          <w:sz w:val="21"/>
          <w:szCs w:val="21"/>
          <w:highlight w:val="none"/>
        </w:rPr>
        <w:t>内，卖方应保证所提供设备无故障开机运行，如达不到要求，</w:t>
      </w:r>
      <w:r>
        <w:rPr>
          <w:rFonts w:hint="eastAsia" w:ascii="宋体" w:hAnsi="宋体" w:eastAsia="宋体" w:cs="宋体"/>
          <w:snapToGrid/>
          <w:color w:val="auto"/>
          <w:kern w:val="2"/>
          <w:sz w:val="21"/>
          <w:szCs w:val="21"/>
          <w:highlight w:val="none"/>
          <w:lang w:eastAsia="zh-CN"/>
        </w:rPr>
        <w:t>质量保证期</w:t>
      </w:r>
      <w:r>
        <w:rPr>
          <w:rFonts w:hint="eastAsia" w:ascii="宋体" w:hAnsi="宋体" w:eastAsia="宋体" w:cs="宋体"/>
          <w:snapToGrid/>
          <w:color w:val="auto"/>
          <w:kern w:val="2"/>
          <w:sz w:val="21"/>
          <w:szCs w:val="21"/>
          <w:highlight w:val="none"/>
        </w:rPr>
        <w:t>应顺延，并且卖方应赔偿买方经济损失。对</w:t>
      </w:r>
      <w:r>
        <w:rPr>
          <w:rFonts w:hint="eastAsia" w:ascii="宋体" w:hAnsi="宋体" w:eastAsia="宋体" w:cs="宋体"/>
          <w:snapToGrid/>
          <w:color w:val="auto"/>
          <w:kern w:val="2"/>
          <w:sz w:val="21"/>
          <w:szCs w:val="21"/>
          <w:highlight w:val="none"/>
          <w:lang w:eastAsia="zh-CN"/>
        </w:rPr>
        <w:t>质量保证期</w:t>
      </w:r>
      <w:r>
        <w:rPr>
          <w:rFonts w:hint="eastAsia" w:ascii="宋体" w:hAnsi="宋体" w:eastAsia="宋体" w:cs="宋体"/>
          <w:snapToGrid/>
          <w:color w:val="auto"/>
          <w:kern w:val="2"/>
          <w:sz w:val="21"/>
          <w:szCs w:val="21"/>
          <w:highlight w:val="none"/>
        </w:rPr>
        <w:t>内的维修服务，卖方应在接到买方通知后做出响应并提出解决办法，无偿负责设备的调试或更换已损坏的零部件；</w:t>
      </w:r>
      <w:r>
        <w:rPr>
          <w:rFonts w:hint="eastAsia" w:ascii="宋体" w:hAnsi="宋体" w:eastAsia="宋体" w:cs="宋体"/>
          <w:snapToGrid/>
          <w:color w:val="auto"/>
          <w:kern w:val="2"/>
          <w:sz w:val="21"/>
          <w:szCs w:val="21"/>
          <w:highlight w:val="none"/>
          <w:lang w:eastAsia="zh-CN"/>
        </w:rPr>
        <w:t>质量保证期</w:t>
      </w:r>
      <w:r>
        <w:rPr>
          <w:rFonts w:hint="eastAsia" w:ascii="宋体" w:hAnsi="宋体" w:eastAsia="宋体" w:cs="宋体"/>
          <w:snapToGrid/>
          <w:color w:val="auto"/>
          <w:kern w:val="2"/>
          <w:sz w:val="21"/>
          <w:szCs w:val="21"/>
          <w:highlight w:val="none"/>
        </w:rPr>
        <w:t>以后的维修服务，卖方驻场人员应做到在买方发出维修通知后及时进行设备维修，更换已损坏的零部件。</w:t>
      </w:r>
    </w:p>
    <w:p w14:paraId="74BADB65">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lang w:eastAsia="zh-CN"/>
        </w:rPr>
        <w:t>15.</w:t>
      </w:r>
      <w:r>
        <w:rPr>
          <w:rFonts w:hint="eastAsia" w:ascii="宋体" w:hAnsi="宋体" w:eastAsia="宋体" w:cs="宋体"/>
          <w:snapToGrid/>
          <w:color w:val="auto"/>
          <w:kern w:val="2"/>
          <w:sz w:val="21"/>
          <w:szCs w:val="21"/>
          <w:highlight w:val="none"/>
        </w:rPr>
        <w:t>安全要求：</w:t>
      </w:r>
    </w:p>
    <w:p w14:paraId="23D5ADC3">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15.1卖方在实施作业期间，必须做好安全生产工作。实施过程中，必须严格按照安全程序进行，同时应做好加强安全教育和安全监督，确保不出现各类安全事故。接受行业监督人员依法实施的检查和监督，卖方在所属现场在施工期间，所发生的一切安全问题和治安问题由卖方负责。</w:t>
      </w:r>
    </w:p>
    <w:p w14:paraId="2872FBD9">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15.2卖方在实施过程中应采取必要的安全防护和消防措施，保障作业人员及出入施工现场人员的安全。卖方应为施工人员办理所需的工伤等保险，费用由卖方自行负责。</w:t>
      </w:r>
    </w:p>
    <w:p w14:paraId="398BEAA2">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15.3卖方在实施过程中如发生质量事故责任全部自行承担，及时报告买方。做到及时查清事故原因，分清事故责任，并采取有效的补救措施。一般质量事故的处理方案应送买方共同研究实施；重大质量事故的处理按国家相关条例执行。</w:t>
      </w:r>
    </w:p>
    <w:p w14:paraId="27DDB496">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15.4本项目实施过程中出现的作业人员或因卖方原因引起的第三方人员、财务损失，造成的责任和因此发生的费用，由卖方承担。</w:t>
      </w:r>
    </w:p>
    <w:p w14:paraId="558703FB">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15.5本项目实施过程中，由卖方引起的管线、线路等损坏由卖方承担相应的责任和损失。</w:t>
      </w:r>
    </w:p>
    <w:p w14:paraId="5035F048">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bookmarkStart w:id="219" w:name="_Toc10358"/>
      <w:bookmarkStart w:id="220" w:name="_Toc6009"/>
      <w:r>
        <w:rPr>
          <w:rFonts w:hint="eastAsia" w:ascii="宋体" w:hAnsi="宋体" w:eastAsia="宋体" w:cs="宋体"/>
          <w:snapToGrid/>
          <w:color w:val="auto"/>
          <w:kern w:val="2"/>
          <w:sz w:val="21"/>
          <w:szCs w:val="21"/>
          <w:highlight w:val="none"/>
          <w:lang w:eastAsia="zh-CN"/>
        </w:rPr>
        <w:t>16.</w:t>
      </w:r>
      <w:r>
        <w:rPr>
          <w:rFonts w:hint="eastAsia" w:ascii="宋体" w:hAnsi="宋体" w:eastAsia="宋体" w:cs="宋体"/>
          <w:snapToGrid/>
          <w:color w:val="auto"/>
          <w:kern w:val="2"/>
          <w:sz w:val="21"/>
          <w:szCs w:val="21"/>
          <w:highlight w:val="none"/>
        </w:rPr>
        <w:t>违约责任</w:t>
      </w:r>
      <w:bookmarkEnd w:id="219"/>
      <w:bookmarkEnd w:id="220"/>
    </w:p>
    <w:p w14:paraId="62D13CF6">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16.1合同约定工期节点的，每逾期一天，卖方按1万元/天向买方支付违约金；逾期超过 30天的，买方有权解除合同、没收全部的履约保证金，并由卖方承担所有的违约责任并承担由此造成的买方的全部损失。卖方总工期超过本合同约定期限的，按照逾期交货承担违约责任。</w:t>
      </w:r>
    </w:p>
    <w:p w14:paraId="301EC438">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16.2卖方交付的货品不能满足招标文件及合同主要技术标准及质量要求的，应按照要求更换、重做、修理，每发生一次退货，卖方应向买方支付违约金</w:t>
      </w:r>
      <w:r>
        <w:rPr>
          <w:rFonts w:ascii="宋体" w:hAnsi="宋体" w:eastAsia="宋体" w:cs="宋体"/>
          <w:snapToGrid/>
          <w:color w:val="auto"/>
          <w:kern w:val="2"/>
          <w:sz w:val="21"/>
          <w:szCs w:val="21"/>
          <w:highlight w:val="none"/>
        </w:rPr>
        <w:t>5</w:t>
      </w:r>
      <w:r>
        <w:rPr>
          <w:rFonts w:hint="eastAsia" w:ascii="宋体" w:hAnsi="宋体" w:eastAsia="宋体" w:cs="宋体"/>
          <w:snapToGrid/>
          <w:color w:val="auto"/>
          <w:kern w:val="2"/>
          <w:sz w:val="21"/>
          <w:szCs w:val="21"/>
          <w:highlight w:val="none"/>
        </w:rPr>
        <w:t>万元/次，累计发生2次（含）以上的，买方有权解除本合同、买方有权没收全部的履约保证金，卖方承担全部的违约责任并卖方应承担因此造成的买方的所有损失。因此造成交货逾期的，每逾期一天，卖方按1万元/天向买方支付违约金；逾期超过30天的，买方有权解除合同，要求卖方退还已收款项并向买方支付本合同总价款5％的违约金。</w:t>
      </w:r>
    </w:p>
    <w:p w14:paraId="1E864549">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16.3卖方接受买方对供货期调整的要求，具体方式为：买方提前十五天发出由买方代表签发的书面通知，卖方进行书面确认后即可执行，对此买方不承担违约责任。</w:t>
      </w:r>
    </w:p>
    <w:p w14:paraId="29D3385A">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16.4如果卖方对本合同的执行敷衍了事，或忽视履行本合同约定的卖方任何工作及责任，而且从买方发出书面要求其改正之日起30日内仍未采取有效措施并体现效果的，买方有权解除本合同，并书面通知卖方，由此造成的经济损失，买方有权在给卖方的任何款项中先行提取补偿，不足部分卖方仍应予以赔偿。</w:t>
      </w:r>
    </w:p>
    <w:p w14:paraId="64942E1D">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16.5因卖方原因解除本合同时，卖方应向买方支付签约合同价款</w:t>
      </w:r>
      <w:r>
        <w:rPr>
          <w:rFonts w:hint="eastAsia" w:ascii="宋体" w:hAnsi="宋体" w:eastAsia="宋体" w:cs="宋体"/>
          <w:snapToGrid/>
          <w:color w:val="auto"/>
          <w:kern w:val="2"/>
          <w:sz w:val="21"/>
          <w:szCs w:val="21"/>
          <w:highlight w:val="none"/>
          <w:lang w:val="en-US" w:eastAsia="zh-CN"/>
        </w:rPr>
        <w:t>5</w:t>
      </w:r>
      <w:r>
        <w:rPr>
          <w:rFonts w:hint="eastAsia" w:ascii="宋体" w:hAnsi="宋体" w:eastAsia="宋体" w:cs="宋体"/>
          <w:snapToGrid/>
          <w:color w:val="auto"/>
          <w:kern w:val="2"/>
          <w:sz w:val="21"/>
          <w:szCs w:val="21"/>
          <w:highlight w:val="none"/>
        </w:rPr>
        <w:t>%的违约金，且买方有权决定是否接受属于卖方在现场的一切设施、设备、材料使用于本项目，并卖方应承担由此造成的买方的全部损失。</w:t>
      </w:r>
    </w:p>
    <w:p w14:paraId="50D1426A">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16.6未经买方同意，卖方将本合同的权利、义务以任何形式全部或部分让与他人的，买方有权解除本合同、没收全部的履约保证金，卖方应按照本合同价款总额的</w:t>
      </w:r>
      <w:r>
        <w:rPr>
          <w:rFonts w:hint="eastAsia" w:ascii="宋体" w:hAnsi="宋体" w:eastAsia="宋体" w:cs="宋体"/>
          <w:snapToGrid/>
          <w:color w:val="auto"/>
          <w:kern w:val="2"/>
          <w:sz w:val="21"/>
          <w:szCs w:val="21"/>
          <w:highlight w:val="none"/>
          <w:lang w:val="en-US" w:eastAsia="zh-CN"/>
        </w:rPr>
        <w:t>5</w:t>
      </w:r>
      <w:r>
        <w:rPr>
          <w:rFonts w:hint="eastAsia" w:ascii="宋体" w:hAnsi="宋体" w:eastAsia="宋体" w:cs="宋体"/>
          <w:snapToGrid/>
          <w:color w:val="auto"/>
          <w:kern w:val="2"/>
          <w:sz w:val="21"/>
          <w:szCs w:val="21"/>
          <w:highlight w:val="none"/>
        </w:rPr>
        <w:t>%向买方支付违约金，并赔偿由此造成的买方的全部损失。</w:t>
      </w:r>
    </w:p>
    <w:p w14:paraId="0A4F4471">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16.7本合同中所有卖方应支付给买方的违约金，卖方在收到书面通知后未及时支付的，买方有权在应付卖方的任何款项中扣除。</w:t>
      </w:r>
    </w:p>
    <w:p w14:paraId="37423E47">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16.8因卖方原因延误工期给买方造成损失的（包括但不限于直接损失与间接损失）均由卖方承担相应责任及费用，每逾期一天，卖方按1万元/天向买方支付违约金，不足部分买方有权追偿。</w:t>
      </w:r>
    </w:p>
    <w:p w14:paraId="17118163">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16.9因卖方原因造成本项目单项或整体验收不合格的，买方有权没收卖方缴纳的履约保证金，同时由此产生的一切责任与费用均由卖方承担，每一台套设备，卖方按</w:t>
      </w:r>
      <w:r>
        <w:rPr>
          <w:rFonts w:hint="eastAsia" w:ascii="宋体" w:hAnsi="宋体" w:eastAsia="宋体" w:cs="宋体"/>
          <w:snapToGrid/>
          <w:color w:val="auto"/>
          <w:kern w:val="2"/>
          <w:sz w:val="21"/>
          <w:szCs w:val="21"/>
          <w:highlight w:val="none"/>
          <w:lang w:eastAsia="zh-CN"/>
        </w:rPr>
        <w:t>合同单价的双倍</w:t>
      </w:r>
      <w:r>
        <w:rPr>
          <w:rFonts w:hint="eastAsia" w:ascii="宋体" w:hAnsi="宋体" w:eastAsia="宋体" w:cs="宋体"/>
          <w:snapToGrid/>
          <w:color w:val="auto"/>
          <w:kern w:val="2"/>
          <w:sz w:val="21"/>
          <w:szCs w:val="21"/>
          <w:highlight w:val="none"/>
        </w:rPr>
        <w:t>向买方支付违约金，不足部分</w:t>
      </w:r>
      <w:r>
        <w:rPr>
          <w:rFonts w:hint="eastAsia" w:ascii="宋体" w:hAnsi="宋体" w:eastAsia="宋体" w:cs="宋体"/>
          <w:snapToGrid/>
          <w:color w:val="auto"/>
          <w:kern w:val="2"/>
          <w:sz w:val="21"/>
          <w:szCs w:val="21"/>
          <w:highlight w:val="none"/>
          <w:lang w:eastAsia="zh-CN"/>
        </w:rPr>
        <w:t>买方</w:t>
      </w:r>
      <w:r>
        <w:rPr>
          <w:rFonts w:hint="eastAsia" w:ascii="宋体" w:hAnsi="宋体" w:eastAsia="宋体" w:cs="宋体"/>
          <w:snapToGrid/>
          <w:color w:val="auto"/>
          <w:kern w:val="2"/>
          <w:sz w:val="21"/>
          <w:szCs w:val="21"/>
          <w:highlight w:val="none"/>
        </w:rPr>
        <w:t>有权追偿。</w:t>
      </w:r>
    </w:p>
    <w:p w14:paraId="3600554A">
      <w:pPr>
        <w:widowControl w:val="0"/>
        <w:shd w:val="clear"/>
        <w:kinsoku/>
        <w:autoSpaceDE/>
        <w:autoSpaceDN/>
        <w:adjustRightInd/>
        <w:spacing w:line="360"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16.10买方对卖方提供的产品，依据国家检定规程JJG162-2019《饮用冷水水表》进行检定，如发现所购水表产品首检合格率低于99.5%，买方有权停止后续采购，并解除采购合同；</w:t>
      </w:r>
    </w:p>
    <w:p w14:paraId="42DEEBDF">
      <w:pPr>
        <w:widowControl w:val="0"/>
        <w:shd w:val="clear"/>
        <w:kinsoku/>
        <w:autoSpaceDE/>
        <w:autoSpaceDN/>
        <w:adjustRightInd/>
        <w:spacing w:line="360" w:lineRule="auto"/>
        <w:ind w:firstLine="420" w:firstLineChars="200"/>
        <w:jc w:val="both"/>
        <w:textAlignment w:val="auto"/>
        <w:rPr>
          <w:rFonts w:hint="eastAsia" w:ascii="宋体" w:hAnsi="宋体" w:eastAsia="宋体" w:cs="宋体"/>
          <w:snapToGrid/>
          <w:color w:val="auto"/>
          <w:kern w:val="2"/>
          <w:sz w:val="21"/>
          <w:szCs w:val="21"/>
          <w:highlight w:val="none"/>
          <w:lang w:val="en-US" w:eastAsia="zh-CN"/>
        </w:rPr>
      </w:pPr>
      <w:r>
        <w:rPr>
          <w:rFonts w:hint="eastAsia" w:ascii="宋体" w:hAnsi="宋体" w:eastAsia="宋体" w:cs="宋体"/>
          <w:snapToGrid/>
          <w:color w:val="auto"/>
          <w:kern w:val="2"/>
          <w:sz w:val="21"/>
          <w:szCs w:val="21"/>
          <w:highlight w:val="none"/>
          <w:lang w:val="en-US" w:eastAsia="zh-CN"/>
        </w:rPr>
        <w:t>16.11鉴于换表施工涉及用户数量较多，施工质量、作业水平及作业时间直接影响用户停水安排、供水水质及舆情行风，卖方施工单位须经买方培训、考核合格后方可进场施工，并具备承担安装后相关赔偿及问题处置的能力。若施工质量未达到安装要求，每发生一起问题，卖方应向买方支付违约金 2000 元；因安装质量问题引发用户投诉或造成用户损失需赔偿的，由卖方全权负责处理并承担全部赔偿责任。</w:t>
      </w:r>
    </w:p>
    <w:p w14:paraId="669FC446">
      <w:pPr>
        <w:widowControl w:val="0"/>
        <w:shd w:val="clear"/>
        <w:kinsoku/>
        <w:autoSpaceDE/>
        <w:autoSpaceDN/>
        <w:adjustRightInd/>
        <w:spacing w:line="360" w:lineRule="auto"/>
        <w:ind w:firstLine="420" w:firstLineChars="200"/>
        <w:jc w:val="both"/>
        <w:textAlignment w:val="auto"/>
        <w:rPr>
          <w:rFonts w:hint="eastAsia" w:ascii="宋体" w:hAnsi="宋体" w:eastAsia="宋体" w:cs="宋体"/>
          <w:snapToGrid/>
          <w:color w:val="auto"/>
          <w:kern w:val="2"/>
          <w:sz w:val="21"/>
          <w:szCs w:val="21"/>
          <w:highlight w:val="none"/>
          <w:lang w:val="en-US" w:eastAsia="zh-CN"/>
        </w:rPr>
      </w:pPr>
      <w:r>
        <w:rPr>
          <w:rFonts w:hint="eastAsia" w:ascii="宋体" w:hAnsi="宋体" w:eastAsia="宋体" w:cs="宋体"/>
          <w:snapToGrid/>
          <w:color w:val="auto"/>
          <w:kern w:val="2"/>
          <w:sz w:val="21"/>
          <w:szCs w:val="21"/>
          <w:highlight w:val="none"/>
          <w:lang w:val="en-US" w:eastAsia="zh-CN"/>
        </w:rPr>
        <w:t>16.12卖方必须完成本项目所有水表的安装，若无法完成所有水表安装，则买方有权不支付项目质量保证金、不退还履约保证金。</w:t>
      </w:r>
    </w:p>
    <w:p w14:paraId="667C55F5">
      <w:pPr>
        <w:widowControl w:val="0"/>
        <w:kinsoku/>
        <w:autoSpaceDE/>
        <w:autoSpaceDN/>
        <w:spacing w:beforeLines="-2147483648" w:line="440" w:lineRule="exact"/>
        <w:ind w:firstLine="420" w:firstLineChars="200"/>
        <w:textAlignment w:val="auto"/>
        <w:rPr>
          <w:rFonts w:hint="default"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16.13.因卖方提供的产品质量问题或计量问题，给买方造成水费等损失的，卖方要承担相应赔偿。</w:t>
      </w:r>
    </w:p>
    <w:p w14:paraId="075D783E">
      <w:pPr>
        <w:widowControl w:val="0"/>
        <w:shd w:val="clear"/>
        <w:kinsoku/>
        <w:autoSpaceDE/>
        <w:autoSpaceDN/>
        <w:adjustRightInd/>
        <w:spacing w:line="360" w:lineRule="auto"/>
        <w:ind w:firstLine="420" w:firstLineChars="200"/>
        <w:jc w:val="both"/>
        <w:textAlignment w:val="auto"/>
        <w:rPr>
          <w:rFonts w:hint="default" w:ascii="宋体" w:hAnsi="宋体" w:eastAsia="宋体" w:cs="宋体"/>
          <w:snapToGrid/>
          <w:color w:val="auto"/>
          <w:kern w:val="2"/>
          <w:sz w:val="21"/>
          <w:szCs w:val="21"/>
          <w:highlight w:val="none"/>
          <w:lang w:val="en-US" w:eastAsia="zh-CN"/>
        </w:rPr>
      </w:pPr>
    </w:p>
    <w:p w14:paraId="4BB06DE9">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lang w:eastAsia="zh-CN"/>
        </w:rPr>
        <w:t>17.</w:t>
      </w:r>
      <w:r>
        <w:rPr>
          <w:rFonts w:hint="eastAsia" w:ascii="宋体" w:hAnsi="宋体" w:eastAsia="宋体" w:cs="宋体"/>
          <w:snapToGrid/>
          <w:color w:val="auto"/>
          <w:kern w:val="2"/>
          <w:sz w:val="21"/>
          <w:szCs w:val="21"/>
          <w:highlight w:val="none"/>
        </w:rPr>
        <w:t>售后服务</w:t>
      </w:r>
    </w:p>
    <w:p w14:paraId="38A20CF8">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17.1在浙江省内设有维修点，以及时处理所有的故障维修服务，需提供24小时服务，要求维修人员在接到故障报修电话后必须在</w:t>
      </w:r>
      <w:r>
        <w:rPr>
          <w:rFonts w:hint="eastAsia" w:ascii="宋体" w:hAnsi="宋体" w:eastAsia="宋体" w:cs="宋体"/>
          <w:bCs/>
          <w:snapToGrid/>
          <w:color w:val="auto"/>
          <w:kern w:val="2"/>
          <w:sz w:val="21"/>
          <w:szCs w:val="21"/>
          <w:highlight w:val="none"/>
        </w:rPr>
        <w:t>1小时内</w:t>
      </w:r>
      <w:r>
        <w:rPr>
          <w:rFonts w:hint="eastAsia" w:ascii="宋体" w:hAnsi="宋体" w:eastAsia="宋体" w:cs="宋体"/>
          <w:snapToGrid/>
          <w:color w:val="auto"/>
          <w:kern w:val="2"/>
          <w:sz w:val="21"/>
          <w:szCs w:val="21"/>
          <w:highlight w:val="none"/>
        </w:rPr>
        <w:t>做出响应并提出解决办法，在必须到现场维护的情况下，在2小时内赶到现场进行维修，驻场人员必须及时提供备品、备件，提供不间断的故障维修服务直到故障处理服务结束。如无法及时解决故障影响正常运行的，免费提供替换设备。维修点需提供足够的备件以适应维修需求。</w:t>
      </w:r>
    </w:p>
    <w:p w14:paraId="588C6FBD">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17.2每个维修项目完成后，经买方验收并签字后，方为该维修项目本次维修完毕。</w:t>
      </w:r>
    </w:p>
    <w:p w14:paraId="3B1FE1B4">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17.3卖方未按本合同约定到场维修或未按约定时间维修完毕的，买方有权委派他方处理，处理结果由买方或管理方签字认可后即生效，不再经由卖方确认（买方将处理情况通知卖方），因此所发生的一切费用从卖方质保金中扣除，不足扣除的，另行向卖方追偿。卖方未能按售后服务要求提供服务的，每发生一次，卖方应向买方支付违约金1万元。</w:t>
      </w:r>
    </w:p>
    <w:p w14:paraId="7E231499">
      <w:pPr>
        <w:widowControl w:val="0"/>
        <w:shd w:val="clear"/>
        <w:tabs>
          <w:tab w:val="left" w:pos="1800"/>
        </w:tabs>
        <w:kinsoku/>
        <w:autoSpaceDE/>
        <w:autoSpaceDN/>
        <w:adjustRightInd/>
        <w:snapToGrid/>
        <w:spacing w:line="360" w:lineRule="auto"/>
        <w:ind w:firstLine="420" w:firstLineChars="200"/>
        <w:jc w:val="both"/>
        <w:textAlignment w:val="auto"/>
        <w:rPr>
          <w:rFonts w:ascii="宋体" w:hAnsi="宋体" w:eastAsia="宋体" w:cs="宋体"/>
          <w:snapToGrid/>
          <w:color w:val="auto"/>
          <w:kern w:val="2"/>
          <w:sz w:val="21"/>
          <w:szCs w:val="21"/>
          <w:highlight w:val="none"/>
        </w:rPr>
      </w:pPr>
      <w:bookmarkStart w:id="221" w:name="OLE_LINK6"/>
      <w:r>
        <w:rPr>
          <w:rFonts w:hint="eastAsia" w:ascii="宋体" w:hAnsi="宋体" w:eastAsia="宋体" w:cs="宋体"/>
          <w:snapToGrid/>
          <w:color w:val="auto"/>
          <w:kern w:val="2"/>
          <w:sz w:val="21"/>
          <w:szCs w:val="21"/>
          <w:highlight w:val="none"/>
        </w:rPr>
        <w:t>17.</w:t>
      </w:r>
      <w:bookmarkEnd w:id="221"/>
      <w:r>
        <w:rPr>
          <w:rFonts w:hint="eastAsia" w:ascii="宋体" w:hAnsi="宋体" w:eastAsia="宋体" w:cs="宋体"/>
          <w:snapToGrid/>
          <w:color w:val="auto"/>
          <w:kern w:val="2"/>
          <w:sz w:val="21"/>
          <w:szCs w:val="21"/>
          <w:highlight w:val="none"/>
        </w:rPr>
        <w:t>4卖方承诺，无论以上质量缺陷属卖方、买方或其他方责任，在接到通知后，均遵守上述时间性要求不问理由地进行维修，并在维修过程中与买方及管理方共同取证，以判断责任原因，不属卖方责任的，由责任方向卖方支付材料及人工费用。</w:t>
      </w:r>
    </w:p>
    <w:p w14:paraId="2953CF9D">
      <w:pPr>
        <w:widowControl w:val="0"/>
        <w:shd w:val="clear"/>
        <w:tabs>
          <w:tab w:val="left" w:pos="1800"/>
        </w:tabs>
        <w:kinsoku/>
        <w:autoSpaceDE/>
        <w:autoSpaceDN/>
        <w:adjustRightInd/>
        <w:snapToGri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17.5卖方免费培训买方指定的操作、管理人员，经培训合格后能上岗操作。</w:t>
      </w:r>
    </w:p>
    <w:p w14:paraId="6A5CA13E">
      <w:pPr>
        <w:widowControl w:val="0"/>
        <w:shd w:val="clear"/>
        <w:kinsoku/>
        <w:autoSpaceDE/>
        <w:autoSpaceDN/>
        <w:adjustRightInd/>
        <w:spacing w:line="360" w:lineRule="auto"/>
        <w:ind w:firstLine="420" w:firstLineChars="200"/>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17.6</w:t>
      </w:r>
      <w:r>
        <w:rPr>
          <w:rFonts w:hint="eastAsia" w:ascii="宋体" w:hAnsi="宋体" w:eastAsia="宋体" w:cs="宋体"/>
          <w:snapToGrid/>
          <w:color w:val="auto"/>
          <w:kern w:val="2"/>
          <w:sz w:val="21"/>
          <w:szCs w:val="21"/>
          <w:highlight w:val="none"/>
          <w:lang w:eastAsia="zh-CN"/>
        </w:rPr>
        <w:t>质量保证期</w:t>
      </w:r>
      <w:r>
        <w:rPr>
          <w:rFonts w:hint="eastAsia" w:ascii="宋体" w:hAnsi="宋体" w:eastAsia="宋体" w:cs="宋体"/>
          <w:snapToGrid/>
          <w:color w:val="auto"/>
          <w:kern w:val="2"/>
          <w:sz w:val="21"/>
          <w:szCs w:val="21"/>
          <w:highlight w:val="none"/>
        </w:rPr>
        <w:t>内卖方应免费保养、修理和替换由于设备、材料、施工质量的问题造成的损坏及故障。</w:t>
      </w:r>
    </w:p>
    <w:p w14:paraId="29080F2F">
      <w:pPr>
        <w:widowControl w:val="0"/>
        <w:shd w:val="clear"/>
        <w:kinsoku/>
        <w:autoSpaceDE/>
        <w:autoSpaceDN/>
        <w:adjustRightInd/>
        <w:spacing w:line="360" w:lineRule="auto"/>
        <w:ind w:firstLine="420" w:firstLineChars="200"/>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17.7如因设备本身原因造成买方经济损失，卖方应照价赔偿。</w:t>
      </w:r>
    </w:p>
    <w:p w14:paraId="7D164484">
      <w:pPr>
        <w:widowControl w:val="0"/>
        <w:shd w:val="clear"/>
        <w:kinsoku/>
        <w:autoSpaceDE/>
        <w:autoSpaceDN/>
        <w:adjustRightInd/>
        <w:spacing w:line="360" w:lineRule="auto"/>
        <w:ind w:firstLine="420" w:firstLineChars="200"/>
        <w:textAlignment w:val="auto"/>
        <w:rPr>
          <w:rFonts w:ascii="宋体" w:hAnsi="宋体" w:eastAsia="宋体" w:cs="宋体"/>
          <w:snapToGrid/>
          <w:color w:val="auto"/>
          <w:kern w:val="2"/>
          <w:sz w:val="21"/>
          <w:szCs w:val="21"/>
          <w:highlight w:val="none"/>
          <w:u w:val="double"/>
        </w:rPr>
      </w:pPr>
      <w:r>
        <w:rPr>
          <w:rFonts w:hint="eastAsia" w:ascii="宋体" w:hAnsi="宋体" w:eastAsia="宋体" w:cs="宋体"/>
          <w:snapToGrid/>
          <w:color w:val="auto"/>
          <w:kern w:val="2"/>
          <w:sz w:val="21"/>
          <w:szCs w:val="21"/>
          <w:highlight w:val="none"/>
        </w:rPr>
        <w:t>17.8如果卖方在中标后有新产品研制成功并投入使用，则其有义务与买方商定产品的更新换代问题，并保证在不涉及硬件的情况下，免费为买方提供软件升级服务。</w:t>
      </w:r>
    </w:p>
    <w:p w14:paraId="37B5362D">
      <w:pPr>
        <w:widowControl w:val="0"/>
        <w:shd w:val="clear"/>
        <w:kinsoku/>
        <w:autoSpaceDE/>
        <w:autoSpaceDN/>
        <w:adjustRightInd/>
        <w:spacing w:line="360" w:lineRule="auto"/>
        <w:ind w:firstLine="420" w:firstLineChars="200"/>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17.9卖方应提供保修记录书，以便买方随时查阅维修保养、部件更换次数、检查及维修日期等记录。</w:t>
      </w:r>
    </w:p>
    <w:p w14:paraId="569A49CD">
      <w:pPr>
        <w:widowControl w:val="0"/>
        <w:shd w:val="clear"/>
        <w:kinsoku/>
        <w:autoSpaceDE/>
        <w:autoSpaceDN/>
        <w:adjustRightInd/>
        <w:snapToGri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17.10备件供应：</w:t>
      </w:r>
    </w:p>
    <w:p w14:paraId="4C8B5DFB">
      <w:pPr>
        <w:widowControl w:val="0"/>
        <w:shd w:val="clear"/>
        <w:kinsoku/>
        <w:autoSpaceDE/>
        <w:autoSpaceDN/>
        <w:adjustRightInd/>
        <w:snapToGri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卖方对各种型号的设备须提供足够的备件、附件和易损件并保证是原厂生产，以满足设备正常运行的需要。</w:t>
      </w:r>
    </w:p>
    <w:p w14:paraId="6A6257F9">
      <w:pPr>
        <w:widowControl w:val="0"/>
        <w:shd w:val="clear"/>
        <w:kinsoku/>
        <w:autoSpaceDE/>
        <w:autoSpaceDN/>
        <w:adjustRightInd/>
        <w:snapToGri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18.不可抗力</w:t>
      </w:r>
    </w:p>
    <w:p w14:paraId="75DDF30A">
      <w:pPr>
        <w:widowControl w:val="0"/>
        <w:shd w:val="clear"/>
        <w:kinsoku/>
        <w:autoSpaceDE/>
        <w:autoSpaceDN/>
        <w:adjustRightInd/>
        <w:spacing w:line="360" w:lineRule="auto"/>
        <w:ind w:firstLine="420" w:firstLineChars="200"/>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18.1如果双方中任何一方由于战争、严重火灾、水灾、台风和地震以及其他经双方同意属于不可抗力的事故，致使合同履行受阻时，履行合同的期限应予延长，延长的期限应相当于事故所影响的时间。</w:t>
      </w:r>
    </w:p>
    <w:p w14:paraId="23798BCF">
      <w:pPr>
        <w:widowControl w:val="0"/>
        <w:shd w:val="clear"/>
        <w:kinsoku/>
        <w:autoSpaceDE/>
        <w:autoSpaceDN/>
        <w:adjustRightInd/>
        <w:spacing w:line="360" w:lineRule="auto"/>
        <w:ind w:firstLine="420" w:firstLineChars="200"/>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18.2受事故影响的一方应在不可抗力的事故发生后尽快以电报或电传通知另一方，并在事故发生后14天内，将有关部门出具的证明文件用挂号信箱寄给或送给另一方。如果不可抗力影响时间延续120天以上的， 双方应通过友好协商在合理的时间内达成进一步履行合同的协议。</w:t>
      </w:r>
    </w:p>
    <w:p w14:paraId="1CF6A713">
      <w:pPr>
        <w:shd w:val="clear"/>
        <w:spacing w:line="360" w:lineRule="auto"/>
        <w:ind w:left="80" w:leftChars="38" w:firstLine="420" w:firstLineChars="200"/>
        <w:jc w:val="both"/>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19.其他</w:t>
      </w:r>
    </w:p>
    <w:p w14:paraId="76CC4E9C">
      <w:pPr>
        <w:widowControl w:val="0"/>
        <w:shd w:val="clear"/>
        <w:spacing w:after="120" w:line="360" w:lineRule="auto"/>
        <w:ind w:firstLine="420"/>
        <w:jc w:val="both"/>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19.1 本项目主要设备、材料进场前应提供样品（或产品手册、图样）经买方及监理公司确认后，方可进场并履行报验手续，否则买方有权不予认可及支付相关费用。</w:t>
      </w:r>
    </w:p>
    <w:p w14:paraId="29AE6576">
      <w:pPr>
        <w:widowControl w:val="0"/>
        <w:shd w:val="clear"/>
        <w:spacing w:after="120" w:line="360" w:lineRule="auto"/>
        <w:ind w:firstLine="420"/>
        <w:jc w:val="both"/>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19.2 本合同所有违约金买方有权从就近一次款项支付中直接扣除。</w:t>
      </w:r>
    </w:p>
    <w:p w14:paraId="405A10F5">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19.3卖方提出使用专利技术或特殊工艺，应取得买方和监理单位认可，卖方负责办理申报手续并承担有关费用。</w:t>
      </w:r>
    </w:p>
    <w:p w14:paraId="12AAB579">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19.4卖方擅自使用专利技术侵犯他人专利权的因此产生的侵权纠纷，由卖方自行承担并每发生一次，卖方应向买方支付违约金10万元，如造成买方损失的，买方有权全额向卖方追索且买方有权视情形解除本合同。</w:t>
      </w:r>
    </w:p>
    <w:p w14:paraId="14A32330">
      <w:pPr>
        <w:widowControl w:val="0"/>
        <w:shd w:val="clear"/>
        <w:kinsoku/>
        <w:autoSpaceDE/>
        <w:autoSpaceDN/>
        <w:adjustRightInd/>
        <w:spacing w:line="360" w:lineRule="auto"/>
        <w:ind w:firstLine="420" w:firstLineChars="200"/>
        <w:jc w:val="both"/>
        <w:textAlignment w:val="auto"/>
        <w:rPr>
          <w:rFonts w:ascii="宋体" w:hAnsi="宋体" w:eastAsia="宋体" w:cs="宋体"/>
          <w:snapToGrid/>
          <w:color w:val="auto"/>
          <w:kern w:val="2"/>
          <w:sz w:val="21"/>
          <w:szCs w:val="21"/>
          <w:highlight w:val="none"/>
        </w:rPr>
      </w:pPr>
      <w:bookmarkStart w:id="222" w:name="_Toc167673086"/>
      <w:r>
        <w:rPr>
          <w:rFonts w:hint="eastAsia" w:ascii="宋体" w:hAnsi="宋体" w:eastAsia="宋体" w:cs="宋体"/>
          <w:snapToGrid/>
          <w:color w:val="auto"/>
          <w:kern w:val="2"/>
          <w:sz w:val="21"/>
          <w:szCs w:val="21"/>
          <w:highlight w:val="none"/>
        </w:rPr>
        <w:t>19.5 项目进度要求</w:t>
      </w:r>
      <w:bookmarkEnd w:id="222"/>
      <w:bookmarkStart w:id="223" w:name="_Toc167673087"/>
      <w:r>
        <w:rPr>
          <w:rFonts w:hint="eastAsia" w:ascii="宋体" w:hAnsi="宋体" w:eastAsia="宋体" w:cs="宋体"/>
          <w:snapToGrid/>
          <w:color w:val="auto"/>
          <w:kern w:val="2"/>
          <w:sz w:val="21"/>
          <w:szCs w:val="21"/>
          <w:highlight w:val="none"/>
        </w:rPr>
        <w:t>：</w:t>
      </w:r>
    </w:p>
    <w:bookmarkEnd w:id="223"/>
    <w:p w14:paraId="560F27CB">
      <w:pPr>
        <w:widowControl w:val="0"/>
        <w:shd w:val="clear"/>
        <w:kinsoku/>
        <w:autoSpaceDE/>
        <w:autoSpaceDN/>
        <w:adjustRightInd/>
        <w:snapToGri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卖方应根据项目总体进度计划要求，制定本项目计划进度，并应保证满足下列控制时间：</w:t>
      </w:r>
    </w:p>
    <w:p w14:paraId="2DDC576B">
      <w:pPr>
        <w:widowControl w:val="0"/>
        <w:shd w:val="clear"/>
        <w:kinsoku/>
        <w:autoSpaceDE/>
        <w:autoSpaceDN/>
        <w:adjustRightInd/>
        <w:snapToGrid/>
        <w:spacing w:line="360" w:lineRule="auto"/>
        <w:ind w:firstLine="420" w:firstLineChars="200"/>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卖方必须每月向买方提交月进度报告。在月进度报告中须说明每项工作</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rPr>
        <w:t>如部件的设计、采购、制造、检验、发运、预装配、调试、工厂试验、验收等）实际完成的百分比与计划完成的百分比的比较；以及当任务实际完成情况比计划落后时，应提出意见和说明可能产生的后果，并陈述拟采取的纠正措施。</w:t>
      </w:r>
    </w:p>
    <w:p w14:paraId="149884FA">
      <w:pPr>
        <w:widowControl w:val="0"/>
        <w:shd w:val="clear"/>
        <w:kinsoku/>
        <w:autoSpaceDE/>
        <w:autoSpaceDN/>
        <w:adjustRightInd/>
        <w:snapToGrid/>
        <w:spacing w:line="360" w:lineRule="auto"/>
        <w:ind w:firstLine="409" w:firstLineChars="195"/>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19.6卖方应认真踏勘现场，熟悉施工现场及周围交通道路，以获得一切可能影响合同价款的直接资料。同时，卖方应对本项目施工范围内的已建和在建工程进行调查，尽可能摸清其工程内容，以及对本项目可能造成的影响和所需要的相关配合，对此应予以充分考虑。不得以不完全了解现场情况为理由而提出额外付款或延长竣工日期等要求，买方对此类要求将不作任何答复与考虑，所需一切费用由</w:t>
      </w:r>
      <w:r>
        <w:rPr>
          <w:rFonts w:hint="eastAsia" w:ascii="宋体" w:hAnsi="宋体" w:eastAsia="宋体" w:cs="宋体"/>
          <w:snapToGrid/>
          <w:color w:val="auto"/>
          <w:kern w:val="2"/>
          <w:sz w:val="21"/>
          <w:szCs w:val="21"/>
          <w:highlight w:val="none"/>
          <w:lang w:eastAsia="zh-CN"/>
        </w:rPr>
        <w:t>卖方</w:t>
      </w:r>
      <w:r>
        <w:rPr>
          <w:rFonts w:hint="eastAsia" w:ascii="宋体" w:hAnsi="宋体" w:eastAsia="宋体" w:cs="宋体"/>
          <w:snapToGrid/>
          <w:color w:val="auto"/>
          <w:kern w:val="2"/>
          <w:sz w:val="21"/>
          <w:szCs w:val="21"/>
          <w:highlight w:val="none"/>
        </w:rPr>
        <w:t>承担。</w:t>
      </w:r>
    </w:p>
    <w:p w14:paraId="2414351E">
      <w:pPr>
        <w:widowControl w:val="0"/>
        <w:shd w:val="clear"/>
        <w:kinsoku/>
        <w:autoSpaceDE/>
        <w:autoSpaceDN/>
        <w:adjustRightInd/>
        <w:snapToGrid/>
        <w:spacing w:line="360" w:lineRule="auto"/>
        <w:ind w:firstLine="409" w:firstLineChars="195"/>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20.监理人</w:t>
      </w:r>
    </w:p>
    <w:p w14:paraId="24B12392">
      <w:pPr>
        <w:widowControl w:val="0"/>
        <w:shd w:val="clear"/>
        <w:kinsoku/>
        <w:autoSpaceDE/>
        <w:autoSpaceDN/>
        <w:adjustRightInd/>
        <w:snapToGrid/>
        <w:spacing w:line="360" w:lineRule="auto"/>
        <w:ind w:firstLine="420" w:firstLineChars="200"/>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20.1监理人的一般规定</w:t>
      </w:r>
    </w:p>
    <w:p w14:paraId="0DB6979D">
      <w:pPr>
        <w:widowControl w:val="0"/>
        <w:shd w:val="clear"/>
        <w:kinsoku/>
        <w:autoSpaceDE/>
        <w:autoSpaceDN/>
        <w:adjustRightInd/>
        <w:snapToGrid/>
        <w:spacing w:line="360" w:lineRule="auto"/>
        <w:ind w:firstLine="420" w:firstLineChars="200"/>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关于监理人的监理内容：承担项目全过程监理任务。包括项目进度、质量、造价控制，安全文明生产管理，合同管理，现场组织协调等。</w:t>
      </w:r>
    </w:p>
    <w:p w14:paraId="3BACD8EE">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关于监理人的监理权限：根据买方与监理单位监理合同的约定：需要取得买方另行书面批准，监理人才能行使的职权：联系单签证及价格签证、单价的合理调整、变更估价、工程款支付；索赔处理；发布开工报告、停工令、复工令；对</w:t>
      </w:r>
      <w:r>
        <w:rPr>
          <w:rFonts w:hint="eastAsia" w:ascii="宋体" w:hAnsi="宋体" w:eastAsia="宋体" w:cs="Times New Roman"/>
          <w:snapToGrid/>
          <w:color w:val="auto"/>
          <w:kern w:val="2"/>
          <w:sz w:val="21"/>
          <w:szCs w:val="21"/>
          <w:highlight w:val="none"/>
          <w:lang w:eastAsia="zh-CN"/>
        </w:rPr>
        <w:t>卖方</w:t>
      </w:r>
      <w:r>
        <w:rPr>
          <w:rFonts w:hint="eastAsia" w:ascii="宋体" w:hAnsi="宋体" w:eastAsia="宋体" w:cs="Times New Roman"/>
          <w:snapToGrid/>
          <w:color w:val="auto"/>
          <w:kern w:val="2"/>
          <w:sz w:val="21"/>
          <w:szCs w:val="21"/>
          <w:highlight w:val="none"/>
        </w:rPr>
        <w:t>合同规定的义务提出变更等。</w:t>
      </w:r>
    </w:p>
    <w:p w14:paraId="5644DAF9">
      <w:pPr>
        <w:widowControl w:val="0"/>
        <w:shd w:val="clear"/>
        <w:kinsoku/>
        <w:autoSpaceDE/>
        <w:autoSpaceDN/>
        <w:adjustRightInd/>
        <w:snapToGrid/>
        <w:spacing w:line="360" w:lineRule="auto"/>
        <w:ind w:firstLine="420" w:firstLineChars="200"/>
        <w:jc w:val="both"/>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20</w:t>
      </w:r>
      <w:r>
        <w:rPr>
          <w:rFonts w:ascii="宋体" w:hAnsi="宋体" w:eastAsia="宋体" w:cs="Times New Roman"/>
          <w:snapToGrid/>
          <w:color w:val="auto"/>
          <w:kern w:val="2"/>
          <w:sz w:val="21"/>
          <w:szCs w:val="21"/>
          <w:highlight w:val="none"/>
        </w:rPr>
        <w:t>.</w:t>
      </w:r>
      <w:r>
        <w:rPr>
          <w:rFonts w:hint="eastAsia" w:ascii="宋体" w:hAnsi="宋体" w:eastAsia="宋体" w:cs="Times New Roman"/>
          <w:snapToGrid/>
          <w:color w:val="auto"/>
          <w:kern w:val="2"/>
          <w:sz w:val="21"/>
          <w:szCs w:val="21"/>
          <w:highlight w:val="none"/>
        </w:rPr>
        <w:t>2</w:t>
      </w:r>
      <w:r>
        <w:rPr>
          <w:rFonts w:ascii="宋体" w:hAnsi="宋体" w:eastAsia="宋体" w:cs="Times New Roman"/>
          <w:snapToGrid/>
          <w:color w:val="auto"/>
          <w:kern w:val="2"/>
          <w:sz w:val="21"/>
          <w:szCs w:val="21"/>
          <w:highlight w:val="none"/>
        </w:rPr>
        <w:t>隐蔽工程检查</w:t>
      </w:r>
    </w:p>
    <w:p w14:paraId="1A7F8D8F">
      <w:pPr>
        <w:widowControl w:val="0"/>
        <w:shd w:val="clear"/>
        <w:kinsoku/>
        <w:autoSpaceDE/>
        <w:autoSpaceDN/>
        <w:adjustRightInd/>
        <w:snapToGrid/>
        <w:spacing w:line="360" w:lineRule="auto"/>
        <w:ind w:firstLine="420" w:firstLineChars="200"/>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20</w:t>
      </w:r>
      <w:r>
        <w:rPr>
          <w:rFonts w:ascii="宋体" w:hAnsi="宋体" w:eastAsia="宋体" w:cs="Times New Roman"/>
          <w:snapToGrid/>
          <w:color w:val="auto"/>
          <w:kern w:val="2"/>
          <w:sz w:val="21"/>
          <w:szCs w:val="21"/>
          <w:highlight w:val="none"/>
        </w:rPr>
        <w:t>.</w:t>
      </w:r>
      <w:r>
        <w:rPr>
          <w:rFonts w:hint="eastAsia" w:ascii="宋体" w:hAnsi="宋体" w:eastAsia="宋体" w:cs="Times New Roman"/>
          <w:snapToGrid/>
          <w:color w:val="auto"/>
          <w:kern w:val="2"/>
          <w:sz w:val="21"/>
          <w:szCs w:val="21"/>
          <w:highlight w:val="none"/>
        </w:rPr>
        <w:t>2</w:t>
      </w:r>
      <w:r>
        <w:rPr>
          <w:rFonts w:ascii="宋体" w:hAnsi="宋体" w:eastAsia="宋体" w:cs="Times New Roman"/>
          <w:snapToGrid/>
          <w:color w:val="auto"/>
          <w:kern w:val="2"/>
          <w:sz w:val="21"/>
          <w:szCs w:val="21"/>
          <w:highlight w:val="none"/>
        </w:rPr>
        <w:t>.</w:t>
      </w:r>
      <w:r>
        <w:rPr>
          <w:rFonts w:hint="eastAsia" w:ascii="宋体" w:hAnsi="宋体" w:eastAsia="宋体" w:cs="Times New Roman"/>
          <w:snapToGrid/>
          <w:color w:val="auto"/>
          <w:kern w:val="2"/>
          <w:sz w:val="21"/>
          <w:szCs w:val="21"/>
          <w:highlight w:val="none"/>
        </w:rPr>
        <w:t>1</w:t>
      </w:r>
      <w:r>
        <w:rPr>
          <w:rFonts w:hint="eastAsia" w:ascii="宋体" w:hAnsi="宋体" w:eastAsia="宋体" w:cs="宋体"/>
          <w:snapToGrid/>
          <w:color w:val="auto"/>
          <w:kern w:val="2"/>
          <w:sz w:val="21"/>
          <w:szCs w:val="21"/>
          <w:highlight w:val="none"/>
        </w:rPr>
        <w:t>卖方</w:t>
      </w:r>
      <w:r>
        <w:rPr>
          <w:rFonts w:ascii="宋体" w:hAnsi="宋体" w:eastAsia="宋体" w:cs="Times New Roman"/>
          <w:snapToGrid/>
          <w:color w:val="auto"/>
          <w:kern w:val="2"/>
          <w:sz w:val="21"/>
          <w:szCs w:val="21"/>
          <w:highlight w:val="none"/>
        </w:rPr>
        <w:t>提前通知监理人隐</w:t>
      </w:r>
      <w:r>
        <w:rPr>
          <w:rFonts w:hint="eastAsia" w:ascii="宋体" w:hAnsi="宋体" w:eastAsia="宋体" w:cs="Times New Roman"/>
          <w:snapToGrid/>
          <w:color w:val="auto"/>
          <w:kern w:val="2"/>
          <w:sz w:val="21"/>
          <w:szCs w:val="21"/>
          <w:highlight w:val="none"/>
        </w:rPr>
        <w:t>蔽工程检查的期限的约定：</w:t>
      </w:r>
      <w:r>
        <w:rPr>
          <w:rFonts w:hint="eastAsia" w:ascii="宋体" w:hAnsi="宋体" w:eastAsia="宋体" w:cs="Times New Roman"/>
          <w:bCs/>
          <w:snapToGrid/>
          <w:color w:val="auto"/>
          <w:kern w:val="2"/>
          <w:sz w:val="21"/>
          <w:szCs w:val="21"/>
          <w:highlight w:val="none"/>
        </w:rPr>
        <w:t>共同检查前48小时</w:t>
      </w:r>
      <w:r>
        <w:rPr>
          <w:rFonts w:hint="eastAsia" w:ascii="宋体" w:hAnsi="宋体" w:eastAsia="宋体" w:cs="Times New Roman"/>
          <w:snapToGrid/>
          <w:color w:val="auto"/>
          <w:kern w:val="2"/>
          <w:sz w:val="21"/>
          <w:szCs w:val="21"/>
          <w:highlight w:val="none"/>
        </w:rPr>
        <w:t>。</w:t>
      </w:r>
    </w:p>
    <w:p w14:paraId="1E0D0002">
      <w:pPr>
        <w:widowControl w:val="0"/>
        <w:shd w:val="clear"/>
        <w:kinsoku/>
        <w:autoSpaceDE/>
        <w:autoSpaceDN/>
        <w:adjustRightInd/>
        <w:snapToGrid/>
        <w:spacing w:line="360" w:lineRule="auto"/>
        <w:ind w:firstLine="420" w:firstLineChars="200"/>
        <w:textAlignment w:val="auto"/>
        <w:rPr>
          <w:rFonts w:ascii="宋体" w:hAnsi="宋体" w:eastAsia="宋体" w:cs="Times New Roman"/>
          <w:snapToGrid/>
          <w:color w:val="auto"/>
          <w:kern w:val="2"/>
          <w:sz w:val="21"/>
          <w:szCs w:val="21"/>
          <w:highlight w:val="none"/>
        </w:rPr>
      </w:pPr>
      <w:r>
        <w:rPr>
          <w:rFonts w:ascii="宋体" w:hAnsi="宋体" w:eastAsia="宋体" w:cs="Times New Roman"/>
          <w:snapToGrid/>
          <w:color w:val="auto"/>
          <w:kern w:val="2"/>
          <w:sz w:val="21"/>
          <w:szCs w:val="21"/>
          <w:highlight w:val="none"/>
        </w:rPr>
        <w:t>监理人不能按时进行检查时，应提前</w:t>
      </w:r>
      <w:r>
        <w:rPr>
          <w:rFonts w:hint="eastAsia" w:ascii="宋体" w:hAnsi="宋体" w:eastAsia="宋体" w:cs="宋体"/>
          <w:bCs/>
          <w:snapToGrid/>
          <w:color w:val="auto"/>
          <w:kern w:val="2"/>
          <w:sz w:val="21"/>
          <w:szCs w:val="21"/>
          <w:highlight w:val="none"/>
        </w:rPr>
        <w:t>24</w:t>
      </w:r>
      <w:r>
        <w:rPr>
          <w:rFonts w:ascii="宋体" w:hAnsi="宋体" w:eastAsia="宋体" w:cs="Times New Roman"/>
          <w:snapToGrid/>
          <w:color w:val="auto"/>
          <w:kern w:val="2"/>
          <w:sz w:val="21"/>
          <w:szCs w:val="21"/>
          <w:highlight w:val="none"/>
        </w:rPr>
        <w:t>小时提交书面延期要求。</w:t>
      </w:r>
    </w:p>
    <w:p w14:paraId="145EC19A">
      <w:pPr>
        <w:widowControl w:val="0"/>
        <w:shd w:val="clear"/>
        <w:kinsoku/>
        <w:autoSpaceDE/>
        <w:autoSpaceDN/>
        <w:adjustRightInd/>
        <w:snapToGrid/>
        <w:spacing w:line="360" w:lineRule="auto"/>
        <w:ind w:firstLine="420" w:firstLineChars="200"/>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关于延期最长不得超过：48小时。</w:t>
      </w:r>
    </w:p>
    <w:p w14:paraId="512F0BDF">
      <w:pPr>
        <w:widowControl w:val="0"/>
        <w:shd w:val="clear"/>
        <w:kinsoku/>
        <w:autoSpaceDE/>
        <w:autoSpaceDN/>
        <w:adjustRightInd/>
        <w:snapToGrid/>
        <w:spacing w:line="360" w:lineRule="auto"/>
        <w:ind w:firstLine="420" w:firstLineChars="200"/>
        <w:textAlignment w:val="auto"/>
        <w:rPr>
          <w:rFonts w:ascii="宋体" w:hAnsi="宋体" w:eastAsia="宋体" w:cs="Times New Roman"/>
          <w:b/>
          <w:snapToGrid/>
          <w:color w:val="auto"/>
          <w:kern w:val="2"/>
          <w:sz w:val="21"/>
          <w:szCs w:val="21"/>
          <w:highlight w:val="none"/>
        </w:rPr>
      </w:pPr>
      <w:r>
        <w:rPr>
          <w:rFonts w:hint="eastAsia" w:ascii="宋体" w:hAnsi="宋体" w:eastAsia="宋体" w:cs="Times New Roman"/>
          <w:snapToGrid/>
          <w:color w:val="auto"/>
          <w:kern w:val="2"/>
          <w:sz w:val="21"/>
          <w:szCs w:val="21"/>
          <w:highlight w:val="none"/>
        </w:rPr>
        <w:t>买方和监理人在收到详细的施工组织设计后确认或提出修改意见的期限：</w:t>
      </w:r>
      <w:r>
        <w:rPr>
          <w:rFonts w:hint="eastAsia" w:ascii="宋体" w:hAnsi="宋体" w:eastAsia="宋体" w:cs="Times New Roman"/>
          <w:iCs/>
          <w:snapToGrid/>
          <w:color w:val="auto"/>
          <w:kern w:val="2"/>
          <w:sz w:val="21"/>
          <w:szCs w:val="21"/>
          <w:highlight w:val="none"/>
        </w:rPr>
        <w:t>收到施工组织设计后 7天内审定完毕或提出修改意见，若买方和监理人对其施工组织设计提出质疑或要求</w:t>
      </w:r>
      <w:r>
        <w:rPr>
          <w:rFonts w:hint="eastAsia" w:ascii="宋体" w:hAnsi="宋体" w:eastAsia="宋体" w:cs="宋体"/>
          <w:snapToGrid/>
          <w:color w:val="auto"/>
          <w:kern w:val="2"/>
          <w:sz w:val="21"/>
          <w:szCs w:val="21"/>
          <w:highlight w:val="none"/>
        </w:rPr>
        <w:t>卖方</w:t>
      </w:r>
      <w:r>
        <w:rPr>
          <w:rFonts w:hint="eastAsia" w:ascii="宋体" w:hAnsi="宋体" w:eastAsia="宋体" w:cs="Times New Roman"/>
          <w:iCs/>
          <w:snapToGrid/>
          <w:color w:val="auto"/>
          <w:kern w:val="2"/>
          <w:sz w:val="21"/>
          <w:szCs w:val="21"/>
          <w:highlight w:val="none"/>
        </w:rPr>
        <w:t>进行修正，</w:t>
      </w:r>
      <w:r>
        <w:rPr>
          <w:rFonts w:hint="eastAsia" w:ascii="宋体" w:hAnsi="宋体" w:eastAsia="宋体" w:cs="宋体"/>
          <w:snapToGrid/>
          <w:color w:val="auto"/>
          <w:kern w:val="2"/>
          <w:sz w:val="21"/>
          <w:szCs w:val="21"/>
          <w:highlight w:val="none"/>
        </w:rPr>
        <w:t>卖方</w:t>
      </w:r>
      <w:r>
        <w:rPr>
          <w:rFonts w:hint="eastAsia" w:ascii="宋体" w:hAnsi="宋体" w:eastAsia="宋体" w:cs="Times New Roman"/>
          <w:iCs/>
          <w:snapToGrid/>
          <w:color w:val="auto"/>
          <w:kern w:val="2"/>
          <w:sz w:val="21"/>
          <w:szCs w:val="21"/>
          <w:highlight w:val="none"/>
        </w:rPr>
        <w:t>在7天内应提供修正的施工组织设计，买方应在 7 天内对</w:t>
      </w:r>
      <w:r>
        <w:rPr>
          <w:rFonts w:hint="eastAsia" w:ascii="宋体" w:hAnsi="宋体" w:eastAsia="宋体" w:cs="宋体"/>
          <w:snapToGrid/>
          <w:color w:val="auto"/>
          <w:kern w:val="2"/>
          <w:sz w:val="21"/>
          <w:szCs w:val="21"/>
          <w:highlight w:val="none"/>
        </w:rPr>
        <w:t>卖方</w:t>
      </w:r>
      <w:r>
        <w:rPr>
          <w:rFonts w:hint="eastAsia" w:ascii="宋体" w:hAnsi="宋体" w:eastAsia="宋体" w:cs="Times New Roman"/>
          <w:iCs/>
          <w:snapToGrid/>
          <w:color w:val="auto"/>
          <w:kern w:val="2"/>
          <w:sz w:val="21"/>
          <w:szCs w:val="21"/>
          <w:highlight w:val="none"/>
        </w:rPr>
        <w:t>修正的施工组织设计进行最后审定</w:t>
      </w:r>
      <w:r>
        <w:rPr>
          <w:rFonts w:hint="eastAsia" w:ascii="宋体" w:hAnsi="宋体" w:eastAsia="宋体" w:cs="Times New Roman"/>
          <w:snapToGrid/>
          <w:color w:val="auto"/>
          <w:kern w:val="2"/>
          <w:sz w:val="21"/>
          <w:szCs w:val="21"/>
          <w:highlight w:val="none"/>
        </w:rPr>
        <w:t>。</w:t>
      </w:r>
    </w:p>
    <w:p w14:paraId="63501BAA">
      <w:pPr>
        <w:widowControl w:val="0"/>
        <w:shd w:val="clear"/>
        <w:kinsoku/>
        <w:autoSpaceDE/>
        <w:autoSpaceDN/>
        <w:adjustRightInd/>
        <w:snapToGrid/>
        <w:spacing w:line="360" w:lineRule="auto"/>
        <w:ind w:firstLine="420" w:firstLineChars="200"/>
        <w:textAlignment w:val="auto"/>
        <w:rPr>
          <w:rFonts w:ascii="宋体" w:hAnsi="宋体" w:eastAsia="宋体" w:cs="Times New Roman"/>
          <w:snapToGrid/>
          <w:color w:val="auto"/>
          <w:kern w:val="2"/>
          <w:sz w:val="21"/>
          <w:szCs w:val="21"/>
          <w:highlight w:val="none"/>
        </w:rPr>
      </w:pPr>
      <w:r>
        <w:rPr>
          <w:rFonts w:hint="eastAsia" w:ascii="宋体" w:hAnsi="宋体" w:eastAsia="宋体" w:cs="Times New Roman"/>
          <w:snapToGrid/>
          <w:color w:val="auto"/>
          <w:kern w:val="2"/>
          <w:sz w:val="21"/>
          <w:szCs w:val="21"/>
          <w:highlight w:val="none"/>
        </w:rPr>
        <w:t>20</w:t>
      </w:r>
      <w:r>
        <w:rPr>
          <w:rFonts w:ascii="宋体" w:hAnsi="宋体" w:eastAsia="宋体" w:cs="Times New Roman"/>
          <w:snapToGrid/>
          <w:color w:val="auto"/>
          <w:kern w:val="2"/>
          <w:sz w:val="21"/>
          <w:szCs w:val="21"/>
          <w:highlight w:val="none"/>
        </w:rPr>
        <w:t>.</w:t>
      </w:r>
      <w:r>
        <w:rPr>
          <w:rFonts w:hint="eastAsia" w:ascii="宋体" w:hAnsi="宋体" w:eastAsia="宋体" w:cs="Times New Roman"/>
          <w:snapToGrid/>
          <w:color w:val="auto"/>
          <w:kern w:val="2"/>
          <w:sz w:val="21"/>
          <w:szCs w:val="21"/>
          <w:highlight w:val="none"/>
        </w:rPr>
        <w:t>3</w:t>
      </w:r>
      <w:r>
        <w:rPr>
          <w:rFonts w:ascii="宋体" w:hAnsi="宋体" w:eastAsia="宋体" w:cs="Times New Roman"/>
          <w:snapToGrid/>
          <w:color w:val="auto"/>
          <w:kern w:val="2"/>
          <w:sz w:val="21"/>
          <w:szCs w:val="21"/>
          <w:highlight w:val="none"/>
        </w:rPr>
        <w:t xml:space="preserve"> 因</w:t>
      </w:r>
      <w:r>
        <w:rPr>
          <w:rFonts w:hint="eastAsia" w:ascii="宋体" w:hAnsi="宋体" w:eastAsia="宋体" w:cs="宋体"/>
          <w:snapToGrid/>
          <w:color w:val="auto"/>
          <w:kern w:val="2"/>
          <w:sz w:val="21"/>
          <w:szCs w:val="21"/>
          <w:highlight w:val="none"/>
        </w:rPr>
        <w:t>卖方</w:t>
      </w:r>
      <w:r>
        <w:rPr>
          <w:rFonts w:ascii="宋体" w:hAnsi="宋体" w:eastAsia="宋体" w:cs="Times New Roman"/>
          <w:snapToGrid/>
          <w:color w:val="auto"/>
          <w:kern w:val="2"/>
          <w:sz w:val="21"/>
          <w:szCs w:val="21"/>
          <w:highlight w:val="none"/>
        </w:rPr>
        <w:t>原因导致工期延误</w:t>
      </w:r>
    </w:p>
    <w:p w14:paraId="66D621A9">
      <w:pPr>
        <w:widowControl w:val="0"/>
        <w:shd w:val="clear"/>
        <w:kinsoku/>
        <w:snapToGrid/>
        <w:spacing w:line="360" w:lineRule="auto"/>
        <w:ind w:firstLine="420" w:firstLineChars="200"/>
        <w:textAlignment w:val="auto"/>
        <w:rPr>
          <w:rFonts w:ascii="宋体" w:hAnsi="宋体" w:eastAsia="宋体" w:cs="Times New Roman"/>
          <w:b/>
          <w:snapToGrid/>
          <w:color w:val="auto"/>
          <w:kern w:val="2"/>
          <w:sz w:val="21"/>
          <w:szCs w:val="21"/>
          <w:highlight w:val="none"/>
          <w:u w:val="single"/>
        </w:rPr>
      </w:pPr>
      <w:r>
        <w:rPr>
          <w:rFonts w:hint="eastAsia" w:ascii="宋体" w:hAnsi="宋体" w:eastAsia="宋体" w:cs="Times New Roman"/>
          <w:bCs/>
          <w:snapToGrid/>
          <w:color w:val="auto"/>
          <w:kern w:val="2"/>
          <w:sz w:val="21"/>
          <w:szCs w:val="21"/>
          <w:highlight w:val="none"/>
        </w:rPr>
        <w:t>由于</w:t>
      </w:r>
      <w:r>
        <w:rPr>
          <w:rFonts w:hint="eastAsia" w:ascii="宋体" w:hAnsi="宋体" w:eastAsia="宋体" w:cs="宋体"/>
          <w:snapToGrid/>
          <w:color w:val="auto"/>
          <w:kern w:val="2"/>
          <w:sz w:val="21"/>
          <w:szCs w:val="21"/>
          <w:highlight w:val="none"/>
        </w:rPr>
        <w:t>卖方</w:t>
      </w:r>
      <w:r>
        <w:rPr>
          <w:rFonts w:hint="eastAsia" w:ascii="宋体" w:hAnsi="宋体" w:eastAsia="宋体" w:cs="Times New Roman"/>
          <w:bCs/>
          <w:snapToGrid/>
          <w:color w:val="auto"/>
          <w:kern w:val="2"/>
          <w:sz w:val="21"/>
          <w:szCs w:val="21"/>
          <w:highlight w:val="none"/>
        </w:rPr>
        <w:t>原因，未能按合同要求及施工进度计划完成工作，或经买方或监理人认为</w:t>
      </w:r>
      <w:r>
        <w:rPr>
          <w:rFonts w:hint="eastAsia" w:ascii="宋体" w:hAnsi="宋体" w:eastAsia="宋体" w:cs="宋体"/>
          <w:snapToGrid/>
          <w:color w:val="auto"/>
          <w:kern w:val="2"/>
          <w:sz w:val="21"/>
          <w:szCs w:val="21"/>
          <w:highlight w:val="none"/>
        </w:rPr>
        <w:t>卖方</w:t>
      </w:r>
      <w:r>
        <w:rPr>
          <w:rFonts w:hint="eastAsia" w:ascii="宋体" w:hAnsi="宋体" w:eastAsia="宋体" w:cs="Times New Roman"/>
          <w:bCs/>
          <w:snapToGrid/>
          <w:color w:val="auto"/>
          <w:kern w:val="2"/>
          <w:sz w:val="21"/>
          <w:szCs w:val="21"/>
          <w:highlight w:val="none"/>
        </w:rPr>
        <w:t>施工进度不能满足合同工期要求需采取的加快项目进度的措施费用，</w:t>
      </w:r>
      <w:r>
        <w:rPr>
          <w:rFonts w:hint="eastAsia" w:ascii="宋体" w:hAnsi="宋体" w:eastAsia="宋体" w:cs="宋体"/>
          <w:snapToGrid/>
          <w:color w:val="auto"/>
          <w:kern w:val="2"/>
          <w:sz w:val="21"/>
          <w:szCs w:val="21"/>
          <w:highlight w:val="none"/>
        </w:rPr>
        <w:t>卖方</w:t>
      </w:r>
      <w:r>
        <w:rPr>
          <w:rFonts w:hint="eastAsia" w:ascii="宋体" w:hAnsi="宋体" w:eastAsia="宋体" w:cs="Times New Roman"/>
          <w:bCs/>
          <w:snapToGrid/>
          <w:color w:val="auto"/>
          <w:kern w:val="2"/>
          <w:sz w:val="21"/>
          <w:szCs w:val="21"/>
          <w:highlight w:val="none"/>
        </w:rPr>
        <w:t>应采取措施加快进度，并承担加快进度所增加的费用。</w:t>
      </w:r>
    </w:p>
    <w:p w14:paraId="01C6BACF">
      <w:pPr>
        <w:pStyle w:val="10"/>
        <w:shd w:val="clear"/>
        <w:rPr>
          <w:rFonts w:eastAsiaTheme="minorEastAsia"/>
          <w:color w:val="auto"/>
          <w:sz w:val="21"/>
          <w:szCs w:val="21"/>
          <w:highlight w:val="none"/>
        </w:rPr>
      </w:pPr>
      <w:r>
        <w:rPr>
          <w:rFonts w:hint="eastAsia" w:ascii="宋体" w:hAnsi="宋体" w:eastAsia="宋体" w:cs="宋体"/>
          <w:snapToGrid/>
          <w:color w:val="auto"/>
          <w:kern w:val="2"/>
          <w:sz w:val="21"/>
          <w:szCs w:val="21"/>
          <w:highlight w:val="none"/>
        </w:rPr>
        <w:t>（注：在正式签约时，根据上述精神应拟就更为详尽的合同书）</w:t>
      </w:r>
    </w:p>
    <w:p w14:paraId="45DB0E18">
      <w:pPr>
        <w:shd w:val="clear"/>
        <w:spacing w:line="360" w:lineRule="auto"/>
        <w:ind w:firstLine="420" w:firstLineChars="200"/>
        <w:jc w:val="both"/>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21.争议的解决</w:t>
      </w:r>
    </w:p>
    <w:p w14:paraId="77BB98A7">
      <w:p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因本合同引起的或与本合同有关的任何争议，双方可通过友好协商解决。友好协商解决不成的，</w:t>
      </w:r>
      <w:r>
        <w:rPr>
          <w:rFonts w:hint="eastAsia" w:ascii="宋体" w:hAnsi="宋体" w:eastAsia="宋体" w:cs="宋体"/>
          <w:color w:val="auto"/>
          <w:sz w:val="21"/>
          <w:szCs w:val="21"/>
          <w:highlight w:val="none"/>
          <w:lang w:val="en-US" w:eastAsia="zh-CN"/>
        </w:rPr>
        <w:t>选择</w:t>
      </w:r>
      <w:r>
        <w:rPr>
          <w:rFonts w:hint="eastAsia" w:ascii="宋体" w:hAnsi="宋体" w:eastAsia="宋体" w:cs="宋体"/>
          <w:color w:val="auto"/>
          <w:sz w:val="21"/>
          <w:szCs w:val="21"/>
          <w:highlight w:val="none"/>
        </w:rPr>
        <w:t>下列方式</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rPr>
        <w:t>解决：</w:t>
      </w:r>
    </w:p>
    <w:p w14:paraId="08F61E37">
      <w:pPr>
        <w:numPr>
          <w:ilvl w:val="0"/>
          <w:numId w:val="10"/>
        </w:numPr>
        <w:shd w:val="clear"/>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向绍兴仲裁委员会申请仲裁</w:t>
      </w:r>
      <w:r>
        <w:rPr>
          <w:rFonts w:hint="eastAsia" w:ascii="宋体" w:hAnsi="宋体" w:eastAsia="宋体" w:cs="宋体"/>
          <w:color w:val="auto"/>
          <w:sz w:val="21"/>
          <w:szCs w:val="21"/>
          <w:highlight w:val="none"/>
          <w:lang w:val="en-US" w:eastAsia="zh-CN"/>
        </w:rPr>
        <w:t>；</w:t>
      </w:r>
    </w:p>
    <w:p w14:paraId="3A979909">
      <w:pPr>
        <w:numPr>
          <w:ilvl w:val="0"/>
          <w:numId w:val="10"/>
        </w:numPr>
        <w:shd w:val="clear"/>
        <w:spacing w:line="360" w:lineRule="auto"/>
        <w:ind w:firstLine="420" w:firstLineChars="2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u w:val="single"/>
        </w:rPr>
        <w:t>甲方所在地</w:t>
      </w:r>
      <w:r>
        <w:rPr>
          <w:rFonts w:hint="eastAsia" w:ascii="宋体" w:hAnsi="宋体" w:eastAsia="宋体" w:cs="宋体"/>
          <w:color w:val="auto"/>
          <w:sz w:val="21"/>
          <w:szCs w:val="21"/>
          <w:highlight w:val="none"/>
        </w:rPr>
        <w:t>人民法院起诉</w:t>
      </w:r>
      <w:r>
        <w:rPr>
          <w:rFonts w:hint="eastAsia" w:eastAsia="宋体"/>
          <w:color w:val="auto"/>
          <w:highlight w:val="none"/>
          <w:lang w:eastAsia="zh-CN"/>
        </w:rPr>
        <w:t>。</w:t>
      </w:r>
    </w:p>
    <w:p w14:paraId="61B5FA6D">
      <w:pPr>
        <w:pStyle w:val="136"/>
        <w:shd w:val="clear"/>
        <w:rPr>
          <w:color w:val="auto"/>
          <w:sz w:val="21"/>
          <w:szCs w:val="21"/>
          <w:highlight w:val="none"/>
        </w:rPr>
      </w:pPr>
    </w:p>
    <w:p w14:paraId="6D33C963">
      <w:pPr>
        <w:pStyle w:val="136"/>
        <w:shd w:val="clear"/>
        <w:rPr>
          <w:color w:val="auto"/>
          <w:sz w:val="21"/>
          <w:szCs w:val="21"/>
          <w:highlight w:val="none"/>
        </w:rPr>
      </w:pPr>
    </w:p>
    <w:p w14:paraId="4F0C8E1E">
      <w:pPr>
        <w:pStyle w:val="136"/>
        <w:shd w:val="clear"/>
        <w:rPr>
          <w:color w:val="auto"/>
          <w:sz w:val="21"/>
          <w:szCs w:val="21"/>
          <w:highlight w:val="none"/>
        </w:rPr>
      </w:pPr>
    </w:p>
    <w:p w14:paraId="7799514A">
      <w:pPr>
        <w:autoSpaceDE w:val="0"/>
        <w:autoSpaceDN w:val="0"/>
        <w:spacing w:line="440" w:lineRule="atLeast"/>
        <w:ind w:firstLine="240" w:firstLineChars="100"/>
        <w:rPr>
          <w:rFonts w:ascii="宋体" w:hAnsi="宋体" w:cs="宋体"/>
          <w:color w:val="auto"/>
          <w:sz w:val="24"/>
          <w:highlight w:val="none"/>
          <w:lang w:val="zh-CN"/>
        </w:rPr>
      </w:pPr>
      <w:r>
        <w:rPr>
          <w:rFonts w:hint="eastAsia" w:ascii="宋体" w:hAnsi="宋体" w:cs="宋体"/>
          <w:b/>
          <w:color w:val="auto"/>
          <w:sz w:val="24"/>
          <w:highlight w:val="none"/>
          <w:lang w:val="zh-CN"/>
        </w:rPr>
        <w:t>买方</w:t>
      </w:r>
      <w:r>
        <w:rPr>
          <w:rFonts w:hint="eastAsia" w:ascii="宋体" w:hAnsi="宋体" w:cs="宋体"/>
          <w:color w:val="auto"/>
          <w:sz w:val="24"/>
          <w:highlight w:val="none"/>
          <w:lang w:val="zh-CN"/>
        </w:rPr>
        <w:t>：（盖章）</w:t>
      </w:r>
      <w:r>
        <w:rPr>
          <w:rFonts w:hint="eastAsia" w:ascii="宋体" w:hAnsi="宋体" w:cs="宋体"/>
          <w:color w:val="auto"/>
          <w:sz w:val="24"/>
          <w:highlight w:val="none"/>
          <w:lang w:val="en-US" w:eastAsia="zh-CN"/>
        </w:rPr>
        <w:t xml:space="preserve">                            卖</w:t>
      </w:r>
      <w:r>
        <w:rPr>
          <w:rFonts w:hint="eastAsia" w:ascii="宋体" w:hAnsi="宋体" w:cs="宋体"/>
          <w:b/>
          <w:color w:val="auto"/>
          <w:sz w:val="24"/>
          <w:highlight w:val="none"/>
          <w:lang w:val="zh-CN"/>
        </w:rPr>
        <w:t>方</w:t>
      </w:r>
      <w:r>
        <w:rPr>
          <w:rFonts w:hint="eastAsia" w:ascii="宋体" w:hAnsi="宋体" w:cs="宋体"/>
          <w:color w:val="auto"/>
          <w:sz w:val="24"/>
          <w:highlight w:val="none"/>
          <w:lang w:val="zh-CN"/>
        </w:rPr>
        <w:t>：（盖章）</w:t>
      </w:r>
    </w:p>
    <w:p w14:paraId="28973A92">
      <w:pPr>
        <w:autoSpaceDE w:val="0"/>
        <w:autoSpaceDN w:val="0"/>
        <w:spacing w:line="440" w:lineRule="atLeast"/>
        <w:ind w:firstLine="240" w:firstLineChars="100"/>
        <w:rPr>
          <w:rFonts w:ascii="宋体" w:hAnsi="宋体" w:cs="宋体"/>
          <w:color w:val="auto"/>
          <w:sz w:val="24"/>
          <w:highlight w:val="none"/>
          <w:lang w:val="zh-CN"/>
        </w:rPr>
      </w:pPr>
      <w:r>
        <w:rPr>
          <w:rFonts w:hint="eastAsia" w:ascii="宋体" w:hAnsi="宋体" w:cs="宋体"/>
          <w:color w:val="auto"/>
          <w:sz w:val="24"/>
          <w:highlight w:val="none"/>
          <w:lang w:val="zh-CN"/>
        </w:rPr>
        <w:t>统一社会信用代码：</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统一社会信用代码：</w:t>
      </w:r>
    </w:p>
    <w:p w14:paraId="4239C750">
      <w:pPr>
        <w:autoSpaceDE w:val="0"/>
        <w:autoSpaceDN w:val="0"/>
        <w:spacing w:line="440" w:lineRule="atLeast"/>
        <w:ind w:firstLine="240" w:firstLineChars="100"/>
        <w:rPr>
          <w:rFonts w:ascii="宋体" w:hAnsi="宋体" w:cs="宋体"/>
          <w:color w:val="auto"/>
          <w:sz w:val="24"/>
          <w:highlight w:val="none"/>
          <w:lang w:val="zh-CN"/>
        </w:rPr>
      </w:pPr>
      <w:r>
        <w:rPr>
          <w:rFonts w:hint="eastAsia" w:ascii="宋体" w:hAnsi="宋体" w:cs="宋体"/>
          <w:color w:val="auto"/>
          <w:sz w:val="24"/>
          <w:highlight w:val="none"/>
          <w:lang w:val="zh-CN"/>
        </w:rPr>
        <w:t>住所：</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住所：</w:t>
      </w:r>
    </w:p>
    <w:p w14:paraId="64C5A4B8">
      <w:pPr>
        <w:autoSpaceDE w:val="0"/>
        <w:autoSpaceDN w:val="0"/>
        <w:spacing w:line="440" w:lineRule="atLeast"/>
        <w:ind w:firstLine="240" w:firstLineChars="100"/>
        <w:rPr>
          <w:rFonts w:ascii="宋体" w:hAnsi="宋体" w:cs="宋体"/>
          <w:color w:val="auto"/>
          <w:sz w:val="24"/>
          <w:highlight w:val="none"/>
          <w:lang w:val="zh-CN"/>
        </w:rPr>
      </w:pPr>
      <w:r>
        <w:rPr>
          <w:rFonts w:hint="eastAsia" w:ascii="宋体" w:hAnsi="宋体" w:cs="宋体"/>
          <w:color w:val="auto"/>
          <w:sz w:val="24"/>
          <w:highlight w:val="none"/>
          <w:lang w:val="zh-CN"/>
        </w:rPr>
        <w:t>法定代表人或</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法定代表人或</w:t>
      </w:r>
    </w:p>
    <w:p w14:paraId="3348A3E0">
      <w:pPr>
        <w:autoSpaceDE w:val="0"/>
        <w:autoSpaceDN w:val="0"/>
        <w:spacing w:line="440" w:lineRule="atLeast"/>
        <w:ind w:firstLine="240" w:firstLineChars="100"/>
        <w:rPr>
          <w:rFonts w:ascii="宋体" w:hAnsi="宋体" w:cs="宋体"/>
          <w:color w:val="auto"/>
          <w:sz w:val="24"/>
          <w:highlight w:val="none"/>
          <w:lang w:val="zh-CN"/>
        </w:rPr>
      </w:pPr>
      <w:r>
        <w:rPr>
          <w:rFonts w:hint="eastAsia" w:ascii="宋体" w:hAnsi="宋体" w:cs="宋体"/>
          <w:color w:val="auto"/>
          <w:sz w:val="24"/>
          <w:highlight w:val="none"/>
        </w:rPr>
        <w:t>其授权代表</w:t>
      </w:r>
      <w:r>
        <w:rPr>
          <w:rFonts w:hint="eastAsia" w:ascii="宋体" w:hAnsi="宋体" w:cs="宋体"/>
          <w:color w:val="auto"/>
          <w:sz w:val="24"/>
          <w:highlight w:val="none"/>
          <w:lang w:val="zh-CN"/>
        </w:rPr>
        <w:t>（签字</w:t>
      </w:r>
      <w:r>
        <w:rPr>
          <w:rFonts w:hint="eastAsia" w:ascii="宋体" w:hAnsi="宋体" w:cs="宋体"/>
          <w:color w:val="auto"/>
          <w:sz w:val="24"/>
          <w:highlight w:val="none"/>
        </w:rPr>
        <w:t>或盖章</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其授权代表</w:t>
      </w:r>
      <w:r>
        <w:rPr>
          <w:rFonts w:hint="eastAsia" w:ascii="宋体" w:hAnsi="宋体" w:cs="宋体"/>
          <w:color w:val="auto"/>
          <w:sz w:val="24"/>
          <w:highlight w:val="none"/>
          <w:lang w:val="zh-CN"/>
        </w:rPr>
        <w:t>（签字</w:t>
      </w:r>
      <w:r>
        <w:rPr>
          <w:rFonts w:hint="eastAsia" w:ascii="宋体" w:hAnsi="宋体" w:cs="宋体"/>
          <w:color w:val="auto"/>
          <w:sz w:val="24"/>
          <w:highlight w:val="none"/>
        </w:rPr>
        <w:t>或盖章</w:t>
      </w:r>
      <w:r>
        <w:rPr>
          <w:rFonts w:hint="eastAsia" w:ascii="宋体" w:hAnsi="宋体" w:cs="宋体"/>
          <w:color w:val="auto"/>
          <w:sz w:val="24"/>
          <w:highlight w:val="none"/>
          <w:lang w:val="zh-CN"/>
        </w:rPr>
        <w:t xml:space="preserve">）: </w:t>
      </w:r>
    </w:p>
    <w:p w14:paraId="4A106B94">
      <w:pPr>
        <w:autoSpaceDE w:val="0"/>
        <w:autoSpaceDN w:val="0"/>
        <w:spacing w:line="440" w:lineRule="atLeast"/>
        <w:ind w:firstLine="240" w:firstLineChars="100"/>
        <w:rPr>
          <w:rFonts w:ascii="宋体" w:hAnsi="宋体" w:cs="宋体"/>
          <w:color w:val="auto"/>
          <w:sz w:val="24"/>
          <w:highlight w:val="none"/>
          <w:lang w:val="zh-CN"/>
        </w:rPr>
      </w:pPr>
      <w:r>
        <w:rPr>
          <w:rFonts w:hint="eastAsia" w:ascii="宋体" w:hAnsi="宋体" w:cs="宋体"/>
          <w:color w:val="auto"/>
          <w:sz w:val="24"/>
          <w:highlight w:val="none"/>
          <w:lang w:val="zh-CN"/>
        </w:rPr>
        <w:t>联系人：</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联系人：</w:t>
      </w:r>
    </w:p>
    <w:p w14:paraId="56E5964B">
      <w:pPr>
        <w:autoSpaceDE w:val="0"/>
        <w:autoSpaceDN w:val="0"/>
        <w:spacing w:line="440" w:lineRule="atLeast"/>
        <w:ind w:firstLine="240" w:firstLineChars="100"/>
        <w:rPr>
          <w:rFonts w:ascii="宋体" w:hAnsi="宋体" w:cs="宋体"/>
          <w:color w:val="auto"/>
          <w:sz w:val="24"/>
          <w:highlight w:val="none"/>
          <w:lang w:val="zh-CN"/>
        </w:rPr>
      </w:pPr>
      <w:r>
        <w:rPr>
          <w:rFonts w:hint="eastAsia" w:ascii="宋体" w:hAnsi="宋体" w:cs="宋体"/>
          <w:color w:val="auto"/>
          <w:sz w:val="24"/>
          <w:highlight w:val="none"/>
          <w:lang w:val="zh-CN"/>
        </w:rPr>
        <w:t>邮政编码：</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邮政编码：</w:t>
      </w:r>
    </w:p>
    <w:p w14:paraId="4515967F">
      <w:pPr>
        <w:autoSpaceDE w:val="0"/>
        <w:autoSpaceDN w:val="0"/>
        <w:spacing w:line="440" w:lineRule="atLeast"/>
        <w:ind w:firstLine="240" w:firstLineChars="100"/>
        <w:rPr>
          <w:rFonts w:ascii="宋体" w:hAnsi="宋体" w:cs="宋体"/>
          <w:color w:val="auto"/>
          <w:sz w:val="24"/>
          <w:highlight w:val="none"/>
          <w:lang w:val="zh-CN"/>
        </w:rPr>
      </w:pPr>
      <w:r>
        <w:rPr>
          <w:rFonts w:hint="eastAsia" w:ascii="宋体" w:hAnsi="宋体" w:cs="宋体"/>
          <w:color w:val="auto"/>
          <w:sz w:val="24"/>
          <w:highlight w:val="none"/>
          <w:lang w:val="zh-CN"/>
        </w:rPr>
        <w:t xml:space="preserve">电话: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 xml:space="preserve">电话: </w:t>
      </w:r>
    </w:p>
    <w:p w14:paraId="72912DAE">
      <w:pPr>
        <w:autoSpaceDE w:val="0"/>
        <w:autoSpaceDN w:val="0"/>
        <w:spacing w:line="440" w:lineRule="atLeast"/>
        <w:ind w:firstLine="240" w:firstLineChars="100"/>
        <w:rPr>
          <w:rFonts w:ascii="宋体" w:hAnsi="宋体" w:cs="宋体"/>
          <w:color w:val="auto"/>
          <w:sz w:val="24"/>
          <w:highlight w:val="none"/>
          <w:lang w:val="zh-CN"/>
        </w:rPr>
      </w:pPr>
      <w:r>
        <w:rPr>
          <w:rFonts w:hint="eastAsia" w:ascii="宋体" w:hAnsi="宋体" w:cs="宋体"/>
          <w:color w:val="auto"/>
          <w:sz w:val="24"/>
          <w:highlight w:val="none"/>
          <w:lang w:val="zh-CN"/>
        </w:rPr>
        <w:t xml:space="preserve">传真: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传真:</w:t>
      </w:r>
    </w:p>
    <w:p w14:paraId="301AD98D">
      <w:pPr>
        <w:autoSpaceDE w:val="0"/>
        <w:autoSpaceDN w:val="0"/>
        <w:spacing w:line="440" w:lineRule="atLeast"/>
        <w:ind w:firstLine="240" w:firstLineChars="100"/>
        <w:rPr>
          <w:rFonts w:ascii="宋体" w:hAnsi="宋体" w:cs="宋体"/>
          <w:color w:val="auto"/>
          <w:sz w:val="24"/>
          <w:highlight w:val="none"/>
        </w:rPr>
      </w:pPr>
      <w:r>
        <w:rPr>
          <w:rFonts w:hint="eastAsia" w:ascii="宋体" w:hAnsi="宋体" w:cs="宋体"/>
          <w:color w:val="auto"/>
          <w:sz w:val="24"/>
          <w:highlight w:val="none"/>
          <w:lang w:val="zh-CN"/>
        </w:rPr>
        <w:t>电子邮箱：</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val="zh-CN"/>
        </w:rPr>
        <w:t>电子邮箱：</w:t>
      </w:r>
    </w:p>
    <w:p w14:paraId="30559474">
      <w:pPr>
        <w:autoSpaceDE w:val="0"/>
        <w:autoSpaceDN w:val="0"/>
        <w:spacing w:line="440" w:lineRule="atLeast"/>
        <w:ind w:firstLine="240" w:firstLineChars="100"/>
        <w:rPr>
          <w:rFonts w:ascii="宋体" w:hAnsi="宋体" w:cs="宋体"/>
          <w:color w:val="auto"/>
          <w:sz w:val="24"/>
          <w:highlight w:val="none"/>
        </w:rPr>
      </w:pPr>
      <w:r>
        <w:rPr>
          <w:rFonts w:hint="eastAsia" w:ascii="宋体" w:hAnsi="宋体" w:cs="宋体"/>
          <w:color w:val="auto"/>
          <w:sz w:val="24"/>
          <w:highlight w:val="none"/>
        </w:rPr>
        <w:t xml:space="preserve">开户银行：                                开户银行： </w:t>
      </w:r>
    </w:p>
    <w:p w14:paraId="5DAE22F5">
      <w:pPr>
        <w:autoSpaceDE w:val="0"/>
        <w:autoSpaceDN w:val="0"/>
        <w:spacing w:line="440" w:lineRule="atLeast"/>
        <w:ind w:firstLine="240" w:firstLineChars="100"/>
        <w:rPr>
          <w:rFonts w:ascii="宋体" w:hAnsi="宋体" w:cs="宋体"/>
          <w:color w:val="auto"/>
          <w:sz w:val="24"/>
          <w:highlight w:val="none"/>
        </w:rPr>
      </w:pPr>
      <w:r>
        <w:rPr>
          <w:rFonts w:hint="eastAsia" w:ascii="宋体" w:hAnsi="宋体" w:cs="宋体"/>
          <w:color w:val="auto"/>
          <w:sz w:val="24"/>
          <w:highlight w:val="none"/>
        </w:rPr>
        <w:t xml:space="preserve">开户名称：                                开户名称： </w:t>
      </w:r>
    </w:p>
    <w:p w14:paraId="46BDC66E">
      <w:pPr>
        <w:autoSpaceDE w:val="0"/>
        <w:autoSpaceDN w:val="0"/>
        <w:spacing w:line="440" w:lineRule="atLeast"/>
        <w:ind w:firstLine="240" w:firstLineChars="100"/>
        <w:rPr>
          <w:rFonts w:ascii="宋体" w:hAnsi="宋体" w:cs="宋体"/>
          <w:color w:val="auto"/>
          <w:sz w:val="28"/>
          <w:szCs w:val="28"/>
          <w:highlight w:val="none"/>
        </w:rPr>
      </w:pPr>
      <w:r>
        <w:rPr>
          <w:rFonts w:hint="eastAsia" w:ascii="宋体" w:hAnsi="宋体" w:cs="宋体"/>
          <w:color w:val="auto"/>
          <w:sz w:val="24"/>
          <w:highlight w:val="none"/>
        </w:rPr>
        <w:t>开户账号：                                开户账号：</w:t>
      </w:r>
    </w:p>
    <w:p w14:paraId="3F7913B5">
      <w:pPr>
        <w:widowControl w:val="0"/>
        <w:shd w:val="clear"/>
        <w:kinsoku/>
        <w:autoSpaceDE/>
        <w:autoSpaceDN/>
        <w:adjustRightInd/>
        <w:snapToGrid/>
        <w:spacing w:line="360" w:lineRule="auto"/>
        <w:jc w:val="both"/>
        <w:textAlignment w:val="auto"/>
        <w:rPr>
          <w:rFonts w:ascii="宋体" w:hAnsi="宋体" w:eastAsia="宋体" w:cs="宋体"/>
          <w:bCs/>
          <w:snapToGrid/>
          <w:color w:val="auto"/>
          <w:kern w:val="2"/>
          <w:sz w:val="21"/>
          <w:szCs w:val="21"/>
          <w:highlight w:val="none"/>
        </w:rPr>
      </w:pPr>
    </w:p>
    <w:p w14:paraId="0737A294">
      <w:pPr>
        <w:widowControl w:val="0"/>
        <w:shd w:val="clear"/>
        <w:kinsoku/>
        <w:autoSpaceDE/>
        <w:autoSpaceDN/>
        <w:adjustRightInd/>
        <w:snapToGrid/>
        <w:spacing w:line="360" w:lineRule="auto"/>
        <w:jc w:val="both"/>
        <w:textAlignment w:val="auto"/>
        <w:rPr>
          <w:rFonts w:ascii="宋体" w:hAnsi="宋体" w:eastAsia="宋体" w:cs="宋体"/>
          <w:bCs/>
          <w:snapToGrid/>
          <w:color w:val="auto"/>
          <w:kern w:val="2"/>
          <w:sz w:val="21"/>
          <w:szCs w:val="21"/>
          <w:highlight w:val="none"/>
        </w:rPr>
      </w:pPr>
    </w:p>
    <w:p w14:paraId="770D32EF">
      <w:pPr>
        <w:rPr>
          <w:rFonts w:hint="eastAsia"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br w:type="page"/>
      </w:r>
    </w:p>
    <w:p w14:paraId="491F585A">
      <w:pPr>
        <w:widowControl w:val="0"/>
        <w:shd w:val="clear"/>
        <w:kinsoku/>
        <w:autoSpaceDE/>
        <w:autoSpaceDN/>
        <w:adjustRightInd/>
        <w:snapToGrid/>
        <w:spacing w:line="360" w:lineRule="auto"/>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合同附件1</w:t>
      </w:r>
    </w:p>
    <w:p w14:paraId="148484CA">
      <w:pPr>
        <w:widowControl w:val="0"/>
        <w:shd w:val="clear"/>
        <w:kinsoku/>
        <w:autoSpaceDE/>
        <w:autoSpaceDN/>
        <w:adjustRightInd/>
        <w:snapToGrid/>
        <w:spacing w:line="360" w:lineRule="auto"/>
        <w:jc w:val="center"/>
        <w:textAlignment w:val="auto"/>
        <w:rPr>
          <w:rFonts w:ascii="宋体" w:hAnsi="宋体" w:eastAsia="宋体" w:cs="宋体"/>
          <w:b/>
          <w:snapToGrid/>
          <w:color w:val="auto"/>
          <w:kern w:val="2"/>
          <w:sz w:val="21"/>
          <w:szCs w:val="21"/>
          <w:highlight w:val="none"/>
        </w:rPr>
      </w:pPr>
      <w:r>
        <w:rPr>
          <w:rFonts w:hint="eastAsia" w:ascii="宋体" w:hAnsi="宋体" w:eastAsia="宋体" w:cs="宋体"/>
          <w:b/>
          <w:snapToGrid/>
          <w:color w:val="auto"/>
          <w:kern w:val="2"/>
          <w:sz w:val="21"/>
          <w:szCs w:val="21"/>
          <w:highlight w:val="none"/>
        </w:rPr>
        <w:t>廉政承诺书</w:t>
      </w:r>
    </w:p>
    <w:p w14:paraId="200CEDCF">
      <w:pPr>
        <w:shd w:val="clear"/>
        <w:kinsoku/>
        <w:autoSpaceDE/>
        <w:autoSpaceDN/>
        <w:adjustRightInd/>
        <w:snapToGrid/>
        <w:spacing w:line="440" w:lineRule="exact"/>
        <w:jc w:val="both"/>
        <w:textAlignment w:val="auto"/>
        <w:rPr>
          <w:rFonts w:hint="eastAsia" w:ascii="宋体" w:hAnsi="宋体" w:eastAsia="宋体" w:cs="宋体"/>
          <w:snapToGrid/>
          <w:color w:val="auto"/>
          <w:sz w:val="21"/>
          <w:szCs w:val="21"/>
          <w:highlight w:val="none"/>
          <w:u w:val="single"/>
          <w:lang w:eastAsia="zh-CN"/>
        </w:rPr>
      </w:pPr>
      <w:r>
        <w:rPr>
          <w:rFonts w:hint="eastAsia" w:ascii="宋体" w:hAnsi="宋体" w:eastAsia="宋体" w:cs="宋体"/>
          <w:snapToGrid/>
          <w:color w:val="auto"/>
          <w:sz w:val="21"/>
          <w:szCs w:val="21"/>
          <w:highlight w:val="none"/>
        </w:rPr>
        <w:t>甲方（以下简称</w:t>
      </w:r>
      <w:r>
        <w:rPr>
          <w:rFonts w:hint="eastAsia" w:ascii="宋体" w:hAnsi="宋体" w:eastAsia="宋体" w:cs="宋体"/>
          <w:snapToGrid/>
          <w:color w:val="auto"/>
          <w:kern w:val="1"/>
          <w:sz w:val="21"/>
          <w:szCs w:val="21"/>
          <w:highlight w:val="none"/>
        </w:rPr>
        <w:t>买方</w:t>
      </w:r>
      <w:r>
        <w:rPr>
          <w:rFonts w:hint="eastAsia" w:ascii="宋体" w:hAnsi="宋体" w:eastAsia="宋体" w:cs="宋体"/>
          <w:snapToGrid/>
          <w:color w:val="auto"/>
          <w:sz w:val="21"/>
          <w:szCs w:val="21"/>
          <w:highlight w:val="none"/>
        </w:rPr>
        <w:t>）：</w:t>
      </w:r>
      <w:r>
        <w:rPr>
          <w:rFonts w:hint="eastAsia" w:eastAsia="宋体"/>
          <w:color w:val="auto"/>
          <w:highlight w:val="none"/>
          <w:lang w:eastAsia="zh-CN"/>
        </w:rPr>
        <w:t>绍兴市水务产业有限公司</w:t>
      </w:r>
    </w:p>
    <w:p w14:paraId="038AF66D">
      <w:pPr>
        <w:shd w:val="clear"/>
        <w:kinsoku/>
        <w:autoSpaceDE/>
        <w:autoSpaceDN/>
        <w:adjustRightInd/>
        <w:snapToGrid/>
        <w:spacing w:line="440" w:lineRule="exact"/>
        <w:jc w:val="both"/>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乙方（以下简称卖方）：</w:t>
      </w:r>
    </w:p>
    <w:p w14:paraId="1B7B2733">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p>
    <w:p w14:paraId="0FA0A9A5">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根据有关廉政建设的规定，为做好项目过程中的党风廉政建设，保证项目高效优质，保证合同资金的安全和有效使用，特订立如下合同：</w:t>
      </w:r>
    </w:p>
    <w:p w14:paraId="2991A46F">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 xml:space="preserve">第一条 </w:t>
      </w:r>
      <w:r>
        <w:rPr>
          <w:rFonts w:hint="eastAsia" w:ascii="宋体" w:hAnsi="宋体" w:eastAsia="宋体" w:cs="宋体"/>
          <w:bCs/>
          <w:snapToGrid/>
          <w:color w:val="auto"/>
          <w:kern w:val="2"/>
          <w:sz w:val="21"/>
          <w:szCs w:val="21"/>
          <w:highlight w:val="none"/>
          <w:lang w:eastAsia="zh-CN"/>
        </w:rPr>
        <w:t>买卖</w:t>
      </w:r>
      <w:r>
        <w:rPr>
          <w:rFonts w:hint="eastAsia" w:ascii="宋体" w:hAnsi="宋体" w:eastAsia="宋体" w:cs="宋体"/>
          <w:bCs/>
          <w:snapToGrid/>
          <w:color w:val="auto"/>
          <w:kern w:val="2"/>
          <w:sz w:val="21"/>
          <w:szCs w:val="21"/>
          <w:highlight w:val="none"/>
        </w:rPr>
        <w:t>双方的基本要求</w:t>
      </w:r>
    </w:p>
    <w:p w14:paraId="468CC684">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（一）严格遵守党和国家有关法律法规。</w:t>
      </w:r>
    </w:p>
    <w:p w14:paraId="5141CD9F">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（二）严格执行越城区流量仪表更新改造工程项目合同文件，自觉按合同办事。</w:t>
      </w:r>
    </w:p>
    <w:p w14:paraId="0D55C213">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（三）双方所涉业务活动坚持公开、公正、诚信、透明的原则（除法律认定的商业秘密和合同文件另有规定之外），不得损害国家和集体利益，违反</w:t>
      </w:r>
      <w:r>
        <w:rPr>
          <w:rFonts w:hint="eastAsia" w:ascii="宋体" w:hAnsi="宋体" w:eastAsia="宋体" w:cs="宋体"/>
          <w:bCs/>
          <w:snapToGrid/>
          <w:color w:val="auto"/>
          <w:kern w:val="2"/>
          <w:sz w:val="21"/>
          <w:szCs w:val="21"/>
          <w:highlight w:val="none"/>
          <w:lang w:eastAsia="zh-CN"/>
        </w:rPr>
        <w:t>买卖</w:t>
      </w:r>
      <w:r>
        <w:rPr>
          <w:rFonts w:hint="eastAsia" w:ascii="宋体" w:hAnsi="宋体" w:eastAsia="宋体" w:cs="宋体"/>
          <w:bCs/>
          <w:snapToGrid/>
          <w:color w:val="auto"/>
          <w:kern w:val="2"/>
          <w:sz w:val="21"/>
          <w:szCs w:val="21"/>
          <w:highlight w:val="none"/>
        </w:rPr>
        <w:t>管理规章制度。</w:t>
      </w:r>
    </w:p>
    <w:p w14:paraId="5FE8471E">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（四）建立健全廉政制度，开展廉政教育，公布举报电话，监督并认真查处违法违纪行为。</w:t>
      </w:r>
    </w:p>
    <w:p w14:paraId="49BEC76C">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（五）发现对方在业务活动中有违反廉政规定的行为，有及时提醒对方纠正的权利和义务。</w:t>
      </w:r>
    </w:p>
    <w:p w14:paraId="5A3AEBAF">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（六）发现对方严重违反本合同义务条款的行为，有向其上级有关部门举报、建议给予处理并要求告知处理结果的权利。</w:t>
      </w:r>
    </w:p>
    <w:p w14:paraId="03B7025C">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 xml:space="preserve">第二条 </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义务</w:t>
      </w:r>
    </w:p>
    <w:p w14:paraId="6ABD5300">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（一）</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及其工作人员不得索要或接受</w:t>
      </w:r>
      <w:r>
        <w:rPr>
          <w:rFonts w:hint="eastAsia" w:ascii="宋体" w:hAnsi="宋体" w:eastAsia="宋体" w:cs="宋体"/>
          <w:bCs/>
          <w:snapToGrid/>
          <w:color w:val="auto"/>
          <w:kern w:val="2"/>
          <w:sz w:val="21"/>
          <w:szCs w:val="21"/>
          <w:highlight w:val="none"/>
          <w:lang w:eastAsia="zh-CN"/>
        </w:rPr>
        <w:t>卖方</w:t>
      </w:r>
      <w:r>
        <w:rPr>
          <w:rFonts w:hint="eastAsia" w:ascii="宋体" w:hAnsi="宋体" w:eastAsia="宋体" w:cs="宋体"/>
          <w:bCs/>
          <w:snapToGrid/>
          <w:color w:val="auto"/>
          <w:kern w:val="2"/>
          <w:sz w:val="21"/>
          <w:szCs w:val="21"/>
          <w:highlight w:val="none"/>
        </w:rPr>
        <w:t>的礼金、有价证券和贵重物品，不得在</w:t>
      </w:r>
      <w:r>
        <w:rPr>
          <w:rFonts w:hint="eastAsia" w:ascii="宋体" w:hAnsi="宋体" w:eastAsia="宋体" w:cs="宋体"/>
          <w:bCs/>
          <w:snapToGrid/>
          <w:color w:val="auto"/>
          <w:kern w:val="2"/>
          <w:sz w:val="21"/>
          <w:szCs w:val="21"/>
          <w:highlight w:val="none"/>
          <w:lang w:eastAsia="zh-CN"/>
        </w:rPr>
        <w:t>卖方</w:t>
      </w:r>
      <w:r>
        <w:rPr>
          <w:rFonts w:hint="eastAsia" w:ascii="宋体" w:hAnsi="宋体" w:eastAsia="宋体" w:cs="宋体"/>
          <w:bCs/>
          <w:snapToGrid/>
          <w:color w:val="auto"/>
          <w:kern w:val="2"/>
          <w:sz w:val="21"/>
          <w:szCs w:val="21"/>
          <w:highlight w:val="none"/>
        </w:rPr>
        <w:t>报销任何应由</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或个人支付的费用等。</w:t>
      </w:r>
    </w:p>
    <w:p w14:paraId="4DA49824">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（二）</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工作人员不得参加</w:t>
      </w:r>
      <w:r>
        <w:rPr>
          <w:rFonts w:hint="eastAsia" w:ascii="宋体" w:hAnsi="宋体" w:eastAsia="宋体" w:cs="宋体"/>
          <w:bCs/>
          <w:snapToGrid/>
          <w:color w:val="auto"/>
          <w:kern w:val="2"/>
          <w:sz w:val="21"/>
          <w:szCs w:val="21"/>
          <w:highlight w:val="none"/>
          <w:lang w:eastAsia="zh-CN"/>
        </w:rPr>
        <w:t>卖方</w:t>
      </w:r>
      <w:r>
        <w:rPr>
          <w:rFonts w:hint="eastAsia" w:ascii="宋体" w:hAnsi="宋体" w:eastAsia="宋体" w:cs="宋体"/>
          <w:bCs/>
          <w:snapToGrid/>
          <w:color w:val="auto"/>
          <w:kern w:val="2"/>
          <w:sz w:val="21"/>
          <w:szCs w:val="21"/>
          <w:highlight w:val="none"/>
        </w:rPr>
        <w:t>安排的宴请和娱乐活动，不得接受</w:t>
      </w:r>
      <w:r>
        <w:rPr>
          <w:rFonts w:hint="eastAsia" w:ascii="宋体" w:hAnsi="宋体" w:eastAsia="宋体" w:cs="宋体"/>
          <w:bCs/>
          <w:snapToGrid/>
          <w:color w:val="auto"/>
          <w:kern w:val="2"/>
          <w:sz w:val="21"/>
          <w:szCs w:val="21"/>
          <w:highlight w:val="none"/>
          <w:lang w:eastAsia="zh-CN"/>
        </w:rPr>
        <w:t>卖方</w:t>
      </w:r>
      <w:r>
        <w:rPr>
          <w:rFonts w:hint="eastAsia" w:ascii="宋体" w:hAnsi="宋体" w:eastAsia="宋体" w:cs="宋体"/>
          <w:bCs/>
          <w:snapToGrid/>
          <w:color w:val="auto"/>
          <w:kern w:val="2"/>
          <w:sz w:val="21"/>
          <w:szCs w:val="21"/>
          <w:highlight w:val="none"/>
        </w:rPr>
        <w:t>提供的通信工具、交通工具和办公用品等。</w:t>
      </w:r>
    </w:p>
    <w:p w14:paraId="3B87D426">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（三）</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及其工作人员不得要求或者接受</w:t>
      </w:r>
      <w:r>
        <w:rPr>
          <w:rFonts w:hint="eastAsia" w:ascii="宋体" w:hAnsi="宋体" w:eastAsia="宋体" w:cs="宋体"/>
          <w:bCs/>
          <w:snapToGrid/>
          <w:color w:val="auto"/>
          <w:kern w:val="2"/>
          <w:sz w:val="21"/>
          <w:szCs w:val="21"/>
          <w:highlight w:val="none"/>
          <w:lang w:eastAsia="zh-CN"/>
        </w:rPr>
        <w:t>卖方</w:t>
      </w:r>
      <w:r>
        <w:rPr>
          <w:rFonts w:hint="eastAsia" w:ascii="宋体" w:hAnsi="宋体" w:eastAsia="宋体" w:cs="宋体"/>
          <w:bCs/>
          <w:snapToGrid/>
          <w:color w:val="auto"/>
          <w:kern w:val="2"/>
          <w:sz w:val="21"/>
          <w:szCs w:val="21"/>
          <w:highlight w:val="none"/>
        </w:rPr>
        <w:t>为其住房装修、婚丧嫁娶活动、配偶子女的工作安排以及出国出境、旅游等提供方便等。</w:t>
      </w:r>
    </w:p>
    <w:p w14:paraId="3581E0B9">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（四）</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工作人员的配偶、子女不得从事与</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项目有关的经济活动。</w:t>
      </w:r>
    </w:p>
    <w:p w14:paraId="3A39FEE4">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 xml:space="preserve">第三条 </w:t>
      </w:r>
      <w:r>
        <w:rPr>
          <w:rFonts w:hint="eastAsia" w:ascii="宋体" w:hAnsi="宋体" w:eastAsia="宋体" w:cs="宋体"/>
          <w:bCs/>
          <w:snapToGrid/>
          <w:color w:val="auto"/>
          <w:kern w:val="2"/>
          <w:sz w:val="21"/>
          <w:szCs w:val="21"/>
          <w:highlight w:val="none"/>
          <w:lang w:eastAsia="zh-CN"/>
        </w:rPr>
        <w:t>卖方</w:t>
      </w:r>
      <w:r>
        <w:rPr>
          <w:rFonts w:hint="eastAsia" w:ascii="宋体" w:hAnsi="宋体" w:eastAsia="宋体" w:cs="宋体"/>
          <w:bCs/>
          <w:snapToGrid/>
          <w:color w:val="auto"/>
          <w:kern w:val="2"/>
          <w:sz w:val="21"/>
          <w:szCs w:val="21"/>
          <w:highlight w:val="none"/>
        </w:rPr>
        <w:t>义务</w:t>
      </w:r>
    </w:p>
    <w:p w14:paraId="42ABBFB8">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（一）</w:t>
      </w:r>
      <w:r>
        <w:rPr>
          <w:rFonts w:hint="eastAsia" w:ascii="宋体" w:hAnsi="宋体" w:eastAsia="宋体" w:cs="宋体"/>
          <w:bCs/>
          <w:snapToGrid/>
          <w:color w:val="auto"/>
          <w:kern w:val="2"/>
          <w:sz w:val="21"/>
          <w:szCs w:val="21"/>
          <w:highlight w:val="none"/>
          <w:lang w:eastAsia="zh-CN"/>
        </w:rPr>
        <w:t>卖方</w:t>
      </w:r>
      <w:r>
        <w:rPr>
          <w:rFonts w:hint="eastAsia" w:ascii="宋体" w:hAnsi="宋体" w:eastAsia="宋体" w:cs="宋体"/>
          <w:bCs/>
          <w:snapToGrid/>
          <w:color w:val="auto"/>
          <w:kern w:val="2"/>
          <w:sz w:val="21"/>
          <w:szCs w:val="21"/>
          <w:highlight w:val="none"/>
        </w:rPr>
        <w:t>不得以任何理由向</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及其工作人员行贿或馈赠礼金，有价证券、贵重礼品。</w:t>
      </w:r>
    </w:p>
    <w:p w14:paraId="0EE7783C">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（二）</w:t>
      </w:r>
      <w:r>
        <w:rPr>
          <w:rFonts w:hint="eastAsia" w:ascii="宋体" w:hAnsi="宋体" w:eastAsia="宋体" w:cs="宋体"/>
          <w:bCs/>
          <w:snapToGrid/>
          <w:color w:val="auto"/>
          <w:kern w:val="2"/>
          <w:sz w:val="21"/>
          <w:szCs w:val="21"/>
          <w:highlight w:val="none"/>
          <w:lang w:eastAsia="zh-CN"/>
        </w:rPr>
        <w:t>卖方</w:t>
      </w:r>
      <w:r>
        <w:rPr>
          <w:rFonts w:hint="eastAsia" w:ascii="宋体" w:hAnsi="宋体" w:eastAsia="宋体" w:cs="宋体"/>
          <w:bCs/>
          <w:snapToGrid/>
          <w:color w:val="auto"/>
          <w:kern w:val="2"/>
          <w:sz w:val="21"/>
          <w:szCs w:val="21"/>
          <w:highlight w:val="none"/>
        </w:rPr>
        <w:t>不得以任何名义为</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及其工作人员报销应由</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或个人支付的任何费用。</w:t>
      </w:r>
    </w:p>
    <w:p w14:paraId="5E56D9C4">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（三）</w:t>
      </w:r>
      <w:r>
        <w:rPr>
          <w:rFonts w:hint="eastAsia" w:ascii="宋体" w:hAnsi="宋体" w:eastAsia="宋体" w:cs="宋体"/>
          <w:bCs/>
          <w:snapToGrid/>
          <w:color w:val="auto"/>
          <w:kern w:val="2"/>
          <w:sz w:val="21"/>
          <w:szCs w:val="21"/>
          <w:highlight w:val="none"/>
          <w:lang w:eastAsia="zh-CN"/>
        </w:rPr>
        <w:t>卖方</w:t>
      </w:r>
      <w:r>
        <w:rPr>
          <w:rFonts w:hint="eastAsia" w:ascii="宋体" w:hAnsi="宋体" w:eastAsia="宋体" w:cs="宋体"/>
          <w:bCs/>
          <w:snapToGrid/>
          <w:color w:val="auto"/>
          <w:kern w:val="2"/>
          <w:sz w:val="21"/>
          <w:szCs w:val="21"/>
          <w:highlight w:val="none"/>
        </w:rPr>
        <w:t>不得以任何理由安排</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工作人员参加宴请及娱乐活动。</w:t>
      </w:r>
    </w:p>
    <w:p w14:paraId="146F3ADC">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（四）</w:t>
      </w:r>
      <w:r>
        <w:rPr>
          <w:rFonts w:hint="eastAsia" w:ascii="宋体" w:hAnsi="宋体" w:eastAsia="宋体" w:cs="宋体"/>
          <w:bCs/>
          <w:snapToGrid/>
          <w:color w:val="auto"/>
          <w:kern w:val="2"/>
          <w:sz w:val="21"/>
          <w:szCs w:val="21"/>
          <w:highlight w:val="none"/>
          <w:lang w:eastAsia="zh-CN"/>
        </w:rPr>
        <w:t>卖方</w:t>
      </w:r>
      <w:r>
        <w:rPr>
          <w:rFonts w:hint="eastAsia" w:ascii="宋体" w:hAnsi="宋体" w:eastAsia="宋体" w:cs="宋体"/>
          <w:bCs/>
          <w:snapToGrid/>
          <w:color w:val="auto"/>
          <w:kern w:val="2"/>
          <w:sz w:val="21"/>
          <w:szCs w:val="21"/>
          <w:highlight w:val="none"/>
        </w:rPr>
        <w:t>不得为</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单位和个人购置或提供通信工具、交通工具和办公用品等。</w:t>
      </w:r>
    </w:p>
    <w:p w14:paraId="1D7937A5">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第四条  违约责任</w:t>
      </w:r>
    </w:p>
    <w:p w14:paraId="7D00E4DA">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（一）</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及其工作人员违反本合同第一，二条，按管理权限，依据有关规定给予党纪、政纪或组织处理；涉嫌犯罪的，移交司法机关追究刑事责任；给</w:t>
      </w:r>
      <w:r>
        <w:rPr>
          <w:rFonts w:hint="eastAsia" w:ascii="宋体" w:hAnsi="宋体" w:eastAsia="宋体" w:cs="宋体"/>
          <w:bCs/>
          <w:snapToGrid/>
          <w:color w:val="auto"/>
          <w:kern w:val="2"/>
          <w:sz w:val="21"/>
          <w:szCs w:val="21"/>
          <w:highlight w:val="none"/>
          <w:lang w:eastAsia="zh-CN"/>
        </w:rPr>
        <w:t>卖方</w:t>
      </w:r>
      <w:r>
        <w:rPr>
          <w:rFonts w:hint="eastAsia" w:ascii="宋体" w:hAnsi="宋体" w:eastAsia="宋体" w:cs="宋体"/>
          <w:bCs/>
          <w:snapToGrid/>
          <w:color w:val="auto"/>
          <w:kern w:val="2"/>
          <w:sz w:val="21"/>
          <w:szCs w:val="21"/>
          <w:highlight w:val="none"/>
        </w:rPr>
        <w:t>单位造成经济损失的，应予以赔偿。</w:t>
      </w:r>
    </w:p>
    <w:p w14:paraId="74D2C062">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（二）</w:t>
      </w:r>
      <w:r>
        <w:rPr>
          <w:rFonts w:hint="eastAsia" w:ascii="宋体" w:hAnsi="宋体" w:eastAsia="宋体" w:cs="宋体"/>
          <w:bCs/>
          <w:snapToGrid/>
          <w:color w:val="auto"/>
          <w:kern w:val="2"/>
          <w:sz w:val="21"/>
          <w:szCs w:val="21"/>
          <w:highlight w:val="none"/>
          <w:lang w:eastAsia="zh-CN"/>
        </w:rPr>
        <w:t>卖方</w:t>
      </w:r>
      <w:r>
        <w:rPr>
          <w:rFonts w:hint="eastAsia" w:ascii="宋体" w:hAnsi="宋体" w:eastAsia="宋体" w:cs="宋体"/>
          <w:bCs/>
          <w:snapToGrid/>
          <w:color w:val="auto"/>
          <w:kern w:val="2"/>
          <w:sz w:val="21"/>
          <w:szCs w:val="21"/>
          <w:highlight w:val="none"/>
        </w:rPr>
        <w:t>及其工作人员违反本合同第一，三条，按管理权限，依据有关规定、给予党纪、政纪或组织处理；给</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造成经济损失的，应予以赔偿；情节严重的，</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建议招投标主管部门给予</w:t>
      </w:r>
      <w:r>
        <w:rPr>
          <w:rFonts w:hint="eastAsia" w:ascii="宋体" w:hAnsi="宋体" w:eastAsia="宋体" w:cs="宋体"/>
          <w:bCs/>
          <w:snapToGrid/>
          <w:color w:val="auto"/>
          <w:kern w:val="2"/>
          <w:sz w:val="21"/>
          <w:szCs w:val="21"/>
          <w:highlight w:val="none"/>
          <w:lang w:eastAsia="zh-CN"/>
        </w:rPr>
        <w:t>卖方</w:t>
      </w:r>
      <w:r>
        <w:rPr>
          <w:rFonts w:hint="eastAsia" w:ascii="宋体" w:hAnsi="宋体" w:eastAsia="宋体" w:cs="宋体"/>
          <w:bCs/>
          <w:snapToGrid/>
          <w:color w:val="auto"/>
          <w:kern w:val="2"/>
          <w:sz w:val="21"/>
          <w:szCs w:val="21"/>
          <w:highlight w:val="none"/>
        </w:rPr>
        <w:t>一至三年内不得进入其主管的交易市场的处罚。</w:t>
      </w:r>
    </w:p>
    <w:p w14:paraId="0494B60E">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第五条  本合同有效期为</w:t>
      </w:r>
      <w:r>
        <w:rPr>
          <w:rFonts w:hint="eastAsia" w:ascii="宋体" w:hAnsi="宋体" w:eastAsia="宋体" w:cs="宋体"/>
          <w:bCs/>
          <w:snapToGrid/>
          <w:color w:val="auto"/>
          <w:kern w:val="2"/>
          <w:sz w:val="21"/>
          <w:szCs w:val="21"/>
          <w:highlight w:val="none"/>
          <w:lang w:eastAsia="zh-CN"/>
        </w:rPr>
        <w:t>买卖</w:t>
      </w:r>
      <w:r>
        <w:rPr>
          <w:rFonts w:hint="eastAsia" w:ascii="宋体" w:hAnsi="宋体" w:eastAsia="宋体" w:cs="宋体"/>
          <w:bCs/>
          <w:snapToGrid/>
          <w:color w:val="auto"/>
          <w:kern w:val="2"/>
          <w:sz w:val="21"/>
          <w:szCs w:val="21"/>
          <w:highlight w:val="none"/>
        </w:rPr>
        <w:t>双方签署之日起至该项目服务完成并经</w:t>
      </w: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认可后止。</w:t>
      </w:r>
    </w:p>
    <w:p w14:paraId="106A3AEB">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本合同作为越城区流量仪表更新改造工程项目项目合同的附件，与项目合同具有同等的法律效力，经合同双方签署立即生效。</w:t>
      </w:r>
    </w:p>
    <w:p w14:paraId="373B57DF">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trike/>
          <w:snapToGrid/>
          <w:color w:val="auto"/>
          <w:kern w:val="2"/>
          <w:sz w:val="21"/>
          <w:szCs w:val="21"/>
          <w:highlight w:val="none"/>
        </w:rPr>
      </w:pPr>
    </w:p>
    <w:p w14:paraId="3F258EEB">
      <w:pPr>
        <w:widowControl w:val="0"/>
        <w:shd w:val="clear"/>
        <w:spacing w:after="120"/>
        <w:ind w:firstLine="210" w:firstLineChars="100"/>
        <w:jc w:val="both"/>
        <w:rPr>
          <w:rFonts w:ascii="Calibri" w:hAnsi="Calibri" w:eastAsia="宋体" w:cs="Times New Roman"/>
          <w:color w:val="auto"/>
          <w:kern w:val="2"/>
          <w:sz w:val="21"/>
          <w:szCs w:val="21"/>
          <w:highlight w:val="none"/>
        </w:rPr>
      </w:pPr>
    </w:p>
    <w:p w14:paraId="0975F2A1">
      <w:pPr>
        <w:widowControl w:val="0"/>
        <w:shd w:val="clear"/>
        <w:kinsoku/>
        <w:autoSpaceDE/>
        <w:autoSpaceDN/>
        <w:adjustRightInd/>
        <w:snapToGrid/>
        <w:spacing w:line="360" w:lineRule="auto"/>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lang w:eastAsia="zh-CN"/>
        </w:rPr>
        <w:t>买方</w:t>
      </w:r>
      <w:r>
        <w:rPr>
          <w:rFonts w:hint="eastAsia" w:ascii="宋体" w:hAnsi="宋体" w:eastAsia="宋体" w:cs="宋体"/>
          <w:bCs/>
          <w:snapToGrid/>
          <w:color w:val="auto"/>
          <w:kern w:val="2"/>
          <w:sz w:val="21"/>
          <w:szCs w:val="21"/>
          <w:highlight w:val="none"/>
        </w:rPr>
        <w:t xml:space="preserve">：（盖章）                             </w:t>
      </w:r>
      <w:r>
        <w:rPr>
          <w:rFonts w:hint="eastAsia" w:ascii="宋体" w:hAnsi="宋体" w:eastAsia="宋体" w:cs="宋体"/>
          <w:bCs/>
          <w:snapToGrid/>
          <w:color w:val="auto"/>
          <w:kern w:val="2"/>
          <w:sz w:val="21"/>
          <w:szCs w:val="21"/>
          <w:highlight w:val="none"/>
          <w:lang w:eastAsia="zh-CN"/>
        </w:rPr>
        <w:t>卖方</w:t>
      </w:r>
      <w:r>
        <w:rPr>
          <w:rFonts w:hint="eastAsia" w:ascii="宋体" w:hAnsi="宋体" w:eastAsia="宋体" w:cs="宋体"/>
          <w:bCs/>
          <w:snapToGrid/>
          <w:color w:val="auto"/>
          <w:kern w:val="2"/>
          <w:sz w:val="21"/>
          <w:szCs w:val="21"/>
          <w:highlight w:val="none"/>
        </w:rPr>
        <w:t>：（盖章）</w:t>
      </w:r>
    </w:p>
    <w:p w14:paraId="1BB9433A">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p>
    <w:p w14:paraId="2E404F91">
      <w:pPr>
        <w:widowControl w:val="0"/>
        <w:shd w:val="clear"/>
        <w:kinsoku/>
        <w:autoSpaceDE/>
        <w:autoSpaceDN/>
        <w:adjustRightInd/>
        <w:snapToGrid/>
        <w:spacing w:line="360" w:lineRule="auto"/>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法定代表人或其授权代表（签字或盖章）：       法定代表人或其授权代表（签字或盖章）：</w:t>
      </w:r>
    </w:p>
    <w:p w14:paraId="40C42E35">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p>
    <w:p w14:paraId="37916DAD">
      <w:pPr>
        <w:widowControl w:val="0"/>
        <w:shd w:val="clear"/>
        <w:kinsoku/>
        <w:autoSpaceDE/>
        <w:autoSpaceDN/>
        <w:adjustRightInd/>
        <w:snapToGrid/>
        <w:spacing w:line="360" w:lineRule="auto"/>
        <w:ind w:firstLine="420" w:firstLineChars="200"/>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Cs/>
          <w:snapToGrid/>
          <w:color w:val="auto"/>
          <w:kern w:val="2"/>
          <w:sz w:val="21"/>
          <w:szCs w:val="21"/>
          <w:highlight w:val="none"/>
        </w:rPr>
        <w:t xml:space="preserve"> 年    月    日                                 年    月    日</w:t>
      </w:r>
    </w:p>
    <w:p w14:paraId="26CC7490">
      <w:pPr>
        <w:shd w:val="clear"/>
        <w:kinsoku/>
        <w:autoSpaceDE/>
        <w:autoSpaceDN/>
        <w:adjustRightInd/>
        <w:snapToGrid/>
        <w:spacing w:line="480" w:lineRule="exact"/>
        <w:jc w:val="both"/>
        <w:textAlignment w:val="auto"/>
        <w:rPr>
          <w:rFonts w:ascii="宋体" w:hAnsi="宋体" w:eastAsia="宋体" w:cs="宋体"/>
          <w:bCs/>
          <w:snapToGrid/>
          <w:color w:val="auto"/>
          <w:kern w:val="2"/>
          <w:sz w:val="21"/>
          <w:szCs w:val="21"/>
          <w:highlight w:val="none"/>
        </w:rPr>
      </w:pPr>
      <w:r>
        <w:rPr>
          <w:rFonts w:hint="eastAsia" w:ascii="宋体" w:hAnsi="宋体" w:eastAsia="宋体" w:cs="宋体"/>
          <w:b/>
          <w:snapToGrid/>
          <w:color w:val="auto"/>
          <w:kern w:val="2"/>
          <w:sz w:val="21"/>
          <w:szCs w:val="21"/>
          <w:highlight w:val="none"/>
        </w:rPr>
        <w:br w:type="page"/>
      </w:r>
      <w:r>
        <w:rPr>
          <w:rFonts w:hint="eastAsia" w:ascii="宋体" w:hAnsi="宋体" w:eastAsia="宋体" w:cs="宋体"/>
          <w:bCs/>
          <w:snapToGrid/>
          <w:color w:val="auto"/>
          <w:kern w:val="2"/>
          <w:sz w:val="21"/>
          <w:szCs w:val="21"/>
          <w:highlight w:val="none"/>
        </w:rPr>
        <w:t xml:space="preserve">合同附件2 </w:t>
      </w:r>
    </w:p>
    <w:p w14:paraId="555CB967">
      <w:pPr>
        <w:shd w:val="clear"/>
        <w:kinsoku/>
        <w:autoSpaceDE/>
        <w:autoSpaceDN/>
        <w:adjustRightInd/>
        <w:snapToGrid/>
        <w:spacing w:line="480" w:lineRule="exact"/>
        <w:jc w:val="center"/>
        <w:textAlignment w:val="auto"/>
        <w:rPr>
          <w:rFonts w:ascii="宋体" w:hAnsi="宋体" w:eastAsia="宋体" w:cs="宋体"/>
          <w:b/>
          <w:snapToGrid/>
          <w:color w:val="auto"/>
          <w:sz w:val="21"/>
          <w:szCs w:val="21"/>
          <w:highlight w:val="none"/>
        </w:rPr>
      </w:pPr>
      <w:r>
        <w:rPr>
          <w:rFonts w:hint="eastAsia" w:ascii="宋体" w:hAnsi="宋体" w:eastAsia="宋体" w:cs="宋体"/>
          <w:b/>
          <w:snapToGrid/>
          <w:color w:val="auto"/>
          <w:kern w:val="2"/>
          <w:sz w:val="21"/>
          <w:szCs w:val="21"/>
          <w:highlight w:val="none"/>
        </w:rPr>
        <w:t>安全协议书</w:t>
      </w:r>
    </w:p>
    <w:p w14:paraId="09470807">
      <w:pPr>
        <w:shd w:val="clear"/>
        <w:kinsoku/>
        <w:autoSpaceDE/>
        <w:autoSpaceDN/>
        <w:adjustRightInd/>
        <w:snapToGrid/>
        <w:spacing w:line="360" w:lineRule="auto"/>
        <w:jc w:val="both"/>
        <w:textAlignment w:val="auto"/>
        <w:rPr>
          <w:rFonts w:hint="eastAsia" w:ascii="宋体" w:hAnsi="宋体" w:eastAsia="宋体" w:cs="宋体"/>
          <w:snapToGrid/>
          <w:color w:val="auto"/>
          <w:sz w:val="21"/>
          <w:szCs w:val="21"/>
          <w:highlight w:val="none"/>
          <w:u w:val="single"/>
          <w:lang w:eastAsia="zh-CN"/>
        </w:rPr>
      </w:pPr>
      <w:r>
        <w:rPr>
          <w:rFonts w:hint="eastAsia" w:ascii="宋体" w:hAnsi="宋体" w:eastAsia="宋体" w:cs="宋体"/>
          <w:snapToGrid/>
          <w:color w:val="auto"/>
          <w:sz w:val="21"/>
          <w:szCs w:val="21"/>
          <w:highlight w:val="none"/>
        </w:rPr>
        <w:t>甲方（以下简称</w:t>
      </w:r>
      <w:r>
        <w:rPr>
          <w:rFonts w:hint="eastAsia" w:ascii="宋体" w:hAnsi="宋体" w:eastAsia="宋体" w:cs="宋体"/>
          <w:snapToGrid/>
          <w:color w:val="auto"/>
          <w:kern w:val="1"/>
          <w:sz w:val="21"/>
          <w:szCs w:val="21"/>
          <w:highlight w:val="none"/>
        </w:rPr>
        <w:t>买方</w:t>
      </w:r>
      <w:r>
        <w:rPr>
          <w:rFonts w:hint="eastAsia" w:ascii="宋体" w:hAnsi="宋体" w:eastAsia="宋体" w:cs="宋体"/>
          <w:snapToGrid/>
          <w:color w:val="auto"/>
          <w:sz w:val="21"/>
          <w:szCs w:val="21"/>
          <w:highlight w:val="none"/>
        </w:rPr>
        <w:t>）：</w:t>
      </w:r>
      <w:r>
        <w:rPr>
          <w:rFonts w:hint="eastAsia" w:eastAsia="宋体"/>
          <w:color w:val="auto"/>
          <w:highlight w:val="none"/>
          <w:lang w:eastAsia="zh-CN"/>
        </w:rPr>
        <w:t>绍兴市水务产业有限公司</w:t>
      </w:r>
    </w:p>
    <w:p w14:paraId="1FE3436E">
      <w:pPr>
        <w:shd w:val="clear"/>
        <w:kinsoku/>
        <w:autoSpaceDE/>
        <w:autoSpaceDN/>
        <w:adjustRightInd/>
        <w:snapToGrid/>
        <w:spacing w:line="360" w:lineRule="auto"/>
        <w:jc w:val="both"/>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乙方（以下简称</w:t>
      </w:r>
      <w:r>
        <w:rPr>
          <w:rFonts w:hint="eastAsia" w:ascii="宋体" w:hAnsi="宋体" w:eastAsia="宋体" w:cs="宋体"/>
          <w:snapToGrid/>
          <w:color w:val="auto"/>
          <w:kern w:val="2"/>
          <w:sz w:val="21"/>
          <w:szCs w:val="21"/>
          <w:highlight w:val="none"/>
        </w:rPr>
        <w:t>卖方</w:t>
      </w:r>
      <w:r>
        <w:rPr>
          <w:rFonts w:hint="eastAsia" w:ascii="宋体" w:hAnsi="宋体" w:eastAsia="宋体" w:cs="宋体"/>
          <w:snapToGrid/>
          <w:color w:val="auto"/>
          <w:sz w:val="21"/>
          <w:szCs w:val="21"/>
          <w:highlight w:val="none"/>
        </w:rPr>
        <w:t>）：</w:t>
      </w:r>
    </w:p>
    <w:p w14:paraId="632EE1B9">
      <w:pPr>
        <w:shd w:val="clear"/>
        <w:kinsoku/>
        <w:autoSpaceDE/>
        <w:autoSpaceDN/>
        <w:adjustRightInd/>
        <w:snapToGrid/>
        <w:spacing w:line="360" w:lineRule="auto"/>
        <w:ind w:firstLine="420" w:firstLineChars="200"/>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为了切实加强本项目的安全管理，双方本着平等、自愿的原则，签订本协议书。</w:t>
      </w:r>
      <w:r>
        <w:rPr>
          <w:rFonts w:hint="eastAsia" w:ascii="宋体" w:hAnsi="宋体" w:eastAsia="宋体" w:cs="宋体"/>
          <w:snapToGrid/>
          <w:color w:val="auto"/>
          <w:sz w:val="21"/>
          <w:szCs w:val="21"/>
          <w:highlight w:val="none"/>
          <w:lang w:eastAsia="zh-CN"/>
        </w:rPr>
        <w:t>买方</w:t>
      </w:r>
      <w:r>
        <w:rPr>
          <w:rFonts w:hint="eastAsia" w:ascii="宋体" w:hAnsi="宋体" w:eastAsia="宋体" w:cs="宋体"/>
          <w:snapToGrid/>
          <w:color w:val="auto"/>
          <w:sz w:val="21"/>
          <w:szCs w:val="21"/>
          <w:highlight w:val="none"/>
        </w:rPr>
        <w:t>和</w:t>
      </w:r>
      <w:r>
        <w:rPr>
          <w:rFonts w:hint="eastAsia" w:ascii="宋体" w:hAnsi="宋体" w:eastAsia="宋体" w:cs="宋体"/>
          <w:snapToGrid/>
          <w:color w:val="auto"/>
          <w:sz w:val="21"/>
          <w:szCs w:val="21"/>
          <w:highlight w:val="none"/>
          <w:lang w:eastAsia="zh-CN"/>
        </w:rPr>
        <w:t>卖方</w:t>
      </w:r>
      <w:r>
        <w:rPr>
          <w:rFonts w:hint="eastAsia" w:ascii="宋体" w:hAnsi="宋体" w:eastAsia="宋体" w:cs="宋体"/>
          <w:snapToGrid/>
          <w:color w:val="auto"/>
          <w:sz w:val="21"/>
          <w:szCs w:val="21"/>
          <w:highlight w:val="none"/>
        </w:rPr>
        <w:t>均严格遵守本协议书规定的权</w:t>
      </w:r>
      <w:r>
        <w:rPr>
          <w:rFonts w:hint="eastAsia" w:ascii="宋体" w:hAnsi="宋体" w:eastAsia="宋体" w:cs="宋体"/>
          <w:snapToGrid/>
          <w:color w:val="auto"/>
          <w:sz w:val="21"/>
          <w:szCs w:val="21"/>
          <w:highlight w:val="none"/>
          <w:lang w:eastAsia="zh-CN"/>
        </w:rPr>
        <w:t>利</w:t>
      </w:r>
      <w:r>
        <w:rPr>
          <w:rFonts w:hint="eastAsia" w:ascii="宋体" w:hAnsi="宋体" w:eastAsia="宋体" w:cs="宋体"/>
          <w:snapToGrid/>
          <w:color w:val="auto"/>
          <w:sz w:val="21"/>
          <w:szCs w:val="21"/>
          <w:highlight w:val="none"/>
        </w:rPr>
        <w:t>、责任和义务，确保实施人员作业的安全。</w:t>
      </w:r>
    </w:p>
    <w:p w14:paraId="6B21C979">
      <w:pPr>
        <w:shd w:val="clear"/>
        <w:kinsoku/>
        <w:autoSpaceDE/>
        <w:autoSpaceDN/>
        <w:adjustRightInd/>
        <w:snapToGrid/>
        <w:spacing w:line="360" w:lineRule="auto"/>
        <w:textAlignment w:val="auto"/>
        <w:rPr>
          <w:rFonts w:ascii="宋体" w:hAnsi="宋体" w:eastAsia="宋体" w:cs="宋体"/>
          <w:b w:val="0"/>
          <w:bCs w:val="0"/>
          <w:snapToGrid/>
          <w:color w:val="auto"/>
          <w:sz w:val="21"/>
          <w:szCs w:val="21"/>
          <w:highlight w:val="none"/>
        </w:rPr>
      </w:pPr>
      <w:r>
        <w:rPr>
          <w:rFonts w:hint="eastAsia" w:ascii="宋体" w:hAnsi="宋体" w:eastAsia="宋体" w:cs="宋体"/>
          <w:b w:val="0"/>
          <w:bCs w:val="0"/>
          <w:snapToGrid/>
          <w:color w:val="auto"/>
          <w:sz w:val="21"/>
          <w:szCs w:val="21"/>
          <w:highlight w:val="none"/>
        </w:rPr>
        <w:t>一、</w:t>
      </w:r>
      <w:r>
        <w:rPr>
          <w:rFonts w:hint="eastAsia" w:ascii="宋体" w:hAnsi="宋体" w:eastAsia="宋体" w:cs="宋体"/>
          <w:b w:val="0"/>
          <w:bCs w:val="0"/>
          <w:snapToGrid/>
          <w:color w:val="auto"/>
          <w:sz w:val="21"/>
          <w:szCs w:val="21"/>
          <w:highlight w:val="none"/>
          <w:lang w:eastAsia="zh-CN"/>
        </w:rPr>
        <w:t>买方</w:t>
      </w:r>
      <w:r>
        <w:rPr>
          <w:rFonts w:hint="eastAsia" w:ascii="宋体" w:hAnsi="宋体" w:eastAsia="宋体" w:cs="宋体"/>
          <w:b w:val="0"/>
          <w:bCs w:val="0"/>
          <w:snapToGrid/>
          <w:color w:val="auto"/>
          <w:sz w:val="21"/>
          <w:szCs w:val="21"/>
          <w:highlight w:val="none"/>
        </w:rPr>
        <w:t>的权利、责任和义务：</w:t>
      </w:r>
    </w:p>
    <w:p w14:paraId="09B4345F">
      <w:pPr>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1.</w:t>
      </w:r>
      <w:r>
        <w:rPr>
          <w:rFonts w:hint="eastAsia" w:ascii="宋体" w:hAnsi="宋体" w:eastAsia="宋体" w:cs="宋体"/>
          <w:snapToGrid/>
          <w:color w:val="auto"/>
          <w:sz w:val="21"/>
          <w:szCs w:val="21"/>
          <w:highlight w:val="none"/>
        </w:rPr>
        <w:t>贯彻落实国家有关生产现场安全作业的法规和管理规定。</w:t>
      </w:r>
    </w:p>
    <w:p w14:paraId="1F4F0269">
      <w:pPr>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2.</w:t>
      </w:r>
      <w:r>
        <w:rPr>
          <w:rFonts w:hint="eastAsia" w:ascii="宋体" w:hAnsi="宋体" w:eastAsia="宋体" w:cs="宋体"/>
          <w:snapToGrid/>
          <w:color w:val="auto"/>
          <w:sz w:val="21"/>
          <w:szCs w:val="21"/>
          <w:highlight w:val="none"/>
        </w:rPr>
        <w:t>及时纠正</w:t>
      </w:r>
      <w:r>
        <w:rPr>
          <w:rFonts w:hint="eastAsia" w:ascii="宋体" w:hAnsi="宋体" w:eastAsia="宋体" w:cs="宋体"/>
          <w:snapToGrid/>
          <w:color w:val="auto"/>
          <w:sz w:val="21"/>
          <w:szCs w:val="21"/>
          <w:highlight w:val="none"/>
          <w:lang w:eastAsia="zh-CN"/>
        </w:rPr>
        <w:t>卖方</w:t>
      </w:r>
      <w:r>
        <w:rPr>
          <w:rFonts w:hint="eastAsia" w:ascii="宋体" w:hAnsi="宋体" w:eastAsia="宋体" w:cs="宋体"/>
          <w:snapToGrid/>
          <w:color w:val="auto"/>
          <w:sz w:val="21"/>
          <w:szCs w:val="21"/>
          <w:highlight w:val="none"/>
        </w:rPr>
        <w:t>的危险行为，并按照有关规定予以查处。</w:t>
      </w:r>
    </w:p>
    <w:p w14:paraId="551760A6">
      <w:pPr>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3.</w:t>
      </w:r>
      <w:r>
        <w:rPr>
          <w:rFonts w:hint="eastAsia" w:ascii="宋体" w:hAnsi="宋体" w:eastAsia="宋体" w:cs="宋体"/>
          <w:snapToGrid/>
          <w:color w:val="auto"/>
          <w:sz w:val="21"/>
          <w:szCs w:val="21"/>
          <w:highlight w:val="none"/>
        </w:rPr>
        <w:t>对</w:t>
      </w:r>
      <w:r>
        <w:rPr>
          <w:rFonts w:hint="eastAsia" w:ascii="宋体" w:hAnsi="宋体" w:eastAsia="宋体" w:cs="宋体"/>
          <w:snapToGrid/>
          <w:color w:val="auto"/>
          <w:sz w:val="21"/>
          <w:szCs w:val="21"/>
          <w:highlight w:val="none"/>
          <w:lang w:eastAsia="zh-CN"/>
        </w:rPr>
        <w:t>卖方</w:t>
      </w:r>
      <w:r>
        <w:rPr>
          <w:rFonts w:hint="eastAsia" w:ascii="宋体" w:hAnsi="宋体" w:eastAsia="宋体" w:cs="宋体"/>
          <w:snapToGrid/>
          <w:color w:val="auto"/>
          <w:sz w:val="21"/>
          <w:szCs w:val="21"/>
          <w:highlight w:val="none"/>
        </w:rPr>
        <w:t>的安全作业培训和危险预知工作提出指导意见，并监督落实情况。</w:t>
      </w:r>
    </w:p>
    <w:p w14:paraId="4F355821">
      <w:pPr>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4.</w:t>
      </w:r>
      <w:r>
        <w:rPr>
          <w:rFonts w:hint="eastAsia" w:ascii="宋体" w:hAnsi="宋体" w:eastAsia="宋体" w:cs="宋体"/>
          <w:snapToGrid/>
          <w:color w:val="auto"/>
          <w:sz w:val="21"/>
          <w:szCs w:val="21"/>
          <w:highlight w:val="none"/>
        </w:rPr>
        <w:t>对</w:t>
      </w:r>
      <w:r>
        <w:rPr>
          <w:rFonts w:hint="eastAsia" w:ascii="宋体" w:hAnsi="宋体" w:eastAsia="宋体" w:cs="宋体"/>
          <w:snapToGrid/>
          <w:color w:val="auto"/>
          <w:sz w:val="21"/>
          <w:szCs w:val="21"/>
          <w:highlight w:val="none"/>
          <w:lang w:eastAsia="zh-CN"/>
        </w:rPr>
        <w:t>卖方</w:t>
      </w:r>
      <w:r>
        <w:rPr>
          <w:rFonts w:hint="eastAsia" w:ascii="宋体" w:hAnsi="宋体" w:eastAsia="宋体" w:cs="宋体"/>
          <w:snapToGrid/>
          <w:color w:val="auto"/>
          <w:sz w:val="21"/>
          <w:szCs w:val="21"/>
          <w:highlight w:val="none"/>
        </w:rPr>
        <w:t>提出的安全作业要求积极提供帮助。</w:t>
      </w:r>
    </w:p>
    <w:p w14:paraId="3F7DB36F">
      <w:pPr>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r>
        <w:rPr>
          <w:rFonts w:hint="eastAsia" w:ascii="Calibri" w:hAnsi="Calibri" w:eastAsia="宋体" w:cs="Times New Roman"/>
          <w:snapToGrid/>
          <w:color w:val="auto"/>
          <w:kern w:val="2"/>
          <w:sz w:val="21"/>
          <w:szCs w:val="21"/>
          <w:highlight w:val="none"/>
          <w:lang w:eastAsia="zh-CN"/>
        </w:rPr>
        <w:t>5.</w:t>
      </w:r>
      <w:r>
        <w:rPr>
          <w:rFonts w:hint="eastAsia" w:ascii="Calibri" w:hAnsi="Calibri" w:eastAsia="宋体" w:cs="Times New Roman"/>
          <w:snapToGrid/>
          <w:color w:val="auto"/>
          <w:kern w:val="2"/>
          <w:sz w:val="21"/>
          <w:szCs w:val="21"/>
          <w:highlight w:val="none"/>
        </w:rPr>
        <w:t>施工前需与</w:t>
      </w:r>
      <w:r>
        <w:rPr>
          <w:rFonts w:hint="eastAsia" w:ascii="Calibri" w:hAnsi="Calibri" w:eastAsia="宋体" w:cs="Times New Roman"/>
          <w:snapToGrid/>
          <w:color w:val="auto"/>
          <w:kern w:val="2"/>
          <w:sz w:val="21"/>
          <w:szCs w:val="21"/>
          <w:highlight w:val="none"/>
          <w:lang w:eastAsia="zh-CN"/>
        </w:rPr>
        <w:t>卖方</w:t>
      </w:r>
      <w:r>
        <w:rPr>
          <w:rFonts w:hint="eastAsia" w:ascii="Calibri" w:hAnsi="Calibri" w:eastAsia="宋体" w:cs="Times New Roman"/>
          <w:snapToGrid/>
          <w:color w:val="auto"/>
          <w:kern w:val="2"/>
          <w:sz w:val="21"/>
          <w:szCs w:val="21"/>
          <w:highlight w:val="none"/>
        </w:rPr>
        <w:t>签订协议包括且不仅包括以下内容：</w:t>
      </w:r>
      <w:r>
        <w:rPr>
          <w:rFonts w:hint="eastAsia" w:ascii="宋体" w:hAnsi="宋体" w:eastAsia="宋体" w:cs="Times New Roman"/>
          <w:snapToGrid/>
          <w:color w:val="auto"/>
          <w:kern w:val="2"/>
          <w:sz w:val="21"/>
          <w:szCs w:val="21"/>
          <w:highlight w:val="none"/>
        </w:rPr>
        <w:t>安全协议、实施方案的技术交底、现场安全交底、</w:t>
      </w:r>
      <w:r>
        <w:rPr>
          <w:rFonts w:hint="eastAsia" w:ascii="宋体" w:hAnsi="宋体" w:eastAsia="宋体" w:cs="Times New Roman"/>
          <w:bCs/>
          <w:snapToGrid/>
          <w:color w:val="auto"/>
          <w:kern w:val="2"/>
          <w:sz w:val="21"/>
          <w:szCs w:val="21"/>
          <w:highlight w:val="none"/>
        </w:rPr>
        <w:t>重要相关方记录</w:t>
      </w:r>
      <w:r>
        <w:rPr>
          <w:rFonts w:hint="eastAsia" w:ascii="宋体" w:hAnsi="宋体" w:eastAsia="宋体" w:cs="Times New Roman"/>
          <w:snapToGrid/>
          <w:color w:val="auto"/>
          <w:kern w:val="2"/>
          <w:sz w:val="21"/>
          <w:szCs w:val="21"/>
          <w:highlight w:val="none"/>
        </w:rPr>
        <w:t>等。施工期间将监管</w:t>
      </w:r>
      <w:r>
        <w:rPr>
          <w:rFonts w:hint="eastAsia" w:ascii="宋体" w:hAnsi="宋体" w:eastAsia="宋体" w:cs="Times New Roman"/>
          <w:snapToGrid/>
          <w:color w:val="auto"/>
          <w:kern w:val="2"/>
          <w:sz w:val="21"/>
          <w:szCs w:val="21"/>
          <w:highlight w:val="none"/>
          <w:lang w:eastAsia="zh-CN"/>
        </w:rPr>
        <w:t>卖方</w:t>
      </w:r>
      <w:r>
        <w:rPr>
          <w:rFonts w:hint="eastAsia" w:ascii="宋体" w:hAnsi="宋体" w:eastAsia="宋体" w:cs="Times New Roman"/>
          <w:snapToGrid/>
          <w:color w:val="auto"/>
          <w:kern w:val="2"/>
          <w:sz w:val="21"/>
          <w:szCs w:val="21"/>
          <w:highlight w:val="none"/>
        </w:rPr>
        <w:t>临时接电（水）、有限空间等危险作业等内容按制度审批工作，并对其进行相应告知监督义务。</w:t>
      </w:r>
    </w:p>
    <w:p w14:paraId="6A4A6058">
      <w:pPr>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r>
        <w:rPr>
          <w:rFonts w:hint="eastAsia" w:ascii="Calibri" w:hAnsi="Calibri" w:eastAsia="宋体" w:cs="Times New Roman"/>
          <w:snapToGrid/>
          <w:color w:val="auto"/>
          <w:kern w:val="2"/>
          <w:sz w:val="21"/>
          <w:szCs w:val="21"/>
          <w:highlight w:val="none"/>
          <w:lang w:eastAsia="zh-CN"/>
        </w:rPr>
        <w:t>6.</w:t>
      </w:r>
      <w:r>
        <w:rPr>
          <w:rFonts w:hint="eastAsia" w:ascii="宋体" w:hAnsi="宋体" w:eastAsia="宋体" w:cs="Times New Roman"/>
          <w:snapToGrid/>
          <w:color w:val="auto"/>
          <w:kern w:val="2"/>
          <w:sz w:val="21"/>
          <w:szCs w:val="21"/>
          <w:highlight w:val="none"/>
        </w:rPr>
        <w:t>施工期间，</w:t>
      </w:r>
      <w:r>
        <w:rPr>
          <w:rFonts w:hint="eastAsia" w:ascii="宋体" w:hAnsi="宋体" w:eastAsia="宋体" w:cs="Times New Roman"/>
          <w:snapToGrid/>
          <w:color w:val="auto"/>
          <w:kern w:val="2"/>
          <w:sz w:val="21"/>
          <w:szCs w:val="21"/>
          <w:highlight w:val="none"/>
          <w:lang w:eastAsia="zh-CN"/>
        </w:rPr>
        <w:t>买方</w:t>
      </w:r>
      <w:r>
        <w:rPr>
          <w:rFonts w:hint="eastAsia" w:ascii="宋体" w:hAnsi="宋体" w:eastAsia="宋体" w:cs="Times New Roman"/>
          <w:snapToGrid/>
          <w:color w:val="auto"/>
          <w:kern w:val="2"/>
          <w:sz w:val="21"/>
          <w:szCs w:val="21"/>
          <w:highlight w:val="none"/>
        </w:rPr>
        <w:t>将自行或委派监理公司，根据安全协议、方案等规定，检查</w:t>
      </w:r>
      <w:r>
        <w:rPr>
          <w:rFonts w:hint="eastAsia" w:ascii="宋体" w:hAnsi="宋体" w:eastAsia="宋体" w:cs="Times New Roman"/>
          <w:snapToGrid/>
          <w:color w:val="auto"/>
          <w:kern w:val="2"/>
          <w:sz w:val="21"/>
          <w:szCs w:val="21"/>
          <w:highlight w:val="none"/>
          <w:lang w:eastAsia="zh-CN"/>
        </w:rPr>
        <w:t>卖方</w:t>
      </w:r>
      <w:r>
        <w:rPr>
          <w:rFonts w:hint="eastAsia" w:ascii="宋体" w:hAnsi="宋体" w:eastAsia="宋体" w:cs="Times New Roman"/>
          <w:snapToGrid/>
          <w:color w:val="auto"/>
          <w:kern w:val="2"/>
          <w:sz w:val="21"/>
          <w:szCs w:val="21"/>
          <w:highlight w:val="none"/>
        </w:rPr>
        <w:t>是否违规、冒险作业。若存在违反者，将立即停工整改，且整改时间计入工期。</w:t>
      </w:r>
    </w:p>
    <w:p w14:paraId="0F81CE4B">
      <w:pPr>
        <w:shd w:val="clear"/>
        <w:kinsoku/>
        <w:autoSpaceDE/>
        <w:autoSpaceDN/>
        <w:adjustRightInd/>
        <w:snapToGrid/>
        <w:spacing w:line="360" w:lineRule="auto"/>
        <w:textAlignment w:val="auto"/>
        <w:rPr>
          <w:rFonts w:ascii="宋体" w:hAnsi="宋体" w:eastAsia="宋体" w:cs="宋体"/>
          <w:b w:val="0"/>
          <w:bCs w:val="0"/>
          <w:snapToGrid/>
          <w:color w:val="auto"/>
          <w:sz w:val="21"/>
          <w:szCs w:val="21"/>
          <w:highlight w:val="none"/>
        </w:rPr>
      </w:pPr>
      <w:r>
        <w:rPr>
          <w:rFonts w:hint="eastAsia" w:ascii="宋体" w:hAnsi="宋体" w:eastAsia="宋体" w:cs="宋体"/>
          <w:b w:val="0"/>
          <w:bCs w:val="0"/>
          <w:snapToGrid/>
          <w:color w:val="auto"/>
          <w:sz w:val="21"/>
          <w:szCs w:val="21"/>
          <w:highlight w:val="none"/>
        </w:rPr>
        <w:t>二、</w:t>
      </w:r>
      <w:r>
        <w:rPr>
          <w:rFonts w:hint="eastAsia" w:ascii="宋体" w:hAnsi="宋体" w:eastAsia="宋体" w:cs="宋体"/>
          <w:b w:val="0"/>
          <w:bCs w:val="0"/>
          <w:snapToGrid/>
          <w:color w:val="auto"/>
          <w:sz w:val="21"/>
          <w:szCs w:val="21"/>
          <w:highlight w:val="none"/>
          <w:lang w:eastAsia="zh-CN"/>
        </w:rPr>
        <w:t>卖方</w:t>
      </w:r>
      <w:r>
        <w:rPr>
          <w:rFonts w:hint="eastAsia" w:ascii="宋体" w:hAnsi="宋体" w:eastAsia="宋体" w:cs="宋体"/>
          <w:b w:val="0"/>
          <w:bCs w:val="0"/>
          <w:snapToGrid/>
          <w:color w:val="auto"/>
          <w:sz w:val="21"/>
          <w:szCs w:val="21"/>
          <w:highlight w:val="none"/>
        </w:rPr>
        <w:t>的权利、责任和义务：</w:t>
      </w:r>
    </w:p>
    <w:p w14:paraId="090D9525">
      <w:pPr>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1.</w:t>
      </w:r>
      <w:r>
        <w:rPr>
          <w:rFonts w:hint="eastAsia" w:ascii="宋体" w:hAnsi="宋体" w:eastAsia="宋体" w:cs="宋体"/>
          <w:snapToGrid/>
          <w:color w:val="auto"/>
          <w:sz w:val="21"/>
          <w:szCs w:val="21"/>
          <w:highlight w:val="none"/>
        </w:rPr>
        <w:t>遵守国家相关工作的法规和管理制度，建立健全安全责任制度。</w:t>
      </w:r>
    </w:p>
    <w:p w14:paraId="46FAF4B2">
      <w:pPr>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2.</w:t>
      </w:r>
      <w:r>
        <w:rPr>
          <w:rFonts w:hint="eastAsia" w:ascii="宋体" w:hAnsi="宋体" w:eastAsia="宋体" w:cs="宋体"/>
          <w:snapToGrid/>
          <w:color w:val="auto"/>
          <w:sz w:val="21"/>
          <w:szCs w:val="21"/>
          <w:highlight w:val="none"/>
        </w:rPr>
        <w:t>服从</w:t>
      </w:r>
      <w:r>
        <w:rPr>
          <w:rFonts w:hint="eastAsia" w:ascii="宋体" w:hAnsi="宋体" w:eastAsia="宋体" w:cs="宋体"/>
          <w:snapToGrid/>
          <w:color w:val="auto"/>
          <w:sz w:val="21"/>
          <w:szCs w:val="21"/>
          <w:highlight w:val="none"/>
          <w:lang w:eastAsia="zh-CN"/>
        </w:rPr>
        <w:t>买方</w:t>
      </w:r>
      <w:r>
        <w:rPr>
          <w:rFonts w:hint="eastAsia" w:ascii="宋体" w:hAnsi="宋体" w:eastAsia="宋体" w:cs="宋体"/>
          <w:snapToGrid/>
          <w:color w:val="auto"/>
          <w:sz w:val="21"/>
          <w:szCs w:val="21"/>
          <w:highlight w:val="none"/>
        </w:rPr>
        <w:t>安全管理要求，做好项目工作中所有工作人员的安全教育、安全培训、安全交底工作。</w:t>
      </w:r>
      <w:r>
        <w:rPr>
          <w:rFonts w:hint="eastAsia" w:ascii="宋体" w:hAnsi="宋体" w:eastAsia="宋体" w:cs="Times New Roman"/>
          <w:snapToGrid/>
          <w:color w:val="auto"/>
          <w:kern w:val="2"/>
          <w:sz w:val="21"/>
          <w:szCs w:val="21"/>
          <w:highlight w:val="none"/>
        </w:rPr>
        <w:t>施工前需出具</w:t>
      </w:r>
      <w:r>
        <w:rPr>
          <w:rFonts w:hint="eastAsia" w:ascii="Calibri" w:hAnsi="Calibri" w:eastAsia="宋体" w:cs="Times New Roman"/>
          <w:snapToGrid/>
          <w:color w:val="auto"/>
          <w:kern w:val="2"/>
          <w:sz w:val="21"/>
          <w:szCs w:val="21"/>
          <w:highlight w:val="none"/>
        </w:rPr>
        <w:t>包括且不仅包括</w:t>
      </w:r>
      <w:r>
        <w:rPr>
          <w:rFonts w:hint="eastAsia" w:ascii="宋体" w:hAnsi="宋体" w:eastAsia="宋体" w:cs="Times New Roman"/>
          <w:snapToGrid/>
          <w:color w:val="auto"/>
          <w:kern w:val="2"/>
          <w:sz w:val="21"/>
          <w:szCs w:val="21"/>
          <w:highlight w:val="none"/>
        </w:rPr>
        <w:t>以下证明材料：安全资质证书、工程施工的安全协议、特种作业证等。各类材料须提供原件备查，复印件报备给</w:t>
      </w:r>
      <w:r>
        <w:rPr>
          <w:rFonts w:hint="eastAsia" w:ascii="宋体" w:hAnsi="宋体" w:eastAsia="宋体" w:cs="Times New Roman"/>
          <w:snapToGrid/>
          <w:color w:val="auto"/>
          <w:kern w:val="2"/>
          <w:sz w:val="21"/>
          <w:szCs w:val="21"/>
          <w:highlight w:val="none"/>
          <w:lang w:eastAsia="zh-CN"/>
        </w:rPr>
        <w:t>买方</w:t>
      </w:r>
      <w:r>
        <w:rPr>
          <w:rFonts w:hint="eastAsia" w:ascii="宋体" w:hAnsi="宋体" w:eastAsia="宋体" w:cs="Times New Roman"/>
          <w:snapToGrid/>
          <w:color w:val="auto"/>
          <w:kern w:val="2"/>
          <w:sz w:val="21"/>
          <w:szCs w:val="21"/>
          <w:highlight w:val="none"/>
        </w:rPr>
        <w:t>留档。施工期间需临时接电（水）、有限空间等危险作业，须提前按</w:t>
      </w:r>
      <w:r>
        <w:rPr>
          <w:rFonts w:hint="eastAsia" w:ascii="宋体" w:hAnsi="宋体" w:eastAsia="宋体" w:cs="Times New Roman"/>
          <w:snapToGrid/>
          <w:color w:val="auto"/>
          <w:kern w:val="2"/>
          <w:sz w:val="21"/>
          <w:szCs w:val="21"/>
          <w:highlight w:val="none"/>
          <w:lang w:eastAsia="zh-CN"/>
        </w:rPr>
        <w:t>买方</w:t>
      </w:r>
      <w:r>
        <w:rPr>
          <w:rFonts w:hint="eastAsia" w:ascii="宋体" w:hAnsi="宋体" w:eastAsia="宋体" w:cs="Times New Roman"/>
          <w:snapToGrid/>
          <w:color w:val="auto"/>
          <w:kern w:val="2"/>
          <w:sz w:val="21"/>
          <w:szCs w:val="21"/>
          <w:highlight w:val="none"/>
        </w:rPr>
        <w:t>相应制度进行申请，审批，备案和登记。作业结束后，</w:t>
      </w:r>
      <w:r>
        <w:rPr>
          <w:rFonts w:hint="eastAsia" w:ascii="宋体" w:hAnsi="宋体" w:eastAsia="宋体" w:cs="Times New Roman"/>
          <w:snapToGrid/>
          <w:color w:val="auto"/>
          <w:kern w:val="2"/>
          <w:sz w:val="21"/>
          <w:szCs w:val="21"/>
          <w:highlight w:val="none"/>
          <w:lang w:eastAsia="zh-CN"/>
        </w:rPr>
        <w:t>卖方</w:t>
      </w:r>
      <w:r>
        <w:rPr>
          <w:rFonts w:hint="eastAsia" w:ascii="宋体" w:hAnsi="宋体" w:eastAsia="宋体" w:cs="Times New Roman"/>
          <w:snapToGrid/>
          <w:color w:val="auto"/>
          <w:kern w:val="2"/>
          <w:sz w:val="21"/>
          <w:szCs w:val="21"/>
          <w:highlight w:val="none"/>
        </w:rPr>
        <w:t>须及时清除</w:t>
      </w:r>
      <w:r>
        <w:rPr>
          <w:rFonts w:ascii="宋体" w:hAnsi="宋体" w:eastAsia="宋体" w:cs="Times New Roman"/>
          <w:snapToGrid/>
          <w:color w:val="auto"/>
          <w:kern w:val="2"/>
          <w:sz w:val="21"/>
          <w:szCs w:val="21"/>
          <w:highlight w:val="none"/>
        </w:rPr>
        <w:t>作业</w:t>
      </w:r>
      <w:r>
        <w:rPr>
          <w:rFonts w:hint="eastAsia" w:ascii="宋体" w:hAnsi="宋体" w:eastAsia="宋体" w:cs="Times New Roman"/>
          <w:snapToGrid/>
          <w:color w:val="auto"/>
          <w:kern w:val="2"/>
          <w:sz w:val="21"/>
          <w:szCs w:val="21"/>
          <w:highlight w:val="none"/>
        </w:rPr>
        <w:t>现场的物资和废弃物，做到工完场清</w:t>
      </w:r>
      <w:r>
        <w:rPr>
          <w:rFonts w:hint="eastAsia" w:ascii="宋体" w:hAnsi="Calibri" w:eastAsia="宋体" w:cs="Times New Roman"/>
          <w:snapToGrid/>
          <w:color w:val="auto"/>
          <w:kern w:val="2"/>
          <w:sz w:val="21"/>
          <w:szCs w:val="21"/>
          <w:highlight w:val="none"/>
        </w:rPr>
        <w:t>。</w:t>
      </w:r>
    </w:p>
    <w:p w14:paraId="1F487D43">
      <w:pPr>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3.</w:t>
      </w:r>
      <w:r>
        <w:rPr>
          <w:rFonts w:hint="eastAsia" w:ascii="宋体" w:hAnsi="宋体" w:eastAsia="宋体" w:cs="宋体"/>
          <w:snapToGrid/>
          <w:color w:val="auto"/>
          <w:sz w:val="21"/>
          <w:szCs w:val="21"/>
          <w:highlight w:val="none"/>
        </w:rPr>
        <w:t>按照国家安全法律法规要求，做好对工作人员的安全督查，确保工作人员的劳保用品、使用工具等都使用到位，安全可靠。</w:t>
      </w:r>
    </w:p>
    <w:p w14:paraId="282BE116">
      <w:pPr>
        <w:widowControl w:val="0"/>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4.</w:t>
      </w:r>
      <w:r>
        <w:rPr>
          <w:rFonts w:hint="eastAsia" w:ascii="宋体" w:hAnsi="宋体" w:eastAsia="宋体" w:cs="宋体"/>
          <w:snapToGrid/>
          <w:color w:val="auto"/>
          <w:sz w:val="21"/>
          <w:szCs w:val="21"/>
          <w:highlight w:val="none"/>
        </w:rPr>
        <w:t>经常性开展安全生产检查工作，对发现的隐患及时整改消除，并做好记录，确保安全生产，做到文明作业。</w:t>
      </w:r>
    </w:p>
    <w:p w14:paraId="403826F4">
      <w:pPr>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5.</w:t>
      </w:r>
      <w:r>
        <w:rPr>
          <w:rFonts w:hint="eastAsia" w:ascii="宋体" w:hAnsi="宋体" w:eastAsia="宋体" w:cs="宋体"/>
          <w:snapToGrid/>
          <w:color w:val="auto"/>
          <w:sz w:val="21"/>
          <w:szCs w:val="21"/>
          <w:highlight w:val="none"/>
        </w:rPr>
        <w:t>工作人员的要求：（1）所有工作人员身体健康无缺陷，持《从业人员健康检查合格证》上岗，无传染病；（2）涉及特种作业相关作业人员必须遵守国家有关规定，持有效资格证才能上岗作业。</w:t>
      </w:r>
    </w:p>
    <w:p w14:paraId="0AC1EE24">
      <w:pPr>
        <w:widowControl w:val="0"/>
        <w:shd w:val="clear"/>
        <w:kinsoku/>
        <w:autoSpaceDE/>
        <w:autoSpaceDN/>
        <w:adjustRightInd/>
        <w:snapToGrid/>
        <w:spacing w:line="360" w:lineRule="auto"/>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6.</w:t>
      </w:r>
      <w:r>
        <w:rPr>
          <w:rFonts w:hint="eastAsia" w:ascii="宋体" w:hAnsi="宋体" w:eastAsia="宋体" w:cs="宋体"/>
          <w:snapToGrid/>
          <w:color w:val="auto"/>
          <w:sz w:val="21"/>
          <w:szCs w:val="21"/>
          <w:highlight w:val="none"/>
        </w:rPr>
        <w:t>发生事故必须按规定及时上报，并严格按“四不放过”的原则进行处理，认真落实防范措施，杜绝同类事故的再次发生。</w:t>
      </w:r>
    </w:p>
    <w:p w14:paraId="111E4D7D">
      <w:pPr>
        <w:widowControl w:val="0"/>
        <w:shd w:val="clear"/>
        <w:kinsoku/>
        <w:autoSpaceDE/>
        <w:autoSpaceDN/>
        <w:adjustRightInd/>
        <w:snapToGrid/>
        <w:spacing w:line="360" w:lineRule="auto"/>
        <w:textAlignment w:val="auto"/>
        <w:rPr>
          <w:rFonts w:hint="default" w:ascii="宋体" w:hAnsi="宋体" w:eastAsia="宋体" w:cs="宋体"/>
          <w:snapToGrid/>
          <w:color w:val="auto"/>
          <w:sz w:val="21"/>
          <w:szCs w:val="21"/>
          <w:highlight w:val="none"/>
          <w:lang w:val="en-US" w:eastAsia="zh-CN"/>
        </w:rPr>
      </w:pPr>
      <w:r>
        <w:rPr>
          <w:rFonts w:hint="eastAsia" w:ascii="宋体" w:hAnsi="宋体" w:eastAsia="宋体" w:cs="宋体"/>
          <w:snapToGrid/>
          <w:color w:val="auto"/>
          <w:sz w:val="21"/>
          <w:szCs w:val="21"/>
          <w:highlight w:val="none"/>
          <w:lang w:val="en-US" w:eastAsia="zh-CN"/>
        </w:rPr>
        <w:t>7.</w:t>
      </w:r>
      <w:r>
        <w:rPr>
          <w:rFonts w:hint="eastAsia" w:ascii="宋体" w:hAnsi="宋体" w:eastAsia="宋体" w:cs="宋体"/>
          <w:snapToGrid/>
          <w:color w:val="auto"/>
          <w:sz w:val="21"/>
          <w:szCs w:val="21"/>
          <w:highlight w:val="none"/>
          <w:lang w:eastAsia="zh-CN"/>
        </w:rPr>
        <w:t>卖方</w:t>
      </w:r>
      <w:r>
        <w:rPr>
          <w:rFonts w:hint="eastAsia" w:ascii="宋体" w:hAnsi="宋体" w:eastAsia="宋体" w:cs="宋体"/>
          <w:snapToGrid/>
          <w:color w:val="auto"/>
          <w:sz w:val="21"/>
          <w:szCs w:val="21"/>
          <w:highlight w:val="none"/>
          <w:lang w:val="en-US" w:eastAsia="zh-CN"/>
        </w:rPr>
        <w:t>在履行合同过程中，必须确保运输和装卸安全，运输车辆、人员如发生各类人身、财产安全事故，均由</w:t>
      </w:r>
      <w:r>
        <w:rPr>
          <w:rFonts w:hint="eastAsia" w:ascii="宋体" w:hAnsi="宋体" w:eastAsia="宋体" w:cs="宋体"/>
          <w:snapToGrid/>
          <w:color w:val="auto"/>
          <w:sz w:val="21"/>
          <w:szCs w:val="21"/>
          <w:highlight w:val="none"/>
          <w:lang w:eastAsia="zh-CN"/>
        </w:rPr>
        <w:t>卖方</w:t>
      </w:r>
      <w:r>
        <w:rPr>
          <w:rFonts w:hint="eastAsia" w:ascii="宋体" w:hAnsi="宋体" w:eastAsia="宋体" w:cs="宋体"/>
          <w:snapToGrid/>
          <w:color w:val="auto"/>
          <w:sz w:val="21"/>
          <w:szCs w:val="21"/>
          <w:highlight w:val="none"/>
          <w:lang w:val="en-US" w:eastAsia="zh-CN"/>
        </w:rPr>
        <w:t>自行负责。</w:t>
      </w:r>
      <w:r>
        <w:rPr>
          <w:rFonts w:hint="eastAsia" w:ascii="宋体" w:hAnsi="宋体" w:eastAsia="宋体" w:cs="宋体"/>
          <w:snapToGrid/>
          <w:color w:val="auto"/>
          <w:sz w:val="21"/>
          <w:szCs w:val="21"/>
          <w:highlight w:val="none"/>
          <w:lang w:eastAsia="zh-CN"/>
        </w:rPr>
        <w:t>卖方</w:t>
      </w:r>
      <w:r>
        <w:rPr>
          <w:rFonts w:hint="eastAsia" w:ascii="宋体" w:hAnsi="宋体" w:eastAsia="宋体" w:cs="宋体"/>
          <w:snapToGrid/>
          <w:color w:val="auto"/>
          <w:sz w:val="21"/>
          <w:szCs w:val="21"/>
          <w:highlight w:val="none"/>
          <w:lang w:val="en-US" w:eastAsia="zh-CN"/>
        </w:rPr>
        <w:t>运输车辆在运输作业中造成周边环境扬尘污染、路面污染或噪声污染，被有关部门处以行政罚款的，由</w:t>
      </w:r>
      <w:r>
        <w:rPr>
          <w:rFonts w:hint="eastAsia" w:ascii="宋体" w:hAnsi="宋体" w:eastAsia="宋体" w:cs="宋体"/>
          <w:snapToGrid/>
          <w:color w:val="auto"/>
          <w:sz w:val="21"/>
          <w:szCs w:val="21"/>
          <w:highlight w:val="none"/>
          <w:lang w:eastAsia="zh-CN"/>
        </w:rPr>
        <w:t>卖方</w:t>
      </w:r>
      <w:r>
        <w:rPr>
          <w:rFonts w:hint="eastAsia" w:ascii="宋体" w:hAnsi="宋体" w:eastAsia="宋体" w:cs="宋体"/>
          <w:snapToGrid/>
          <w:color w:val="auto"/>
          <w:sz w:val="21"/>
          <w:szCs w:val="21"/>
          <w:highlight w:val="none"/>
          <w:lang w:val="en-US" w:eastAsia="zh-CN"/>
        </w:rPr>
        <w:t>承担违规处罚费用及相应责任。</w:t>
      </w:r>
    </w:p>
    <w:p w14:paraId="43B50BE2">
      <w:pPr>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val="en-US" w:eastAsia="zh-CN"/>
        </w:rPr>
        <w:t>8</w:t>
      </w:r>
      <w:r>
        <w:rPr>
          <w:rFonts w:hint="eastAsia" w:ascii="宋体" w:hAnsi="宋体" w:eastAsia="宋体" w:cs="宋体"/>
          <w:snapToGrid/>
          <w:color w:val="auto"/>
          <w:sz w:val="21"/>
          <w:szCs w:val="21"/>
          <w:highlight w:val="none"/>
          <w:lang w:eastAsia="zh-CN"/>
        </w:rPr>
        <w:t>.卖方</w:t>
      </w:r>
      <w:r>
        <w:rPr>
          <w:rFonts w:hint="eastAsia" w:ascii="宋体" w:hAnsi="宋体" w:eastAsia="宋体" w:cs="宋体"/>
          <w:snapToGrid/>
          <w:color w:val="auto"/>
          <w:sz w:val="21"/>
          <w:szCs w:val="21"/>
          <w:highlight w:val="none"/>
        </w:rPr>
        <w:t>造成的安全事故，以及</w:t>
      </w:r>
      <w:r>
        <w:rPr>
          <w:rFonts w:hint="eastAsia" w:ascii="宋体" w:hAnsi="宋体" w:eastAsia="宋体" w:cs="宋体"/>
          <w:snapToGrid/>
          <w:color w:val="auto"/>
          <w:sz w:val="21"/>
          <w:szCs w:val="21"/>
          <w:highlight w:val="none"/>
          <w:lang w:eastAsia="zh-CN"/>
        </w:rPr>
        <w:t>卖方</w:t>
      </w:r>
      <w:r>
        <w:rPr>
          <w:rFonts w:hint="eastAsia" w:ascii="宋体" w:hAnsi="宋体" w:eastAsia="宋体" w:cs="宋体"/>
          <w:snapToGrid/>
          <w:color w:val="auto"/>
          <w:sz w:val="21"/>
          <w:szCs w:val="21"/>
          <w:highlight w:val="none"/>
        </w:rPr>
        <w:t>人员在实施项目工作过程中造成的财产损失和人身伤亡，与</w:t>
      </w:r>
      <w:r>
        <w:rPr>
          <w:rFonts w:hint="eastAsia" w:ascii="宋体" w:hAnsi="宋体" w:eastAsia="宋体" w:cs="宋体"/>
          <w:snapToGrid/>
          <w:color w:val="auto"/>
          <w:sz w:val="21"/>
          <w:szCs w:val="21"/>
          <w:highlight w:val="none"/>
          <w:lang w:eastAsia="zh-CN"/>
        </w:rPr>
        <w:t>买方</w:t>
      </w:r>
      <w:r>
        <w:rPr>
          <w:rFonts w:hint="eastAsia" w:ascii="宋体" w:hAnsi="宋体" w:eastAsia="宋体" w:cs="宋体"/>
          <w:snapToGrid/>
          <w:color w:val="auto"/>
          <w:sz w:val="21"/>
          <w:szCs w:val="21"/>
          <w:highlight w:val="none"/>
        </w:rPr>
        <w:t>无涉，由</w:t>
      </w:r>
      <w:r>
        <w:rPr>
          <w:rFonts w:hint="eastAsia" w:ascii="宋体" w:hAnsi="宋体" w:eastAsia="宋体" w:cs="宋体"/>
          <w:snapToGrid/>
          <w:color w:val="auto"/>
          <w:sz w:val="21"/>
          <w:szCs w:val="21"/>
          <w:highlight w:val="none"/>
          <w:lang w:eastAsia="zh-CN"/>
        </w:rPr>
        <w:t>卖方</w:t>
      </w:r>
      <w:r>
        <w:rPr>
          <w:rFonts w:hint="eastAsia" w:ascii="宋体" w:hAnsi="宋体" w:eastAsia="宋体" w:cs="宋体"/>
          <w:snapToGrid/>
          <w:color w:val="auto"/>
          <w:sz w:val="21"/>
          <w:szCs w:val="21"/>
          <w:highlight w:val="none"/>
        </w:rPr>
        <w:t>承担事故责任和经济责任，并对</w:t>
      </w:r>
      <w:r>
        <w:rPr>
          <w:rFonts w:hint="eastAsia" w:ascii="宋体" w:hAnsi="宋体" w:eastAsia="宋体" w:cs="宋体"/>
          <w:snapToGrid/>
          <w:color w:val="auto"/>
          <w:sz w:val="21"/>
          <w:szCs w:val="21"/>
          <w:highlight w:val="none"/>
          <w:lang w:eastAsia="zh-CN"/>
        </w:rPr>
        <w:t>买方</w:t>
      </w:r>
      <w:r>
        <w:rPr>
          <w:rFonts w:hint="eastAsia" w:ascii="宋体" w:hAnsi="宋体" w:eastAsia="宋体" w:cs="宋体"/>
          <w:snapToGrid/>
          <w:color w:val="auto"/>
          <w:sz w:val="21"/>
          <w:szCs w:val="21"/>
          <w:highlight w:val="none"/>
        </w:rPr>
        <w:t>造成的各种损失须进行赔偿。</w:t>
      </w:r>
    </w:p>
    <w:p w14:paraId="3BB77D8F">
      <w:pPr>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p>
    <w:p w14:paraId="26D4960F">
      <w:pPr>
        <w:shd w:val="clear"/>
        <w:kinsoku/>
        <w:autoSpaceDE/>
        <w:autoSpaceDN/>
        <w:adjustRightInd/>
        <w:snapToGrid/>
        <w:spacing w:line="360" w:lineRule="auto"/>
        <w:ind w:firstLine="420" w:firstLineChars="200"/>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本协议</w:t>
      </w:r>
      <w:r>
        <w:rPr>
          <w:rFonts w:hint="eastAsia" w:ascii="宋体" w:hAnsi="宋体" w:eastAsia="宋体" w:cs="宋体"/>
          <w:snapToGrid/>
          <w:color w:val="auto"/>
          <w:kern w:val="2"/>
          <w:sz w:val="21"/>
          <w:szCs w:val="21"/>
          <w:highlight w:val="none"/>
        </w:rPr>
        <w:t>作为越城区流量仪表更新改造工程项目项目合同的附件，与项目合同具有同等的法律效力，经合同双方签署立即生效。</w:t>
      </w:r>
    </w:p>
    <w:p w14:paraId="6AB29AC6">
      <w:pPr>
        <w:shd w:val="clear"/>
        <w:kinsoku/>
        <w:autoSpaceDE/>
        <w:autoSpaceDN/>
        <w:adjustRightInd/>
        <w:snapToGrid/>
        <w:spacing w:line="360" w:lineRule="auto"/>
        <w:textAlignment w:val="auto"/>
        <w:rPr>
          <w:rFonts w:hint="eastAsia" w:ascii="宋体" w:hAnsi="宋体" w:eastAsia="宋体" w:cs="宋体"/>
          <w:snapToGrid/>
          <w:color w:val="auto"/>
          <w:sz w:val="21"/>
          <w:szCs w:val="21"/>
          <w:highlight w:val="none"/>
          <w:lang w:eastAsia="zh-CN"/>
        </w:rPr>
      </w:pPr>
    </w:p>
    <w:p w14:paraId="3BD109AB">
      <w:pPr>
        <w:shd w:val="clear"/>
        <w:kinsoku/>
        <w:autoSpaceDE/>
        <w:autoSpaceDN/>
        <w:adjustRightInd/>
        <w:snapToGrid/>
        <w:spacing w:line="360" w:lineRule="auto"/>
        <w:textAlignment w:val="auto"/>
        <w:rPr>
          <w:rFonts w:hint="eastAsia" w:ascii="宋体" w:hAnsi="宋体" w:eastAsia="宋体" w:cs="宋体"/>
          <w:snapToGrid/>
          <w:color w:val="auto"/>
          <w:sz w:val="21"/>
          <w:szCs w:val="21"/>
          <w:highlight w:val="none"/>
          <w:lang w:eastAsia="zh-CN"/>
        </w:rPr>
      </w:pPr>
    </w:p>
    <w:p w14:paraId="47A3F766">
      <w:pPr>
        <w:shd w:val="clear"/>
        <w:kinsoku/>
        <w:autoSpaceDE/>
        <w:autoSpaceDN/>
        <w:adjustRightInd/>
        <w:snapToGrid/>
        <w:spacing w:line="360" w:lineRule="auto"/>
        <w:textAlignment w:val="auto"/>
        <w:rPr>
          <w:rFonts w:hint="eastAsia" w:ascii="宋体" w:hAnsi="宋体" w:eastAsia="宋体" w:cs="宋体"/>
          <w:snapToGrid/>
          <w:color w:val="auto"/>
          <w:sz w:val="21"/>
          <w:szCs w:val="21"/>
          <w:highlight w:val="none"/>
          <w:lang w:eastAsia="zh-CN"/>
        </w:rPr>
      </w:pPr>
    </w:p>
    <w:p w14:paraId="19CCA9C8">
      <w:pPr>
        <w:shd w:val="clear"/>
        <w:kinsoku/>
        <w:autoSpaceDE/>
        <w:autoSpaceDN/>
        <w:adjustRightInd/>
        <w:snapToGrid/>
        <w:spacing w:line="360" w:lineRule="auto"/>
        <w:textAlignment w:val="auto"/>
        <w:rPr>
          <w:rFonts w:hint="eastAsia" w:ascii="宋体" w:hAnsi="宋体" w:eastAsia="宋体" w:cs="宋体"/>
          <w:snapToGrid/>
          <w:color w:val="auto"/>
          <w:sz w:val="21"/>
          <w:szCs w:val="21"/>
          <w:highlight w:val="none"/>
          <w:lang w:eastAsia="zh-CN"/>
        </w:rPr>
      </w:pPr>
    </w:p>
    <w:p w14:paraId="0970B28F">
      <w:pPr>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买方</w:t>
      </w:r>
      <w:r>
        <w:rPr>
          <w:rFonts w:hint="eastAsia" w:ascii="宋体" w:hAnsi="宋体" w:eastAsia="宋体" w:cs="宋体"/>
          <w:snapToGrid/>
          <w:color w:val="auto"/>
          <w:sz w:val="21"/>
          <w:szCs w:val="21"/>
          <w:highlight w:val="none"/>
        </w:rPr>
        <w:t>：</w:t>
      </w: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kern w:val="2"/>
          <w:sz w:val="21"/>
          <w:szCs w:val="21"/>
          <w:highlight w:val="none"/>
        </w:rPr>
        <w:t>盖章）</w:t>
      </w:r>
      <w:r>
        <w:rPr>
          <w:rFonts w:hint="eastAsia" w:ascii="宋体" w:hAnsi="宋体" w:eastAsia="宋体" w:cs="宋体"/>
          <w:snapToGrid/>
          <w:color w:val="auto"/>
          <w:sz w:val="21"/>
          <w:szCs w:val="21"/>
          <w:highlight w:val="none"/>
        </w:rPr>
        <w:t xml:space="preserve">                          </w:t>
      </w:r>
      <w:r>
        <w:rPr>
          <w:rFonts w:hint="eastAsia" w:ascii="宋体" w:hAnsi="宋体" w:eastAsia="宋体" w:cs="宋体"/>
          <w:snapToGrid/>
          <w:color w:val="auto"/>
          <w:sz w:val="21"/>
          <w:szCs w:val="21"/>
          <w:highlight w:val="none"/>
          <w:lang w:val="en-US" w:eastAsia="zh-CN"/>
        </w:rPr>
        <w:t xml:space="preserve"> </w:t>
      </w:r>
      <w:r>
        <w:rPr>
          <w:rFonts w:hint="eastAsia" w:ascii="宋体" w:hAnsi="宋体" w:eastAsia="宋体" w:cs="宋体"/>
          <w:snapToGrid/>
          <w:color w:val="auto"/>
          <w:sz w:val="21"/>
          <w:szCs w:val="21"/>
          <w:highlight w:val="none"/>
          <w:lang w:eastAsia="zh-CN"/>
        </w:rPr>
        <w:t>卖方</w:t>
      </w:r>
      <w:r>
        <w:rPr>
          <w:rFonts w:hint="eastAsia" w:ascii="宋体" w:hAnsi="宋体" w:eastAsia="宋体" w:cs="宋体"/>
          <w:snapToGrid/>
          <w:color w:val="auto"/>
          <w:sz w:val="21"/>
          <w:szCs w:val="21"/>
          <w:highlight w:val="none"/>
        </w:rPr>
        <w:t>：</w:t>
      </w: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kern w:val="2"/>
          <w:sz w:val="21"/>
          <w:szCs w:val="21"/>
          <w:highlight w:val="none"/>
        </w:rPr>
        <w:t>盖章）</w:t>
      </w:r>
    </w:p>
    <w:p w14:paraId="0CDEF848">
      <w:pPr>
        <w:shd w:val="clear"/>
        <w:kinsoku/>
        <w:autoSpaceDE/>
        <w:autoSpaceDN/>
        <w:adjustRightInd/>
        <w:snapToGrid/>
        <w:spacing w:line="360" w:lineRule="auto"/>
        <w:textAlignment w:val="auto"/>
        <w:rPr>
          <w:rFonts w:ascii="宋体" w:hAnsi="宋体" w:eastAsia="宋体" w:cs="宋体"/>
          <w:snapToGrid/>
          <w:color w:val="auto"/>
          <w:kern w:val="2"/>
          <w:sz w:val="21"/>
          <w:szCs w:val="21"/>
          <w:highlight w:val="none"/>
        </w:rPr>
      </w:pPr>
    </w:p>
    <w:p w14:paraId="7699B701">
      <w:pPr>
        <w:shd w:val="clear"/>
        <w:kinsoku/>
        <w:autoSpaceDE/>
        <w:autoSpaceDN/>
        <w:adjustRightInd/>
        <w:snapToGrid/>
        <w:spacing w:line="360" w:lineRule="auto"/>
        <w:textAlignment w:val="auto"/>
        <w:rPr>
          <w:rFonts w:ascii="宋体" w:hAnsi="宋体" w:eastAsia="宋体" w:cs="宋体"/>
          <w:snapToGrid/>
          <w:color w:val="auto"/>
          <w:sz w:val="21"/>
          <w:szCs w:val="21"/>
          <w:highlight w:val="none"/>
        </w:rPr>
      </w:pPr>
      <w:r>
        <w:rPr>
          <w:rFonts w:hint="eastAsia" w:ascii="宋体" w:hAnsi="宋体" w:eastAsia="宋体" w:cs="宋体"/>
          <w:snapToGrid/>
          <w:color w:val="auto"/>
          <w:kern w:val="2"/>
          <w:sz w:val="21"/>
          <w:szCs w:val="21"/>
          <w:highlight w:val="none"/>
        </w:rPr>
        <w:t>法定代表人或其授权代表（签字或盖章）：</w:t>
      </w:r>
      <w:r>
        <w:rPr>
          <w:rFonts w:hint="eastAsia" w:ascii="宋体" w:hAnsi="宋体" w:eastAsia="宋体" w:cs="宋体"/>
          <w:snapToGrid/>
          <w:color w:val="auto"/>
          <w:kern w:val="2"/>
          <w:sz w:val="21"/>
          <w:szCs w:val="21"/>
          <w:highlight w:val="none"/>
          <w:lang w:val="en-US" w:eastAsia="zh-CN"/>
        </w:rPr>
        <w:t xml:space="preserve"> </w:t>
      </w:r>
      <w:r>
        <w:rPr>
          <w:rFonts w:hint="eastAsia" w:ascii="宋体" w:hAnsi="宋体" w:eastAsia="宋体" w:cs="宋体"/>
          <w:snapToGrid/>
          <w:color w:val="auto"/>
          <w:sz w:val="21"/>
          <w:szCs w:val="21"/>
          <w:highlight w:val="none"/>
        </w:rPr>
        <w:t xml:space="preserve"> </w:t>
      </w:r>
      <w:r>
        <w:rPr>
          <w:rFonts w:hint="eastAsia" w:ascii="宋体" w:hAnsi="宋体" w:eastAsia="宋体" w:cs="宋体"/>
          <w:snapToGrid/>
          <w:color w:val="auto"/>
          <w:sz w:val="21"/>
          <w:szCs w:val="21"/>
          <w:highlight w:val="none"/>
          <w:lang w:val="en-US" w:eastAsia="zh-CN"/>
        </w:rPr>
        <w:t xml:space="preserve"> </w:t>
      </w:r>
      <w:r>
        <w:rPr>
          <w:rFonts w:hint="eastAsia" w:ascii="宋体" w:hAnsi="宋体" w:eastAsia="宋体" w:cs="宋体"/>
          <w:snapToGrid/>
          <w:color w:val="auto"/>
          <w:kern w:val="2"/>
          <w:sz w:val="21"/>
          <w:szCs w:val="21"/>
          <w:highlight w:val="none"/>
        </w:rPr>
        <w:t>法定代表人或其授权代表（签字或盖章）：</w:t>
      </w:r>
    </w:p>
    <w:p w14:paraId="19A1D0BC">
      <w:pPr>
        <w:widowControl w:val="0"/>
        <w:shd w:val="clear"/>
        <w:kinsoku/>
        <w:autoSpaceDE/>
        <w:autoSpaceDN/>
        <w:adjustRightInd/>
        <w:snapToGrid/>
        <w:spacing w:line="360" w:lineRule="auto"/>
        <w:jc w:val="both"/>
        <w:textAlignment w:val="auto"/>
        <w:rPr>
          <w:rFonts w:ascii="宋体" w:hAnsi="宋体" w:eastAsia="宋体" w:cs="宋体"/>
          <w:snapToGrid/>
          <w:color w:val="auto"/>
          <w:kern w:val="2"/>
          <w:sz w:val="21"/>
          <w:szCs w:val="21"/>
          <w:highlight w:val="none"/>
        </w:rPr>
      </w:pPr>
      <w:r>
        <w:rPr>
          <w:rFonts w:hint="eastAsia" w:ascii="宋体" w:hAnsi="宋体" w:eastAsia="宋体" w:cs="宋体"/>
          <w:snapToGrid/>
          <w:color w:val="auto"/>
          <w:sz w:val="21"/>
          <w:szCs w:val="21"/>
          <w:highlight w:val="none"/>
        </w:rPr>
        <w:t>年   月   日                             年   月   日</w:t>
      </w:r>
    </w:p>
    <w:p w14:paraId="7278B2DB">
      <w:pPr>
        <w:widowControl/>
        <w:kinsoku/>
        <w:autoSpaceDE/>
        <w:autoSpaceDN/>
        <w:adjustRightInd w:val="0"/>
        <w:snapToGrid w:val="0"/>
        <w:spacing w:line="440" w:lineRule="exact"/>
        <w:ind w:firstLine="420" w:firstLineChars="200"/>
        <w:jc w:val="both"/>
        <w:textAlignment w:val="baseline"/>
        <w:rPr>
          <w:rFonts w:ascii="宋体" w:hAnsi="Calibri" w:eastAsia="宋体" w:cs="宋体"/>
          <w:snapToGrid w:val="0"/>
          <w:color w:val="auto"/>
          <w:kern w:val="2"/>
          <w:sz w:val="21"/>
          <w:szCs w:val="21"/>
          <w:highlight w:val="none"/>
          <w:lang w:val="en-US" w:eastAsia="zh-CN" w:bidi="ar-SA"/>
        </w:rPr>
      </w:pPr>
    </w:p>
    <w:p w14:paraId="39DE00B4">
      <w:pPr>
        <w:rPr>
          <w:rFonts w:ascii="宋体" w:eastAsia="宋体" w:cs="宋体"/>
          <w:color w:val="auto"/>
          <w:sz w:val="36"/>
          <w:szCs w:val="36"/>
          <w:highlight w:val="none"/>
        </w:rPr>
      </w:pPr>
    </w:p>
    <w:p w14:paraId="31401F70">
      <w:pPr>
        <w:rPr>
          <w:rFonts w:ascii="宋体" w:eastAsia="宋体" w:cs="宋体"/>
          <w:color w:val="auto"/>
          <w:sz w:val="36"/>
          <w:szCs w:val="36"/>
          <w:highlight w:val="none"/>
        </w:rPr>
        <w:sectPr>
          <w:footerReference r:id="rId17" w:type="default"/>
          <w:pgSz w:w="11907" w:h="16840"/>
          <w:pgMar w:top="1418" w:right="1559" w:bottom="1418" w:left="1474" w:header="0" w:footer="723" w:gutter="0"/>
          <w:pgBorders>
            <w:top w:val="none" w:sz="0" w:space="0"/>
            <w:left w:val="none" w:sz="0" w:space="0"/>
            <w:bottom w:val="none" w:sz="0" w:space="0"/>
            <w:right w:val="none" w:sz="0" w:space="0"/>
          </w:pgBorders>
          <w:cols w:space="720" w:num="1"/>
        </w:sectPr>
      </w:pPr>
      <w:r>
        <w:rPr>
          <w:rFonts w:ascii="宋体" w:eastAsia="宋体" w:cs="宋体"/>
          <w:color w:val="auto"/>
          <w:sz w:val="36"/>
          <w:szCs w:val="36"/>
          <w:highlight w:val="none"/>
        </w:rPr>
        <w:br w:type="page"/>
      </w:r>
    </w:p>
    <w:p w14:paraId="5EC83A35">
      <w:pPr>
        <w:rPr>
          <w:rFonts w:hint="eastAsia" w:ascii="宋体" w:eastAsia="宋体" w:cs="宋体"/>
          <w:color w:val="auto"/>
          <w:sz w:val="21"/>
          <w:szCs w:val="21"/>
          <w:highlight w:val="none"/>
          <w:lang w:val="en-US" w:eastAsia="zh-CN"/>
        </w:rPr>
      </w:pPr>
      <w:r>
        <w:rPr>
          <w:rFonts w:hint="eastAsia" w:ascii="宋体" w:eastAsia="宋体" w:cs="宋体"/>
          <w:color w:val="auto"/>
          <w:sz w:val="21"/>
          <w:szCs w:val="21"/>
          <w:highlight w:val="none"/>
          <w:lang w:val="en-US" w:eastAsia="zh-CN"/>
        </w:rPr>
        <w:t>合同附件 3</w:t>
      </w:r>
    </w:p>
    <w:p w14:paraId="14D73382">
      <w:pPr>
        <w:jc w:val="center"/>
        <w:rPr>
          <w:rFonts w:hint="eastAsia" w:ascii="宋体" w:eastAsia="宋体" w:cs="宋体"/>
          <w:b/>
          <w:bCs/>
          <w:color w:val="auto"/>
          <w:sz w:val="28"/>
          <w:szCs w:val="28"/>
          <w:highlight w:val="none"/>
        </w:rPr>
      </w:pPr>
      <w:r>
        <w:rPr>
          <w:rFonts w:hint="eastAsia" w:ascii="宋体" w:eastAsia="宋体" w:cs="宋体"/>
          <w:b/>
          <w:bCs/>
          <w:color w:val="auto"/>
          <w:sz w:val="28"/>
          <w:szCs w:val="28"/>
          <w:highlight w:val="none"/>
          <w:lang w:eastAsia="zh-CN"/>
        </w:rPr>
        <w:t>货物清单</w:t>
      </w:r>
    </w:p>
    <w:tbl>
      <w:tblPr>
        <w:tblStyle w:val="31"/>
        <w:tblW w:w="4997" w:type="pct"/>
        <w:tblInd w:w="62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50"/>
        <w:gridCol w:w="1350"/>
        <w:gridCol w:w="1350"/>
        <w:gridCol w:w="1350"/>
        <w:gridCol w:w="1354"/>
        <w:gridCol w:w="1406"/>
        <w:gridCol w:w="1350"/>
        <w:gridCol w:w="1406"/>
        <w:gridCol w:w="1937"/>
        <w:gridCol w:w="1358"/>
      </w:tblGrid>
      <w:tr w14:paraId="7FA4A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8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FF379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38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916D9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38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2BA21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38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D118E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38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8837B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w:t>
            </w:r>
          </w:p>
        </w:tc>
        <w:tc>
          <w:tcPr>
            <w:tcW w:w="40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40BEF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w:t>
            </w:r>
          </w:p>
        </w:tc>
        <w:tc>
          <w:tcPr>
            <w:tcW w:w="38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E3E86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7</w:t>
            </w:r>
          </w:p>
        </w:tc>
        <w:tc>
          <w:tcPr>
            <w:tcW w:w="40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C737F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8</w:t>
            </w:r>
          </w:p>
        </w:tc>
        <w:tc>
          <w:tcPr>
            <w:tcW w:w="5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DF116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w:t>
            </w:r>
          </w:p>
        </w:tc>
        <w:tc>
          <w:tcPr>
            <w:tcW w:w="38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B041D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w:t>
            </w:r>
          </w:p>
        </w:tc>
      </w:tr>
      <w:tr w14:paraId="0A88D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6F0CEE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项号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705CBB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5B4563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型号规格</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12624C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1BA03F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401" w:type="pct"/>
            <w:tcBorders>
              <w:top w:val="nil"/>
              <w:left w:val="single" w:color="000000" w:sz="8" w:space="0"/>
              <w:bottom w:val="nil"/>
              <w:right w:val="single" w:color="000000" w:sz="8" w:space="0"/>
            </w:tcBorders>
            <w:shd w:val="clear" w:color="auto" w:fill="auto"/>
            <w:vAlign w:val="center"/>
          </w:tcPr>
          <w:p w14:paraId="038C76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产品单价（含税）</w:t>
            </w:r>
          </w:p>
        </w:tc>
        <w:tc>
          <w:tcPr>
            <w:tcW w:w="385" w:type="pct"/>
            <w:tcBorders>
              <w:top w:val="nil"/>
              <w:left w:val="single" w:color="000000" w:sz="8" w:space="0"/>
              <w:bottom w:val="nil"/>
              <w:right w:val="single" w:color="000000" w:sz="8" w:space="0"/>
            </w:tcBorders>
            <w:shd w:val="clear" w:color="auto" w:fill="auto"/>
            <w:vAlign w:val="center"/>
          </w:tcPr>
          <w:p w14:paraId="741FCC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安装单价（含税）</w:t>
            </w:r>
          </w:p>
        </w:tc>
        <w:tc>
          <w:tcPr>
            <w:tcW w:w="401" w:type="pct"/>
            <w:tcBorders>
              <w:top w:val="nil"/>
              <w:left w:val="single" w:color="000000" w:sz="8" w:space="0"/>
              <w:bottom w:val="single" w:color="000000" w:sz="8" w:space="0"/>
              <w:right w:val="single" w:color="000000" w:sz="8" w:space="0"/>
            </w:tcBorders>
            <w:shd w:val="clear" w:color="auto" w:fill="auto"/>
            <w:vAlign w:val="center"/>
          </w:tcPr>
          <w:p w14:paraId="78B9D1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综合单价</w:t>
            </w:r>
          </w:p>
        </w:tc>
        <w:tc>
          <w:tcPr>
            <w:tcW w:w="551" w:type="pct"/>
            <w:tcBorders>
              <w:top w:val="nil"/>
              <w:left w:val="single" w:color="000000" w:sz="8" w:space="0"/>
              <w:bottom w:val="single" w:color="000000" w:sz="8" w:space="0"/>
              <w:right w:val="single" w:color="000000" w:sz="8" w:space="0"/>
            </w:tcBorders>
            <w:shd w:val="clear" w:color="auto" w:fill="auto"/>
            <w:vAlign w:val="center"/>
          </w:tcPr>
          <w:p w14:paraId="0ECD20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总价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116777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1B13B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051" w:type="pct"/>
            <w:gridSpan w:val="10"/>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A15C7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一、DN（15-50）水平旋翼式液封湿式水表及附属配件</w:t>
            </w:r>
          </w:p>
        </w:tc>
      </w:tr>
      <w:tr w14:paraId="710BB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7EC8C6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项号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773BD9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5C7FFD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型号规格</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1283C8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6A2982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401" w:type="pct"/>
            <w:tcBorders>
              <w:top w:val="nil"/>
              <w:left w:val="single" w:color="000000" w:sz="8" w:space="0"/>
              <w:bottom w:val="nil"/>
              <w:right w:val="single" w:color="000000" w:sz="8" w:space="0"/>
            </w:tcBorders>
            <w:shd w:val="clear" w:color="auto" w:fill="auto"/>
            <w:vAlign w:val="center"/>
          </w:tcPr>
          <w:p w14:paraId="687529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产品单价（含税）</w:t>
            </w:r>
          </w:p>
        </w:tc>
        <w:tc>
          <w:tcPr>
            <w:tcW w:w="385" w:type="pct"/>
            <w:tcBorders>
              <w:top w:val="nil"/>
              <w:left w:val="single" w:color="000000" w:sz="8" w:space="0"/>
              <w:bottom w:val="nil"/>
              <w:right w:val="single" w:color="000000" w:sz="8" w:space="0"/>
            </w:tcBorders>
            <w:shd w:val="clear" w:color="auto" w:fill="auto"/>
            <w:vAlign w:val="center"/>
          </w:tcPr>
          <w:p w14:paraId="65A15E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安装单价（含税）</w:t>
            </w:r>
          </w:p>
        </w:tc>
        <w:tc>
          <w:tcPr>
            <w:tcW w:w="401" w:type="pct"/>
            <w:tcBorders>
              <w:top w:val="nil"/>
              <w:left w:val="single" w:color="000000" w:sz="8" w:space="0"/>
              <w:bottom w:val="single" w:color="000000" w:sz="8" w:space="0"/>
              <w:right w:val="single" w:color="000000" w:sz="8" w:space="0"/>
            </w:tcBorders>
            <w:shd w:val="clear" w:color="auto" w:fill="auto"/>
            <w:vAlign w:val="center"/>
          </w:tcPr>
          <w:p w14:paraId="132BAB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综合单价</w:t>
            </w:r>
          </w:p>
        </w:tc>
        <w:tc>
          <w:tcPr>
            <w:tcW w:w="551" w:type="pct"/>
            <w:tcBorders>
              <w:top w:val="nil"/>
              <w:left w:val="single" w:color="000000" w:sz="8" w:space="0"/>
              <w:bottom w:val="single" w:color="000000" w:sz="8" w:space="0"/>
              <w:right w:val="single" w:color="000000" w:sz="8" w:space="0"/>
            </w:tcBorders>
            <w:shd w:val="clear" w:color="auto" w:fill="auto"/>
            <w:vAlign w:val="center"/>
          </w:tcPr>
          <w:p w14:paraId="123C31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总价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43E158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275F1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67044C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385" w:type="pct"/>
            <w:vMerge w:val="restart"/>
            <w:tcBorders>
              <w:top w:val="nil"/>
              <w:left w:val="nil"/>
              <w:bottom w:val="single" w:color="000000" w:sz="8" w:space="0"/>
              <w:right w:val="single" w:color="000000" w:sz="8" w:space="0"/>
            </w:tcBorders>
            <w:shd w:val="clear" w:color="auto" w:fill="auto"/>
            <w:vAlign w:val="center"/>
          </w:tcPr>
          <w:p w14:paraId="188A2D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水平旋翼式湿式冷水水表</w:t>
            </w:r>
          </w:p>
        </w:tc>
        <w:tc>
          <w:tcPr>
            <w:tcW w:w="385" w:type="pct"/>
            <w:tcBorders>
              <w:top w:val="nil"/>
              <w:left w:val="nil"/>
              <w:bottom w:val="single" w:color="000000" w:sz="8" w:space="0"/>
              <w:right w:val="single" w:color="000000" w:sz="8" w:space="0"/>
            </w:tcBorders>
            <w:shd w:val="clear" w:color="auto" w:fill="auto"/>
            <w:vAlign w:val="center"/>
          </w:tcPr>
          <w:p w14:paraId="7E164D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w:t>
            </w:r>
          </w:p>
        </w:tc>
        <w:tc>
          <w:tcPr>
            <w:tcW w:w="385" w:type="pct"/>
            <w:tcBorders>
              <w:top w:val="nil"/>
              <w:left w:val="nil"/>
              <w:bottom w:val="single" w:color="000000" w:sz="8" w:space="0"/>
              <w:right w:val="single" w:color="000000" w:sz="8" w:space="0"/>
            </w:tcBorders>
            <w:shd w:val="clear" w:color="auto" w:fill="auto"/>
            <w:vAlign w:val="center"/>
          </w:tcPr>
          <w:p w14:paraId="137241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6ABE21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18186</w:t>
            </w:r>
          </w:p>
        </w:tc>
        <w:tc>
          <w:tcPr>
            <w:tcW w:w="401" w:type="pct"/>
            <w:tcBorders>
              <w:top w:val="single" w:color="000000" w:sz="8" w:space="0"/>
              <w:left w:val="nil"/>
              <w:bottom w:val="single" w:color="000000" w:sz="8" w:space="0"/>
              <w:right w:val="single" w:color="000000" w:sz="8" w:space="0"/>
            </w:tcBorders>
            <w:shd w:val="clear" w:color="auto" w:fill="auto"/>
            <w:vAlign w:val="center"/>
          </w:tcPr>
          <w:p w14:paraId="07D402BA">
            <w:pPr>
              <w:jc w:val="center"/>
              <w:rPr>
                <w:rFonts w:hint="eastAsia" w:ascii="宋体" w:hAnsi="宋体" w:eastAsia="宋体" w:cs="宋体"/>
                <w:i w:val="0"/>
                <w:iCs w:val="0"/>
                <w:color w:val="auto"/>
                <w:sz w:val="22"/>
                <w:szCs w:val="22"/>
                <w:highlight w:val="none"/>
                <w:u w:val="none"/>
              </w:rPr>
            </w:pPr>
          </w:p>
        </w:tc>
        <w:tc>
          <w:tcPr>
            <w:tcW w:w="385" w:type="pct"/>
            <w:tcBorders>
              <w:top w:val="single" w:color="000000" w:sz="8" w:space="0"/>
              <w:left w:val="nil"/>
              <w:bottom w:val="single" w:color="000000" w:sz="8" w:space="0"/>
              <w:right w:val="single" w:color="000000" w:sz="8" w:space="0"/>
            </w:tcBorders>
            <w:shd w:val="clear" w:color="auto" w:fill="auto"/>
            <w:vAlign w:val="center"/>
          </w:tcPr>
          <w:p w14:paraId="1813AE3E">
            <w:pPr>
              <w:jc w:val="center"/>
              <w:rPr>
                <w:rFonts w:hint="eastAsia" w:ascii="宋体" w:hAnsi="宋体" w:eastAsia="宋体" w:cs="宋体"/>
                <w:i w:val="0"/>
                <w:iCs w:val="0"/>
                <w:color w:val="auto"/>
                <w:sz w:val="22"/>
                <w:szCs w:val="22"/>
                <w:highlight w:val="none"/>
                <w:u w:val="none"/>
              </w:rPr>
            </w:pPr>
          </w:p>
        </w:tc>
        <w:tc>
          <w:tcPr>
            <w:tcW w:w="401" w:type="pct"/>
            <w:tcBorders>
              <w:top w:val="single" w:color="000000" w:sz="8" w:space="0"/>
              <w:left w:val="nil"/>
              <w:bottom w:val="single" w:color="000000" w:sz="8" w:space="0"/>
              <w:right w:val="single" w:color="000000" w:sz="8" w:space="0"/>
            </w:tcBorders>
            <w:shd w:val="clear" w:color="auto" w:fill="auto"/>
            <w:vAlign w:val="center"/>
          </w:tcPr>
          <w:p w14:paraId="5B4A934D">
            <w:pPr>
              <w:jc w:val="center"/>
              <w:rPr>
                <w:rFonts w:hint="eastAsia" w:ascii="宋体" w:hAnsi="宋体" w:eastAsia="宋体" w:cs="宋体"/>
                <w:i w:val="0"/>
                <w:iCs w:val="0"/>
                <w:color w:val="auto"/>
                <w:sz w:val="22"/>
                <w:szCs w:val="22"/>
                <w:highlight w:val="none"/>
                <w:u w:val="none"/>
              </w:rPr>
            </w:pPr>
          </w:p>
        </w:tc>
        <w:tc>
          <w:tcPr>
            <w:tcW w:w="551" w:type="pct"/>
            <w:tcBorders>
              <w:top w:val="single" w:color="000000" w:sz="8" w:space="0"/>
              <w:left w:val="nil"/>
              <w:bottom w:val="single" w:color="000000" w:sz="8" w:space="0"/>
              <w:right w:val="single" w:color="000000" w:sz="8" w:space="0"/>
            </w:tcBorders>
            <w:shd w:val="clear" w:color="auto" w:fill="auto"/>
            <w:vAlign w:val="center"/>
          </w:tcPr>
          <w:p w14:paraId="3088FF42">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BC778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防冻玻璃改远传基表</w:t>
            </w:r>
          </w:p>
        </w:tc>
      </w:tr>
      <w:tr w14:paraId="283A8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0DF096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385" w:type="pct"/>
            <w:vMerge w:val="continue"/>
            <w:tcBorders>
              <w:top w:val="nil"/>
              <w:left w:val="nil"/>
              <w:bottom w:val="single" w:color="000000" w:sz="8" w:space="0"/>
              <w:right w:val="single" w:color="000000" w:sz="8" w:space="0"/>
            </w:tcBorders>
            <w:shd w:val="clear" w:color="auto" w:fill="auto"/>
            <w:vAlign w:val="center"/>
          </w:tcPr>
          <w:p w14:paraId="013A34E3">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EC521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w:t>
            </w:r>
          </w:p>
        </w:tc>
        <w:tc>
          <w:tcPr>
            <w:tcW w:w="385" w:type="pct"/>
            <w:tcBorders>
              <w:top w:val="nil"/>
              <w:left w:val="nil"/>
              <w:bottom w:val="single" w:color="000000" w:sz="8" w:space="0"/>
              <w:right w:val="single" w:color="000000" w:sz="8" w:space="0"/>
            </w:tcBorders>
            <w:shd w:val="clear" w:color="auto" w:fill="auto"/>
            <w:vAlign w:val="center"/>
          </w:tcPr>
          <w:p w14:paraId="64759A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41EF17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13015</w:t>
            </w:r>
          </w:p>
        </w:tc>
        <w:tc>
          <w:tcPr>
            <w:tcW w:w="401" w:type="pct"/>
            <w:tcBorders>
              <w:top w:val="nil"/>
              <w:left w:val="nil"/>
              <w:bottom w:val="single" w:color="000000" w:sz="8" w:space="0"/>
              <w:right w:val="single" w:color="000000" w:sz="8" w:space="0"/>
            </w:tcBorders>
            <w:shd w:val="clear" w:color="auto" w:fill="auto"/>
            <w:vAlign w:val="center"/>
          </w:tcPr>
          <w:p w14:paraId="282CBF52">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0CE8262">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640FB422">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09299293">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D7ECD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钢化玻璃改远传基表</w:t>
            </w:r>
          </w:p>
        </w:tc>
      </w:tr>
      <w:tr w14:paraId="49563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645611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385" w:type="pct"/>
            <w:vMerge w:val="continue"/>
            <w:tcBorders>
              <w:top w:val="nil"/>
              <w:left w:val="nil"/>
              <w:bottom w:val="single" w:color="000000" w:sz="8" w:space="0"/>
              <w:right w:val="single" w:color="000000" w:sz="8" w:space="0"/>
            </w:tcBorders>
            <w:shd w:val="clear" w:color="auto" w:fill="auto"/>
            <w:vAlign w:val="center"/>
          </w:tcPr>
          <w:p w14:paraId="4845007D">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87B55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w:t>
            </w:r>
          </w:p>
        </w:tc>
        <w:tc>
          <w:tcPr>
            <w:tcW w:w="385" w:type="pct"/>
            <w:tcBorders>
              <w:top w:val="nil"/>
              <w:left w:val="nil"/>
              <w:bottom w:val="single" w:color="000000" w:sz="8" w:space="0"/>
              <w:right w:val="single" w:color="000000" w:sz="8" w:space="0"/>
            </w:tcBorders>
            <w:shd w:val="clear" w:color="auto" w:fill="auto"/>
            <w:vAlign w:val="center"/>
          </w:tcPr>
          <w:p w14:paraId="6840B7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2A94047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343</w:t>
            </w:r>
          </w:p>
        </w:tc>
        <w:tc>
          <w:tcPr>
            <w:tcW w:w="401" w:type="pct"/>
            <w:tcBorders>
              <w:top w:val="nil"/>
              <w:left w:val="nil"/>
              <w:bottom w:val="single" w:color="000000" w:sz="8" w:space="0"/>
              <w:right w:val="single" w:color="000000" w:sz="8" w:space="0"/>
            </w:tcBorders>
            <w:shd w:val="clear" w:color="auto" w:fill="auto"/>
            <w:vAlign w:val="center"/>
          </w:tcPr>
          <w:p w14:paraId="5470E95B">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2F7B23AC">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1BA22173">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20E1FF2E">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8394BF4">
            <w:pPr>
              <w:jc w:val="center"/>
              <w:rPr>
                <w:rFonts w:hint="eastAsia" w:ascii="Arial" w:hAnsi="Arial" w:eastAsia="宋体" w:cs="Arial"/>
                <w:i w:val="0"/>
                <w:iCs w:val="0"/>
                <w:color w:val="auto"/>
                <w:sz w:val="22"/>
                <w:szCs w:val="22"/>
                <w:highlight w:val="none"/>
                <w:u w:val="none"/>
              </w:rPr>
            </w:pPr>
          </w:p>
        </w:tc>
      </w:tr>
      <w:tr w14:paraId="43E76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5D3F28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385" w:type="pct"/>
            <w:vMerge w:val="continue"/>
            <w:tcBorders>
              <w:top w:val="nil"/>
              <w:left w:val="nil"/>
              <w:bottom w:val="single" w:color="000000" w:sz="8" w:space="0"/>
              <w:right w:val="single" w:color="000000" w:sz="8" w:space="0"/>
            </w:tcBorders>
            <w:shd w:val="clear" w:color="auto" w:fill="auto"/>
            <w:vAlign w:val="center"/>
          </w:tcPr>
          <w:p w14:paraId="121DDFF1">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8E4A0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DN25</w:t>
            </w:r>
          </w:p>
        </w:tc>
        <w:tc>
          <w:tcPr>
            <w:tcW w:w="385" w:type="pct"/>
            <w:tcBorders>
              <w:top w:val="nil"/>
              <w:left w:val="nil"/>
              <w:bottom w:val="single" w:color="000000" w:sz="8" w:space="0"/>
              <w:right w:val="single" w:color="000000" w:sz="8" w:space="0"/>
            </w:tcBorders>
            <w:shd w:val="clear" w:color="auto" w:fill="auto"/>
            <w:vAlign w:val="center"/>
          </w:tcPr>
          <w:p w14:paraId="3A9876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1EE94F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517</w:t>
            </w:r>
          </w:p>
        </w:tc>
        <w:tc>
          <w:tcPr>
            <w:tcW w:w="401" w:type="pct"/>
            <w:tcBorders>
              <w:top w:val="nil"/>
              <w:left w:val="nil"/>
              <w:bottom w:val="single" w:color="000000" w:sz="8" w:space="0"/>
              <w:right w:val="single" w:color="000000" w:sz="8" w:space="0"/>
            </w:tcBorders>
            <w:shd w:val="clear" w:color="auto" w:fill="auto"/>
            <w:vAlign w:val="center"/>
          </w:tcPr>
          <w:p w14:paraId="4679C42F">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5653C961">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780D6DC0">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08723436">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C2DF0B8">
            <w:pPr>
              <w:jc w:val="center"/>
              <w:rPr>
                <w:rFonts w:hint="default" w:ascii="Arial" w:hAnsi="Arial" w:eastAsia="宋体" w:cs="Arial"/>
                <w:i w:val="0"/>
                <w:iCs w:val="0"/>
                <w:color w:val="auto"/>
                <w:sz w:val="22"/>
                <w:szCs w:val="22"/>
                <w:highlight w:val="none"/>
                <w:u w:val="none"/>
              </w:rPr>
            </w:pPr>
          </w:p>
        </w:tc>
      </w:tr>
      <w:tr w14:paraId="34B24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426BA7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w:t>
            </w:r>
          </w:p>
        </w:tc>
        <w:tc>
          <w:tcPr>
            <w:tcW w:w="385" w:type="pct"/>
            <w:vMerge w:val="continue"/>
            <w:tcBorders>
              <w:top w:val="nil"/>
              <w:left w:val="nil"/>
              <w:bottom w:val="single" w:color="000000" w:sz="8" w:space="0"/>
              <w:right w:val="single" w:color="000000" w:sz="8" w:space="0"/>
            </w:tcBorders>
            <w:shd w:val="clear" w:color="auto" w:fill="auto"/>
            <w:vAlign w:val="center"/>
          </w:tcPr>
          <w:p w14:paraId="738FE65D">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2EEB7E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DN40</w:t>
            </w:r>
          </w:p>
        </w:tc>
        <w:tc>
          <w:tcPr>
            <w:tcW w:w="385" w:type="pct"/>
            <w:tcBorders>
              <w:top w:val="nil"/>
              <w:left w:val="nil"/>
              <w:bottom w:val="single" w:color="000000" w:sz="8" w:space="0"/>
              <w:right w:val="single" w:color="000000" w:sz="8" w:space="0"/>
            </w:tcBorders>
            <w:shd w:val="clear" w:color="auto" w:fill="auto"/>
            <w:vAlign w:val="center"/>
          </w:tcPr>
          <w:p w14:paraId="1A3D169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47727D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564</w:t>
            </w:r>
          </w:p>
        </w:tc>
        <w:tc>
          <w:tcPr>
            <w:tcW w:w="401" w:type="pct"/>
            <w:tcBorders>
              <w:top w:val="nil"/>
              <w:left w:val="nil"/>
              <w:bottom w:val="single" w:color="000000" w:sz="8" w:space="0"/>
              <w:right w:val="single" w:color="000000" w:sz="8" w:space="0"/>
            </w:tcBorders>
            <w:shd w:val="clear" w:color="auto" w:fill="auto"/>
            <w:vAlign w:val="center"/>
          </w:tcPr>
          <w:p w14:paraId="644139DA">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3DED089">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76E2AC29">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177AAE8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AF9384F">
            <w:pPr>
              <w:jc w:val="center"/>
              <w:rPr>
                <w:rFonts w:hint="default" w:ascii="Arial" w:hAnsi="Arial" w:eastAsia="宋体" w:cs="Arial"/>
                <w:i w:val="0"/>
                <w:iCs w:val="0"/>
                <w:color w:val="auto"/>
                <w:sz w:val="22"/>
                <w:szCs w:val="22"/>
                <w:highlight w:val="none"/>
                <w:u w:val="none"/>
              </w:rPr>
            </w:pPr>
          </w:p>
        </w:tc>
      </w:tr>
      <w:tr w14:paraId="7E65D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334598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385" w:type="pct"/>
            <w:vMerge w:val="continue"/>
            <w:tcBorders>
              <w:top w:val="nil"/>
              <w:left w:val="nil"/>
              <w:bottom w:val="single" w:color="000000" w:sz="8" w:space="0"/>
              <w:right w:val="single" w:color="000000" w:sz="8" w:space="0"/>
            </w:tcBorders>
            <w:shd w:val="clear" w:color="auto" w:fill="auto"/>
            <w:vAlign w:val="center"/>
          </w:tcPr>
          <w:p w14:paraId="78FF596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84BA5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DN50</w:t>
            </w:r>
          </w:p>
        </w:tc>
        <w:tc>
          <w:tcPr>
            <w:tcW w:w="385" w:type="pct"/>
            <w:tcBorders>
              <w:top w:val="nil"/>
              <w:left w:val="nil"/>
              <w:bottom w:val="single" w:color="000000" w:sz="8" w:space="0"/>
              <w:right w:val="single" w:color="000000" w:sz="8" w:space="0"/>
            </w:tcBorders>
            <w:shd w:val="clear" w:color="auto" w:fill="auto"/>
            <w:vAlign w:val="center"/>
          </w:tcPr>
          <w:p w14:paraId="51F6D1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7E9E7C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135</w:t>
            </w:r>
          </w:p>
        </w:tc>
        <w:tc>
          <w:tcPr>
            <w:tcW w:w="401" w:type="pct"/>
            <w:tcBorders>
              <w:top w:val="nil"/>
              <w:left w:val="nil"/>
              <w:bottom w:val="single" w:color="000000" w:sz="8" w:space="0"/>
              <w:right w:val="single" w:color="000000" w:sz="8" w:space="0"/>
            </w:tcBorders>
            <w:shd w:val="clear" w:color="auto" w:fill="auto"/>
            <w:vAlign w:val="center"/>
          </w:tcPr>
          <w:p w14:paraId="7C6CCFC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706C80E">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4420DBDC">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1BB71833">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14B52FC">
            <w:pPr>
              <w:jc w:val="center"/>
              <w:rPr>
                <w:rFonts w:hint="default" w:ascii="Arial" w:hAnsi="Arial" w:eastAsia="宋体" w:cs="Arial"/>
                <w:i w:val="0"/>
                <w:iCs w:val="0"/>
                <w:color w:val="auto"/>
                <w:sz w:val="22"/>
                <w:szCs w:val="22"/>
                <w:highlight w:val="none"/>
                <w:u w:val="none"/>
              </w:rPr>
            </w:pPr>
          </w:p>
        </w:tc>
      </w:tr>
      <w:tr w14:paraId="592EA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926" w:type="pct"/>
            <w:gridSpan w:val="5"/>
            <w:tcBorders>
              <w:top w:val="nil"/>
              <w:left w:val="single" w:color="000000" w:sz="8" w:space="0"/>
              <w:bottom w:val="single" w:color="000000" w:sz="8" w:space="0"/>
              <w:right w:val="single" w:color="000000" w:sz="8" w:space="0"/>
            </w:tcBorders>
            <w:shd w:val="clear" w:color="auto" w:fill="auto"/>
            <w:vAlign w:val="center"/>
          </w:tcPr>
          <w:p w14:paraId="341A16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合计（元）</w:t>
            </w:r>
          </w:p>
        </w:tc>
        <w:tc>
          <w:tcPr>
            <w:tcW w:w="1739" w:type="pct"/>
            <w:gridSpan w:val="4"/>
            <w:tcBorders>
              <w:top w:val="nil"/>
              <w:left w:val="nil"/>
              <w:bottom w:val="single" w:color="000000" w:sz="8" w:space="0"/>
              <w:right w:val="single" w:color="000000" w:sz="8" w:space="0"/>
            </w:tcBorders>
            <w:shd w:val="clear" w:color="auto" w:fill="auto"/>
            <w:vAlign w:val="center"/>
          </w:tcPr>
          <w:p w14:paraId="67F248AD">
            <w:pPr>
              <w:jc w:val="center"/>
              <w:rPr>
                <w:rFonts w:hint="eastAsia" w:ascii="宋体" w:hAnsi="宋体" w:eastAsia="宋体" w:cs="宋体"/>
                <w:b/>
                <w:bCs/>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noWrap/>
            <w:vAlign w:val="center"/>
          </w:tcPr>
          <w:p w14:paraId="5A5E4D43">
            <w:pPr>
              <w:jc w:val="center"/>
              <w:rPr>
                <w:rFonts w:hint="eastAsia" w:ascii="宋体" w:hAnsi="宋体" w:eastAsia="宋体" w:cs="宋体"/>
                <w:i w:val="0"/>
                <w:iCs w:val="0"/>
                <w:color w:val="auto"/>
                <w:sz w:val="22"/>
                <w:szCs w:val="22"/>
                <w:highlight w:val="none"/>
                <w:u w:val="none"/>
              </w:rPr>
            </w:pPr>
          </w:p>
        </w:tc>
      </w:tr>
      <w:tr w14:paraId="19B5C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051" w:type="pct"/>
            <w:gridSpan w:val="10"/>
            <w:tcBorders>
              <w:top w:val="nil"/>
              <w:left w:val="single" w:color="000000" w:sz="8" w:space="0"/>
              <w:bottom w:val="single" w:color="000000" w:sz="8" w:space="0"/>
              <w:right w:val="single" w:color="000000" w:sz="8" w:space="0"/>
            </w:tcBorders>
            <w:shd w:val="clear" w:color="auto" w:fill="auto"/>
            <w:noWrap/>
            <w:vAlign w:val="center"/>
          </w:tcPr>
          <w:p w14:paraId="6D935B7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二、DN（40-200）螺翼式冷水水表及附属配件</w:t>
            </w:r>
          </w:p>
        </w:tc>
      </w:tr>
      <w:tr w14:paraId="35E7E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57E7B6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项号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48B791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075AF9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型号规格</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7643FD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6F148C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401" w:type="pct"/>
            <w:tcBorders>
              <w:top w:val="nil"/>
              <w:left w:val="single" w:color="000000" w:sz="8" w:space="0"/>
              <w:bottom w:val="nil"/>
              <w:right w:val="single" w:color="000000" w:sz="8" w:space="0"/>
            </w:tcBorders>
            <w:shd w:val="clear" w:color="auto" w:fill="auto"/>
            <w:vAlign w:val="center"/>
          </w:tcPr>
          <w:p w14:paraId="4F2C78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产品单价（含税）</w:t>
            </w:r>
          </w:p>
        </w:tc>
        <w:tc>
          <w:tcPr>
            <w:tcW w:w="385" w:type="pct"/>
            <w:tcBorders>
              <w:top w:val="nil"/>
              <w:left w:val="single" w:color="000000" w:sz="8" w:space="0"/>
              <w:bottom w:val="nil"/>
              <w:right w:val="single" w:color="000000" w:sz="8" w:space="0"/>
            </w:tcBorders>
            <w:shd w:val="clear" w:color="auto" w:fill="auto"/>
            <w:vAlign w:val="center"/>
          </w:tcPr>
          <w:p w14:paraId="74A24D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安装单价（含税）</w:t>
            </w:r>
          </w:p>
        </w:tc>
        <w:tc>
          <w:tcPr>
            <w:tcW w:w="401" w:type="pct"/>
            <w:tcBorders>
              <w:top w:val="nil"/>
              <w:left w:val="single" w:color="000000" w:sz="8" w:space="0"/>
              <w:bottom w:val="single" w:color="000000" w:sz="8" w:space="0"/>
              <w:right w:val="single" w:color="000000" w:sz="8" w:space="0"/>
            </w:tcBorders>
            <w:shd w:val="clear" w:color="auto" w:fill="auto"/>
            <w:vAlign w:val="center"/>
          </w:tcPr>
          <w:p w14:paraId="74F7F0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综合单价</w:t>
            </w:r>
          </w:p>
        </w:tc>
        <w:tc>
          <w:tcPr>
            <w:tcW w:w="551" w:type="pct"/>
            <w:tcBorders>
              <w:top w:val="nil"/>
              <w:left w:val="single" w:color="000000" w:sz="8" w:space="0"/>
              <w:bottom w:val="single" w:color="000000" w:sz="8" w:space="0"/>
              <w:right w:val="single" w:color="000000" w:sz="8" w:space="0"/>
            </w:tcBorders>
            <w:shd w:val="clear" w:color="auto" w:fill="auto"/>
            <w:vAlign w:val="center"/>
          </w:tcPr>
          <w:p w14:paraId="26AB67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总价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45D1FD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63A21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15E98D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385" w:type="pct"/>
            <w:vMerge w:val="restart"/>
            <w:tcBorders>
              <w:top w:val="nil"/>
              <w:left w:val="nil"/>
              <w:bottom w:val="single" w:color="000000" w:sz="8" w:space="0"/>
              <w:right w:val="single" w:color="000000" w:sz="8" w:space="0"/>
            </w:tcBorders>
            <w:shd w:val="clear" w:color="auto" w:fill="auto"/>
            <w:vAlign w:val="center"/>
          </w:tcPr>
          <w:p w14:paraId="1FA2A1C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水平螺翼式冷水水表</w:t>
            </w:r>
          </w:p>
        </w:tc>
        <w:tc>
          <w:tcPr>
            <w:tcW w:w="385" w:type="pct"/>
            <w:tcBorders>
              <w:top w:val="nil"/>
              <w:left w:val="nil"/>
              <w:bottom w:val="single" w:color="000000" w:sz="8" w:space="0"/>
              <w:right w:val="single" w:color="000000" w:sz="8" w:space="0"/>
            </w:tcBorders>
            <w:shd w:val="clear" w:color="auto" w:fill="auto"/>
            <w:vAlign w:val="center"/>
          </w:tcPr>
          <w:p w14:paraId="40BBB10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DN80</w:t>
            </w:r>
          </w:p>
        </w:tc>
        <w:tc>
          <w:tcPr>
            <w:tcW w:w="385" w:type="pct"/>
            <w:tcBorders>
              <w:top w:val="nil"/>
              <w:left w:val="nil"/>
              <w:bottom w:val="single" w:color="000000" w:sz="8" w:space="0"/>
              <w:right w:val="single" w:color="000000" w:sz="8" w:space="0"/>
            </w:tcBorders>
            <w:shd w:val="clear" w:color="auto" w:fill="auto"/>
            <w:vAlign w:val="center"/>
          </w:tcPr>
          <w:p w14:paraId="3BCB8F9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4B6D2D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318</w:t>
            </w:r>
          </w:p>
        </w:tc>
        <w:tc>
          <w:tcPr>
            <w:tcW w:w="401" w:type="pct"/>
            <w:tcBorders>
              <w:top w:val="single" w:color="000000" w:sz="8" w:space="0"/>
              <w:left w:val="nil"/>
              <w:bottom w:val="single" w:color="000000" w:sz="8" w:space="0"/>
              <w:right w:val="single" w:color="000000" w:sz="8" w:space="0"/>
            </w:tcBorders>
            <w:shd w:val="clear" w:color="auto" w:fill="auto"/>
            <w:vAlign w:val="center"/>
          </w:tcPr>
          <w:p w14:paraId="6F1DC688">
            <w:pPr>
              <w:jc w:val="center"/>
              <w:rPr>
                <w:rFonts w:hint="eastAsia" w:ascii="宋体" w:hAnsi="宋体" w:eastAsia="宋体" w:cs="宋体"/>
                <w:i w:val="0"/>
                <w:iCs w:val="0"/>
                <w:color w:val="auto"/>
                <w:sz w:val="22"/>
                <w:szCs w:val="22"/>
                <w:highlight w:val="none"/>
                <w:u w:val="none"/>
              </w:rPr>
            </w:pPr>
          </w:p>
        </w:tc>
        <w:tc>
          <w:tcPr>
            <w:tcW w:w="385" w:type="pct"/>
            <w:tcBorders>
              <w:top w:val="single" w:color="000000" w:sz="8" w:space="0"/>
              <w:left w:val="nil"/>
              <w:bottom w:val="single" w:color="000000" w:sz="8" w:space="0"/>
              <w:right w:val="single" w:color="000000" w:sz="8" w:space="0"/>
            </w:tcBorders>
            <w:shd w:val="clear" w:color="auto" w:fill="auto"/>
            <w:vAlign w:val="center"/>
          </w:tcPr>
          <w:p w14:paraId="063D112C">
            <w:pPr>
              <w:jc w:val="center"/>
              <w:rPr>
                <w:rFonts w:hint="eastAsia" w:ascii="宋体" w:hAnsi="宋体" w:eastAsia="宋体" w:cs="宋体"/>
                <w:i w:val="0"/>
                <w:iCs w:val="0"/>
                <w:color w:val="auto"/>
                <w:sz w:val="22"/>
                <w:szCs w:val="22"/>
                <w:highlight w:val="none"/>
                <w:u w:val="none"/>
              </w:rPr>
            </w:pPr>
          </w:p>
        </w:tc>
        <w:tc>
          <w:tcPr>
            <w:tcW w:w="401" w:type="pct"/>
            <w:tcBorders>
              <w:top w:val="single" w:color="000000" w:sz="8" w:space="0"/>
              <w:left w:val="nil"/>
              <w:bottom w:val="single" w:color="000000" w:sz="8" w:space="0"/>
              <w:right w:val="single" w:color="000000" w:sz="8" w:space="0"/>
            </w:tcBorders>
            <w:shd w:val="clear" w:color="auto" w:fill="auto"/>
            <w:vAlign w:val="center"/>
          </w:tcPr>
          <w:p w14:paraId="61504504">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393ADA5D">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top"/>
          </w:tcPr>
          <w:p w14:paraId="5C6F2D47">
            <w:pPr>
              <w:jc w:val="center"/>
              <w:rPr>
                <w:rFonts w:hint="eastAsia" w:ascii="宋体" w:hAnsi="宋体" w:eastAsia="宋体" w:cs="宋体"/>
                <w:i w:val="0"/>
                <w:iCs w:val="0"/>
                <w:color w:val="auto"/>
                <w:sz w:val="24"/>
                <w:szCs w:val="24"/>
                <w:highlight w:val="none"/>
                <w:u w:val="none"/>
              </w:rPr>
            </w:pPr>
          </w:p>
        </w:tc>
      </w:tr>
      <w:tr w14:paraId="2DFEB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3E9D83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385" w:type="pct"/>
            <w:vMerge w:val="continue"/>
            <w:tcBorders>
              <w:top w:val="nil"/>
              <w:left w:val="nil"/>
              <w:bottom w:val="single" w:color="000000" w:sz="8" w:space="0"/>
              <w:right w:val="single" w:color="000000" w:sz="8" w:space="0"/>
            </w:tcBorders>
            <w:shd w:val="clear" w:color="auto" w:fill="auto"/>
            <w:vAlign w:val="center"/>
          </w:tcPr>
          <w:p w14:paraId="6CF804D5">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B59FF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DN100</w:t>
            </w:r>
          </w:p>
        </w:tc>
        <w:tc>
          <w:tcPr>
            <w:tcW w:w="385" w:type="pct"/>
            <w:tcBorders>
              <w:top w:val="nil"/>
              <w:left w:val="nil"/>
              <w:bottom w:val="single" w:color="000000" w:sz="8" w:space="0"/>
              <w:right w:val="single" w:color="000000" w:sz="8" w:space="0"/>
            </w:tcBorders>
            <w:shd w:val="clear" w:color="auto" w:fill="auto"/>
            <w:vAlign w:val="center"/>
          </w:tcPr>
          <w:p w14:paraId="283D4A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3FC25D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4253</w:t>
            </w:r>
          </w:p>
        </w:tc>
        <w:tc>
          <w:tcPr>
            <w:tcW w:w="401" w:type="pct"/>
            <w:tcBorders>
              <w:top w:val="nil"/>
              <w:left w:val="nil"/>
              <w:bottom w:val="single" w:color="000000" w:sz="8" w:space="0"/>
              <w:right w:val="single" w:color="000000" w:sz="8" w:space="0"/>
            </w:tcBorders>
            <w:shd w:val="clear" w:color="auto" w:fill="auto"/>
            <w:vAlign w:val="center"/>
          </w:tcPr>
          <w:p w14:paraId="7DD86B94">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6DA27CF">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1794D5EE">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352F5FD3">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352A3880">
            <w:pPr>
              <w:jc w:val="center"/>
              <w:rPr>
                <w:rFonts w:hint="default" w:ascii="Arial" w:hAnsi="Arial" w:eastAsia="宋体" w:cs="Arial"/>
                <w:i w:val="0"/>
                <w:iCs w:val="0"/>
                <w:color w:val="auto"/>
                <w:sz w:val="22"/>
                <w:szCs w:val="22"/>
                <w:highlight w:val="none"/>
                <w:u w:val="none"/>
              </w:rPr>
            </w:pPr>
          </w:p>
        </w:tc>
      </w:tr>
      <w:tr w14:paraId="0E386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10E51D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385" w:type="pct"/>
            <w:vMerge w:val="continue"/>
            <w:tcBorders>
              <w:top w:val="nil"/>
              <w:left w:val="nil"/>
              <w:bottom w:val="single" w:color="000000" w:sz="8" w:space="0"/>
              <w:right w:val="single" w:color="000000" w:sz="8" w:space="0"/>
            </w:tcBorders>
            <w:shd w:val="clear" w:color="auto" w:fill="auto"/>
            <w:vAlign w:val="center"/>
          </w:tcPr>
          <w:p w14:paraId="7FC9CFC3">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786FD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DN150</w:t>
            </w:r>
          </w:p>
        </w:tc>
        <w:tc>
          <w:tcPr>
            <w:tcW w:w="385" w:type="pct"/>
            <w:tcBorders>
              <w:top w:val="nil"/>
              <w:left w:val="nil"/>
              <w:bottom w:val="single" w:color="000000" w:sz="8" w:space="0"/>
              <w:right w:val="single" w:color="000000" w:sz="8" w:space="0"/>
            </w:tcBorders>
            <w:shd w:val="clear" w:color="auto" w:fill="auto"/>
            <w:vAlign w:val="center"/>
          </w:tcPr>
          <w:p w14:paraId="27533A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4C9BA87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278</w:t>
            </w:r>
          </w:p>
        </w:tc>
        <w:tc>
          <w:tcPr>
            <w:tcW w:w="401" w:type="pct"/>
            <w:tcBorders>
              <w:top w:val="nil"/>
              <w:left w:val="nil"/>
              <w:bottom w:val="single" w:color="000000" w:sz="8" w:space="0"/>
              <w:right w:val="single" w:color="000000" w:sz="8" w:space="0"/>
            </w:tcBorders>
            <w:shd w:val="clear" w:color="auto" w:fill="auto"/>
            <w:vAlign w:val="center"/>
          </w:tcPr>
          <w:p w14:paraId="721A4C4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926BD5C">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760FDB63">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2A9BE69F">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noWrap/>
            <w:vAlign w:val="center"/>
          </w:tcPr>
          <w:p w14:paraId="432ACC74">
            <w:pPr>
              <w:jc w:val="center"/>
              <w:rPr>
                <w:rFonts w:hint="eastAsia" w:ascii="宋体" w:hAnsi="宋体" w:eastAsia="宋体" w:cs="宋体"/>
                <w:i w:val="0"/>
                <w:iCs w:val="0"/>
                <w:color w:val="auto"/>
                <w:sz w:val="22"/>
                <w:szCs w:val="22"/>
                <w:highlight w:val="none"/>
                <w:u w:val="none"/>
              </w:rPr>
            </w:pPr>
          </w:p>
        </w:tc>
      </w:tr>
      <w:tr w14:paraId="0DE60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6F7B73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385" w:type="pct"/>
            <w:vMerge w:val="continue"/>
            <w:tcBorders>
              <w:top w:val="nil"/>
              <w:left w:val="nil"/>
              <w:bottom w:val="single" w:color="000000" w:sz="8" w:space="0"/>
              <w:right w:val="single" w:color="000000" w:sz="8" w:space="0"/>
            </w:tcBorders>
            <w:shd w:val="clear" w:color="auto" w:fill="auto"/>
            <w:vAlign w:val="center"/>
          </w:tcPr>
          <w:p w14:paraId="29129860">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AA682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DN200</w:t>
            </w:r>
          </w:p>
        </w:tc>
        <w:tc>
          <w:tcPr>
            <w:tcW w:w="385" w:type="pct"/>
            <w:tcBorders>
              <w:top w:val="nil"/>
              <w:left w:val="nil"/>
              <w:bottom w:val="single" w:color="000000" w:sz="8" w:space="0"/>
              <w:right w:val="single" w:color="000000" w:sz="8" w:space="0"/>
            </w:tcBorders>
            <w:shd w:val="clear" w:color="auto" w:fill="auto"/>
            <w:vAlign w:val="center"/>
          </w:tcPr>
          <w:p w14:paraId="09D6F6F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2FC497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401" w:type="pct"/>
            <w:tcBorders>
              <w:top w:val="nil"/>
              <w:left w:val="nil"/>
              <w:bottom w:val="single" w:color="000000" w:sz="8" w:space="0"/>
              <w:right w:val="single" w:color="000000" w:sz="8" w:space="0"/>
            </w:tcBorders>
            <w:shd w:val="clear" w:color="auto" w:fill="auto"/>
            <w:vAlign w:val="center"/>
          </w:tcPr>
          <w:p w14:paraId="57C8F067">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3142F0C8">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56CA8781">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2C361CD0">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6F53CE6">
            <w:pPr>
              <w:jc w:val="center"/>
              <w:rPr>
                <w:rFonts w:hint="default" w:ascii="Arial" w:hAnsi="Arial" w:eastAsia="宋体" w:cs="Arial"/>
                <w:i w:val="0"/>
                <w:iCs w:val="0"/>
                <w:color w:val="auto"/>
                <w:sz w:val="22"/>
                <w:szCs w:val="22"/>
                <w:highlight w:val="none"/>
                <w:u w:val="none"/>
              </w:rPr>
            </w:pPr>
          </w:p>
        </w:tc>
      </w:tr>
      <w:tr w14:paraId="46CB4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54943E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w:t>
            </w:r>
          </w:p>
        </w:tc>
        <w:tc>
          <w:tcPr>
            <w:tcW w:w="385" w:type="pct"/>
            <w:vMerge w:val="restart"/>
            <w:tcBorders>
              <w:top w:val="nil"/>
              <w:left w:val="nil"/>
              <w:bottom w:val="single" w:color="000000" w:sz="8" w:space="0"/>
              <w:right w:val="single" w:color="000000" w:sz="8" w:space="0"/>
            </w:tcBorders>
            <w:shd w:val="clear" w:color="auto" w:fill="auto"/>
            <w:vAlign w:val="center"/>
          </w:tcPr>
          <w:p w14:paraId="47D0122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可拆卸螺翼式干式发讯冷水水表（带橡胶垫片）</w:t>
            </w:r>
          </w:p>
        </w:tc>
        <w:tc>
          <w:tcPr>
            <w:tcW w:w="385" w:type="pct"/>
            <w:tcBorders>
              <w:top w:val="nil"/>
              <w:left w:val="nil"/>
              <w:bottom w:val="single" w:color="000000" w:sz="8" w:space="0"/>
              <w:right w:val="single" w:color="000000" w:sz="8" w:space="0"/>
            </w:tcBorders>
            <w:shd w:val="clear" w:color="auto" w:fill="auto"/>
            <w:vAlign w:val="center"/>
          </w:tcPr>
          <w:p w14:paraId="668F71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DN40</w:t>
            </w:r>
          </w:p>
        </w:tc>
        <w:tc>
          <w:tcPr>
            <w:tcW w:w="385" w:type="pct"/>
            <w:tcBorders>
              <w:top w:val="nil"/>
              <w:left w:val="nil"/>
              <w:bottom w:val="single" w:color="000000" w:sz="8" w:space="0"/>
              <w:right w:val="single" w:color="000000" w:sz="8" w:space="0"/>
            </w:tcBorders>
            <w:shd w:val="clear" w:color="auto" w:fill="auto"/>
            <w:vAlign w:val="center"/>
          </w:tcPr>
          <w:p w14:paraId="773DBA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FFFFFF"/>
            <w:vAlign w:val="center"/>
          </w:tcPr>
          <w:p w14:paraId="3FA6A0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139</w:t>
            </w:r>
          </w:p>
        </w:tc>
        <w:tc>
          <w:tcPr>
            <w:tcW w:w="401" w:type="pct"/>
            <w:tcBorders>
              <w:top w:val="nil"/>
              <w:left w:val="nil"/>
              <w:bottom w:val="single" w:color="000000" w:sz="8" w:space="0"/>
              <w:right w:val="single" w:color="000000" w:sz="8" w:space="0"/>
            </w:tcBorders>
            <w:shd w:val="clear" w:color="auto" w:fill="auto"/>
            <w:vAlign w:val="center"/>
          </w:tcPr>
          <w:p w14:paraId="13A8E135">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2415C90F">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1A97F5AD">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7B8CAD88">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top"/>
          </w:tcPr>
          <w:p w14:paraId="5A90C58C">
            <w:pPr>
              <w:jc w:val="center"/>
              <w:rPr>
                <w:rFonts w:hint="eastAsia" w:ascii="宋体" w:hAnsi="宋体" w:eastAsia="宋体" w:cs="宋体"/>
                <w:i w:val="0"/>
                <w:iCs w:val="0"/>
                <w:color w:val="auto"/>
                <w:sz w:val="24"/>
                <w:szCs w:val="24"/>
                <w:highlight w:val="none"/>
                <w:u w:val="none"/>
              </w:rPr>
            </w:pPr>
          </w:p>
        </w:tc>
      </w:tr>
      <w:tr w14:paraId="4C2C8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3597979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385" w:type="pct"/>
            <w:vMerge w:val="continue"/>
            <w:tcBorders>
              <w:top w:val="nil"/>
              <w:left w:val="nil"/>
              <w:bottom w:val="single" w:color="000000" w:sz="8" w:space="0"/>
              <w:right w:val="single" w:color="000000" w:sz="8" w:space="0"/>
            </w:tcBorders>
            <w:shd w:val="clear" w:color="auto" w:fill="auto"/>
            <w:vAlign w:val="center"/>
          </w:tcPr>
          <w:p w14:paraId="103990F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8F2E4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DN50</w:t>
            </w:r>
          </w:p>
        </w:tc>
        <w:tc>
          <w:tcPr>
            <w:tcW w:w="385" w:type="pct"/>
            <w:tcBorders>
              <w:top w:val="nil"/>
              <w:left w:val="nil"/>
              <w:bottom w:val="single" w:color="000000" w:sz="8" w:space="0"/>
              <w:right w:val="single" w:color="000000" w:sz="8" w:space="0"/>
            </w:tcBorders>
            <w:shd w:val="clear" w:color="auto" w:fill="auto"/>
            <w:vAlign w:val="center"/>
          </w:tcPr>
          <w:p w14:paraId="0AE9CF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FFFFFF"/>
            <w:vAlign w:val="center"/>
          </w:tcPr>
          <w:p w14:paraId="4C2D0F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45</w:t>
            </w:r>
          </w:p>
        </w:tc>
        <w:tc>
          <w:tcPr>
            <w:tcW w:w="401" w:type="pct"/>
            <w:tcBorders>
              <w:top w:val="nil"/>
              <w:left w:val="nil"/>
              <w:bottom w:val="single" w:color="000000" w:sz="8" w:space="0"/>
              <w:right w:val="single" w:color="000000" w:sz="8" w:space="0"/>
            </w:tcBorders>
            <w:shd w:val="clear" w:color="auto" w:fill="auto"/>
            <w:vAlign w:val="center"/>
          </w:tcPr>
          <w:p w14:paraId="4186F18E">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DA8B3AA">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7A52F466">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5E8D64B9">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3333CA2">
            <w:pPr>
              <w:jc w:val="center"/>
              <w:rPr>
                <w:rFonts w:hint="default" w:ascii="Arial" w:hAnsi="Arial" w:eastAsia="宋体" w:cs="Arial"/>
                <w:i w:val="0"/>
                <w:iCs w:val="0"/>
                <w:color w:val="auto"/>
                <w:sz w:val="22"/>
                <w:szCs w:val="22"/>
                <w:highlight w:val="none"/>
                <w:u w:val="none"/>
              </w:rPr>
            </w:pPr>
          </w:p>
        </w:tc>
      </w:tr>
      <w:tr w14:paraId="3E7DA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6510F3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7</w:t>
            </w:r>
          </w:p>
        </w:tc>
        <w:tc>
          <w:tcPr>
            <w:tcW w:w="385" w:type="pct"/>
            <w:vMerge w:val="continue"/>
            <w:tcBorders>
              <w:top w:val="nil"/>
              <w:left w:val="nil"/>
              <w:bottom w:val="single" w:color="000000" w:sz="8" w:space="0"/>
              <w:right w:val="single" w:color="000000" w:sz="8" w:space="0"/>
            </w:tcBorders>
            <w:shd w:val="clear" w:color="auto" w:fill="auto"/>
            <w:vAlign w:val="center"/>
          </w:tcPr>
          <w:p w14:paraId="51D0D120">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72491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DN80</w:t>
            </w:r>
          </w:p>
        </w:tc>
        <w:tc>
          <w:tcPr>
            <w:tcW w:w="385" w:type="pct"/>
            <w:tcBorders>
              <w:top w:val="nil"/>
              <w:left w:val="nil"/>
              <w:bottom w:val="single" w:color="000000" w:sz="8" w:space="0"/>
              <w:right w:val="single" w:color="000000" w:sz="8" w:space="0"/>
            </w:tcBorders>
            <w:shd w:val="clear" w:color="auto" w:fill="auto"/>
            <w:vAlign w:val="center"/>
          </w:tcPr>
          <w:p w14:paraId="6D7016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FFFFFF"/>
            <w:vAlign w:val="center"/>
          </w:tcPr>
          <w:p w14:paraId="682D2B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43</w:t>
            </w:r>
          </w:p>
        </w:tc>
        <w:tc>
          <w:tcPr>
            <w:tcW w:w="401" w:type="pct"/>
            <w:tcBorders>
              <w:top w:val="nil"/>
              <w:left w:val="nil"/>
              <w:bottom w:val="single" w:color="000000" w:sz="8" w:space="0"/>
              <w:right w:val="single" w:color="000000" w:sz="8" w:space="0"/>
            </w:tcBorders>
            <w:shd w:val="clear" w:color="auto" w:fill="auto"/>
            <w:vAlign w:val="center"/>
          </w:tcPr>
          <w:p w14:paraId="5E0890AF">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0234AC3">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1E7B2820">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12770912">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BEC9097">
            <w:pPr>
              <w:jc w:val="center"/>
              <w:rPr>
                <w:rFonts w:hint="default" w:ascii="Arial" w:hAnsi="Arial" w:eastAsia="宋体" w:cs="Arial"/>
                <w:i w:val="0"/>
                <w:iCs w:val="0"/>
                <w:color w:val="auto"/>
                <w:sz w:val="22"/>
                <w:szCs w:val="22"/>
                <w:highlight w:val="none"/>
                <w:u w:val="none"/>
              </w:rPr>
            </w:pPr>
          </w:p>
        </w:tc>
      </w:tr>
      <w:tr w14:paraId="6F5AA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0DB1C6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8</w:t>
            </w:r>
          </w:p>
        </w:tc>
        <w:tc>
          <w:tcPr>
            <w:tcW w:w="385" w:type="pct"/>
            <w:vMerge w:val="continue"/>
            <w:tcBorders>
              <w:top w:val="nil"/>
              <w:left w:val="nil"/>
              <w:bottom w:val="single" w:color="000000" w:sz="8" w:space="0"/>
              <w:right w:val="single" w:color="000000" w:sz="8" w:space="0"/>
            </w:tcBorders>
            <w:shd w:val="clear" w:color="auto" w:fill="auto"/>
            <w:vAlign w:val="center"/>
          </w:tcPr>
          <w:p w14:paraId="7974DF9D">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5B4B601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DN100</w:t>
            </w:r>
          </w:p>
        </w:tc>
        <w:tc>
          <w:tcPr>
            <w:tcW w:w="385" w:type="pct"/>
            <w:tcBorders>
              <w:top w:val="nil"/>
              <w:left w:val="nil"/>
              <w:bottom w:val="single" w:color="000000" w:sz="8" w:space="0"/>
              <w:right w:val="single" w:color="000000" w:sz="8" w:space="0"/>
            </w:tcBorders>
            <w:shd w:val="clear" w:color="auto" w:fill="auto"/>
            <w:vAlign w:val="center"/>
          </w:tcPr>
          <w:p w14:paraId="3F010E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FFFFFF"/>
            <w:vAlign w:val="center"/>
          </w:tcPr>
          <w:p w14:paraId="3CB70F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106</w:t>
            </w:r>
          </w:p>
        </w:tc>
        <w:tc>
          <w:tcPr>
            <w:tcW w:w="401" w:type="pct"/>
            <w:tcBorders>
              <w:top w:val="nil"/>
              <w:left w:val="nil"/>
              <w:bottom w:val="single" w:color="000000" w:sz="8" w:space="0"/>
              <w:right w:val="single" w:color="000000" w:sz="8" w:space="0"/>
            </w:tcBorders>
            <w:shd w:val="clear" w:color="auto" w:fill="auto"/>
            <w:vAlign w:val="center"/>
          </w:tcPr>
          <w:p w14:paraId="588A3548">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4081C2D">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18B03C86">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63F7251D">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B922EAE">
            <w:pPr>
              <w:jc w:val="center"/>
              <w:rPr>
                <w:rFonts w:hint="default" w:ascii="Arial" w:hAnsi="Arial" w:eastAsia="宋体" w:cs="Arial"/>
                <w:i w:val="0"/>
                <w:iCs w:val="0"/>
                <w:color w:val="auto"/>
                <w:sz w:val="22"/>
                <w:szCs w:val="22"/>
                <w:highlight w:val="none"/>
                <w:u w:val="none"/>
              </w:rPr>
            </w:pPr>
          </w:p>
        </w:tc>
      </w:tr>
      <w:tr w14:paraId="52D0B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6962AC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9</w:t>
            </w:r>
          </w:p>
        </w:tc>
        <w:tc>
          <w:tcPr>
            <w:tcW w:w="385" w:type="pct"/>
            <w:vMerge w:val="continue"/>
            <w:tcBorders>
              <w:top w:val="nil"/>
              <w:left w:val="nil"/>
              <w:bottom w:val="single" w:color="000000" w:sz="8" w:space="0"/>
              <w:right w:val="single" w:color="000000" w:sz="8" w:space="0"/>
            </w:tcBorders>
            <w:shd w:val="clear" w:color="auto" w:fill="auto"/>
            <w:vAlign w:val="center"/>
          </w:tcPr>
          <w:p w14:paraId="5313F988">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29729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DN150</w:t>
            </w:r>
          </w:p>
        </w:tc>
        <w:tc>
          <w:tcPr>
            <w:tcW w:w="385" w:type="pct"/>
            <w:tcBorders>
              <w:top w:val="nil"/>
              <w:left w:val="nil"/>
              <w:bottom w:val="single" w:color="000000" w:sz="8" w:space="0"/>
              <w:right w:val="single" w:color="000000" w:sz="8" w:space="0"/>
            </w:tcBorders>
            <w:shd w:val="clear" w:color="auto" w:fill="auto"/>
            <w:vAlign w:val="center"/>
          </w:tcPr>
          <w:p w14:paraId="698F2C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FFFFFF"/>
            <w:vAlign w:val="center"/>
          </w:tcPr>
          <w:p w14:paraId="269C9B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15</w:t>
            </w:r>
          </w:p>
        </w:tc>
        <w:tc>
          <w:tcPr>
            <w:tcW w:w="401" w:type="pct"/>
            <w:tcBorders>
              <w:top w:val="nil"/>
              <w:left w:val="nil"/>
              <w:bottom w:val="single" w:color="000000" w:sz="8" w:space="0"/>
              <w:right w:val="single" w:color="000000" w:sz="8" w:space="0"/>
            </w:tcBorders>
            <w:shd w:val="clear" w:color="auto" w:fill="auto"/>
            <w:vAlign w:val="center"/>
          </w:tcPr>
          <w:p w14:paraId="3ECFB186">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5F6C3625">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3DD64192">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5EB82CC3">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2C8E216E">
            <w:pPr>
              <w:jc w:val="center"/>
              <w:rPr>
                <w:rFonts w:hint="default" w:ascii="Arial" w:hAnsi="Arial" w:eastAsia="宋体" w:cs="Arial"/>
                <w:i w:val="0"/>
                <w:iCs w:val="0"/>
                <w:color w:val="auto"/>
                <w:sz w:val="22"/>
                <w:szCs w:val="22"/>
                <w:highlight w:val="none"/>
                <w:u w:val="none"/>
              </w:rPr>
            </w:pPr>
          </w:p>
        </w:tc>
      </w:tr>
      <w:tr w14:paraId="0E576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50188B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10</w:t>
            </w:r>
          </w:p>
        </w:tc>
        <w:tc>
          <w:tcPr>
            <w:tcW w:w="385" w:type="pct"/>
            <w:vMerge w:val="continue"/>
            <w:tcBorders>
              <w:top w:val="nil"/>
              <w:left w:val="nil"/>
              <w:bottom w:val="single" w:color="000000" w:sz="8" w:space="0"/>
              <w:right w:val="single" w:color="000000" w:sz="8" w:space="0"/>
            </w:tcBorders>
            <w:shd w:val="clear" w:color="auto" w:fill="auto"/>
            <w:vAlign w:val="center"/>
          </w:tcPr>
          <w:p w14:paraId="65C950B3">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53E5E0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DN200</w:t>
            </w:r>
          </w:p>
        </w:tc>
        <w:tc>
          <w:tcPr>
            <w:tcW w:w="385" w:type="pct"/>
            <w:tcBorders>
              <w:top w:val="nil"/>
              <w:left w:val="nil"/>
              <w:bottom w:val="single" w:color="000000" w:sz="8" w:space="0"/>
              <w:right w:val="single" w:color="000000" w:sz="8" w:space="0"/>
            </w:tcBorders>
            <w:shd w:val="clear" w:color="auto" w:fill="auto"/>
            <w:vAlign w:val="center"/>
          </w:tcPr>
          <w:p w14:paraId="03681C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FFFFFF"/>
            <w:vAlign w:val="center"/>
          </w:tcPr>
          <w:p w14:paraId="717261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401" w:type="pct"/>
            <w:tcBorders>
              <w:top w:val="nil"/>
              <w:left w:val="nil"/>
              <w:bottom w:val="single" w:color="000000" w:sz="8" w:space="0"/>
              <w:right w:val="single" w:color="000000" w:sz="8" w:space="0"/>
            </w:tcBorders>
            <w:shd w:val="clear" w:color="auto" w:fill="auto"/>
            <w:vAlign w:val="center"/>
          </w:tcPr>
          <w:p w14:paraId="503ECA5D">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8ED5F6C">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5F5A8C4F">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7C789870">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1F1CA09">
            <w:pPr>
              <w:jc w:val="center"/>
              <w:rPr>
                <w:rFonts w:hint="default" w:ascii="Arial" w:hAnsi="Arial" w:eastAsia="宋体" w:cs="Arial"/>
                <w:i w:val="0"/>
                <w:iCs w:val="0"/>
                <w:color w:val="auto"/>
                <w:sz w:val="22"/>
                <w:szCs w:val="22"/>
                <w:highlight w:val="none"/>
                <w:u w:val="none"/>
              </w:rPr>
            </w:pPr>
          </w:p>
        </w:tc>
      </w:tr>
      <w:tr w14:paraId="7AE44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26" w:type="pct"/>
            <w:gridSpan w:val="5"/>
            <w:tcBorders>
              <w:top w:val="nil"/>
              <w:left w:val="single" w:color="000000" w:sz="8" w:space="0"/>
              <w:bottom w:val="single" w:color="000000" w:sz="8" w:space="0"/>
              <w:right w:val="single" w:color="000000" w:sz="8" w:space="0"/>
            </w:tcBorders>
            <w:shd w:val="clear" w:color="auto" w:fill="auto"/>
            <w:vAlign w:val="center"/>
          </w:tcPr>
          <w:p w14:paraId="2360C80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合计（元）</w:t>
            </w:r>
          </w:p>
        </w:tc>
        <w:tc>
          <w:tcPr>
            <w:tcW w:w="1739" w:type="pct"/>
            <w:gridSpan w:val="4"/>
            <w:tcBorders>
              <w:top w:val="nil"/>
              <w:left w:val="nil"/>
              <w:bottom w:val="single" w:color="000000" w:sz="8" w:space="0"/>
              <w:right w:val="single" w:color="000000" w:sz="8" w:space="0"/>
            </w:tcBorders>
            <w:shd w:val="clear" w:color="auto" w:fill="auto"/>
            <w:noWrap/>
            <w:vAlign w:val="center"/>
          </w:tcPr>
          <w:p w14:paraId="63F7034A">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noWrap/>
            <w:vAlign w:val="center"/>
          </w:tcPr>
          <w:p w14:paraId="1E1B6413">
            <w:pPr>
              <w:jc w:val="center"/>
              <w:rPr>
                <w:rFonts w:hint="eastAsia" w:ascii="宋体" w:hAnsi="宋体" w:eastAsia="宋体" w:cs="宋体"/>
                <w:i w:val="0"/>
                <w:iCs w:val="0"/>
                <w:color w:val="auto"/>
                <w:sz w:val="22"/>
                <w:szCs w:val="22"/>
                <w:highlight w:val="none"/>
                <w:u w:val="none"/>
              </w:rPr>
            </w:pPr>
          </w:p>
        </w:tc>
      </w:tr>
      <w:tr w14:paraId="22F3C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051" w:type="pct"/>
            <w:gridSpan w:val="10"/>
            <w:tcBorders>
              <w:top w:val="nil"/>
              <w:left w:val="single" w:color="000000" w:sz="8" w:space="0"/>
              <w:bottom w:val="single" w:color="000000" w:sz="8" w:space="0"/>
              <w:right w:val="single" w:color="000000" w:sz="8" w:space="0"/>
            </w:tcBorders>
            <w:shd w:val="clear" w:color="auto" w:fill="auto"/>
            <w:noWrap/>
            <w:vAlign w:val="center"/>
          </w:tcPr>
          <w:p w14:paraId="1EBE90F5">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三、DN15旋翼式无磁远传水表及配件</w:t>
            </w:r>
          </w:p>
        </w:tc>
      </w:tr>
      <w:tr w14:paraId="6F7E2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111E7D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项号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7A79AB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70DF07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型号规格</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637284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5C1B91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401" w:type="pct"/>
            <w:tcBorders>
              <w:top w:val="nil"/>
              <w:left w:val="single" w:color="000000" w:sz="8" w:space="0"/>
              <w:bottom w:val="nil"/>
              <w:right w:val="single" w:color="000000" w:sz="8" w:space="0"/>
            </w:tcBorders>
            <w:shd w:val="clear" w:color="auto" w:fill="auto"/>
            <w:vAlign w:val="center"/>
          </w:tcPr>
          <w:p w14:paraId="259B23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产品单价（含税）</w:t>
            </w:r>
          </w:p>
        </w:tc>
        <w:tc>
          <w:tcPr>
            <w:tcW w:w="385" w:type="pct"/>
            <w:tcBorders>
              <w:top w:val="nil"/>
              <w:left w:val="single" w:color="000000" w:sz="8" w:space="0"/>
              <w:bottom w:val="nil"/>
              <w:right w:val="single" w:color="000000" w:sz="8" w:space="0"/>
            </w:tcBorders>
            <w:shd w:val="clear" w:color="auto" w:fill="auto"/>
            <w:vAlign w:val="center"/>
          </w:tcPr>
          <w:p w14:paraId="192355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安装单价（含税）</w:t>
            </w:r>
          </w:p>
        </w:tc>
        <w:tc>
          <w:tcPr>
            <w:tcW w:w="401" w:type="pct"/>
            <w:tcBorders>
              <w:top w:val="nil"/>
              <w:left w:val="single" w:color="000000" w:sz="8" w:space="0"/>
              <w:bottom w:val="single" w:color="000000" w:sz="8" w:space="0"/>
              <w:right w:val="single" w:color="000000" w:sz="8" w:space="0"/>
            </w:tcBorders>
            <w:shd w:val="clear" w:color="auto" w:fill="auto"/>
            <w:vAlign w:val="center"/>
          </w:tcPr>
          <w:p w14:paraId="287792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综合单价</w:t>
            </w:r>
          </w:p>
        </w:tc>
        <w:tc>
          <w:tcPr>
            <w:tcW w:w="551" w:type="pct"/>
            <w:tcBorders>
              <w:top w:val="nil"/>
              <w:left w:val="single" w:color="000000" w:sz="8" w:space="0"/>
              <w:bottom w:val="single" w:color="000000" w:sz="8" w:space="0"/>
              <w:right w:val="single" w:color="000000" w:sz="8" w:space="0"/>
            </w:tcBorders>
            <w:shd w:val="clear" w:color="auto" w:fill="auto"/>
            <w:vAlign w:val="center"/>
          </w:tcPr>
          <w:p w14:paraId="4DCAF4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总价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7286CD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0D6A2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3E5A79C8">
            <w:pPr>
              <w:keepNext w:val="0"/>
              <w:keepLines w:val="0"/>
              <w:widowControl/>
              <w:suppressLineNumbers w:val="0"/>
              <w:jc w:val="center"/>
              <w:textAlignment w:val="center"/>
              <w:rPr>
                <w:rFonts w:hint="default" w:ascii="Arial" w:hAnsi="Arial" w:eastAsia="宋体" w:cs="Arial"/>
                <w:i w:val="0"/>
                <w:iCs w:val="0"/>
                <w:color w:val="auto"/>
                <w:sz w:val="22"/>
                <w:szCs w:val="22"/>
                <w:highlight w:val="none"/>
                <w:u w:val="none"/>
              </w:rPr>
            </w:pPr>
            <w:r>
              <w:rPr>
                <w:rFonts w:hint="default" w:ascii="Arial" w:hAnsi="Arial" w:eastAsia="宋体" w:cs="Arial"/>
                <w:i w:val="0"/>
                <w:iCs w:val="0"/>
                <w:snapToGrid w:val="0"/>
                <w:color w:val="auto"/>
                <w:kern w:val="0"/>
                <w:sz w:val="22"/>
                <w:szCs w:val="22"/>
                <w:highlight w:val="none"/>
                <w:u w:val="none"/>
                <w:lang w:val="en-US" w:eastAsia="zh-CN" w:bidi="ar"/>
              </w:rPr>
              <w:t>1</w:t>
            </w:r>
          </w:p>
        </w:tc>
        <w:tc>
          <w:tcPr>
            <w:tcW w:w="385" w:type="pct"/>
            <w:tcBorders>
              <w:top w:val="nil"/>
              <w:left w:val="nil"/>
              <w:bottom w:val="single" w:color="000000" w:sz="8" w:space="0"/>
              <w:right w:val="single" w:color="000000" w:sz="8" w:space="0"/>
            </w:tcBorders>
            <w:shd w:val="clear" w:color="auto" w:fill="auto"/>
            <w:vAlign w:val="center"/>
          </w:tcPr>
          <w:p w14:paraId="534E11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DN15旋翼式无磁远传水表</w:t>
            </w:r>
          </w:p>
        </w:tc>
        <w:tc>
          <w:tcPr>
            <w:tcW w:w="385" w:type="pct"/>
            <w:tcBorders>
              <w:top w:val="nil"/>
              <w:left w:val="nil"/>
              <w:bottom w:val="single" w:color="000000" w:sz="8" w:space="0"/>
              <w:right w:val="single" w:color="000000" w:sz="8" w:space="0"/>
            </w:tcBorders>
            <w:shd w:val="clear" w:color="auto" w:fill="auto"/>
            <w:vAlign w:val="center"/>
          </w:tcPr>
          <w:p w14:paraId="300822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w:t>
            </w:r>
          </w:p>
        </w:tc>
        <w:tc>
          <w:tcPr>
            <w:tcW w:w="385" w:type="pct"/>
            <w:tcBorders>
              <w:top w:val="nil"/>
              <w:left w:val="nil"/>
              <w:bottom w:val="single" w:color="000000" w:sz="8" w:space="0"/>
              <w:right w:val="single" w:color="000000" w:sz="8" w:space="0"/>
            </w:tcBorders>
            <w:shd w:val="clear" w:color="auto" w:fill="auto"/>
            <w:vAlign w:val="center"/>
          </w:tcPr>
          <w:p w14:paraId="16512C6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263B00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132000</w:t>
            </w:r>
          </w:p>
        </w:tc>
        <w:tc>
          <w:tcPr>
            <w:tcW w:w="401" w:type="pct"/>
            <w:tcBorders>
              <w:top w:val="single" w:color="000000" w:sz="8" w:space="0"/>
              <w:left w:val="nil"/>
              <w:bottom w:val="single" w:color="000000" w:sz="8" w:space="0"/>
              <w:right w:val="single" w:color="000000" w:sz="8" w:space="0"/>
            </w:tcBorders>
            <w:shd w:val="clear" w:color="auto" w:fill="auto"/>
            <w:vAlign w:val="center"/>
          </w:tcPr>
          <w:p w14:paraId="0BCFF1D6">
            <w:pPr>
              <w:jc w:val="center"/>
              <w:rPr>
                <w:rFonts w:hint="eastAsia" w:ascii="宋体" w:hAnsi="宋体" w:eastAsia="宋体" w:cs="宋体"/>
                <w:i w:val="0"/>
                <w:iCs w:val="0"/>
                <w:color w:val="auto"/>
                <w:sz w:val="22"/>
                <w:szCs w:val="22"/>
                <w:highlight w:val="none"/>
                <w:u w:val="none"/>
              </w:rPr>
            </w:pPr>
          </w:p>
        </w:tc>
        <w:tc>
          <w:tcPr>
            <w:tcW w:w="385" w:type="pct"/>
            <w:tcBorders>
              <w:top w:val="single" w:color="000000" w:sz="8" w:space="0"/>
              <w:left w:val="nil"/>
              <w:bottom w:val="single" w:color="000000" w:sz="8" w:space="0"/>
              <w:right w:val="single" w:color="000000" w:sz="8" w:space="0"/>
            </w:tcBorders>
            <w:shd w:val="clear" w:color="auto" w:fill="auto"/>
            <w:vAlign w:val="center"/>
          </w:tcPr>
          <w:p w14:paraId="7AC740C1">
            <w:pPr>
              <w:jc w:val="center"/>
              <w:rPr>
                <w:rFonts w:hint="eastAsia" w:ascii="宋体" w:hAnsi="宋体" w:eastAsia="宋体" w:cs="宋体"/>
                <w:i w:val="0"/>
                <w:iCs w:val="0"/>
                <w:color w:val="auto"/>
                <w:sz w:val="22"/>
                <w:szCs w:val="22"/>
                <w:highlight w:val="none"/>
                <w:u w:val="none"/>
              </w:rPr>
            </w:pPr>
          </w:p>
        </w:tc>
        <w:tc>
          <w:tcPr>
            <w:tcW w:w="401" w:type="pct"/>
            <w:tcBorders>
              <w:top w:val="single" w:color="000000" w:sz="8" w:space="0"/>
              <w:left w:val="nil"/>
              <w:bottom w:val="single" w:color="000000" w:sz="8" w:space="0"/>
              <w:right w:val="single" w:color="000000" w:sz="8" w:space="0"/>
            </w:tcBorders>
            <w:shd w:val="clear" w:color="auto" w:fill="auto"/>
            <w:vAlign w:val="center"/>
          </w:tcPr>
          <w:p w14:paraId="4B2FAAA7">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557B0CED">
            <w:pPr>
              <w:jc w:val="center"/>
              <w:rPr>
                <w:rFonts w:hint="eastAsia" w:ascii="宋体" w:hAnsi="宋体" w:eastAsia="宋体" w:cs="宋体"/>
                <w:b/>
                <w:bCs/>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noWrap/>
            <w:vAlign w:val="center"/>
          </w:tcPr>
          <w:p w14:paraId="5E9D691C">
            <w:pPr>
              <w:jc w:val="center"/>
              <w:rPr>
                <w:rFonts w:hint="eastAsia" w:ascii="宋体" w:hAnsi="宋体" w:eastAsia="宋体" w:cs="宋体"/>
                <w:i w:val="0"/>
                <w:iCs w:val="0"/>
                <w:color w:val="auto"/>
                <w:sz w:val="22"/>
                <w:szCs w:val="22"/>
                <w:highlight w:val="none"/>
                <w:u w:val="none"/>
              </w:rPr>
            </w:pPr>
          </w:p>
        </w:tc>
      </w:tr>
      <w:tr w14:paraId="31C89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051" w:type="pct"/>
            <w:gridSpan w:val="10"/>
            <w:tcBorders>
              <w:top w:val="nil"/>
              <w:left w:val="single" w:color="000000" w:sz="8" w:space="0"/>
              <w:bottom w:val="single" w:color="000000" w:sz="8" w:space="0"/>
              <w:right w:val="single" w:color="000000" w:sz="8" w:space="0"/>
            </w:tcBorders>
            <w:shd w:val="clear" w:color="auto" w:fill="auto"/>
            <w:noWrap/>
            <w:vAlign w:val="center"/>
          </w:tcPr>
          <w:p w14:paraId="2ECF25A8">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四、超声波水表</w:t>
            </w:r>
          </w:p>
        </w:tc>
      </w:tr>
      <w:tr w14:paraId="659ED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73E721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项号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1C290B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2E14E2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型号规格</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10D97C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5184C0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401" w:type="pct"/>
            <w:tcBorders>
              <w:top w:val="nil"/>
              <w:left w:val="single" w:color="000000" w:sz="8" w:space="0"/>
              <w:bottom w:val="nil"/>
              <w:right w:val="single" w:color="000000" w:sz="8" w:space="0"/>
            </w:tcBorders>
            <w:shd w:val="clear" w:color="auto" w:fill="auto"/>
            <w:vAlign w:val="center"/>
          </w:tcPr>
          <w:p w14:paraId="58DF84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产品单价（含税）</w:t>
            </w:r>
          </w:p>
        </w:tc>
        <w:tc>
          <w:tcPr>
            <w:tcW w:w="385" w:type="pct"/>
            <w:tcBorders>
              <w:top w:val="nil"/>
              <w:left w:val="single" w:color="000000" w:sz="8" w:space="0"/>
              <w:bottom w:val="nil"/>
              <w:right w:val="single" w:color="000000" w:sz="8" w:space="0"/>
            </w:tcBorders>
            <w:shd w:val="clear" w:color="auto" w:fill="auto"/>
            <w:vAlign w:val="center"/>
          </w:tcPr>
          <w:p w14:paraId="233A00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安装单价（含税）</w:t>
            </w:r>
          </w:p>
        </w:tc>
        <w:tc>
          <w:tcPr>
            <w:tcW w:w="401" w:type="pct"/>
            <w:tcBorders>
              <w:top w:val="nil"/>
              <w:left w:val="single" w:color="000000" w:sz="8" w:space="0"/>
              <w:bottom w:val="single" w:color="000000" w:sz="8" w:space="0"/>
              <w:right w:val="single" w:color="000000" w:sz="8" w:space="0"/>
            </w:tcBorders>
            <w:shd w:val="clear" w:color="auto" w:fill="auto"/>
            <w:vAlign w:val="center"/>
          </w:tcPr>
          <w:p w14:paraId="2AA751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综合单价</w:t>
            </w:r>
          </w:p>
        </w:tc>
        <w:tc>
          <w:tcPr>
            <w:tcW w:w="551" w:type="pct"/>
            <w:tcBorders>
              <w:top w:val="nil"/>
              <w:left w:val="single" w:color="000000" w:sz="8" w:space="0"/>
              <w:bottom w:val="single" w:color="000000" w:sz="8" w:space="0"/>
              <w:right w:val="single" w:color="000000" w:sz="8" w:space="0"/>
            </w:tcBorders>
            <w:shd w:val="clear" w:color="auto" w:fill="auto"/>
            <w:vAlign w:val="center"/>
          </w:tcPr>
          <w:p w14:paraId="284AB5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总价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4C121C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3CB4B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6AAFBD70">
            <w:pPr>
              <w:keepNext w:val="0"/>
              <w:keepLines w:val="0"/>
              <w:widowControl/>
              <w:suppressLineNumbers w:val="0"/>
              <w:jc w:val="center"/>
              <w:textAlignment w:val="center"/>
              <w:rPr>
                <w:rFonts w:hint="default" w:ascii="Arial" w:hAnsi="Arial" w:eastAsia="宋体" w:cs="Arial"/>
                <w:i w:val="0"/>
                <w:iCs w:val="0"/>
                <w:color w:val="auto"/>
                <w:sz w:val="22"/>
                <w:szCs w:val="22"/>
                <w:highlight w:val="none"/>
                <w:u w:val="none"/>
              </w:rPr>
            </w:pPr>
            <w:r>
              <w:rPr>
                <w:rFonts w:hint="default" w:ascii="Arial" w:hAnsi="Arial" w:eastAsia="宋体" w:cs="Arial"/>
                <w:i w:val="0"/>
                <w:iCs w:val="0"/>
                <w:snapToGrid w:val="0"/>
                <w:color w:val="auto"/>
                <w:kern w:val="0"/>
                <w:sz w:val="22"/>
                <w:szCs w:val="22"/>
                <w:highlight w:val="none"/>
                <w:u w:val="none"/>
                <w:lang w:val="en-US" w:eastAsia="zh-CN" w:bidi="ar"/>
              </w:rPr>
              <w:t>1</w:t>
            </w:r>
          </w:p>
        </w:tc>
        <w:tc>
          <w:tcPr>
            <w:tcW w:w="385" w:type="pct"/>
            <w:tcBorders>
              <w:top w:val="nil"/>
              <w:left w:val="nil"/>
              <w:bottom w:val="single" w:color="000000" w:sz="8" w:space="0"/>
              <w:right w:val="single" w:color="000000" w:sz="8" w:space="0"/>
            </w:tcBorders>
            <w:shd w:val="clear" w:color="auto" w:fill="auto"/>
            <w:vAlign w:val="center"/>
          </w:tcPr>
          <w:p w14:paraId="5DAF1B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超声波水表</w:t>
            </w:r>
          </w:p>
        </w:tc>
        <w:tc>
          <w:tcPr>
            <w:tcW w:w="385" w:type="pct"/>
            <w:tcBorders>
              <w:top w:val="nil"/>
              <w:left w:val="nil"/>
              <w:bottom w:val="single" w:color="000000" w:sz="8" w:space="0"/>
              <w:right w:val="single" w:color="000000" w:sz="8" w:space="0"/>
            </w:tcBorders>
            <w:shd w:val="clear" w:color="auto" w:fill="auto"/>
            <w:vAlign w:val="center"/>
          </w:tcPr>
          <w:p w14:paraId="5400D9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w:t>
            </w:r>
          </w:p>
        </w:tc>
        <w:tc>
          <w:tcPr>
            <w:tcW w:w="385" w:type="pct"/>
            <w:tcBorders>
              <w:top w:val="nil"/>
              <w:left w:val="nil"/>
              <w:bottom w:val="single" w:color="000000" w:sz="8" w:space="0"/>
              <w:right w:val="single" w:color="000000" w:sz="8" w:space="0"/>
            </w:tcBorders>
            <w:shd w:val="clear" w:color="auto" w:fill="auto"/>
            <w:vAlign w:val="center"/>
          </w:tcPr>
          <w:p w14:paraId="7FDA45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vAlign w:val="center"/>
          </w:tcPr>
          <w:p w14:paraId="3A78F2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1500</w:t>
            </w:r>
          </w:p>
        </w:tc>
        <w:tc>
          <w:tcPr>
            <w:tcW w:w="401" w:type="pct"/>
            <w:tcBorders>
              <w:top w:val="single" w:color="000000" w:sz="8" w:space="0"/>
              <w:left w:val="nil"/>
              <w:bottom w:val="single" w:color="000000" w:sz="8" w:space="0"/>
              <w:right w:val="single" w:color="000000" w:sz="8" w:space="0"/>
            </w:tcBorders>
            <w:shd w:val="clear" w:color="auto" w:fill="auto"/>
            <w:vAlign w:val="center"/>
          </w:tcPr>
          <w:p w14:paraId="69D017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385" w:type="pct"/>
            <w:tcBorders>
              <w:top w:val="single" w:color="000000" w:sz="8" w:space="0"/>
              <w:left w:val="nil"/>
              <w:bottom w:val="single" w:color="000000" w:sz="8" w:space="0"/>
              <w:right w:val="single" w:color="000000" w:sz="8" w:space="0"/>
            </w:tcBorders>
            <w:shd w:val="clear" w:color="auto" w:fill="auto"/>
            <w:vAlign w:val="center"/>
          </w:tcPr>
          <w:p w14:paraId="5119CC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401" w:type="pct"/>
            <w:tcBorders>
              <w:top w:val="single" w:color="000000" w:sz="8" w:space="0"/>
              <w:left w:val="nil"/>
              <w:bottom w:val="single" w:color="000000" w:sz="8" w:space="0"/>
              <w:right w:val="single" w:color="000000" w:sz="8" w:space="0"/>
            </w:tcBorders>
            <w:shd w:val="clear" w:color="auto" w:fill="auto"/>
            <w:vAlign w:val="center"/>
          </w:tcPr>
          <w:p w14:paraId="23E0DE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4212F7E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noWrap/>
            <w:vAlign w:val="center"/>
          </w:tcPr>
          <w:p w14:paraId="2A5A148F">
            <w:pPr>
              <w:jc w:val="center"/>
              <w:rPr>
                <w:rFonts w:hint="eastAsia" w:ascii="宋体" w:hAnsi="宋体" w:eastAsia="宋体" w:cs="宋体"/>
                <w:i w:val="0"/>
                <w:iCs w:val="0"/>
                <w:color w:val="auto"/>
                <w:sz w:val="22"/>
                <w:szCs w:val="22"/>
                <w:highlight w:val="none"/>
                <w:u w:val="none"/>
              </w:rPr>
            </w:pPr>
          </w:p>
        </w:tc>
      </w:tr>
      <w:tr w14:paraId="148A3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051" w:type="pct"/>
            <w:gridSpan w:val="10"/>
            <w:tcBorders>
              <w:top w:val="nil"/>
              <w:left w:val="single" w:color="000000" w:sz="8" w:space="0"/>
              <w:bottom w:val="single" w:color="000000" w:sz="8" w:space="0"/>
              <w:right w:val="single" w:color="000000" w:sz="8" w:space="0"/>
            </w:tcBorders>
            <w:shd w:val="clear" w:color="auto" w:fill="auto"/>
            <w:noWrap/>
            <w:vAlign w:val="center"/>
          </w:tcPr>
          <w:p w14:paraId="7F3A7F24">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五、外夹式超声波流量计</w:t>
            </w:r>
          </w:p>
        </w:tc>
      </w:tr>
      <w:tr w14:paraId="4F19E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711817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项号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2CFCD1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45D8BF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型号规格</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46644D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5B74DC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401" w:type="pct"/>
            <w:tcBorders>
              <w:top w:val="nil"/>
              <w:left w:val="single" w:color="000000" w:sz="8" w:space="0"/>
              <w:bottom w:val="nil"/>
              <w:right w:val="single" w:color="000000" w:sz="8" w:space="0"/>
            </w:tcBorders>
            <w:shd w:val="clear" w:color="auto" w:fill="auto"/>
            <w:vAlign w:val="center"/>
          </w:tcPr>
          <w:p w14:paraId="5E8C1C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产品单价（含税）</w:t>
            </w:r>
          </w:p>
        </w:tc>
        <w:tc>
          <w:tcPr>
            <w:tcW w:w="385" w:type="pct"/>
            <w:tcBorders>
              <w:top w:val="nil"/>
              <w:left w:val="single" w:color="000000" w:sz="8" w:space="0"/>
              <w:bottom w:val="nil"/>
              <w:right w:val="single" w:color="000000" w:sz="8" w:space="0"/>
            </w:tcBorders>
            <w:shd w:val="clear" w:color="auto" w:fill="auto"/>
            <w:vAlign w:val="center"/>
          </w:tcPr>
          <w:p w14:paraId="12218A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安装单价（含税）</w:t>
            </w:r>
          </w:p>
        </w:tc>
        <w:tc>
          <w:tcPr>
            <w:tcW w:w="401" w:type="pct"/>
            <w:tcBorders>
              <w:top w:val="nil"/>
              <w:left w:val="single" w:color="000000" w:sz="8" w:space="0"/>
              <w:bottom w:val="single" w:color="000000" w:sz="8" w:space="0"/>
              <w:right w:val="single" w:color="000000" w:sz="8" w:space="0"/>
            </w:tcBorders>
            <w:shd w:val="clear" w:color="auto" w:fill="auto"/>
            <w:vAlign w:val="center"/>
          </w:tcPr>
          <w:p w14:paraId="0E61E2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综合单价</w:t>
            </w:r>
          </w:p>
        </w:tc>
        <w:tc>
          <w:tcPr>
            <w:tcW w:w="551" w:type="pct"/>
            <w:tcBorders>
              <w:top w:val="nil"/>
              <w:left w:val="single" w:color="000000" w:sz="8" w:space="0"/>
              <w:bottom w:val="single" w:color="000000" w:sz="8" w:space="0"/>
              <w:right w:val="single" w:color="000000" w:sz="8" w:space="0"/>
            </w:tcBorders>
            <w:shd w:val="clear" w:color="auto" w:fill="auto"/>
            <w:vAlign w:val="center"/>
          </w:tcPr>
          <w:p w14:paraId="04A9DC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总价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0A2F4D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67BF0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250CE2CE">
            <w:pPr>
              <w:keepNext w:val="0"/>
              <w:keepLines w:val="0"/>
              <w:widowControl/>
              <w:suppressLineNumbers w:val="0"/>
              <w:jc w:val="center"/>
              <w:textAlignment w:val="center"/>
              <w:rPr>
                <w:rFonts w:hint="default" w:ascii="Arial" w:hAnsi="Arial" w:eastAsia="宋体" w:cs="Arial"/>
                <w:i w:val="0"/>
                <w:iCs w:val="0"/>
                <w:color w:val="auto"/>
                <w:sz w:val="22"/>
                <w:szCs w:val="22"/>
                <w:highlight w:val="none"/>
                <w:u w:val="none"/>
              </w:rPr>
            </w:pPr>
            <w:r>
              <w:rPr>
                <w:rFonts w:hint="default" w:ascii="Arial" w:hAnsi="Arial" w:eastAsia="宋体" w:cs="Arial"/>
                <w:i w:val="0"/>
                <w:iCs w:val="0"/>
                <w:snapToGrid w:val="0"/>
                <w:color w:val="auto"/>
                <w:kern w:val="0"/>
                <w:sz w:val="22"/>
                <w:szCs w:val="22"/>
                <w:highlight w:val="none"/>
                <w:u w:val="none"/>
                <w:lang w:val="en-US" w:eastAsia="zh-CN" w:bidi="ar"/>
              </w:rPr>
              <w:t>1</w:t>
            </w:r>
          </w:p>
        </w:tc>
        <w:tc>
          <w:tcPr>
            <w:tcW w:w="385" w:type="pct"/>
            <w:tcBorders>
              <w:top w:val="nil"/>
              <w:left w:val="nil"/>
              <w:bottom w:val="single" w:color="000000" w:sz="8" w:space="0"/>
              <w:right w:val="single" w:color="000000" w:sz="8" w:space="0"/>
            </w:tcBorders>
            <w:shd w:val="clear" w:color="auto" w:fill="auto"/>
            <w:vAlign w:val="center"/>
          </w:tcPr>
          <w:p w14:paraId="49A2B9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外夹式超声波流量计</w:t>
            </w:r>
          </w:p>
        </w:tc>
        <w:tc>
          <w:tcPr>
            <w:tcW w:w="385" w:type="pct"/>
            <w:tcBorders>
              <w:top w:val="nil"/>
              <w:left w:val="nil"/>
              <w:bottom w:val="single" w:color="000000" w:sz="8" w:space="0"/>
              <w:right w:val="single" w:color="000000" w:sz="8" w:space="0"/>
            </w:tcBorders>
            <w:shd w:val="clear" w:color="auto" w:fill="auto"/>
            <w:vAlign w:val="center"/>
          </w:tcPr>
          <w:p w14:paraId="4FAD15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385" w:type="pct"/>
            <w:tcBorders>
              <w:top w:val="nil"/>
              <w:left w:val="nil"/>
              <w:bottom w:val="single" w:color="000000" w:sz="8" w:space="0"/>
              <w:right w:val="single" w:color="000000" w:sz="8" w:space="0"/>
            </w:tcBorders>
            <w:shd w:val="clear" w:color="auto" w:fill="auto"/>
            <w:vAlign w:val="center"/>
          </w:tcPr>
          <w:p w14:paraId="4A68E1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167424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20</w:t>
            </w:r>
          </w:p>
        </w:tc>
        <w:tc>
          <w:tcPr>
            <w:tcW w:w="401" w:type="pct"/>
            <w:tcBorders>
              <w:top w:val="nil"/>
              <w:left w:val="nil"/>
              <w:bottom w:val="single" w:color="000000" w:sz="8" w:space="0"/>
              <w:right w:val="single" w:color="000000" w:sz="8" w:space="0"/>
            </w:tcBorders>
            <w:shd w:val="clear" w:color="auto" w:fill="auto"/>
            <w:vAlign w:val="center"/>
          </w:tcPr>
          <w:p w14:paraId="0430380B">
            <w:pPr>
              <w:jc w:val="center"/>
              <w:rPr>
                <w:rFonts w:hint="eastAsia" w:ascii="宋体" w:hAnsi="宋体" w:eastAsia="宋体" w:cs="宋体"/>
                <w:i w:val="0"/>
                <w:iCs w:val="0"/>
                <w:color w:val="auto"/>
                <w:sz w:val="22"/>
                <w:szCs w:val="22"/>
                <w:highlight w:val="none"/>
                <w:u w:val="none"/>
              </w:rPr>
            </w:pPr>
          </w:p>
        </w:tc>
        <w:tc>
          <w:tcPr>
            <w:tcW w:w="385" w:type="pct"/>
            <w:tcBorders>
              <w:top w:val="nil"/>
              <w:left w:val="single" w:color="000000" w:sz="8" w:space="0"/>
              <w:bottom w:val="single" w:color="000000" w:sz="8" w:space="0"/>
              <w:right w:val="single" w:color="000000" w:sz="8" w:space="0"/>
            </w:tcBorders>
            <w:shd w:val="clear" w:color="auto" w:fill="auto"/>
            <w:vAlign w:val="center"/>
          </w:tcPr>
          <w:p w14:paraId="214529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2DEB263D">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23E6B5C5">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noWrap/>
            <w:vAlign w:val="center"/>
          </w:tcPr>
          <w:p w14:paraId="67AC4F1F">
            <w:pPr>
              <w:jc w:val="center"/>
              <w:rPr>
                <w:rFonts w:hint="eastAsia" w:ascii="宋体" w:hAnsi="宋体" w:eastAsia="宋体" w:cs="宋体"/>
                <w:i w:val="0"/>
                <w:iCs w:val="0"/>
                <w:color w:val="auto"/>
                <w:sz w:val="22"/>
                <w:szCs w:val="22"/>
                <w:highlight w:val="none"/>
                <w:u w:val="none"/>
              </w:rPr>
            </w:pPr>
          </w:p>
        </w:tc>
      </w:tr>
      <w:tr w14:paraId="04C5C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051" w:type="pct"/>
            <w:gridSpan w:val="10"/>
            <w:tcBorders>
              <w:top w:val="nil"/>
              <w:left w:val="single" w:color="000000" w:sz="8" w:space="0"/>
              <w:bottom w:val="single" w:color="000000" w:sz="8" w:space="0"/>
              <w:right w:val="single" w:color="000000" w:sz="8" w:space="0"/>
            </w:tcBorders>
            <w:shd w:val="clear" w:color="auto" w:fill="auto"/>
            <w:noWrap/>
            <w:vAlign w:val="center"/>
          </w:tcPr>
          <w:p w14:paraId="57FE5FA6">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六、管道式电磁流量计及配件</w:t>
            </w:r>
          </w:p>
        </w:tc>
      </w:tr>
      <w:tr w14:paraId="49222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51329D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项号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1DBD40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4712A8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型号规格</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497DE0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5BFA3C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401" w:type="pct"/>
            <w:tcBorders>
              <w:top w:val="nil"/>
              <w:left w:val="single" w:color="000000" w:sz="8" w:space="0"/>
              <w:bottom w:val="nil"/>
              <w:right w:val="single" w:color="000000" w:sz="8" w:space="0"/>
            </w:tcBorders>
            <w:shd w:val="clear" w:color="auto" w:fill="auto"/>
            <w:vAlign w:val="center"/>
          </w:tcPr>
          <w:p w14:paraId="613C85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产品单价（含税）</w:t>
            </w:r>
          </w:p>
        </w:tc>
        <w:tc>
          <w:tcPr>
            <w:tcW w:w="385" w:type="pct"/>
            <w:tcBorders>
              <w:top w:val="nil"/>
              <w:left w:val="single" w:color="000000" w:sz="8" w:space="0"/>
              <w:bottom w:val="nil"/>
              <w:right w:val="single" w:color="000000" w:sz="8" w:space="0"/>
            </w:tcBorders>
            <w:shd w:val="clear" w:color="auto" w:fill="auto"/>
            <w:vAlign w:val="center"/>
          </w:tcPr>
          <w:p w14:paraId="40198E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不含安装</w:t>
            </w:r>
          </w:p>
        </w:tc>
        <w:tc>
          <w:tcPr>
            <w:tcW w:w="401" w:type="pct"/>
            <w:tcBorders>
              <w:top w:val="nil"/>
              <w:left w:val="single" w:color="000000" w:sz="8" w:space="0"/>
              <w:bottom w:val="single" w:color="000000" w:sz="8" w:space="0"/>
              <w:right w:val="single" w:color="000000" w:sz="8" w:space="0"/>
            </w:tcBorders>
            <w:shd w:val="clear" w:color="auto" w:fill="auto"/>
            <w:vAlign w:val="center"/>
          </w:tcPr>
          <w:p w14:paraId="6EC402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综合单价</w:t>
            </w:r>
          </w:p>
        </w:tc>
        <w:tc>
          <w:tcPr>
            <w:tcW w:w="551" w:type="pct"/>
            <w:tcBorders>
              <w:top w:val="nil"/>
              <w:left w:val="single" w:color="000000" w:sz="8" w:space="0"/>
              <w:bottom w:val="single" w:color="000000" w:sz="8" w:space="0"/>
              <w:right w:val="single" w:color="000000" w:sz="8" w:space="0"/>
            </w:tcBorders>
            <w:shd w:val="clear" w:color="auto" w:fill="auto"/>
            <w:vAlign w:val="center"/>
          </w:tcPr>
          <w:p w14:paraId="3C9F92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总价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018FE0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25C2C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2ECA8D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385" w:type="pct"/>
            <w:vMerge w:val="restart"/>
            <w:tcBorders>
              <w:top w:val="nil"/>
              <w:left w:val="nil"/>
              <w:bottom w:val="nil"/>
              <w:right w:val="single" w:color="000000" w:sz="8" w:space="0"/>
            </w:tcBorders>
            <w:shd w:val="clear" w:color="auto" w:fill="auto"/>
            <w:vAlign w:val="center"/>
          </w:tcPr>
          <w:p w14:paraId="7AAB52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管道式电磁流量计</w:t>
            </w:r>
          </w:p>
        </w:tc>
        <w:tc>
          <w:tcPr>
            <w:tcW w:w="385" w:type="pct"/>
            <w:tcBorders>
              <w:top w:val="nil"/>
              <w:left w:val="nil"/>
              <w:bottom w:val="single" w:color="000000" w:sz="8" w:space="0"/>
              <w:right w:val="single" w:color="000000" w:sz="8" w:space="0"/>
            </w:tcBorders>
            <w:shd w:val="clear" w:color="auto" w:fill="auto"/>
            <w:vAlign w:val="center"/>
          </w:tcPr>
          <w:p w14:paraId="0FF0804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DN50</w:t>
            </w:r>
          </w:p>
        </w:tc>
        <w:tc>
          <w:tcPr>
            <w:tcW w:w="385" w:type="pct"/>
            <w:tcBorders>
              <w:top w:val="nil"/>
              <w:left w:val="nil"/>
              <w:bottom w:val="single" w:color="000000" w:sz="8" w:space="0"/>
              <w:right w:val="single" w:color="000000" w:sz="8" w:space="0"/>
            </w:tcBorders>
            <w:shd w:val="clear" w:color="auto" w:fill="auto"/>
            <w:vAlign w:val="center"/>
          </w:tcPr>
          <w:p w14:paraId="5C3CFD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34FAA9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401" w:type="pct"/>
            <w:tcBorders>
              <w:top w:val="single" w:color="000000" w:sz="8" w:space="0"/>
              <w:left w:val="nil"/>
              <w:bottom w:val="single" w:color="000000" w:sz="8" w:space="0"/>
              <w:right w:val="single" w:color="000000" w:sz="8" w:space="0"/>
            </w:tcBorders>
            <w:shd w:val="clear" w:color="auto" w:fill="auto"/>
            <w:vAlign w:val="center"/>
          </w:tcPr>
          <w:p w14:paraId="23FEBE9E">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B6AB80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55E75DD2">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40640044">
            <w:pPr>
              <w:jc w:val="center"/>
              <w:rPr>
                <w:rFonts w:hint="eastAsia" w:ascii="宋体" w:hAnsi="宋体" w:eastAsia="宋体" w:cs="宋体"/>
                <w:i w:val="0"/>
                <w:iCs w:val="0"/>
                <w:color w:val="auto"/>
                <w:sz w:val="22"/>
                <w:szCs w:val="22"/>
                <w:highlight w:val="none"/>
                <w:u w:val="none"/>
              </w:rPr>
            </w:pPr>
          </w:p>
        </w:tc>
        <w:tc>
          <w:tcPr>
            <w:tcW w:w="385" w:type="pct"/>
            <w:vMerge w:val="restart"/>
            <w:tcBorders>
              <w:top w:val="nil"/>
              <w:left w:val="nil"/>
              <w:bottom w:val="single" w:color="000000" w:sz="8" w:space="0"/>
              <w:right w:val="single" w:color="000000" w:sz="8" w:space="0"/>
            </w:tcBorders>
            <w:shd w:val="clear" w:color="auto" w:fill="auto"/>
            <w:vAlign w:val="center"/>
          </w:tcPr>
          <w:p w14:paraId="386FD8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电极：钛衬里材料：聚四氟乙烯；（推荐：肯特、锐铼、金田等国产品牌）</w:t>
            </w:r>
          </w:p>
        </w:tc>
      </w:tr>
      <w:tr w14:paraId="5E662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6D2171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385" w:type="pct"/>
            <w:vMerge w:val="continue"/>
            <w:tcBorders>
              <w:top w:val="nil"/>
              <w:left w:val="nil"/>
              <w:bottom w:val="nil"/>
              <w:right w:val="single" w:color="000000" w:sz="8" w:space="0"/>
            </w:tcBorders>
            <w:shd w:val="clear" w:color="auto" w:fill="auto"/>
            <w:vAlign w:val="center"/>
          </w:tcPr>
          <w:p w14:paraId="48DCCD94">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7515C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DN80</w:t>
            </w:r>
          </w:p>
        </w:tc>
        <w:tc>
          <w:tcPr>
            <w:tcW w:w="385" w:type="pct"/>
            <w:tcBorders>
              <w:top w:val="nil"/>
              <w:left w:val="nil"/>
              <w:bottom w:val="single" w:color="000000" w:sz="8" w:space="0"/>
              <w:right w:val="single" w:color="000000" w:sz="8" w:space="0"/>
            </w:tcBorders>
            <w:shd w:val="clear" w:color="auto" w:fill="auto"/>
            <w:vAlign w:val="center"/>
          </w:tcPr>
          <w:p w14:paraId="33927C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5AF382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401" w:type="pct"/>
            <w:tcBorders>
              <w:top w:val="nil"/>
              <w:left w:val="nil"/>
              <w:bottom w:val="single" w:color="000000" w:sz="8" w:space="0"/>
              <w:right w:val="single" w:color="000000" w:sz="8" w:space="0"/>
            </w:tcBorders>
            <w:shd w:val="clear" w:color="auto" w:fill="auto"/>
            <w:vAlign w:val="center"/>
          </w:tcPr>
          <w:p w14:paraId="140C37DE">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F24257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35A6464E">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2B22B05D">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2B71F1DD">
            <w:pPr>
              <w:jc w:val="center"/>
              <w:rPr>
                <w:rFonts w:hint="eastAsia" w:ascii="宋体" w:hAnsi="宋体" w:eastAsia="宋体" w:cs="宋体"/>
                <w:i w:val="0"/>
                <w:iCs w:val="0"/>
                <w:color w:val="auto"/>
                <w:sz w:val="22"/>
                <w:szCs w:val="22"/>
                <w:highlight w:val="none"/>
                <w:u w:val="none"/>
              </w:rPr>
            </w:pPr>
          </w:p>
        </w:tc>
      </w:tr>
      <w:tr w14:paraId="5B8E6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142CA5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385" w:type="pct"/>
            <w:vMerge w:val="continue"/>
            <w:tcBorders>
              <w:top w:val="nil"/>
              <w:left w:val="nil"/>
              <w:bottom w:val="nil"/>
              <w:right w:val="single" w:color="000000" w:sz="8" w:space="0"/>
            </w:tcBorders>
            <w:shd w:val="clear" w:color="auto" w:fill="auto"/>
            <w:vAlign w:val="center"/>
          </w:tcPr>
          <w:p w14:paraId="26C1F613">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FED62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DN100</w:t>
            </w:r>
          </w:p>
        </w:tc>
        <w:tc>
          <w:tcPr>
            <w:tcW w:w="385" w:type="pct"/>
            <w:tcBorders>
              <w:top w:val="nil"/>
              <w:left w:val="nil"/>
              <w:bottom w:val="single" w:color="000000" w:sz="8" w:space="0"/>
              <w:right w:val="single" w:color="000000" w:sz="8" w:space="0"/>
            </w:tcBorders>
            <w:shd w:val="clear" w:color="auto" w:fill="auto"/>
            <w:vAlign w:val="center"/>
          </w:tcPr>
          <w:p w14:paraId="667FB29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447C3BF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12</w:t>
            </w:r>
          </w:p>
        </w:tc>
        <w:tc>
          <w:tcPr>
            <w:tcW w:w="401" w:type="pct"/>
            <w:tcBorders>
              <w:top w:val="nil"/>
              <w:left w:val="nil"/>
              <w:bottom w:val="single" w:color="000000" w:sz="8" w:space="0"/>
              <w:right w:val="single" w:color="000000" w:sz="8" w:space="0"/>
            </w:tcBorders>
            <w:shd w:val="clear" w:color="auto" w:fill="auto"/>
            <w:vAlign w:val="center"/>
          </w:tcPr>
          <w:p w14:paraId="491F0B77">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09C4B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0911B0C9">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29C8F6CB">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300D8772">
            <w:pPr>
              <w:jc w:val="center"/>
              <w:rPr>
                <w:rFonts w:hint="eastAsia" w:ascii="宋体" w:hAnsi="宋体" w:eastAsia="宋体" w:cs="宋体"/>
                <w:i w:val="0"/>
                <w:iCs w:val="0"/>
                <w:color w:val="auto"/>
                <w:sz w:val="22"/>
                <w:szCs w:val="22"/>
                <w:highlight w:val="none"/>
                <w:u w:val="none"/>
              </w:rPr>
            </w:pPr>
          </w:p>
        </w:tc>
      </w:tr>
      <w:tr w14:paraId="23C23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7D2113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385" w:type="pct"/>
            <w:vMerge w:val="continue"/>
            <w:tcBorders>
              <w:top w:val="nil"/>
              <w:left w:val="nil"/>
              <w:bottom w:val="nil"/>
              <w:right w:val="single" w:color="000000" w:sz="8" w:space="0"/>
            </w:tcBorders>
            <w:shd w:val="clear" w:color="auto" w:fill="auto"/>
            <w:vAlign w:val="center"/>
          </w:tcPr>
          <w:p w14:paraId="0A7DE79A">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1E815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DN150</w:t>
            </w:r>
          </w:p>
        </w:tc>
        <w:tc>
          <w:tcPr>
            <w:tcW w:w="385" w:type="pct"/>
            <w:tcBorders>
              <w:top w:val="nil"/>
              <w:left w:val="nil"/>
              <w:bottom w:val="single" w:color="000000" w:sz="8" w:space="0"/>
              <w:right w:val="single" w:color="000000" w:sz="8" w:space="0"/>
            </w:tcBorders>
            <w:shd w:val="clear" w:color="auto" w:fill="auto"/>
            <w:vAlign w:val="center"/>
          </w:tcPr>
          <w:p w14:paraId="40C235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2256333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401" w:type="pct"/>
            <w:tcBorders>
              <w:top w:val="nil"/>
              <w:left w:val="nil"/>
              <w:bottom w:val="single" w:color="000000" w:sz="8" w:space="0"/>
              <w:right w:val="single" w:color="000000" w:sz="8" w:space="0"/>
            </w:tcBorders>
            <w:shd w:val="clear" w:color="auto" w:fill="auto"/>
            <w:vAlign w:val="center"/>
          </w:tcPr>
          <w:p w14:paraId="1BA88864">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5862D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0F2762F1">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3B461DF8">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5271328F">
            <w:pPr>
              <w:jc w:val="center"/>
              <w:rPr>
                <w:rFonts w:hint="eastAsia" w:ascii="宋体" w:hAnsi="宋体" w:eastAsia="宋体" w:cs="宋体"/>
                <w:i w:val="0"/>
                <w:iCs w:val="0"/>
                <w:color w:val="auto"/>
                <w:sz w:val="22"/>
                <w:szCs w:val="22"/>
                <w:highlight w:val="none"/>
                <w:u w:val="none"/>
              </w:rPr>
            </w:pPr>
          </w:p>
        </w:tc>
      </w:tr>
      <w:tr w14:paraId="66A4F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21D28F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w:t>
            </w:r>
          </w:p>
        </w:tc>
        <w:tc>
          <w:tcPr>
            <w:tcW w:w="385" w:type="pct"/>
            <w:vMerge w:val="continue"/>
            <w:tcBorders>
              <w:top w:val="nil"/>
              <w:left w:val="nil"/>
              <w:bottom w:val="nil"/>
              <w:right w:val="single" w:color="000000" w:sz="8" w:space="0"/>
            </w:tcBorders>
            <w:shd w:val="clear" w:color="auto" w:fill="auto"/>
            <w:vAlign w:val="center"/>
          </w:tcPr>
          <w:p w14:paraId="083B03C5">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231BB6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DN200</w:t>
            </w:r>
          </w:p>
        </w:tc>
        <w:tc>
          <w:tcPr>
            <w:tcW w:w="385" w:type="pct"/>
            <w:tcBorders>
              <w:top w:val="nil"/>
              <w:left w:val="nil"/>
              <w:bottom w:val="single" w:color="000000" w:sz="8" w:space="0"/>
              <w:right w:val="single" w:color="000000" w:sz="8" w:space="0"/>
            </w:tcBorders>
            <w:shd w:val="clear" w:color="auto" w:fill="auto"/>
            <w:vAlign w:val="center"/>
          </w:tcPr>
          <w:p w14:paraId="194659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17A121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01" w:type="pct"/>
            <w:tcBorders>
              <w:top w:val="nil"/>
              <w:left w:val="nil"/>
              <w:bottom w:val="single" w:color="000000" w:sz="8" w:space="0"/>
              <w:right w:val="single" w:color="000000" w:sz="8" w:space="0"/>
            </w:tcBorders>
            <w:shd w:val="clear" w:color="auto" w:fill="auto"/>
            <w:vAlign w:val="center"/>
          </w:tcPr>
          <w:p w14:paraId="207BE12B">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3F9B839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15D3F6B4">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67C88D3F">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0B2BA2AC">
            <w:pPr>
              <w:jc w:val="center"/>
              <w:rPr>
                <w:rFonts w:hint="eastAsia" w:ascii="宋体" w:hAnsi="宋体" w:eastAsia="宋体" w:cs="宋体"/>
                <w:i w:val="0"/>
                <w:iCs w:val="0"/>
                <w:color w:val="auto"/>
                <w:sz w:val="22"/>
                <w:szCs w:val="22"/>
                <w:highlight w:val="none"/>
                <w:u w:val="none"/>
              </w:rPr>
            </w:pPr>
          </w:p>
        </w:tc>
      </w:tr>
      <w:tr w14:paraId="1DA51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6C6D5B1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385" w:type="pct"/>
            <w:vMerge w:val="continue"/>
            <w:tcBorders>
              <w:top w:val="nil"/>
              <w:left w:val="nil"/>
              <w:bottom w:val="nil"/>
              <w:right w:val="single" w:color="000000" w:sz="8" w:space="0"/>
            </w:tcBorders>
            <w:shd w:val="clear" w:color="auto" w:fill="auto"/>
            <w:vAlign w:val="center"/>
          </w:tcPr>
          <w:p w14:paraId="0B0AF67A">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72D0C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DN300</w:t>
            </w:r>
          </w:p>
        </w:tc>
        <w:tc>
          <w:tcPr>
            <w:tcW w:w="385" w:type="pct"/>
            <w:tcBorders>
              <w:top w:val="nil"/>
              <w:left w:val="nil"/>
              <w:bottom w:val="single" w:color="000000" w:sz="8" w:space="0"/>
              <w:right w:val="single" w:color="000000" w:sz="8" w:space="0"/>
            </w:tcBorders>
            <w:shd w:val="clear" w:color="auto" w:fill="auto"/>
            <w:vAlign w:val="center"/>
          </w:tcPr>
          <w:p w14:paraId="6C049FD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6E59E9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401" w:type="pct"/>
            <w:tcBorders>
              <w:top w:val="nil"/>
              <w:left w:val="nil"/>
              <w:bottom w:val="single" w:color="000000" w:sz="8" w:space="0"/>
              <w:right w:val="single" w:color="000000" w:sz="8" w:space="0"/>
            </w:tcBorders>
            <w:shd w:val="clear" w:color="auto" w:fill="auto"/>
            <w:vAlign w:val="center"/>
          </w:tcPr>
          <w:p w14:paraId="04F889EA">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4404A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3ECBA837">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1F57AC2A">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77F3C76D">
            <w:pPr>
              <w:jc w:val="center"/>
              <w:rPr>
                <w:rFonts w:hint="eastAsia" w:ascii="宋体" w:hAnsi="宋体" w:eastAsia="宋体" w:cs="宋体"/>
                <w:i w:val="0"/>
                <w:iCs w:val="0"/>
                <w:color w:val="auto"/>
                <w:sz w:val="22"/>
                <w:szCs w:val="22"/>
                <w:highlight w:val="none"/>
                <w:u w:val="none"/>
              </w:rPr>
            </w:pPr>
          </w:p>
        </w:tc>
      </w:tr>
      <w:tr w14:paraId="09978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1C9880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7</w:t>
            </w:r>
          </w:p>
        </w:tc>
        <w:tc>
          <w:tcPr>
            <w:tcW w:w="385" w:type="pct"/>
            <w:vMerge w:val="continue"/>
            <w:tcBorders>
              <w:top w:val="nil"/>
              <w:left w:val="nil"/>
              <w:bottom w:val="nil"/>
              <w:right w:val="single" w:color="000000" w:sz="8" w:space="0"/>
            </w:tcBorders>
            <w:shd w:val="clear" w:color="auto" w:fill="auto"/>
            <w:vAlign w:val="center"/>
          </w:tcPr>
          <w:p w14:paraId="4DDA9E0B">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A2968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DN400</w:t>
            </w:r>
          </w:p>
        </w:tc>
        <w:tc>
          <w:tcPr>
            <w:tcW w:w="385" w:type="pct"/>
            <w:tcBorders>
              <w:top w:val="nil"/>
              <w:left w:val="nil"/>
              <w:bottom w:val="single" w:color="000000" w:sz="8" w:space="0"/>
              <w:right w:val="single" w:color="000000" w:sz="8" w:space="0"/>
            </w:tcBorders>
            <w:shd w:val="clear" w:color="auto" w:fill="auto"/>
            <w:vAlign w:val="center"/>
          </w:tcPr>
          <w:p w14:paraId="41306B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5686C7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401" w:type="pct"/>
            <w:tcBorders>
              <w:top w:val="nil"/>
              <w:left w:val="nil"/>
              <w:bottom w:val="single" w:color="000000" w:sz="8" w:space="0"/>
              <w:right w:val="single" w:color="000000" w:sz="8" w:space="0"/>
            </w:tcBorders>
            <w:shd w:val="clear" w:color="auto" w:fill="auto"/>
            <w:vAlign w:val="center"/>
          </w:tcPr>
          <w:p w14:paraId="31B58E7A">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5A153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69805D1C">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1097B784">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449FB726">
            <w:pPr>
              <w:jc w:val="center"/>
              <w:rPr>
                <w:rFonts w:hint="eastAsia" w:ascii="宋体" w:hAnsi="宋体" w:eastAsia="宋体" w:cs="宋体"/>
                <w:i w:val="0"/>
                <w:iCs w:val="0"/>
                <w:color w:val="auto"/>
                <w:sz w:val="22"/>
                <w:szCs w:val="22"/>
                <w:highlight w:val="none"/>
                <w:u w:val="none"/>
              </w:rPr>
            </w:pPr>
          </w:p>
        </w:tc>
      </w:tr>
      <w:tr w14:paraId="1235F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2F4003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8</w:t>
            </w:r>
          </w:p>
        </w:tc>
        <w:tc>
          <w:tcPr>
            <w:tcW w:w="385" w:type="pct"/>
            <w:vMerge w:val="restart"/>
            <w:tcBorders>
              <w:top w:val="nil"/>
              <w:left w:val="nil"/>
              <w:bottom w:val="nil"/>
              <w:right w:val="single" w:color="000000" w:sz="8" w:space="0"/>
            </w:tcBorders>
            <w:shd w:val="clear" w:color="auto" w:fill="FFFFFF"/>
            <w:vAlign w:val="center"/>
          </w:tcPr>
          <w:p w14:paraId="2FD76D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管道式电磁流量计</w:t>
            </w:r>
          </w:p>
        </w:tc>
        <w:tc>
          <w:tcPr>
            <w:tcW w:w="385" w:type="pct"/>
            <w:tcBorders>
              <w:top w:val="nil"/>
              <w:left w:val="nil"/>
              <w:bottom w:val="single" w:color="000000" w:sz="8" w:space="0"/>
              <w:right w:val="single" w:color="000000" w:sz="8" w:space="0"/>
            </w:tcBorders>
            <w:shd w:val="clear" w:color="auto" w:fill="FFFFFF"/>
            <w:vAlign w:val="center"/>
          </w:tcPr>
          <w:p w14:paraId="2BD645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DN800</w:t>
            </w:r>
          </w:p>
        </w:tc>
        <w:tc>
          <w:tcPr>
            <w:tcW w:w="385" w:type="pct"/>
            <w:tcBorders>
              <w:top w:val="nil"/>
              <w:left w:val="nil"/>
              <w:bottom w:val="single" w:color="000000" w:sz="8" w:space="0"/>
              <w:right w:val="single" w:color="000000" w:sz="8" w:space="0"/>
            </w:tcBorders>
            <w:shd w:val="clear" w:color="auto" w:fill="auto"/>
            <w:vAlign w:val="center"/>
          </w:tcPr>
          <w:p w14:paraId="35C63D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6D2579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01" w:type="pct"/>
            <w:tcBorders>
              <w:top w:val="nil"/>
              <w:left w:val="nil"/>
              <w:bottom w:val="single" w:color="000000" w:sz="8" w:space="0"/>
              <w:right w:val="single" w:color="000000" w:sz="8" w:space="0"/>
            </w:tcBorders>
            <w:shd w:val="clear" w:color="auto" w:fill="auto"/>
            <w:vAlign w:val="center"/>
          </w:tcPr>
          <w:p w14:paraId="1A4C57C3">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6E129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2864A23A">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2DE6BFF8">
            <w:pPr>
              <w:jc w:val="center"/>
              <w:rPr>
                <w:rFonts w:hint="eastAsia" w:ascii="宋体" w:hAnsi="宋体" w:eastAsia="宋体" w:cs="宋体"/>
                <w:i w:val="0"/>
                <w:iCs w:val="0"/>
                <w:color w:val="auto"/>
                <w:sz w:val="22"/>
                <w:szCs w:val="22"/>
                <w:highlight w:val="none"/>
                <w:u w:val="none"/>
              </w:rPr>
            </w:pPr>
          </w:p>
        </w:tc>
        <w:tc>
          <w:tcPr>
            <w:tcW w:w="385" w:type="pct"/>
            <w:vMerge w:val="restart"/>
            <w:tcBorders>
              <w:top w:val="nil"/>
              <w:left w:val="nil"/>
              <w:bottom w:val="single" w:color="000000" w:sz="8" w:space="0"/>
              <w:right w:val="single" w:color="000000" w:sz="8" w:space="0"/>
            </w:tcBorders>
            <w:shd w:val="clear" w:color="auto" w:fill="auto"/>
            <w:vAlign w:val="center"/>
          </w:tcPr>
          <w:p w14:paraId="12E79A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电极：钛衬里材料：聚四氟乙烯；（推荐：科隆、ABB、西门子等合资品牌）</w:t>
            </w:r>
          </w:p>
        </w:tc>
      </w:tr>
      <w:tr w14:paraId="4D35B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45215C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9</w:t>
            </w:r>
          </w:p>
        </w:tc>
        <w:tc>
          <w:tcPr>
            <w:tcW w:w="385" w:type="pct"/>
            <w:vMerge w:val="continue"/>
            <w:tcBorders>
              <w:top w:val="nil"/>
              <w:left w:val="nil"/>
              <w:bottom w:val="nil"/>
              <w:right w:val="single" w:color="000000" w:sz="8" w:space="0"/>
            </w:tcBorders>
            <w:shd w:val="clear" w:color="auto" w:fill="FFFFFF"/>
            <w:vAlign w:val="center"/>
          </w:tcPr>
          <w:p w14:paraId="70E81D95">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FFFFFF"/>
            <w:vAlign w:val="center"/>
          </w:tcPr>
          <w:p w14:paraId="5A6322C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DN1000</w:t>
            </w:r>
          </w:p>
        </w:tc>
        <w:tc>
          <w:tcPr>
            <w:tcW w:w="385" w:type="pct"/>
            <w:tcBorders>
              <w:top w:val="nil"/>
              <w:left w:val="nil"/>
              <w:bottom w:val="single" w:color="000000" w:sz="8" w:space="0"/>
              <w:right w:val="single" w:color="000000" w:sz="8" w:space="0"/>
            </w:tcBorders>
            <w:shd w:val="clear" w:color="auto" w:fill="auto"/>
            <w:vAlign w:val="center"/>
          </w:tcPr>
          <w:p w14:paraId="63CC1C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232A15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01" w:type="pct"/>
            <w:tcBorders>
              <w:top w:val="nil"/>
              <w:left w:val="nil"/>
              <w:bottom w:val="single" w:color="000000" w:sz="8" w:space="0"/>
              <w:right w:val="single" w:color="000000" w:sz="8" w:space="0"/>
            </w:tcBorders>
            <w:shd w:val="clear" w:color="auto" w:fill="auto"/>
            <w:vAlign w:val="center"/>
          </w:tcPr>
          <w:p w14:paraId="0EB1025E">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1F3B9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2A18DC77">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33800A55">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042B8A91">
            <w:pPr>
              <w:jc w:val="center"/>
              <w:rPr>
                <w:rFonts w:hint="eastAsia" w:ascii="宋体" w:hAnsi="宋体" w:eastAsia="宋体" w:cs="宋体"/>
                <w:i w:val="0"/>
                <w:iCs w:val="0"/>
                <w:color w:val="auto"/>
                <w:sz w:val="22"/>
                <w:szCs w:val="22"/>
                <w:highlight w:val="none"/>
                <w:u w:val="none"/>
              </w:rPr>
            </w:pPr>
          </w:p>
        </w:tc>
      </w:tr>
      <w:tr w14:paraId="07F00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2D6081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10</w:t>
            </w:r>
          </w:p>
        </w:tc>
        <w:tc>
          <w:tcPr>
            <w:tcW w:w="385" w:type="pct"/>
            <w:vMerge w:val="restart"/>
            <w:tcBorders>
              <w:top w:val="nil"/>
              <w:left w:val="nil"/>
              <w:bottom w:val="nil"/>
              <w:right w:val="single" w:color="000000" w:sz="8" w:space="0"/>
            </w:tcBorders>
            <w:shd w:val="clear" w:color="auto" w:fill="FFFFFF"/>
            <w:vAlign w:val="center"/>
          </w:tcPr>
          <w:p w14:paraId="08B17C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管道式电磁流量计</w:t>
            </w:r>
          </w:p>
        </w:tc>
        <w:tc>
          <w:tcPr>
            <w:tcW w:w="385" w:type="pct"/>
            <w:tcBorders>
              <w:top w:val="nil"/>
              <w:left w:val="nil"/>
              <w:bottom w:val="single" w:color="000000" w:sz="8" w:space="0"/>
              <w:right w:val="single" w:color="000000" w:sz="8" w:space="0"/>
            </w:tcBorders>
            <w:shd w:val="clear" w:color="auto" w:fill="FFFFFF"/>
            <w:vAlign w:val="center"/>
          </w:tcPr>
          <w:p w14:paraId="0E7FA5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DN200</w:t>
            </w:r>
          </w:p>
        </w:tc>
        <w:tc>
          <w:tcPr>
            <w:tcW w:w="385" w:type="pct"/>
            <w:tcBorders>
              <w:top w:val="nil"/>
              <w:left w:val="nil"/>
              <w:bottom w:val="single" w:color="000000" w:sz="8" w:space="0"/>
              <w:right w:val="single" w:color="000000" w:sz="8" w:space="0"/>
            </w:tcBorders>
            <w:shd w:val="clear" w:color="auto" w:fill="auto"/>
            <w:vAlign w:val="center"/>
          </w:tcPr>
          <w:p w14:paraId="196C39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3BAA3B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01" w:type="pct"/>
            <w:tcBorders>
              <w:top w:val="nil"/>
              <w:left w:val="nil"/>
              <w:bottom w:val="single" w:color="000000" w:sz="8" w:space="0"/>
              <w:right w:val="single" w:color="000000" w:sz="8" w:space="0"/>
            </w:tcBorders>
            <w:shd w:val="clear" w:color="auto" w:fill="auto"/>
            <w:vAlign w:val="center"/>
          </w:tcPr>
          <w:p w14:paraId="41A5B75A">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27334F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3DA602B9">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6278C6C6">
            <w:pPr>
              <w:jc w:val="center"/>
              <w:rPr>
                <w:rFonts w:hint="eastAsia" w:ascii="宋体" w:hAnsi="宋体" w:eastAsia="宋体" w:cs="宋体"/>
                <w:i w:val="0"/>
                <w:iCs w:val="0"/>
                <w:color w:val="auto"/>
                <w:sz w:val="22"/>
                <w:szCs w:val="22"/>
                <w:highlight w:val="none"/>
                <w:u w:val="none"/>
              </w:rPr>
            </w:pPr>
          </w:p>
        </w:tc>
        <w:tc>
          <w:tcPr>
            <w:tcW w:w="385" w:type="pct"/>
            <w:vMerge w:val="restart"/>
            <w:tcBorders>
              <w:top w:val="nil"/>
              <w:left w:val="nil"/>
              <w:bottom w:val="single" w:color="000000" w:sz="8" w:space="0"/>
              <w:right w:val="single" w:color="000000" w:sz="8" w:space="0"/>
            </w:tcBorders>
            <w:shd w:val="clear" w:color="auto" w:fill="auto"/>
            <w:vAlign w:val="center"/>
          </w:tcPr>
          <w:p w14:paraId="3D39A85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电极：316L不锈钢衬里材料：氯丁橡胶（推荐科隆、ABB、西门子等合资品牌）</w:t>
            </w:r>
          </w:p>
        </w:tc>
      </w:tr>
      <w:tr w14:paraId="5C037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6330AB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11</w:t>
            </w:r>
          </w:p>
        </w:tc>
        <w:tc>
          <w:tcPr>
            <w:tcW w:w="385" w:type="pct"/>
            <w:vMerge w:val="continue"/>
            <w:tcBorders>
              <w:top w:val="nil"/>
              <w:left w:val="nil"/>
              <w:bottom w:val="nil"/>
              <w:right w:val="single" w:color="000000" w:sz="8" w:space="0"/>
            </w:tcBorders>
            <w:shd w:val="clear" w:color="auto" w:fill="FFFFFF"/>
            <w:vAlign w:val="center"/>
          </w:tcPr>
          <w:p w14:paraId="2ACEB15D">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FFFFFF"/>
            <w:vAlign w:val="center"/>
          </w:tcPr>
          <w:p w14:paraId="48D5EC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DN300</w:t>
            </w:r>
          </w:p>
        </w:tc>
        <w:tc>
          <w:tcPr>
            <w:tcW w:w="385" w:type="pct"/>
            <w:tcBorders>
              <w:top w:val="nil"/>
              <w:left w:val="nil"/>
              <w:bottom w:val="single" w:color="000000" w:sz="8" w:space="0"/>
              <w:right w:val="single" w:color="000000" w:sz="8" w:space="0"/>
            </w:tcBorders>
            <w:shd w:val="clear" w:color="auto" w:fill="auto"/>
            <w:vAlign w:val="center"/>
          </w:tcPr>
          <w:p w14:paraId="1EE31D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7F6D6B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01" w:type="pct"/>
            <w:tcBorders>
              <w:top w:val="nil"/>
              <w:left w:val="nil"/>
              <w:bottom w:val="single" w:color="000000" w:sz="8" w:space="0"/>
              <w:right w:val="single" w:color="000000" w:sz="8" w:space="0"/>
            </w:tcBorders>
            <w:shd w:val="clear" w:color="auto" w:fill="auto"/>
            <w:vAlign w:val="center"/>
          </w:tcPr>
          <w:p w14:paraId="288F44C4">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27606E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61564BE4">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0F152AD9">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03E7EF1E">
            <w:pPr>
              <w:jc w:val="center"/>
              <w:rPr>
                <w:rFonts w:hint="eastAsia" w:ascii="宋体" w:hAnsi="宋体" w:eastAsia="宋体" w:cs="宋体"/>
                <w:i w:val="0"/>
                <w:iCs w:val="0"/>
                <w:color w:val="auto"/>
                <w:sz w:val="22"/>
                <w:szCs w:val="22"/>
                <w:highlight w:val="none"/>
                <w:u w:val="none"/>
              </w:rPr>
            </w:pPr>
          </w:p>
        </w:tc>
      </w:tr>
      <w:tr w14:paraId="20349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2FA2AB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12</w:t>
            </w:r>
          </w:p>
        </w:tc>
        <w:tc>
          <w:tcPr>
            <w:tcW w:w="385" w:type="pct"/>
            <w:vMerge w:val="continue"/>
            <w:tcBorders>
              <w:top w:val="nil"/>
              <w:left w:val="nil"/>
              <w:bottom w:val="nil"/>
              <w:right w:val="single" w:color="000000" w:sz="8" w:space="0"/>
            </w:tcBorders>
            <w:shd w:val="clear" w:color="auto" w:fill="FFFFFF"/>
            <w:vAlign w:val="center"/>
          </w:tcPr>
          <w:p w14:paraId="60EF6957">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FFFFFF"/>
            <w:vAlign w:val="center"/>
          </w:tcPr>
          <w:p w14:paraId="1722AE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DN400</w:t>
            </w:r>
          </w:p>
        </w:tc>
        <w:tc>
          <w:tcPr>
            <w:tcW w:w="385" w:type="pct"/>
            <w:tcBorders>
              <w:top w:val="nil"/>
              <w:left w:val="nil"/>
              <w:bottom w:val="single" w:color="000000" w:sz="8" w:space="0"/>
              <w:right w:val="single" w:color="000000" w:sz="8" w:space="0"/>
            </w:tcBorders>
            <w:shd w:val="clear" w:color="auto" w:fill="auto"/>
            <w:vAlign w:val="center"/>
          </w:tcPr>
          <w:p w14:paraId="1BE6C0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514DE1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401" w:type="pct"/>
            <w:tcBorders>
              <w:top w:val="nil"/>
              <w:left w:val="nil"/>
              <w:bottom w:val="single" w:color="000000" w:sz="8" w:space="0"/>
              <w:right w:val="single" w:color="000000" w:sz="8" w:space="0"/>
            </w:tcBorders>
            <w:shd w:val="clear" w:color="auto" w:fill="auto"/>
            <w:vAlign w:val="center"/>
          </w:tcPr>
          <w:p w14:paraId="14C3058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260F9A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53B8D0EA">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073F79F8">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64BB0E35">
            <w:pPr>
              <w:jc w:val="center"/>
              <w:rPr>
                <w:rFonts w:hint="eastAsia" w:ascii="宋体" w:hAnsi="宋体" w:eastAsia="宋体" w:cs="宋体"/>
                <w:i w:val="0"/>
                <w:iCs w:val="0"/>
                <w:color w:val="auto"/>
                <w:sz w:val="22"/>
                <w:szCs w:val="22"/>
                <w:highlight w:val="none"/>
                <w:u w:val="none"/>
              </w:rPr>
            </w:pPr>
          </w:p>
        </w:tc>
      </w:tr>
      <w:tr w14:paraId="2C7C2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0BDE59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w:t>
            </w:r>
          </w:p>
        </w:tc>
        <w:tc>
          <w:tcPr>
            <w:tcW w:w="385" w:type="pct"/>
            <w:vMerge w:val="continue"/>
            <w:tcBorders>
              <w:top w:val="nil"/>
              <w:left w:val="nil"/>
              <w:bottom w:val="nil"/>
              <w:right w:val="single" w:color="000000" w:sz="8" w:space="0"/>
            </w:tcBorders>
            <w:shd w:val="clear" w:color="auto" w:fill="FFFFFF"/>
            <w:vAlign w:val="center"/>
          </w:tcPr>
          <w:p w14:paraId="5F90E80B">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FFFFFF"/>
            <w:vAlign w:val="center"/>
          </w:tcPr>
          <w:p w14:paraId="376741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DN600</w:t>
            </w:r>
          </w:p>
        </w:tc>
        <w:tc>
          <w:tcPr>
            <w:tcW w:w="385" w:type="pct"/>
            <w:tcBorders>
              <w:top w:val="nil"/>
              <w:left w:val="nil"/>
              <w:bottom w:val="single" w:color="000000" w:sz="8" w:space="0"/>
              <w:right w:val="single" w:color="000000" w:sz="8" w:space="0"/>
            </w:tcBorders>
            <w:shd w:val="clear" w:color="auto" w:fill="auto"/>
            <w:vAlign w:val="center"/>
          </w:tcPr>
          <w:p w14:paraId="3AC0E2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28F456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401" w:type="pct"/>
            <w:tcBorders>
              <w:top w:val="nil"/>
              <w:left w:val="nil"/>
              <w:bottom w:val="single" w:color="000000" w:sz="8" w:space="0"/>
              <w:right w:val="single" w:color="000000" w:sz="8" w:space="0"/>
            </w:tcBorders>
            <w:shd w:val="clear" w:color="auto" w:fill="auto"/>
            <w:vAlign w:val="center"/>
          </w:tcPr>
          <w:p w14:paraId="2A7ABB8A">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8116A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20E28660">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335CDEBB">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1A315C1F">
            <w:pPr>
              <w:jc w:val="center"/>
              <w:rPr>
                <w:rFonts w:hint="eastAsia" w:ascii="宋体" w:hAnsi="宋体" w:eastAsia="宋体" w:cs="宋体"/>
                <w:i w:val="0"/>
                <w:iCs w:val="0"/>
                <w:color w:val="auto"/>
                <w:sz w:val="22"/>
                <w:szCs w:val="22"/>
                <w:highlight w:val="none"/>
                <w:u w:val="none"/>
              </w:rPr>
            </w:pPr>
          </w:p>
        </w:tc>
      </w:tr>
      <w:tr w14:paraId="7B134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402FF08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14</w:t>
            </w:r>
          </w:p>
        </w:tc>
        <w:tc>
          <w:tcPr>
            <w:tcW w:w="385" w:type="pct"/>
            <w:tcBorders>
              <w:top w:val="nil"/>
              <w:left w:val="nil"/>
              <w:bottom w:val="single" w:color="000000" w:sz="8" w:space="0"/>
              <w:right w:val="single" w:color="000000" w:sz="8" w:space="0"/>
            </w:tcBorders>
            <w:shd w:val="clear" w:color="auto" w:fill="auto"/>
            <w:vAlign w:val="center"/>
          </w:tcPr>
          <w:p w14:paraId="6FA1114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电磁流量计转换器</w:t>
            </w:r>
          </w:p>
        </w:tc>
        <w:tc>
          <w:tcPr>
            <w:tcW w:w="385" w:type="pct"/>
            <w:tcBorders>
              <w:top w:val="nil"/>
              <w:left w:val="nil"/>
              <w:bottom w:val="single" w:color="000000" w:sz="8" w:space="0"/>
              <w:right w:val="single" w:color="000000" w:sz="8" w:space="0"/>
            </w:tcBorders>
            <w:shd w:val="clear" w:color="auto" w:fill="auto"/>
            <w:vAlign w:val="center"/>
          </w:tcPr>
          <w:p w14:paraId="60A582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385" w:type="pct"/>
            <w:tcBorders>
              <w:top w:val="nil"/>
              <w:left w:val="nil"/>
              <w:bottom w:val="single" w:color="000000" w:sz="8" w:space="0"/>
              <w:right w:val="single" w:color="000000" w:sz="8" w:space="0"/>
            </w:tcBorders>
            <w:shd w:val="clear" w:color="auto" w:fill="auto"/>
            <w:vAlign w:val="center"/>
          </w:tcPr>
          <w:p w14:paraId="56BC12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个</w:t>
            </w:r>
          </w:p>
        </w:tc>
        <w:tc>
          <w:tcPr>
            <w:tcW w:w="385" w:type="pct"/>
            <w:tcBorders>
              <w:top w:val="nil"/>
              <w:left w:val="nil"/>
              <w:bottom w:val="single" w:color="000000" w:sz="8" w:space="0"/>
              <w:right w:val="single" w:color="000000" w:sz="8" w:space="0"/>
            </w:tcBorders>
            <w:shd w:val="clear" w:color="auto" w:fill="auto"/>
            <w:vAlign w:val="center"/>
          </w:tcPr>
          <w:p w14:paraId="527880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401" w:type="pct"/>
            <w:tcBorders>
              <w:top w:val="nil"/>
              <w:left w:val="nil"/>
              <w:bottom w:val="single" w:color="000000" w:sz="8" w:space="0"/>
              <w:right w:val="single" w:color="000000" w:sz="8" w:space="0"/>
            </w:tcBorders>
            <w:shd w:val="clear" w:color="auto" w:fill="auto"/>
            <w:vAlign w:val="center"/>
          </w:tcPr>
          <w:p w14:paraId="6BA8DC4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549D7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15F578BD">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3E927BE3">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0E393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与国产品牌流量计匹配</w:t>
            </w:r>
          </w:p>
        </w:tc>
      </w:tr>
      <w:tr w14:paraId="23082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127F719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15</w:t>
            </w:r>
          </w:p>
        </w:tc>
        <w:tc>
          <w:tcPr>
            <w:tcW w:w="385" w:type="pct"/>
            <w:tcBorders>
              <w:top w:val="nil"/>
              <w:left w:val="nil"/>
              <w:bottom w:val="single" w:color="000000" w:sz="8" w:space="0"/>
              <w:right w:val="single" w:color="000000" w:sz="8" w:space="0"/>
            </w:tcBorders>
            <w:shd w:val="clear" w:color="auto" w:fill="auto"/>
            <w:vAlign w:val="center"/>
          </w:tcPr>
          <w:p w14:paraId="650AB0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电磁流量模拟信号校准器</w:t>
            </w:r>
          </w:p>
        </w:tc>
        <w:tc>
          <w:tcPr>
            <w:tcW w:w="385" w:type="pct"/>
            <w:tcBorders>
              <w:top w:val="nil"/>
              <w:left w:val="nil"/>
              <w:bottom w:val="single" w:color="000000" w:sz="8" w:space="0"/>
              <w:right w:val="single" w:color="000000" w:sz="8" w:space="0"/>
            </w:tcBorders>
            <w:shd w:val="clear" w:color="auto" w:fill="auto"/>
            <w:vAlign w:val="center"/>
          </w:tcPr>
          <w:p w14:paraId="2991A7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385" w:type="pct"/>
            <w:tcBorders>
              <w:top w:val="nil"/>
              <w:left w:val="nil"/>
              <w:bottom w:val="single" w:color="000000" w:sz="8" w:space="0"/>
              <w:right w:val="single" w:color="000000" w:sz="8" w:space="0"/>
            </w:tcBorders>
            <w:shd w:val="clear" w:color="auto" w:fill="auto"/>
            <w:vAlign w:val="center"/>
          </w:tcPr>
          <w:p w14:paraId="69178D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个</w:t>
            </w:r>
          </w:p>
        </w:tc>
        <w:tc>
          <w:tcPr>
            <w:tcW w:w="385" w:type="pct"/>
            <w:tcBorders>
              <w:top w:val="nil"/>
              <w:left w:val="nil"/>
              <w:bottom w:val="single" w:color="000000" w:sz="8" w:space="0"/>
              <w:right w:val="single" w:color="000000" w:sz="8" w:space="0"/>
            </w:tcBorders>
            <w:shd w:val="clear" w:color="auto" w:fill="auto"/>
            <w:vAlign w:val="center"/>
          </w:tcPr>
          <w:p w14:paraId="5D6D8D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01" w:type="pct"/>
            <w:tcBorders>
              <w:top w:val="nil"/>
              <w:left w:val="nil"/>
              <w:bottom w:val="single" w:color="000000" w:sz="8" w:space="0"/>
              <w:right w:val="single" w:color="000000" w:sz="8" w:space="0"/>
            </w:tcBorders>
            <w:shd w:val="clear" w:color="auto" w:fill="auto"/>
            <w:vAlign w:val="center"/>
          </w:tcPr>
          <w:p w14:paraId="65DDC8D9">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EF4FF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563A7AC6">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1E9F863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560B04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与国产品牌流量计匹配</w:t>
            </w:r>
          </w:p>
        </w:tc>
      </w:tr>
      <w:tr w14:paraId="1AF7B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26" w:type="pct"/>
            <w:gridSpan w:val="5"/>
            <w:tcBorders>
              <w:top w:val="nil"/>
              <w:left w:val="single" w:color="000000" w:sz="8" w:space="0"/>
              <w:bottom w:val="single" w:color="000000" w:sz="8" w:space="0"/>
              <w:right w:val="single" w:color="000000" w:sz="8" w:space="0"/>
            </w:tcBorders>
            <w:shd w:val="clear" w:color="auto" w:fill="auto"/>
            <w:vAlign w:val="center"/>
          </w:tcPr>
          <w:p w14:paraId="561F1C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合计（元）</w:t>
            </w:r>
          </w:p>
        </w:tc>
        <w:tc>
          <w:tcPr>
            <w:tcW w:w="1739" w:type="pct"/>
            <w:gridSpan w:val="4"/>
            <w:tcBorders>
              <w:top w:val="nil"/>
              <w:left w:val="nil"/>
              <w:bottom w:val="single" w:color="000000" w:sz="8" w:space="0"/>
              <w:right w:val="single" w:color="000000" w:sz="8" w:space="0"/>
            </w:tcBorders>
            <w:shd w:val="clear" w:color="auto" w:fill="auto"/>
            <w:vAlign w:val="center"/>
          </w:tcPr>
          <w:p w14:paraId="5A6290CD">
            <w:pPr>
              <w:jc w:val="center"/>
              <w:rPr>
                <w:rFonts w:hint="eastAsia" w:ascii="宋体" w:hAnsi="宋体" w:eastAsia="宋体" w:cs="宋体"/>
                <w:b/>
                <w:bCs/>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noWrap/>
            <w:vAlign w:val="center"/>
          </w:tcPr>
          <w:p w14:paraId="588F838D">
            <w:pPr>
              <w:jc w:val="center"/>
              <w:rPr>
                <w:rFonts w:hint="eastAsia" w:ascii="宋体" w:hAnsi="宋体" w:eastAsia="宋体" w:cs="宋体"/>
                <w:i w:val="0"/>
                <w:iCs w:val="0"/>
                <w:color w:val="auto"/>
                <w:sz w:val="22"/>
                <w:szCs w:val="22"/>
                <w:highlight w:val="none"/>
                <w:u w:val="none"/>
              </w:rPr>
            </w:pPr>
          </w:p>
        </w:tc>
      </w:tr>
      <w:tr w14:paraId="093EA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70" w:type="pct"/>
            <w:gridSpan w:val="2"/>
            <w:tcBorders>
              <w:top w:val="nil"/>
              <w:left w:val="single" w:color="000000" w:sz="8" w:space="0"/>
              <w:bottom w:val="single" w:color="000000" w:sz="8" w:space="0"/>
              <w:right w:val="single" w:color="000000" w:sz="8" w:space="0"/>
            </w:tcBorders>
            <w:shd w:val="clear" w:color="auto" w:fill="auto"/>
            <w:vAlign w:val="center"/>
          </w:tcPr>
          <w:p w14:paraId="6A7278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投标总价合计</w:t>
            </w:r>
          </w:p>
        </w:tc>
        <w:tc>
          <w:tcPr>
            <w:tcW w:w="2895" w:type="pct"/>
            <w:gridSpan w:val="7"/>
            <w:tcBorders>
              <w:top w:val="nil"/>
              <w:left w:val="single" w:color="000000" w:sz="8" w:space="0"/>
              <w:bottom w:val="single" w:color="000000" w:sz="8" w:space="0"/>
              <w:right w:val="single" w:color="000000" w:sz="8" w:space="0"/>
            </w:tcBorders>
            <w:shd w:val="clear" w:color="auto" w:fill="auto"/>
            <w:vAlign w:val="center"/>
          </w:tcPr>
          <w:p w14:paraId="00BC67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小写：元</w:t>
            </w:r>
          </w:p>
        </w:tc>
        <w:tc>
          <w:tcPr>
            <w:tcW w:w="385" w:type="pct"/>
            <w:tcBorders>
              <w:top w:val="nil"/>
              <w:left w:val="nil"/>
              <w:bottom w:val="nil"/>
              <w:right w:val="nil"/>
            </w:tcBorders>
            <w:shd w:val="clear" w:color="auto" w:fill="auto"/>
            <w:noWrap/>
            <w:vAlign w:val="center"/>
          </w:tcPr>
          <w:p w14:paraId="3A616DB0">
            <w:pPr>
              <w:rPr>
                <w:rFonts w:hint="eastAsia" w:ascii="宋体" w:hAnsi="宋体" w:eastAsia="宋体" w:cs="宋体"/>
                <w:i w:val="0"/>
                <w:iCs w:val="0"/>
                <w:color w:val="auto"/>
                <w:sz w:val="22"/>
                <w:szCs w:val="22"/>
                <w:highlight w:val="none"/>
                <w:u w:val="none"/>
              </w:rPr>
            </w:pPr>
          </w:p>
        </w:tc>
      </w:tr>
    </w:tbl>
    <w:p w14:paraId="07727590">
      <w:pPr>
        <w:rPr>
          <w:rFonts w:ascii="宋体" w:eastAsia="宋体" w:cs="宋体"/>
          <w:color w:val="auto"/>
          <w:sz w:val="36"/>
          <w:szCs w:val="36"/>
          <w:highlight w:val="none"/>
        </w:rPr>
      </w:pPr>
      <w:r>
        <w:rPr>
          <w:rFonts w:ascii="宋体" w:eastAsia="宋体" w:cs="宋体"/>
          <w:color w:val="auto"/>
          <w:sz w:val="36"/>
          <w:szCs w:val="36"/>
          <w:highlight w:val="none"/>
        </w:rPr>
        <w:br w:type="page"/>
      </w:r>
    </w:p>
    <w:p w14:paraId="60FDB9D3">
      <w:pPr>
        <w:rPr>
          <w:rFonts w:ascii="宋体" w:eastAsia="宋体" w:cs="宋体"/>
          <w:color w:val="auto"/>
          <w:sz w:val="36"/>
          <w:szCs w:val="36"/>
          <w:highlight w:val="none"/>
        </w:rPr>
        <w:sectPr>
          <w:pgSz w:w="16840" w:h="11907" w:orient="landscape"/>
          <w:pgMar w:top="1474" w:right="1418" w:bottom="1559" w:left="1418" w:header="0" w:footer="723" w:gutter="0"/>
          <w:pgBorders>
            <w:top w:val="none" w:sz="0" w:space="0"/>
            <w:left w:val="none" w:sz="0" w:space="0"/>
            <w:bottom w:val="none" w:sz="0" w:space="0"/>
            <w:right w:val="none" w:sz="0" w:space="0"/>
          </w:pgBorders>
          <w:cols w:space="720" w:num="1"/>
        </w:sectPr>
      </w:pPr>
    </w:p>
    <w:p w14:paraId="68C9356D">
      <w:pPr>
        <w:spacing w:before="63" w:line="226" w:lineRule="auto"/>
        <w:jc w:val="center"/>
        <w:outlineLvl w:val="0"/>
        <w:rPr>
          <w:rFonts w:ascii="宋体" w:eastAsia="宋体" w:cs="宋体"/>
          <w:color w:val="auto"/>
          <w:sz w:val="31"/>
          <w:szCs w:val="31"/>
          <w:highlight w:val="none"/>
        </w:rPr>
      </w:pPr>
      <w:bookmarkStart w:id="224" w:name="_Toc4362"/>
      <w:r>
        <w:rPr>
          <w:rFonts w:ascii="宋体" w:eastAsia="宋体" w:cs="宋体"/>
          <w:color w:val="auto"/>
          <w:sz w:val="36"/>
          <w:szCs w:val="36"/>
          <w:highlight w:val="none"/>
        </w:rPr>
        <w:t>第五章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招标内容和技术要求</w:t>
      </w:r>
      <w:bookmarkEnd w:id="208"/>
      <w:bookmarkEnd w:id="224"/>
    </w:p>
    <w:p w14:paraId="744C94B7">
      <w:pPr>
        <w:pStyle w:val="29"/>
        <w:ind w:firstLine="0" w:firstLineChars="0"/>
        <w:jc w:val="center"/>
        <w:rPr>
          <w:rFonts w:hint="eastAsia" w:eastAsia="宋体"/>
          <w:b/>
          <w:bCs/>
          <w:color w:val="auto"/>
          <w:sz w:val="32"/>
          <w:szCs w:val="32"/>
          <w:highlight w:val="none"/>
          <w:lang w:eastAsia="zh-CN"/>
        </w:rPr>
      </w:pPr>
      <w:bookmarkStart w:id="225" w:name="EB87885780ff894f20a95b14282c17a842"/>
      <w:bookmarkStart w:id="226" w:name="EB31a1fa9e668d4b7f8e5a8e7a09fbe044"/>
      <w:r>
        <w:rPr>
          <w:rFonts w:hint="eastAsia" w:eastAsia="宋体"/>
          <w:b/>
          <w:bCs/>
          <w:color w:val="auto"/>
          <w:sz w:val="32"/>
          <w:szCs w:val="32"/>
          <w:highlight w:val="none"/>
          <w:lang w:eastAsia="zh-CN"/>
        </w:rPr>
        <w:t>招标清单</w:t>
      </w:r>
    </w:p>
    <w:tbl>
      <w:tblPr>
        <w:tblStyle w:val="3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48"/>
        <w:gridCol w:w="2137"/>
        <w:gridCol w:w="800"/>
        <w:gridCol w:w="784"/>
        <w:gridCol w:w="900"/>
        <w:gridCol w:w="1316"/>
        <w:gridCol w:w="1417"/>
        <w:gridCol w:w="1217"/>
        <w:gridCol w:w="1683"/>
        <w:gridCol w:w="2818"/>
      </w:tblGrid>
      <w:tr w14:paraId="1EF11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D1BE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一、DN（15-50）水平旋翼式液封湿式水表及附属配件</w:t>
            </w:r>
          </w:p>
        </w:tc>
      </w:tr>
      <w:tr w14:paraId="30C46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B51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序号</w:t>
            </w:r>
          </w:p>
        </w:tc>
        <w:tc>
          <w:tcPr>
            <w:tcW w:w="7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A3A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设备名称</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0E0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规格</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153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单位</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83B2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数量</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F1F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产品上限单价（元）</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68F9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安装上限单价（元）</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F17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综合单价（元）</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F5E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上限价（元）</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884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备注</w:t>
            </w:r>
          </w:p>
        </w:tc>
      </w:tr>
      <w:tr w14:paraId="11027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9EE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7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100F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水平旋翼式湿式冷水水表</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291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21BB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62F1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18186</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7D3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55.91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F70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14.30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454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70.21</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58D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1276839.06</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390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防冻玻璃改远传基表</w:t>
            </w:r>
          </w:p>
        </w:tc>
      </w:tr>
      <w:tr w14:paraId="2A483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2FB0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B8FF7">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047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3C0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FA4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13015</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1E6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44.08</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DC8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14.30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50F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58.38</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AE7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759815.70</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1B5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钢化玻璃改远传基表</w:t>
            </w:r>
          </w:p>
        </w:tc>
      </w:tr>
      <w:tr w14:paraId="40D26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3F9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6ECB5C">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72A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064D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35C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343</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AE1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46.48</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691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40.00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778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86.48</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A7C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29662.64</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10A62">
            <w:pPr>
              <w:jc w:val="center"/>
              <w:rPr>
                <w:rFonts w:hint="eastAsia" w:ascii="Arial" w:hAnsi="Arial" w:eastAsia="宋体" w:cs="Arial"/>
                <w:i w:val="0"/>
                <w:iCs w:val="0"/>
                <w:color w:val="auto"/>
                <w:sz w:val="22"/>
                <w:szCs w:val="22"/>
                <w:highlight w:val="none"/>
                <w:u w:val="none"/>
              </w:rPr>
            </w:pPr>
          </w:p>
        </w:tc>
      </w:tr>
      <w:tr w14:paraId="4523C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B97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7F778">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D09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DN25</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13C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BE7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517</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A18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79.20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13E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40.00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E50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119.20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63E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61626.40</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F0EBD">
            <w:pPr>
              <w:jc w:val="center"/>
              <w:rPr>
                <w:rFonts w:hint="default" w:ascii="Arial" w:hAnsi="Arial" w:eastAsia="宋体" w:cs="Arial"/>
                <w:i w:val="0"/>
                <w:iCs w:val="0"/>
                <w:color w:val="auto"/>
                <w:sz w:val="22"/>
                <w:szCs w:val="22"/>
                <w:highlight w:val="none"/>
                <w:u w:val="none"/>
              </w:rPr>
            </w:pPr>
          </w:p>
        </w:tc>
      </w:tr>
      <w:tr w14:paraId="35B17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D25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6CFB3">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69D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DN40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C96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BAF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564</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923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102.58</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0BA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83.00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0BF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185.58</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6D2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104667.12</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78388">
            <w:pPr>
              <w:jc w:val="center"/>
              <w:rPr>
                <w:rFonts w:hint="default" w:ascii="Arial" w:hAnsi="Arial" w:eastAsia="宋体" w:cs="Arial"/>
                <w:i w:val="0"/>
                <w:iCs w:val="0"/>
                <w:color w:val="auto"/>
                <w:sz w:val="22"/>
                <w:szCs w:val="22"/>
                <w:highlight w:val="none"/>
                <w:u w:val="none"/>
              </w:rPr>
            </w:pPr>
          </w:p>
        </w:tc>
      </w:tr>
      <w:tr w14:paraId="6AB28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7CD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C26AC">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6B9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DN50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8A6F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A76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135</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53D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209.00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CB49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572.00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8B3D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781.00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DD8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105435.00</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4CBD9">
            <w:pPr>
              <w:jc w:val="center"/>
              <w:rPr>
                <w:rFonts w:hint="default" w:ascii="Arial" w:hAnsi="Arial" w:eastAsia="宋体" w:cs="Arial"/>
                <w:i w:val="0"/>
                <w:iCs w:val="0"/>
                <w:color w:val="auto"/>
                <w:sz w:val="22"/>
                <w:szCs w:val="22"/>
                <w:highlight w:val="none"/>
                <w:u w:val="none"/>
              </w:rPr>
            </w:pPr>
          </w:p>
        </w:tc>
      </w:tr>
      <w:tr w14:paraId="19C06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028"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18C7C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合计（元）</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9372D">
            <w:pPr>
              <w:jc w:val="center"/>
              <w:rPr>
                <w:rFonts w:hint="eastAsia" w:ascii="宋体" w:hAnsi="宋体" w:eastAsia="宋体" w:cs="宋体"/>
                <w:i w:val="0"/>
                <w:iCs w:val="0"/>
                <w:color w:val="auto"/>
                <w:sz w:val="22"/>
                <w:szCs w:val="22"/>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03425">
            <w:pPr>
              <w:jc w:val="center"/>
              <w:rPr>
                <w:rFonts w:hint="eastAsia" w:ascii="宋体" w:hAnsi="宋体" w:eastAsia="宋体" w:cs="宋体"/>
                <w:i w:val="0"/>
                <w:iCs w:val="0"/>
                <w:color w:val="auto"/>
                <w:sz w:val="22"/>
                <w:szCs w:val="22"/>
                <w:highlight w:val="none"/>
                <w:u w:val="none"/>
              </w:rPr>
            </w:pP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F8F8E">
            <w:pPr>
              <w:jc w:val="center"/>
              <w:rPr>
                <w:rFonts w:hint="eastAsia" w:ascii="宋体" w:hAnsi="宋体" w:eastAsia="宋体" w:cs="宋体"/>
                <w:i w:val="0"/>
                <w:iCs w:val="0"/>
                <w:color w:val="auto"/>
                <w:sz w:val="22"/>
                <w:szCs w:val="22"/>
                <w:highlight w:val="none"/>
                <w:u w:val="none"/>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48AB7">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2338045.92</w:t>
            </w:r>
          </w:p>
        </w:tc>
        <w:tc>
          <w:tcPr>
            <w:tcW w:w="9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5670D">
            <w:pPr>
              <w:jc w:val="center"/>
              <w:rPr>
                <w:rFonts w:hint="eastAsia" w:ascii="宋体" w:hAnsi="宋体" w:eastAsia="宋体" w:cs="宋体"/>
                <w:i w:val="0"/>
                <w:iCs w:val="0"/>
                <w:color w:val="auto"/>
                <w:sz w:val="22"/>
                <w:szCs w:val="22"/>
                <w:highlight w:val="none"/>
                <w:u w:val="none"/>
              </w:rPr>
            </w:pPr>
          </w:p>
        </w:tc>
      </w:tr>
      <w:tr w14:paraId="34401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012FD">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二、DN（40-200）螺翼式冷水水表及附属配件</w:t>
            </w:r>
          </w:p>
        </w:tc>
      </w:tr>
      <w:tr w14:paraId="0644A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7D9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序号</w:t>
            </w:r>
          </w:p>
        </w:tc>
        <w:tc>
          <w:tcPr>
            <w:tcW w:w="7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F69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设备名称</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C13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规格</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787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单位</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34A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数量</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7F3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产品上限单价（元）</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7D8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安装上限单价（元）</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34C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综合单价（元）</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335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上限价（元）</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CB6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备注</w:t>
            </w:r>
          </w:p>
        </w:tc>
      </w:tr>
      <w:tr w14:paraId="65CB1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764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7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9D67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水平螺翼式冷水水表</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985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DN80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A9F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7DF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318</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934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559.17</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FD0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572.00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DFE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1131.17</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1DC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359712.06</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top"/>
          </w:tcPr>
          <w:p w14:paraId="211DDA83">
            <w:pPr>
              <w:jc w:val="center"/>
              <w:rPr>
                <w:rFonts w:hint="eastAsia" w:ascii="宋体" w:hAnsi="宋体" w:eastAsia="宋体" w:cs="宋体"/>
                <w:i w:val="0"/>
                <w:iCs w:val="0"/>
                <w:color w:val="auto"/>
                <w:sz w:val="24"/>
                <w:szCs w:val="24"/>
                <w:highlight w:val="none"/>
                <w:u w:val="none"/>
              </w:rPr>
            </w:pPr>
          </w:p>
        </w:tc>
      </w:tr>
      <w:tr w14:paraId="72ECC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26F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40C20">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D481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DN100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94A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477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4253</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3839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691.90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65DC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572.00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21F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1263.90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B98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5375366.70</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5AE5B">
            <w:pPr>
              <w:jc w:val="center"/>
              <w:rPr>
                <w:rFonts w:hint="default" w:ascii="Arial" w:hAnsi="Arial" w:eastAsia="宋体" w:cs="Arial"/>
                <w:i w:val="0"/>
                <w:iCs w:val="0"/>
                <w:color w:val="auto"/>
                <w:sz w:val="22"/>
                <w:szCs w:val="22"/>
                <w:highlight w:val="none"/>
                <w:u w:val="none"/>
              </w:rPr>
            </w:pPr>
          </w:p>
        </w:tc>
      </w:tr>
      <w:tr w14:paraId="4BF77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8B4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7E9F0">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48C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234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870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278</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93F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1072.23</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96F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715.00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755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1787.23</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FB4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496849.94</w:t>
            </w:r>
          </w:p>
        </w:tc>
        <w:tc>
          <w:tcPr>
            <w:tcW w:w="9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2E3A6">
            <w:pPr>
              <w:jc w:val="center"/>
              <w:rPr>
                <w:rFonts w:hint="eastAsia" w:ascii="宋体" w:hAnsi="宋体" w:eastAsia="宋体" w:cs="宋体"/>
                <w:i w:val="0"/>
                <w:iCs w:val="0"/>
                <w:color w:val="auto"/>
                <w:sz w:val="22"/>
                <w:szCs w:val="22"/>
                <w:highlight w:val="none"/>
                <w:u w:val="none"/>
              </w:rPr>
            </w:pPr>
          </w:p>
        </w:tc>
      </w:tr>
      <w:tr w14:paraId="4269B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11C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F717A">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D74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21E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4DB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23A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1533.40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9EB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715.00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4CB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2248.40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C93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6745.20</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2A641">
            <w:pPr>
              <w:jc w:val="center"/>
              <w:rPr>
                <w:rFonts w:hint="default" w:ascii="Arial" w:hAnsi="Arial" w:eastAsia="宋体" w:cs="Arial"/>
                <w:i w:val="0"/>
                <w:iCs w:val="0"/>
                <w:color w:val="auto"/>
                <w:sz w:val="22"/>
                <w:szCs w:val="22"/>
                <w:highlight w:val="none"/>
                <w:u w:val="none"/>
              </w:rPr>
            </w:pPr>
          </w:p>
        </w:tc>
      </w:tr>
      <w:tr w14:paraId="40CA9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60D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w:t>
            </w:r>
          </w:p>
        </w:tc>
        <w:tc>
          <w:tcPr>
            <w:tcW w:w="7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8778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可拆卸螺翼式干式发讯冷水水表（带橡胶垫片）</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12C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DN40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07E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C20B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139</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8EC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1394.25</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03E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83.00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910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1477.25</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A96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205337.75</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top"/>
          </w:tcPr>
          <w:p w14:paraId="33F371F5">
            <w:pPr>
              <w:jc w:val="center"/>
              <w:rPr>
                <w:rFonts w:hint="eastAsia" w:ascii="宋体" w:hAnsi="宋体" w:eastAsia="宋体" w:cs="宋体"/>
                <w:i w:val="0"/>
                <w:iCs w:val="0"/>
                <w:color w:val="auto"/>
                <w:sz w:val="24"/>
                <w:szCs w:val="24"/>
                <w:highlight w:val="none"/>
                <w:u w:val="none"/>
              </w:rPr>
            </w:pPr>
          </w:p>
        </w:tc>
      </w:tr>
      <w:tr w14:paraId="17CCF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9E0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B653D">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F10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DN50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753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B2E3F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45</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1B7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1403.88</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A11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572.00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5173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1975.88</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13B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88914.60</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24247">
            <w:pPr>
              <w:jc w:val="center"/>
              <w:rPr>
                <w:rFonts w:hint="default" w:ascii="Arial" w:hAnsi="Arial" w:eastAsia="宋体" w:cs="Arial"/>
                <w:i w:val="0"/>
                <w:iCs w:val="0"/>
                <w:color w:val="auto"/>
                <w:sz w:val="22"/>
                <w:szCs w:val="22"/>
                <w:highlight w:val="none"/>
                <w:u w:val="none"/>
              </w:rPr>
            </w:pPr>
          </w:p>
        </w:tc>
      </w:tr>
      <w:tr w14:paraId="1D0B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0D7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7</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9C057">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6A4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DN80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67F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DC0E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43</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087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1614.25</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E98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572.00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3EF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2186.25</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797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94008.75</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F04D3">
            <w:pPr>
              <w:jc w:val="center"/>
              <w:rPr>
                <w:rFonts w:hint="default" w:ascii="Arial" w:hAnsi="Arial" w:eastAsia="宋体" w:cs="Arial"/>
                <w:i w:val="0"/>
                <w:iCs w:val="0"/>
                <w:color w:val="auto"/>
                <w:sz w:val="22"/>
                <w:szCs w:val="22"/>
                <w:highlight w:val="none"/>
                <w:u w:val="none"/>
              </w:rPr>
            </w:pPr>
          </w:p>
        </w:tc>
      </w:tr>
      <w:tr w14:paraId="11180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36C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8</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6435C">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664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DN100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948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4CA9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106</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73A2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1909.88</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C8A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572.00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766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2481.88</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B1F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263079.28</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4B46C">
            <w:pPr>
              <w:jc w:val="center"/>
              <w:rPr>
                <w:rFonts w:hint="default" w:ascii="Arial" w:hAnsi="Arial" w:eastAsia="宋体" w:cs="Arial"/>
                <w:i w:val="0"/>
                <w:iCs w:val="0"/>
                <w:color w:val="auto"/>
                <w:sz w:val="22"/>
                <w:szCs w:val="22"/>
                <w:highlight w:val="none"/>
                <w:u w:val="none"/>
              </w:rPr>
            </w:pPr>
          </w:p>
        </w:tc>
      </w:tr>
      <w:tr w14:paraId="4270D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168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9</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D5365">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8F9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99A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2074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15</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814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2682.08</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EE30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715.00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8F7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3397.08</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06B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50956.20</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72157">
            <w:pPr>
              <w:jc w:val="center"/>
              <w:rPr>
                <w:rFonts w:hint="default" w:ascii="Arial" w:hAnsi="Arial" w:eastAsia="宋体" w:cs="Arial"/>
                <w:i w:val="0"/>
                <w:iCs w:val="0"/>
                <w:color w:val="auto"/>
                <w:sz w:val="22"/>
                <w:szCs w:val="22"/>
                <w:highlight w:val="none"/>
                <w:u w:val="none"/>
              </w:rPr>
            </w:pPr>
          </w:p>
        </w:tc>
      </w:tr>
      <w:tr w14:paraId="39621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4A1D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10</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CE57E">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5C4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30D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7058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10B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4465.73</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7E2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715.00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F2C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5180.73</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DFC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31084.38</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97538">
            <w:pPr>
              <w:jc w:val="center"/>
              <w:rPr>
                <w:rFonts w:hint="default" w:ascii="Arial" w:hAnsi="Arial" w:eastAsia="宋体" w:cs="Arial"/>
                <w:i w:val="0"/>
                <w:iCs w:val="0"/>
                <w:color w:val="auto"/>
                <w:sz w:val="22"/>
                <w:szCs w:val="22"/>
                <w:highlight w:val="none"/>
                <w:u w:val="none"/>
              </w:rPr>
            </w:pPr>
          </w:p>
        </w:tc>
      </w:tr>
      <w:tr w14:paraId="5DA1C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2028"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0DCA9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合计（元）</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B8264">
            <w:pPr>
              <w:jc w:val="center"/>
              <w:rPr>
                <w:rFonts w:hint="eastAsia" w:ascii="宋体" w:hAnsi="宋体" w:eastAsia="宋体" w:cs="宋体"/>
                <w:i w:val="0"/>
                <w:iCs w:val="0"/>
                <w:color w:val="auto"/>
                <w:sz w:val="22"/>
                <w:szCs w:val="22"/>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FF42B">
            <w:pPr>
              <w:jc w:val="center"/>
              <w:rPr>
                <w:rFonts w:hint="eastAsia" w:ascii="宋体" w:hAnsi="宋体" w:eastAsia="宋体" w:cs="宋体"/>
                <w:i w:val="0"/>
                <w:iCs w:val="0"/>
                <w:color w:val="auto"/>
                <w:sz w:val="22"/>
                <w:szCs w:val="22"/>
                <w:highlight w:val="none"/>
                <w:u w:val="none"/>
              </w:rPr>
            </w:pP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AD7A1">
            <w:pPr>
              <w:jc w:val="center"/>
              <w:rPr>
                <w:rFonts w:hint="eastAsia" w:ascii="宋体" w:hAnsi="宋体" w:eastAsia="宋体" w:cs="宋体"/>
                <w:i w:val="0"/>
                <w:iCs w:val="0"/>
                <w:color w:val="auto"/>
                <w:sz w:val="22"/>
                <w:szCs w:val="22"/>
                <w:highlight w:val="none"/>
                <w:u w:val="none"/>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D3823">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6972054.86</w:t>
            </w:r>
          </w:p>
        </w:tc>
        <w:tc>
          <w:tcPr>
            <w:tcW w:w="9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12172">
            <w:pPr>
              <w:jc w:val="center"/>
              <w:rPr>
                <w:rFonts w:hint="eastAsia" w:ascii="宋体" w:hAnsi="宋体" w:eastAsia="宋体" w:cs="宋体"/>
                <w:i w:val="0"/>
                <w:iCs w:val="0"/>
                <w:color w:val="auto"/>
                <w:sz w:val="22"/>
                <w:szCs w:val="22"/>
                <w:highlight w:val="none"/>
                <w:u w:val="none"/>
              </w:rPr>
            </w:pPr>
          </w:p>
        </w:tc>
      </w:tr>
      <w:tr w14:paraId="5C222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3B7F6">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三、DN15旋翼式无磁远传水表及配件</w:t>
            </w:r>
          </w:p>
        </w:tc>
      </w:tr>
      <w:tr w14:paraId="08082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B21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序号</w:t>
            </w:r>
          </w:p>
        </w:tc>
        <w:tc>
          <w:tcPr>
            <w:tcW w:w="7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D25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设备名称</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E19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规格</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B4A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单位</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A61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数量</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8B6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产品上限单价（元）</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14B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安装上限单价（元）</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597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综合单价（元）</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8D9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上限价（元）</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A43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备注</w:t>
            </w:r>
          </w:p>
        </w:tc>
      </w:tr>
      <w:tr w14:paraId="6757F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BB512">
            <w:pPr>
              <w:keepNext w:val="0"/>
              <w:keepLines w:val="0"/>
              <w:widowControl/>
              <w:suppressLineNumbers w:val="0"/>
              <w:jc w:val="center"/>
              <w:textAlignment w:val="center"/>
              <w:rPr>
                <w:rFonts w:hint="default" w:ascii="Arial" w:hAnsi="Arial" w:eastAsia="宋体" w:cs="Arial"/>
                <w:i w:val="0"/>
                <w:iCs w:val="0"/>
                <w:color w:val="auto"/>
                <w:sz w:val="22"/>
                <w:szCs w:val="22"/>
                <w:highlight w:val="none"/>
                <w:u w:val="none"/>
              </w:rPr>
            </w:pPr>
            <w:r>
              <w:rPr>
                <w:rFonts w:hint="default" w:ascii="Arial" w:hAnsi="Arial" w:eastAsia="宋体" w:cs="Arial"/>
                <w:i w:val="0"/>
                <w:iCs w:val="0"/>
                <w:snapToGrid w:val="0"/>
                <w:color w:val="auto"/>
                <w:kern w:val="0"/>
                <w:sz w:val="22"/>
                <w:szCs w:val="22"/>
                <w:highlight w:val="none"/>
                <w:u w:val="none"/>
                <w:lang w:val="en-US" w:eastAsia="zh-CN" w:bidi="ar"/>
              </w:rPr>
              <w:t>1</w:t>
            </w:r>
          </w:p>
        </w:tc>
        <w:tc>
          <w:tcPr>
            <w:tcW w:w="7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32A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DN15旋翼式无磁远传水表</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505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48A6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B48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132000</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50D6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160.97</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842BD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14.30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138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175.27</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D0DF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23135640.00</w:t>
            </w:r>
          </w:p>
        </w:tc>
        <w:tc>
          <w:tcPr>
            <w:tcW w:w="9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AD831">
            <w:pPr>
              <w:jc w:val="center"/>
              <w:rPr>
                <w:rFonts w:hint="eastAsia" w:ascii="宋体" w:hAnsi="宋体" w:eastAsia="宋体" w:cs="宋体"/>
                <w:i w:val="0"/>
                <w:iCs w:val="0"/>
                <w:color w:val="auto"/>
                <w:sz w:val="22"/>
                <w:szCs w:val="22"/>
                <w:highlight w:val="none"/>
                <w:u w:val="none"/>
              </w:rPr>
            </w:pPr>
          </w:p>
        </w:tc>
      </w:tr>
      <w:tr w14:paraId="2A95E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05A92">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四、超声波水表</w:t>
            </w:r>
          </w:p>
        </w:tc>
      </w:tr>
      <w:tr w14:paraId="354D7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C2E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序号</w:t>
            </w:r>
          </w:p>
        </w:tc>
        <w:tc>
          <w:tcPr>
            <w:tcW w:w="7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6A3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设备名称</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571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规格</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8EC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单位</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743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数量</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EFE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产品上限单价（元）</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199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安装上限单价（元）</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E15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综合单价（元）</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694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上限价（元）</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C49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备注</w:t>
            </w:r>
          </w:p>
        </w:tc>
      </w:tr>
      <w:tr w14:paraId="3BBF0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45892">
            <w:pPr>
              <w:keepNext w:val="0"/>
              <w:keepLines w:val="0"/>
              <w:widowControl/>
              <w:suppressLineNumbers w:val="0"/>
              <w:jc w:val="center"/>
              <w:textAlignment w:val="center"/>
              <w:rPr>
                <w:rFonts w:hint="default" w:ascii="Arial" w:hAnsi="Arial" w:eastAsia="宋体" w:cs="Arial"/>
                <w:i w:val="0"/>
                <w:iCs w:val="0"/>
                <w:color w:val="auto"/>
                <w:sz w:val="22"/>
                <w:szCs w:val="22"/>
                <w:highlight w:val="none"/>
                <w:u w:val="none"/>
              </w:rPr>
            </w:pPr>
            <w:r>
              <w:rPr>
                <w:rFonts w:hint="default" w:ascii="Arial" w:hAnsi="Arial" w:eastAsia="宋体" w:cs="Arial"/>
                <w:i w:val="0"/>
                <w:iCs w:val="0"/>
                <w:snapToGrid w:val="0"/>
                <w:color w:val="auto"/>
                <w:kern w:val="0"/>
                <w:sz w:val="22"/>
                <w:szCs w:val="22"/>
                <w:highlight w:val="none"/>
                <w:u w:val="none"/>
                <w:lang w:val="en-US" w:eastAsia="zh-CN" w:bidi="ar"/>
              </w:rPr>
              <w:t>1</w:t>
            </w:r>
          </w:p>
        </w:tc>
        <w:tc>
          <w:tcPr>
            <w:tcW w:w="7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98B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超声波水表</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714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97D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C93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1500</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E6C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368.45</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D09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14.30</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8FC6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382.75</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27F7A">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574125.00</w:t>
            </w:r>
          </w:p>
        </w:tc>
        <w:tc>
          <w:tcPr>
            <w:tcW w:w="9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B3B7C">
            <w:pPr>
              <w:jc w:val="center"/>
              <w:rPr>
                <w:rFonts w:hint="eastAsia" w:ascii="宋体" w:hAnsi="宋体" w:eastAsia="宋体" w:cs="宋体"/>
                <w:i w:val="0"/>
                <w:iCs w:val="0"/>
                <w:color w:val="auto"/>
                <w:sz w:val="22"/>
                <w:szCs w:val="22"/>
                <w:highlight w:val="none"/>
                <w:u w:val="none"/>
              </w:rPr>
            </w:pPr>
          </w:p>
        </w:tc>
      </w:tr>
      <w:tr w14:paraId="4A47B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C3F83">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五、外夹式超声波流量计</w:t>
            </w:r>
          </w:p>
        </w:tc>
      </w:tr>
      <w:tr w14:paraId="385CE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508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序号</w:t>
            </w:r>
          </w:p>
        </w:tc>
        <w:tc>
          <w:tcPr>
            <w:tcW w:w="7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1630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设备名称</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8B5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规格</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16D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单位</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EBD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数量</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62E97">
            <w:pPr>
              <w:keepNext w:val="0"/>
              <w:keepLines w:val="0"/>
              <w:widowControl/>
              <w:suppressLineNumbers w:val="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eastAsia="宋体" w:cs="宋体"/>
                <w:i w:val="0"/>
                <w:iCs w:val="0"/>
                <w:snapToGrid w:val="0"/>
                <w:color w:val="auto"/>
                <w:kern w:val="0"/>
                <w:sz w:val="22"/>
                <w:szCs w:val="22"/>
                <w:highlight w:val="none"/>
                <w:u w:val="none"/>
                <w:lang w:val="en-US" w:eastAsia="zh-CN" w:bidi="ar"/>
              </w:rPr>
              <w:t>产品上限单价（元）</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B6E1C">
            <w:pPr>
              <w:keepNext w:val="0"/>
              <w:keepLines w:val="0"/>
              <w:widowControl/>
              <w:suppressLineNumbers w:val="0"/>
              <w:jc w:val="center"/>
              <w:textAlignment w:val="center"/>
              <w:rPr>
                <w:rFonts w:hint="default"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产品包安装</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341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综合单价（元）</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DEA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上限价（元）</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754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备注</w:t>
            </w:r>
          </w:p>
        </w:tc>
      </w:tr>
      <w:tr w14:paraId="1A1B6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F7274">
            <w:pPr>
              <w:keepNext w:val="0"/>
              <w:keepLines w:val="0"/>
              <w:widowControl/>
              <w:suppressLineNumbers w:val="0"/>
              <w:jc w:val="center"/>
              <w:textAlignment w:val="center"/>
              <w:rPr>
                <w:rFonts w:hint="default" w:ascii="Arial" w:hAnsi="Arial" w:eastAsia="宋体" w:cs="Arial"/>
                <w:i w:val="0"/>
                <w:iCs w:val="0"/>
                <w:color w:val="auto"/>
                <w:sz w:val="22"/>
                <w:szCs w:val="22"/>
                <w:highlight w:val="none"/>
                <w:u w:val="none"/>
              </w:rPr>
            </w:pPr>
            <w:r>
              <w:rPr>
                <w:rFonts w:hint="default" w:ascii="Arial" w:hAnsi="Arial" w:eastAsia="宋体" w:cs="Arial"/>
                <w:i w:val="0"/>
                <w:iCs w:val="0"/>
                <w:snapToGrid w:val="0"/>
                <w:color w:val="auto"/>
                <w:kern w:val="0"/>
                <w:sz w:val="22"/>
                <w:szCs w:val="22"/>
                <w:highlight w:val="none"/>
                <w:u w:val="none"/>
                <w:lang w:val="en-US" w:eastAsia="zh-CN" w:bidi="ar"/>
              </w:rPr>
              <w:t>1</w:t>
            </w:r>
          </w:p>
        </w:tc>
        <w:tc>
          <w:tcPr>
            <w:tcW w:w="7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528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外夹式超声波流量计</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B4FD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ACA8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639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20</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68E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24387.75</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C1D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08C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24387.75</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4ABBD">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487755.00</w:t>
            </w:r>
          </w:p>
        </w:tc>
        <w:tc>
          <w:tcPr>
            <w:tcW w:w="9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7C348">
            <w:pPr>
              <w:jc w:val="center"/>
              <w:rPr>
                <w:rFonts w:hint="default" w:ascii="宋体" w:hAnsi="宋体" w:eastAsia="宋体" w:cs="宋体"/>
                <w:i w:val="0"/>
                <w:iCs w:val="0"/>
                <w:color w:val="auto"/>
                <w:sz w:val="22"/>
                <w:szCs w:val="22"/>
                <w:highlight w:val="none"/>
                <w:u w:val="none"/>
                <w:lang w:val="en-US" w:eastAsia="zh-CN"/>
              </w:rPr>
            </w:pPr>
          </w:p>
        </w:tc>
      </w:tr>
      <w:tr w14:paraId="0BB48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000" w:type="pct"/>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0FAB4">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六、管道式电磁流量计及配件</w:t>
            </w:r>
          </w:p>
        </w:tc>
      </w:tr>
      <w:tr w14:paraId="00D4F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360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序号</w:t>
            </w:r>
          </w:p>
        </w:tc>
        <w:tc>
          <w:tcPr>
            <w:tcW w:w="7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90EB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设备名称</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47C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规格</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1B8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单位</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906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数量</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543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产品上限单价（元）</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0D89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不含安装</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C221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综合单价（元）</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73D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上限价（元）</w:t>
            </w:r>
          </w:p>
        </w:tc>
        <w:tc>
          <w:tcPr>
            <w:tcW w:w="99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80913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备注</w:t>
            </w:r>
          </w:p>
        </w:tc>
      </w:tr>
      <w:tr w14:paraId="4AF82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91F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7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699E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管道式电磁流量计</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C3E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DN50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87C9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FC1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2C2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4422.00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FA6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208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4422.00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59C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13266.00</w:t>
            </w:r>
          </w:p>
        </w:tc>
        <w:tc>
          <w:tcPr>
            <w:tcW w:w="99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76C50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电极：钛衬里材料：聚四氟乙烯；（推荐：肯特、锐铼、金田等国产品牌）</w:t>
            </w:r>
          </w:p>
        </w:tc>
      </w:tr>
      <w:tr w14:paraId="01C5F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A6E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F9F7D">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02B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DN80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BE1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880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EE5A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4653.00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F75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166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4653.00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4BA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18612.00</w:t>
            </w:r>
          </w:p>
        </w:tc>
        <w:tc>
          <w:tcPr>
            <w:tcW w:w="9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28EDF">
            <w:pPr>
              <w:jc w:val="center"/>
              <w:rPr>
                <w:rFonts w:hint="eastAsia" w:ascii="宋体" w:hAnsi="宋体" w:eastAsia="宋体" w:cs="宋体"/>
                <w:i w:val="0"/>
                <w:iCs w:val="0"/>
                <w:color w:val="auto"/>
                <w:sz w:val="22"/>
                <w:szCs w:val="22"/>
                <w:highlight w:val="none"/>
                <w:u w:val="none"/>
              </w:rPr>
            </w:pPr>
          </w:p>
        </w:tc>
      </w:tr>
      <w:tr w14:paraId="01C14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C95C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9137CA">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B78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DN100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2D8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108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12</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DBA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4007.30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64A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834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4007.30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E1C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48087.60</w:t>
            </w:r>
          </w:p>
        </w:tc>
        <w:tc>
          <w:tcPr>
            <w:tcW w:w="9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6B19E">
            <w:pPr>
              <w:jc w:val="center"/>
              <w:rPr>
                <w:rFonts w:hint="eastAsia" w:ascii="宋体" w:hAnsi="宋体" w:eastAsia="宋体" w:cs="宋体"/>
                <w:i w:val="0"/>
                <w:iCs w:val="0"/>
                <w:color w:val="auto"/>
                <w:sz w:val="22"/>
                <w:szCs w:val="22"/>
                <w:highlight w:val="none"/>
                <w:u w:val="none"/>
              </w:rPr>
            </w:pPr>
          </w:p>
        </w:tc>
      </w:tr>
      <w:tr w14:paraId="737EC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0AF4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E1BEB">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63D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9C33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19B9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5D2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4473.70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3AD4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A29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4473.70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3C8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8947.40</w:t>
            </w:r>
          </w:p>
        </w:tc>
        <w:tc>
          <w:tcPr>
            <w:tcW w:w="9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AE766">
            <w:pPr>
              <w:jc w:val="center"/>
              <w:rPr>
                <w:rFonts w:hint="eastAsia" w:ascii="宋体" w:hAnsi="宋体" w:eastAsia="宋体" w:cs="宋体"/>
                <w:i w:val="0"/>
                <w:iCs w:val="0"/>
                <w:color w:val="auto"/>
                <w:sz w:val="22"/>
                <w:szCs w:val="22"/>
                <w:highlight w:val="none"/>
                <w:u w:val="none"/>
              </w:rPr>
            </w:pPr>
          </w:p>
        </w:tc>
      </w:tr>
      <w:tr w14:paraId="79533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AD17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2085B">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328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3DD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94D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F49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5204.10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68B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FEE7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5204.10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4043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5204.10</w:t>
            </w:r>
          </w:p>
        </w:tc>
        <w:tc>
          <w:tcPr>
            <w:tcW w:w="9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B5A91">
            <w:pPr>
              <w:jc w:val="center"/>
              <w:rPr>
                <w:rFonts w:hint="eastAsia" w:ascii="宋体" w:hAnsi="宋体" w:eastAsia="宋体" w:cs="宋体"/>
                <w:i w:val="0"/>
                <w:iCs w:val="0"/>
                <w:color w:val="auto"/>
                <w:sz w:val="22"/>
                <w:szCs w:val="22"/>
                <w:highlight w:val="none"/>
                <w:u w:val="none"/>
              </w:rPr>
            </w:pPr>
          </w:p>
        </w:tc>
      </w:tr>
      <w:tr w14:paraId="02C0C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5A4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43AC53">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126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DN300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74B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14FE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0AB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6628.60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6E6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54B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6628.60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0C56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26514.40</w:t>
            </w:r>
          </w:p>
        </w:tc>
        <w:tc>
          <w:tcPr>
            <w:tcW w:w="9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DCAF3">
            <w:pPr>
              <w:jc w:val="center"/>
              <w:rPr>
                <w:rFonts w:hint="eastAsia" w:ascii="宋体" w:hAnsi="宋体" w:eastAsia="宋体" w:cs="宋体"/>
                <w:i w:val="0"/>
                <w:iCs w:val="0"/>
                <w:color w:val="auto"/>
                <w:sz w:val="22"/>
                <w:szCs w:val="22"/>
                <w:highlight w:val="none"/>
                <w:u w:val="none"/>
              </w:rPr>
            </w:pPr>
          </w:p>
        </w:tc>
      </w:tr>
      <w:tr w14:paraId="7870F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116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7</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12594">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C31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DN400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519F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ECE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435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8336.90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63C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C71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8336.90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033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16673.80</w:t>
            </w:r>
          </w:p>
        </w:tc>
        <w:tc>
          <w:tcPr>
            <w:tcW w:w="9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33FC5">
            <w:pPr>
              <w:jc w:val="center"/>
              <w:rPr>
                <w:rFonts w:hint="eastAsia" w:ascii="宋体" w:hAnsi="宋体" w:eastAsia="宋体" w:cs="宋体"/>
                <w:i w:val="0"/>
                <w:iCs w:val="0"/>
                <w:color w:val="auto"/>
                <w:sz w:val="22"/>
                <w:szCs w:val="22"/>
                <w:highlight w:val="none"/>
                <w:u w:val="none"/>
              </w:rPr>
            </w:pPr>
          </w:p>
        </w:tc>
      </w:tr>
      <w:tr w14:paraId="2D2AC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77A4C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8</w:t>
            </w:r>
          </w:p>
        </w:tc>
        <w:tc>
          <w:tcPr>
            <w:tcW w:w="75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36C21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管道式电磁流量计</w:t>
            </w:r>
          </w:p>
        </w:tc>
        <w:tc>
          <w:tcPr>
            <w:tcW w:w="28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D9C5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DN800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958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2E2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9F6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52444.00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9710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C115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52444.00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B746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52444.00</w:t>
            </w:r>
          </w:p>
        </w:tc>
        <w:tc>
          <w:tcPr>
            <w:tcW w:w="99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E671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电极：钛衬里材料：聚四氟乙烯；（推荐：科隆、ABB、西门子等合资品牌）</w:t>
            </w:r>
          </w:p>
        </w:tc>
      </w:tr>
      <w:tr w14:paraId="46171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9FF7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9</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ECF4BF">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5851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DN1000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56B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92D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384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65639.00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9AD3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767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65639.00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82D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65639.00</w:t>
            </w:r>
          </w:p>
        </w:tc>
        <w:tc>
          <w:tcPr>
            <w:tcW w:w="9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85AB3">
            <w:pPr>
              <w:jc w:val="center"/>
              <w:rPr>
                <w:rFonts w:hint="eastAsia" w:ascii="宋体" w:hAnsi="宋体" w:eastAsia="宋体" w:cs="宋体"/>
                <w:i w:val="0"/>
                <w:iCs w:val="0"/>
                <w:color w:val="auto"/>
                <w:sz w:val="22"/>
                <w:szCs w:val="22"/>
                <w:highlight w:val="none"/>
                <w:u w:val="none"/>
              </w:rPr>
            </w:pPr>
          </w:p>
        </w:tc>
      </w:tr>
      <w:tr w14:paraId="737DE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C6B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10</w:t>
            </w:r>
          </w:p>
        </w:tc>
        <w:tc>
          <w:tcPr>
            <w:tcW w:w="75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6C096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管道式电磁流量计</w:t>
            </w:r>
          </w:p>
        </w:tc>
        <w:tc>
          <w:tcPr>
            <w:tcW w:w="28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78C2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21C9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5F37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252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21201.00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D40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12B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21201.00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7C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21201.00</w:t>
            </w:r>
          </w:p>
        </w:tc>
        <w:tc>
          <w:tcPr>
            <w:tcW w:w="99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E7B8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电极：316L不锈钢衬里材料：氯丁橡胶（推荐科隆、ABB、西门子等合资品牌）</w:t>
            </w:r>
          </w:p>
        </w:tc>
      </w:tr>
      <w:tr w14:paraId="6D8F4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2D29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11</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3FD0F1">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3575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DN300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88C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7C8B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401E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26086.00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820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AF1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26086.00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9E6D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26086.00</w:t>
            </w:r>
          </w:p>
        </w:tc>
        <w:tc>
          <w:tcPr>
            <w:tcW w:w="9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F1E6C">
            <w:pPr>
              <w:jc w:val="center"/>
              <w:rPr>
                <w:rFonts w:hint="eastAsia" w:ascii="宋体" w:hAnsi="宋体" w:eastAsia="宋体" w:cs="宋体"/>
                <w:i w:val="0"/>
                <w:iCs w:val="0"/>
                <w:color w:val="auto"/>
                <w:sz w:val="22"/>
                <w:szCs w:val="22"/>
                <w:highlight w:val="none"/>
                <w:u w:val="none"/>
              </w:rPr>
            </w:pPr>
          </w:p>
        </w:tc>
      </w:tr>
      <w:tr w14:paraId="11A18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4E0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12</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93959F">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D5F9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DN400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3CD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55B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51A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33968.00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2D8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1BD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33968.00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1FD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203808.00</w:t>
            </w:r>
          </w:p>
        </w:tc>
        <w:tc>
          <w:tcPr>
            <w:tcW w:w="9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7B04C">
            <w:pPr>
              <w:jc w:val="center"/>
              <w:rPr>
                <w:rFonts w:hint="eastAsia" w:ascii="宋体" w:hAnsi="宋体" w:eastAsia="宋体" w:cs="宋体"/>
                <w:i w:val="0"/>
                <w:iCs w:val="0"/>
                <w:color w:val="auto"/>
                <w:sz w:val="22"/>
                <w:szCs w:val="22"/>
                <w:highlight w:val="none"/>
                <w:u w:val="none"/>
              </w:rPr>
            </w:pPr>
          </w:p>
        </w:tc>
      </w:tr>
      <w:tr w14:paraId="61CA0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44C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w:t>
            </w:r>
          </w:p>
        </w:tc>
        <w:tc>
          <w:tcPr>
            <w:tcW w:w="7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8C4E0C">
            <w:pPr>
              <w:jc w:val="center"/>
              <w:rPr>
                <w:rFonts w:hint="eastAsia" w:ascii="宋体" w:hAnsi="宋体" w:eastAsia="宋体" w:cs="宋体"/>
                <w:i w:val="0"/>
                <w:iCs w:val="0"/>
                <w:color w:val="auto"/>
                <w:sz w:val="22"/>
                <w:szCs w:val="22"/>
                <w:highlight w:val="none"/>
                <w:u w:val="none"/>
              </w:rPr>
            </w:pPr>
          </w:p>
        </w:tc>
        <w:tc>
          <w:tcPr>
            <w:tcW w:w="28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A79D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DN600</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10F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ABC0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18D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43154.00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FC5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C8FA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43154.00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18D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129462.00</w:t>
            </w:r>
          </w:p>
        </w:tc>
        <w:tc>
          <w:tcPr>
            <w:tcW w:w="9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9C582">
            <w:pPr>
              <w:jc w:val="center"/>
              <w:rPr>
                <w:rFonts w:hint="eastAsia" w:ascii="宋体" w:hAnsi="宋体" w:eastAsia="宋体" w:cs="宋体"/>
                <w:i w:val="0"/>
                <w:iCs w:val="0"/>
                <w:color w:val="auto"/>
                <w:sz w:val="22"/>
                <w:szCs w:val="22"/>
                <w:highlight w:val="none"/>
                <w:u w:val="none"/>
              </w:rPr>
            </w:pPr>
          </w:p>
        </w:tc>
      </w:tr>
      <w:tr w14:paraId="26E5E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B72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14</w:t>
            </w:r>
          </w:p>
        </w:tc>
        <w:tc>
          <w:tcPr>
            <w:tcW w:w="7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851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电磁流量计转换器</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459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E99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个</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225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BCB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1764.40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4D3F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847D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1764.40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0CE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3528.80</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6E2A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与国产品牌流量计匹配</w:t>
            </w:r>
          </w:p>
        </w:tc>
      </w:tr>
      <w:tr w14:paraId="01990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4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CC35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15</w:t>
            </w:r>
          </w:p>
        </w:tc>
        <w:tc>
          <w:tcPr>
            <w:tcW w:w="7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723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电磁流量模拟信号校准器</w:t>
            </w:r>
          </w:p>
        </w:tc>
        <w:tc>
          <w:tcPr>
            <w:tcW w:w="2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468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C2A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个</w:t>
            </w:r>
          </w:p>
        </w:tc>
        <w:tc>
          <w:tcPr>
            <w:tcW w:w="3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7AB7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E51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605.00</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38E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C2DA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605.00</w:t>
            </w: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8316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605.00</w:t>
            </w:r>
          </w:p>
        </w:tc>
        <w:tc>
          <w:tcPr>
            <w:tcW w:w="9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D60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与国产品牌流量计匹配</w:t>
            </w:r>
          </w:p>
        </w:tc>
      </w:tr>
      <w:tr w14:paraId="530DC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2028"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2B88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合计（元）</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037277">
            <w:pPr>
              <w:jc w:val="center"/>
              <w:rPr>
                <w:rFonts w:hint="eastAsia" w:ascii="宋体" w:hAnsi="宋体" w:eastAsia="宋体" w:cs="宋体"/>
                <w:i w:val="0"/>
                <w:iCs w:val="0"/>
                <w:color w:val="auto"/>
                <w:sz w:val="22"/>
                <w:szCs w:val="22"/>
                <w:highlight w:val="none"/>
                <w:u w:val="none"/>
              </w:rPr>
            </w:pP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3F9E1">
            <w:pPr>
              <w:jc w:val="center"/>
              <w:rPr>
                <w:rFonts w:hint="eastAsia" w:ascii="宋体" w:hAnsi="宋体" w:eastAsia="宋体" w:cs="宋体"/>
                <w:i w:val="0"/>
                <w:iCs w:val="0"/>
                <w:color w:val="auto"/>
                <w:sz w:val="22"/>
                <w:szCs w:val="22"/>
                <w:highlight w:val="none"/>
                <w:u w:val="none"/>
              </w:rPr>
            </w:pPr>
          </w:p>
        </w:tc>
        <w:tc>
          <w:tcPr>
            <w:tcW w:w="4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E6D4D">
            <w:pPr>
              <w:jc w:val="center"/>
              <w:rPr>
                <w:rFonts w:hint="eastAsia" w:ascii="宋体" w:hAnsi="宋体" w:eastAsia="宋体" w:cs="宋体"/>
                <w:i w:val="0"/>
                <w:iCs w:val="0"/>
                <w:color w:val="auto"/>
                <w:sz w:val="22"/>
                <w:szCs w:val="22"/>
                <w:highlight w:val="none"/>
                <w:u w:val="none"/>
              </w:rPr>
            </w:pPr>
          </w:p>
        </w:tc>
        <w:tc>
          <w:tcPr>
            <w:tcW w:w="5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87FEE">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640079.10</w:t>
            </w:r>
          </w:p>
        </w:tc>
        <w:tc>
          <w:tcPr>
            <w:tcW w:w="9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0BA5D">
            <w:pPr>
              <w:jc w:val="center"/>
              <w:rPr>
                <w:rFonts w:hint="eastAsia" w:ascii="宋体" w:hAnsi="宋体" w:eastAsia="宋体" w:cs="宋体"/>
                <w:i w:val="0"/>
                <w:iCs w:val="0"/>
                <w:color w:val="auto"/>
                <w:sz w:val="22"/>
                <w:szCs w:val="22"/>
                <w:highlight w:val="none"/>
                <w:u w:val="none"/>
              </w:rPr>
            </w:pPr>
          </w:p>
        </w:tc>
      </w:tr>
      <w:tr w14:paraId="6606D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17" w:type="pct"/>
            <w:gridSpan w:val="8"/>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C1D5A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snapToGrid w:val="0"/>
                <w:color w:val="auto"/>
                <w:kern w:val="0"/>
                <w:sz w:val="24"/>
                <w:szCs w:val="24"/>
                <w:highlight w:val="none"/>
                <w:u w:val="none"/>
                <w:lang w:val="en-US" w:eastAsia="zh-CN" w:bidi="ar"/>
              </w:rPr>
              <w:t>总价（元）</w:t>
            </w:r>
          </w:p>
        </w:tc>
        <w:tc>
          <w:tcPr>
            <w:tcW w:w="59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C92FB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snapToGrid w:val="0"/>
                <w:color w:val="auto"/>
                <w:kern w:val="0"/>
                <w:sz w:val="24"/>
                <w:szCs w:val="24"/>
                <w:highlight w:val="none"/>
                <w:u w:val="none"/>
                <w:lang w:val="en-US" w:eastAsia="zh-CN" w:bidi="ar"/>
              </w:rPr>
              <w:t>34147699.88</w:t>
            </w:r>
          </w:p>
        </w:tc>
        <w:tc>
          <w:tcPr>
            <w:tcW w:w="99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6C5013">
            <w:pPr>
              <w:jc w:val="center"/>
              <w:rPr>
                <w:rFonts w:hint="eastAsia" w:ascii="宋体" w:hAnsi="宋体" w:eastAsia="宋体" w:cs="宋体"/>
                <w:b/>
                <w:bCs/>
                <w:i w:val="0"/>
                <w:iCs w:val="0"/>
                <w:color w:val="auto"/>
                <w:sz w:val="24"/>
                <w:szCs w:val="24"/>
                <w:highlight w:val="none"/>
                <w:u w:val="none"/>
              </w:rPr>
            </w:pPr>
          </w:p>
        </w:tc>
      </w:tr>
      <w:tr w14:paraId="173EC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17" w:type="pct"/>
            <w:gridSpan w:val="8"/>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8E690">
            <w:pPr>
              <w:jc w:val="center"/>
              <w:rPr>
                <w:rFonts w:hint="eastAsia" w:ascii="宋体" w:hAnsi="宋体" w:eastAsia="宋体" w:cs="宋体"/>
                <w:b/>
                <w:bCs/>
                <w:i w:val="0"/>
                <w:iCs w:val="0"/>
                <w:color w:val="auto"/>
                <w:sz w:val="24"/>
                <w:szCs w:val="24"/>
                <w:highlight w:val="none"/>
                <w:u w:val="none"/>
              </w:rPr>
            </w:pPr>
          </w:p>
        </w:tc>
        <w:tc>
          <w:tcPr>
            <w:tcW w:w="5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34BFE">
            <w:pPr>
              <w:jc w:val="center"/>
              <w:rPr>
                <w:rFonts w:hint="eastAsia" w:ascii="宋体" w:hAnsi="宋体" w:eastAsia="宋体" w:cs="宋体"/>
                <w:b/>
                <w:bCs/>
                <w:i w:val="0"/>
                <w:iCs w:val="0"/>
                <w:color w:val="auto"/>
                <w:sz w:val="24"/>
                <w:szCs w:val="24"/>
                <w:highlight w:val="none"/>
                <w:u w:val="none"/>
              </w:rPr>
            </w:pPr>
          </w:p>
        </w:tc>
        <w:tc>
          <w:tcPr>
            <w:tcW w:w="9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0E088">
            <w:pPr>
              <w:jc w:val="center"/>
              <w:rPr>
                <w:rFonts w:hint="eastAsia" w:ascii="宋体" w:hAnsi="宋体" w:eastAsia="宋体" w:cs="宋体"/>
                <w:b/>
                <w:bCs/>
                <w:i w:val="0"/>
                <w:iCs w:val="0"/>
                <w:color w:val="auto"/>
                <w:sz w:val="24"/>
                <w:szCs w:val="24"/>
                <w:highlight w:val="none"/>
                <w:u w:val="none"/>
              </w:rPr>
            </w:pPr>
          </w:p>
        </w:tc>
      </w:tr>
      <w:tr w14:paraId="275E3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17" w:type="pct"/>
            <w:gridSpan w:val="8"/>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BCCC2">
            <w:pPr>
              <w:jc w:val="center"/>
              <w:rPr>
                <w:rFonts w:hint="eastAsia" w:ascii="宋体" w:hAnsi="宋体" w:eastAsia="宋体" w:cs="宋体"/>
                <w:b/>
                <w:bCs/>
                <w:i w:val="0"/>
                <w:iCs w:val="0"/>
                <w:color w:val="auto"/>
                <w:sz w:val="24"/>
                <w:szCs w:val="24"/>
                <w:highlight w:val="none"/>
                <w:u w:val="none"/>
              </w:rPr>
            </w:pPr>
          </w:p>
        </w:tc>
        <w:tc>
          <w:tcPr>
            <w:tcW w:w="5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3D217">
            <w:pPr>
              <w:jc w:val="center"/>
              <w:rPr>
                <w:rFonts w:hint="eastAsia" w:ascii="宋体" w:hAnsi="宋体" w:eastAsia="宋体" w:cs="宋体"/>
                <w:b/>
                <w:bCs/>
                <w:i w:val="0"/>
                <w:iCs w:val="0"/>
                <w:color w:val="auto"/>
                <w:sz w:val="24"/>
                <w:szCs w:val="24"/>
                <w:highlight w:val="none"/>
                <w:u w:val="none"/>
              </w:rPr>
            </w:pPr>
          </w:p>
        </w:tc>
        <w:tc>
          <w:tcPr>
            <w:tcW w:w="99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B8066">
            <w:pPr>
              <w:jc w:val="center"/>
              <w:rPr>
                <w:rFonts w:hint="eastAsia" w:ascii="宋体" w:hAnsi="宋体" w:eastAsia="宋体" w:cs="宋体"/>
                <w:b/>
                <w:bCs/>
                <w:i w:val="0"/>
                <w:iCs w:val="0"/>
                <w:color w:val="auto"/>
                <w:sz w:val="24"/>
                <w:szCs w:val="24"/>
                <w:highlight w:val="none"/>
                <w:u w:val="none"/>
              </w:rPr>
            </w:pPr>
          </w:p>
        </w:tc>
      </w:tr>
    </w:tbl>
    <w:p w14:paraId="22C3544D">
      <w:pPr>
        <w:pStyle w:val="29"/>
        <w:rPr>
          <w:rFonts w:hint="eastAsia" w:eastAsia="宋体"/>
          <w:b w:val="0"/>
          <w:bCs w:val="0"/>
          <w:color w:val="auto"/>
          <w:sz w:val="24"/>
          <w:szCs w:val="28"/>
          <w:highlight w:val="none"/>
          <w:lang w:eastAsia="zh-CN"/>
        </w:rPr>
      </w:pPr>
      <w:r>
        <w:rPr>
          <w:rFonts w:hint="eastAsia" w:eastAsia="宋体"/>
          <w:b w:val="0"/>
          <w:bCs w:val="0"/>
          <w:color w:val="auto"/>
          <w:sz w:val="24"/>
          <w:szCs w:val="28"/>
          <w:highlight w:val="none"/>
          <w:lang w:eastAsia="zh-CN"/>
        </w:rPr>
        <w:t>注：上述价格中，其综合单价包含流量仪表的产品价格和安装单价；其中管道式电磁流量计不含安装；此外，水表的安装单价中，除了包含换表费用外，还有调表过程中路面、表井破损修补等相关费用；</w:t>
      </w:r>
    </w:p>
    <w:p w14:paraId="18BDE43F">
      <w:pPr>
        <w:spacing w:before="0" w:line="440" w:lineRule="exact"/>
        <w:ind w:left="0"/>
        <w:jc w:val="center"/>
        <w:outlineLvl w:val="0"/>
        <w:rPr>
          <w:rFonts w:ascii="宋体" w:eastAsia="宋体" w:cs="宋体"/>
          <w:color w:val="auto"/>
          <w:sz w:val="36"/>
          <w:szCs w:val="36"/>
          <w:highlight w:val="none"/>
        </w:rPr>
        <w:sectPr>
          <w:pgSz w:w="16840" w:h="11907" w:orient="landscape"/>
          <w:pgMar w:top="1474" w:right="1418" w:bottom="1559" w:left="1418" w:header="0" w:footer="723" w:gutter="0"/>
          <w:pgBorders>
            <w:top w:val="none" w:sz="0" w:space="0"/>
            <w:left w:val="none" w:sz="0" w:space="0"/>
            <w:bottom w:val="none" w:sz="0" w:space="0"/>
            <w:right w:val="none" w:sz="0" w:space="0"/>
          </w:pgBorders>
          <w:cols w:space="720" w:num="1"/>
        </w:sectPr>
      </w:pPr>
    </w:p>
    <w:p w14:paraId="46C1C521">
      <w:pPr>
        <w:tabs>
          <w:tab w:val="left" w:pos="0"/>
        </w:tabs>
        <w:spacing w:line="360" w:lineRule="auto"/>
        <w:jc w:val="center"/>
        <w:rPr>
          <w:rFonts w:hint="eastAsia" w:eastAsia="宋体"/>
          <w:b/>
          <w:bCs/>
          <w:color w:val="auto"/>
          <w:sz w:val="32"/>
          <w:szCs w:val="32"/>
          <w:highlight w:val="none"/>
          <w:lang w:val="en-US" w:eastAsia="zh-CN"/>
        </w:rPr>
      </w:pPr>
      <w:r>
        <w:rPr>
          <w:rFonts w:hint="eastAsia" w:eastAsia="宋体"/>
          <w:b/>
          <w:bCs/>
          <w:color w:val="auto"/>
          <w:sz w:val="32"/>
          <w:szCs w:val="32"/>
          <w:highlight w:val="none"/>
          <w:lang w:val="en-US" w:eastAsia="zh-CN"/>
        </w:rPr>
        <w:t>技术要求</w:t>
      </w:r>
    </w:p>
    <w:p w14:paraId="3C461120">
      <w:pPr>
        <w:adjustRightInd/>
        <w:spacing w:line="440" w:lineRule="exact"/>
        <w:ind w:firstLine="420" w:firstLineChars="200"/>
        <w:jc w:val="left"/>
        <w:rPr>
          <w:rFonts w:hint="eastAsia" w:eastAsia="宋体"/>
          <w:b/>
          <w:bCs/>
          <w:color w:val="auto"/>
          <w:sz w:val="32"/>
          <w:szCs w:val="32"/>
          <w:highlight w:val="none"/>
          <w:lang w:val="en-US" w:eastAsia="zh-CN"/>
        </w:rPr>
      </w:pPr>
      <w:r>
        <w:rPr>
          <w:rFonts w:hint="eastAsia" w:ascii="宋体" w:hAnsi="宋体" w:eastAsia="宋体" w:cs="宋体"/>
          <w:color w:val="auto"/>
          <w:sz w:val="21"/>
          <w:szCs w:val="21"/>
          <w:highlight w:val="none"/>
        </w:rPr>
        <w:t>特别说明：技术要求中不允许偏离的实质性要求和条件，以“★”号标明。</w:t>
      </w:r>
    </w:p>
    <w:p w14:paraId="318BC0D6">
      <w:pPr>
        <w:rPr>
          <w:rFonts w:hint="eastAsia" w:ascii="宋体" w:hAnsi="宋体" w:eastAsia="宋体" w:cs="宋体"/>
          <w:b/>
          <w:bCs/>
          <w:color w:val="auto"/>
          <w:sz w:val="21"/>
          <w:szCs w:val="21"/>
          <w:highlight w:val="none"/>
        </w:rPr>
      </w:pPr>
      <w:bookmarkStart w:id="227" w:name="_Toc59"/>
      <w:bookmarkEnd w:id="227"/>
      <w:r>
        <w:rPr>
          <w:rFonts w:hint="eastAsia" w:ascii="宋体" w:hAnsi="宋体" w:eastAsia="宋体" w:cs="宋体"/>
          <w:b/>
          <w:bCs/>
          <w:color w:val="auto"/>
          <w:sz w:val="21"/>
          <w:szCs w:val="21"/>
          <w:highlight w:val="none"/>
          <w:lang w:eastAsia="zh-CN"/>
        </w:rPr>
        <w:t>一、</w:t>
      </w:r>
      <w:r>
        <w:rPr>
          <w:rFonts w:hint="eastAsia" w:ascii="宋体" w:hAnsi="宋体" w:eastAsia="宋体" w:cs="宋体"/>
          <w:b/>
          <w:bCs/>
          <w:color w:val="auto"/>
          <w:sz w:val="21"/>
          <w:szCs w:val="21"/>
          <w:highlight w:val="none"/>
        </w:rPr>
        <w:t>DN（15-50）水平旋翼式液封湿式水表及附属配件</w:t>
      </w:r>
    </w:p>
    <w:p w14:paraId="4BD23A10">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1.本次采购所涉及的所有产品须满足下列技术标准：</w:t>
      </w:r>
    </w:p>
    <w:p w14:paraId="0049A643">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GB/T778《饮用冷水水表和热水水表》</w:t>
      </w:r>
    </w:p>
    <w:p w14:paraId="0DB6BE38">
      <w:pPr>
        <w:adjustRightInd/>
        <w:snapToGrid w:val="0"/>
        <w:spacing w:line="44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CMA/WM778《小口径饮用水冷水表表壳技术规范》</w:t>
      </w:r>
    </w:p>
    <w:p w14:paraId="3B46D25A">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JJG162-2019《饮用冷水水表》</w:t>
      </w:r>
    </w:p>
    <w:p w14:paraId="4B55C4DA">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CJ266-2008《饮用水冷水水表安全规则》</w:t>
      </w:r>
    </w:p>
    <w:p w14:paraId="5F1166A7">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GB/T17219《生活饮用水输配水设备及防护材料的安全性评价标准》</w:t>
      </w:r>
    </w:p>
    <w:p w14:paraId="37EBD4E9">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2.水表要求</w:t>
      </w:r>
    </w:p>
    <w:p w14:paraId="6B2B3C0E">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基表</w:t>
      </w:r>
    </w:p>
    <w:p w14:paraId="7921F5F5">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DN15-40水表类型为旋翼式湿式冷水水表，为机械式；</w:t>
      </w:r>
    </w:p>
    <w:p w14:paraId="65CE32EC">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准确度等级：2级。</w:t>
      </w:r>
    </w:p>
    <w:p w14:paraId="252F1F0E">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压力等级：≤1.0MPa</w:t>
      </w:r>
    </w:p>
    <w:p w14:paraId="41E3FA66">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计数器：数字外观高度≥4mm，宽度≥2mm，度盘长期清晰。</w:t>
      </w:r>
    </w:p>
    <w:p w14:paraId="454592F5">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机械字轮位数：DN15-25口径水表指示到m³的位数为5位，即满行99999m³；DN40-50口径水表指示到m³的位数为5位或6位，即满行99999m³或999999m³；</w:t>
      </w:r>
    </w:p>
    <w:p w14:paraId="123A0BA4">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水表表壳材质：球墨铸铁，内外喷塑。</w:t>
      </w:r>
    </w:p>
    <w:p w14:paraId="31E63959">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采购人有权根据实际情况对水表参数及其他技术要求进行合理调整。</w:t>
      </w:r>
    </w:p>
    <w:p w14:paraId="3A83DA21">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标志：应清楚、永久地在水表外壳、指示装置的度盘或铭牌、不可分离的水表表盖上，集中或分散标明以下信息：</w:t>
      </w:r>
    </w:p>
    <w:p w14:paraId="23BEF075">
      <w:pPr>
        <w:adjustRightInd/>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①计量器具许可证标志和编号；</w:t>
      </w:r>
    </w:p>
    <w:p w14:paraId="11F46A56">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②制造商名称或商标；</w:t>
      </w:r>
    </w:p>
    <w:p w14:paraId="74849264">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③制造年月和编号（尽可能靠近指标装置）；</w:t>
      </w:r>
    </w:p>
    <w:p w14:paraId="1A6073C9">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④流向（在水表壳体两侧标志，或者如果在任何情况下都能很容易看到流动方向指示箭头，也可只标志在一侧）；</w:t>
      </w:r>
    </w:p>
    <w:p w14:paraId="444CCB59">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⑤常用流量和量程比；</w:t>
      </w:r>
    </w:p>
    <w:p w14:paraId="5CE351B0">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⑥最大允许压力；</w:t>
      </w:r>
    </w:p>
    <w:p w14:paraId="2788BE0E">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⑦水表准确度等级；</w:t>
      </w:r>
    </w:p>
    <w:p w14:paraId="12A2E957">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⑧温度等级；</w:t>
      </w:r>
    </w:p>
    <w:p w14:paraId="1EDE42E4">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⑨最大压力损失；</w:t>
      </w:r>
    </w:p>
    <w:p w14:paraId="3BE1214B">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⑩唯一性二维码编码（二维码</w:t>
      </w:r>
      <w:r>
        <w:rPr>
          <w:rFonts w:hint="eastAsia" w:ascii="宋体" w:hAnsi="宋体" w:eastAsia="宋体" w:cs="宋体"/>
          <w:color w:val="auto"/>
          <w:sz w:val="21"/>
          <w:szCs w:val="21"/>
          <w:highlight w:val="none"/>
          <w:lang w:eastAsia="zh-CN"/>
        </w:rPr>
        <w:t>包含</w:t>
      </w:r>
      <w:r>
        <w:rPr>
          <w:rFonts w:hint="eastAsia" w:ascii="宋体" w:hAnsi="宋体" w:eastAsia="宋体" w:cs="宋体"/>
          <w:color w:val="auto"/>
          <w:sz w:val="21"/>
          <w:szCs w:val="21"/>
          <w:highlight w:val="none"/>
        </w:rPr>
        <w:t>水表型号、口径、编号等信息）。</w:t>
      </w:r>
    </w:p>
    <w:p w14:paraId="7909DFBA">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应附有产品使用说明书；</w:t>
      </w:r>
    </w:p>
    <w:p w14:paraId="690C0272">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（10）</w:t>
      </w:r>
      <w:r>
        <w:rPr>
          <w:rFonts w:hint="eastAsia" w:ascii="宋体" w:hAnsi="宋体" w:eastAsia="宋体" w:cs="宋体"/>
          <w:color w:val="auto"/>
          <w:sz w:val="21"/>
          <w:szCs w:val="21"/>
          <w:highlight w:val="none"/>
        </w:rPr>
        <w:t>水表编号由采购人提供，由投标人制作在表身上，投标人设置二维码须包含水表编号信息。</w:t>
      </w:r>
    </w:p>
    <w:p w14:paraId="78003EB3">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（11）</w:t>
      </w:r>
      <w:r>
        <w:rPr>
          <w:rFonts w:hint="eastAsia" w:ascii="宋体" w:hAnsi="宋体" w:eastAsia="宋体" w:cs="宋体"/>
          <w:color w:val="auto"/>
          <w:sz w:val="21"/>
          <w:szCs w:val="21"/>
          <w:highlight w:val="none"/>
        </w:rPr>
        <w:t>基表机芯零部件材料要求：应采用无毒、无污染、无生物活性的材料</w:t>
      </w:r>
    </w:p>
    <w:p w14:paraId="092627E7">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①机芯外观：水表机芯光洁度高，无毛刺，机件间配合紧凑、表盘标志必须符合国家相关要求，表盘标志清晰度高。</w:t>
      </w:r>
    </w:p>
    <w:p w14:paraId="65C7A1EB">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②水表机芯（叶轮盒、齿轮盒、叶轮等）：ABS塑料或更好材质。</w:t>
      </w:r>
    </w:p>
    <w:p w14:paraId="4A6D2918">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③字轮、度盘：ABS白塑料或更好材质。</w:t>
      </w:r>
    </w:p>
    <w:p w14:paraId="30D18D98">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④齿轮：POM塑料或同档次以上。</w:t>
      </w:r>
    </w:p>
    <w:p w14:paraId="0F5772D5">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⑤叶轮衬套：尼龙加二硫化钼自润滑剂合成塑料。</w:t>
      </w:r>
    </w:p>
    <w:p w14:paraId="235165CC">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水表技术要求</w:t>
      </w:r>
    </w:p>
    <w:p w14:paraId="70F1AA1B">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旋翼湿式冷水水表：水平式，始动流量小，灵敏度高，适用性广，压力损失小；</w:t>
      </w:r>
    </w:p>
    <w:p w14:paraId="610E5C7D">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示值最大允许误差：流量Q4和流量Q2之间，水温为0.1至30摄氏度之间最大允许误差在±2%以内，水温为30至50摄氏度（不包括30摄氏度）之间最大允许误差在±3%以内；在分界流量Q2和最小流量Q1之间（不包括Q2）最大允许误差为±5%；</w:t>
      </w:r>
    </w:p>
    <w:p w14:paraId="143F878D">
      <w:pPr>
        <w:adjustRightInd w:val="0"/>
        <w:snapToGrid w:val="0"/>
        <w:spacing w:line="44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2.2.3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量程比：DN(15</w:t>
      </w:r>
      <w:r>
        <w:rPr>
          <w:rFonts w:hint="eastAsia" w:ascii="宋体" w:hAnsi="宋体" w:eastAsia="宋体" w:cs="宋体"/>
          <w:color w:val="auto"/>
          <w:kern w:val="0"/>
          <w:sz w:val="21"/>
          <w:szCs w:val="21"/>
          <w:highlight w:val="none"/>
        </w:rPr>
        <w:t>-40)mm水表Q3/Q1的比值为不小于80倍；</w:t>
      </w:r>
    </w:p>
    <w:p w14:paraId="0061A5BF">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具有可靠的封印防护装置；水表应成套供应；水表表盘明显位置上应清楚、永久地标志使用单位的要求印制的文字、编号等内容。</w:t>
      </w:r>
    </w:p>
    <w:p w14:paraId="0CDCBB10">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2.2.5流量技术参数、参考尺寸及连接方式</w:t>
      </w:r>
    </w:p>
    <w:tbl>
      <w:tblPr>
        <w:tblStyle w:val="31"/>
        <w:tblW w:w="0" w:type="auto"/>
        <w:tblInd w:w="0" w:type="dxa"/>
        <w:tblLayout w:type="fixed"/>
        <w:tblCellMar>
          <w:top w:w="0" w:type="dxa"/>
          <w:left w:w="108" w:type="dxa"/>
          <w:bottom w:w="0" w:type="dxa"/>
          <w:right w:w="108" w:type="dxa"/>
        </w:tblCellMar>
      </w:tblPr>
      <w:tblGrid>
        <w:gridCol w:w="687"/>
        <w:gridCol w:w="978"/>
        <w:gridCol w:w="1255"/>
        <w:gridCol w:w="1300"/>
        <w:gridCol w:w="1311"/>
        <w:gridCol w:w="1347"/>
        <w:gridCol w:w="1145"/>
        <w:gridCol w:w="1145"/>
      </w:tblGrid>
      <w:tr w14:paraId="5A30B589">
        <w:tblPrEx>
          <w:tblCellMar>
            <w:top w:w="0" w:type="dxa"/>
            <w:left w:w="108" w:type="dxa"/>
            <w:bottom w:w="0" w:type="dxa"/>
            <w:right w:w="108" w:type="dxa"/>
          </w:tblCellMar>
        </w:tblPrEx>
        <w:trPr>
          <w:trHeight w:val="345" w:hRule="atLeast"/>
        </w:trPr>
        <w:tc>
          <w:tcPr>
            <w:tcW w:w="687" w:type="dxa"/>
            <w:vMerge w:val="restart"/>
            <w:tcBorders>
              <w:top w:val="single" w:color="000000" w:sz="8" w:space="0"/>
              <w:left w:val="single" w:color="000000" w:sz="8" w:space="0"/>
              <w:bottom w:val="single" w:color="000000" w:sz="8" w:space="0"/>
              <w:right w:val="single" w:color="000000" w:sz="8" w:space="0"/>
            </w:tcBorders>
            <w:noWrap w:val="0"/>
            <w:vAlign w:val="center"/>
          </w:tcPr>
          <w:p w14:paraId="4F153C1C">
            <w:pPr>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口径DN</w:t>
            </w:r>
          </w:p>
        </w:tc>
        <w:tc>
          <w:tcPr>
            <w:tcW w:w="978" w:type="dxa"/>
            <w:vMerge w:val="restart"/>
            <w:tcBorders>
              <w:top w:val="single" w:color="000000" w:sz="8" w:space="0"/>
              <w:left w:val="nil"/>
              <w:bottom w:val="single" w:color="000000" w:sz="8" w:space="0"/>
              <w:right w:val="single" w:color="000000" w:sz="8" w:space="0"/>
            </w:tcBorders>
            <w:noWrap w:val="0"/>
            <w:vAlign w:val="center"/>
          </w:tcPr>
          <w:p w14:paraId="6C359CA1">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量程比（Q</w:t>
            </w:r>
            <w:r>
              <w:rPr>
                <w:rFonts w:hint="eastAsia" w:ascii="宋体" w:hAnsi="宋体" w:eastAsia="宋体" w:cs="宋体"/>
                <w:color w:val="auto"/>
                <w:kern w:val="0"/>
                <w:sz w:val="21"/>
                <w:szCs w:val="21"/>
                <w:highlight w:val="none"/>
                <w:vertAlign w:val="subscript"/>
                <w:lang w:bidi="ar"/>
              </w:rPr>
              <w:t>3</w:t>
            </w:r>
            <w:r>
              <w:rPr>
                <w:rFonts w:hint="eastAsia" w:ascii="宋体" w:hAnsi="宋体" w:eastAsia="宋体" w:cs="宋体"/>
                <w:color w:val="auto"/>
                <w:kern w:val="0"/>
                <w:sz w:val="21"/>
                <w:szCs w:val="21"/>
                <w:highlight w:val="none"/>
                <w:lang w:bidi="ar"/>
              </w:rPr>
              <w:t>/Q</w:t>
            </w:r>
            <w:r>
              <w:rPr>
                <w:rFonts w:hint="eastAsia" w:ascii="宋体" w:hAnsi="宋体" w:eastAsia="宋体" w:cs="宋体"/>
                <w:color w:val="auto"/>
                <w:kern w:val="0"/>
                <w:sz w:val="21"/>
                <w:szCs w:val="21"/>
                <w:highlight w:val="none"/>
                <w:vertAlign w:val="subscript"/>
                <w:lang w:bidi="ar"/>
              </w:rPr>
              <w:t>1</w:t>
            </w:r>
            <w:r>
              <w:rPr>
                <w:rFonts w:hint="eastAsia" w:ascii="宋体" w:hAnsi="宋体" w:eastAsia="宋体" w:cs="宋体"/>
                <w:color w:val="auto"/>
                <w:kern w:val="0"/>
                <w:sz w:val="21"/>
                <w:szCs w:val="21"/>
                <w:highlight w:val="none"/>
                <w:lang w:bidi="ar"/>
              </w:rPr>
              <w:t>）</w:t>
            </w:r>
          </w:p>
        </w:tc>
        <w:tc>
          <w:tcPr>
            <w:tcW w:w="1255" w:type="dxa"/>
            <w:vMerge w:val="restart"/>
            <w:tcBorders>
              <w:top w:val="single" w:color="000000" w:sz="8" w:space="0"/>
              <w:left w:val="nil"/>
              <w:bottom w:val="single" w:color="000000" w:sz="8" w:space="0"/>
              <w:right w:val="single" w:color="000000" w:sz="8" w:space="0"/>
            </w:tcBorders>
            <w:noWrap w:val="0"/>
            <w:vAlign w:val="center"/>
          </w:tcPr>
          <w:p w14:paraId="341E6508">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过载流量Q</w:t>
            </w:r>
            <w:r>
              <w:rPr>
                <w:rStyle w:val="137"/>
                <w:rFonts w:hint="eastAsia" w:ascii="宋体" w:hAnsi="宋体" w:eastAsia="宋体" w:cs="宋体"/>
                <w:color w:val="auto"/>
                <w:sz w:val="21"/>
                <w:szCs w:val="21"/>
                <w:highlight w:val="none"/>
                <w:lang w:bidi="ar"/>
              </w:rPr>
              <w:t>4</w:t>
            </w:r>
          </w:p>
        </w:tc>
        <w:tc>
          <w:tcPr>
            <w:tcW w:w="1300" w:type="dxa"/>
            <w:vMerge w:val="restart"/>
            <w:tcBorders>
              <w:top w:val="single" w:color="000000" w:sz="8" w:space="0"/>
              <w:left w:val="nil"/>
              <w:bottom w:val="single" w:color="000000" w:sz="8" w:space="0"/>
              <w:right w:val="single" w:color="000000" w:sz="8" w:space="0"/>
            </w:tcBorders>
            <w:noWrap w:val="0"/>
            <w:vAlign w:val="center"/>
          </w:tcPr>
          <w:p w14:paraId="276FB312">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常用流量Q</w:t>
            </w:r>
            <w:r>
              <w:rPr>
                <w:rStyle w:val="137"/>
                <w:rFonts w:hint="eastAsia" w:ascii="宋体" w:hAnsi="宋体" w:eastAsia="宋体" w:cs="宋体"/>
                <w:color w:val="auto"/>
                <w:sz w:val="21"/>
                <w:szCs w:val="21"/>
                <w:highlight w:val="none"/>
                <w:lang w:bidi="ar"/>
              </w:rPr>
              <w:t>3</w:t>
            </w:r>
          </w:p>
        </w:tc>
        <w:tc>
          <w:tcPr>
            <w:tcW w:w="1311" w:type="dxa"/>
            <w:vMerge w:val="restart"/>
            <w:tcBorders>
              <w:top w:val="single" w:color="000000" w:sz="8" w:space="0"/>
              <w:left w:val="nil"/>
              <w:bottom w:val="single" w:color="000000" w:sz="8" w:space="0"/>
              <w:right w:val="single" w:color="000000" w:sz="8" w:space="0"/>
            </w:tcBorders>
            <w:noWrap w:val="0"/>
            <w:vAlign w:val="center"/>
          </w:tcPr>
          <w:p w14:paraId="307C40D0">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分界流量Q</w:t>
            </w:r>
            <w:r>
              <w:rPr>
                <w:rStyle w:val="137"/>
                <w:rFonts w:hint="eastAsia" w:ascii="宋体" w:hAnsi="宋体" w:eastAsia="宋体" w:cs="宋体"/>
                <w:color w:val="auto"/>
                <w:sz w:val="21"/>
                <w:szCs w:val="21"/>
                <w:highlight w:val="none"/>
                <w:lang w:bidi="ar"/>
              </w:rPr>
              <w:t>2</w:t>
            </w:r>
          </w:p>
        </w:tc>
        <w:tc>
          <w:tcPr>
            <w:tcW w:w="1347" w:type="dxa"/>
            <w:vMerge w:val="restart"/>
            <w:tcBorders>
              <w:top w:val="single" w:color="000000" w:sz="8" w:space="0"/>
              <w:left w:val="nil"/>
              <w:bottom w:val="single" w:color="000000" w:sz="8" w:space="0"/>
              <w:right w:val="single" w:color="000000" w:sz="8" w:space="0"/>
            </w:tcBorders>
            <w:noWrap w:val="0"/>
            <w:vAlign w:val="center"/>
          </w:tcPr>
          <w:p w14:paraId="7776F15F">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最小流量Q</w:t>
            </w:r>
            <w:r>
              <w:rPr>
                <w:rStyle w:val="137"/>
                <w:rFonts w:hint="eastAsia" w:ascii="宋体" w:hAnsi="宋体" w:eastAsia="宋体" w:cs="宋体"/>
                <w:color w:val="auto"/>
                <w:sz w:val="21"/>
                <w:szCs w:val="21"/>
                <w:highlight w:val="none"/>
                <w:lang w:bidi="ar"/>
              </w:rPr>
              <w:t>1</w:t>
            </w:r>
          </w:p>
        </w:tc>
        <w:tc>
          <w:tcPr>
            <w:tcW w:w="1145" w:type="dxa"/>
            <w:vMerge w:val="restart"/>
            <w:tcBorders>
              <w:top w:val="single" w:color="000000" w:sz="8" w:space="0"/>
              <w:left w:val="nil"/>
              <w:bottom w:val="single" w:color="000000" w:sz="8" w:space="0"/>
              <w:right w:val="single" w:color="000000" w:sz="8" w:space="0"/>
            </w:tcBorders>
            <w:noWrap w:val="0"/>
            <w:vAlign w:val="center"/>
          </w:tcPr>
          <w:p w14:paraId="251A03EA">
            <w:pPr>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最小读数</w:t>
            </w:r>
          </w:p>
        </w:tc>
        <w:tc>
          <w:tcPr>
            <w:tcW w:w="1145" w:type="dxa"/>
            <w:vMerge w:val="restart"/>
            <w:tcBorders>
              <w:top w:val="single" w:color="000000" w:sz="8" w:space="0"/>
              <w:left w:val="nil"/>
              <w:bottom w:val="single" w:color="000000" w:sz="8" w:space="0"/>
              <w:right w:val="single" w:color="000000" w:sz="8" w:space="0"/>
            </w:tcBorders>
            <w:noWrap w:val="0"/>
            <w:vAlign w:val="center"/>
          </w:tcPr>
          <w:p w14:paraId="6429DF00">
            <w:pPr>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最大读数</w:t>
            </w:r>
          </w:p>
        </w:tc>
      </w:tr>
      <w:tr w14:paraId="338901E5">
        <w:tblPrEx>
          <w:tblCellMar>
            <w:top w:w="0" w:type="dxa"/>
            <w:left w:w="108" w:type="dxa"/>
            <w:bottom w:w="0" w:type="dxa"/>
            <w:right w:w="108" w:type="dxa"/>
          </w:tblCellMar>
        </w:tblPrEx>
        <w:trPr>
          <w:trHeight w:val="409" w:hRule="atLeast"/>
        </w:trPr>
        <w:tc>
          <w:tcPr>
            <w:tcW w:w="687" w:type="dxa"/>
            <w:vMerge w:val="continue"/>
            <w:tcBorders>
              <w:top w:val="single" w:color="000000" w:sz="8" w:space="0"/>
              <w:left w:val="single" w:color="000000" w:sz="8" w:space="0"/>
              <w:bottom w:val="single" w:color="000000" w:sz="8" w:space="0"/>
              <w:right w:val="single" w:color="000000" w:sz="8" w:space="0"/>
            </w:tcBorders>
            <w:noWrap w:val="0"/>
            <w:vAlign w:val="center"/>
          </w:tcPr>
          <w:p w14:paraId="484370C8">
            <w:pPr>
              <w:adjustRightInd w:val="0"/>
              <w:spacing w:line="360" w:lineRule="auto"/>
              <w:jc w:val="center"/>
              <w:rPr>
                <w:rFonts w:hint="eastAsia" w:ascii="宋体" w:hAnsi="宋体" w:eastAsia="宋体" w:cs="宋体"/>
                <w:color w:val="auto"/>
                <w:sz w:val="21"/>
                <w:szCs w:val="21"/>
                <w:highlight w:val="none"/>
              </w:rPr>
            </w:pPr>
          </w:p>
        </w:tc>
        <w:tc>
          <w:tcPr>
            <w:tcW w:w="978" w:type="dxa"/>
            <w:vMerge w:val="continue"/>
            <w:tcBorders>
              <w:top w:val="single" w:color="000000" w:sz="8" w:space="0"/>
              <w:left w:val="nil"/>
              <w:bottom w:val="single" w:color="000000" w:sz="8" w:space="0"/>
              <w:right w:val="single" w:color="000000" w:sz="8" w:space="0"/>
            </w:tcBorders>
            <w:noWrap w:val="0"/>
            <w:vAlign w:val="center"/>
          </w:tcPr>
          <w:p w14:paraId="0FFB8039">
            <w:pPr>
              <w:adjustRightInd w:val="0"/>
              <w:spacing w:line="360" w:lineRule="auto"/>
              <w:jc w:val="center"/>
              <w:rPr>
                <w:rFonts w:hint="eastAsia" w:ascii="宋体" w:hAnsi="宋体" w:eastAsia="宋体" w:cs="宋体"/>
                <w:color w:val="auto"/>
                <w:sz w:val="21"/>
                <w:szCs w:val="21"/>
                <w:highlight w:val="none"/>
              </w:rPr>
            </w:pPr>
          </w:p>
        </w:tc>
        <w:tc>
          <w:tcPr>
            <w:tcW w:w="1255" w:type="dxa"/>
            <w:vMerge w:val="continue"/>
            <w:tcBorders>
              <w:top w:val="single" w:color="000000" w:sz="8" w:space="0"/>
              <w:left w:val="nil"/>
              <w:bottom w:val="single" w:color="000000" w:sz="8" w:space="0"/>
              <w:right w:val="single" w:color="000000" w:sz="8" w:space="0"/>
            </w:tcBorders>
            <w:noWrap w:val="0"/>
            <w:vAlign w:val="center"/>
          </w:tcPr>
          <w:p w14:paraId="35E49E75">
            <w:pPr>
              <w:adjustRightInd w:val="0"/>
              <w:spacing w:line="360" w:lineRule="auto"/>
              <w:jc w:val="center"/>
              <w:rPr>
                <w:rFonts w:hint="eastAsia" w:ascii="宋体" w:hAnsi="宋体" w:eastAsia="宋体" w:cs="宋体"/>
                <w:color w:val="auto"/>
                <w:sz w:val="21"/>
                <w:szCs w:val="21"/>
                <w:highlight w:val="none"/>
              </w:rPr>
            </w:pPr>
          </w:p>
        </w:tc>
        <w:tc>
          <w:tcPr>
            <w:tcW w:w="1300" w:type="dxa"/>
            <w:vMerge w:val="continue"/>
            <w:tcBorders>
              <w:top w:val="single" w:color="000000" w:sz="8" w:space="0"/>
              <w:left w:val="nil"/>
              <w:bottom w:val="single" w:color="000000" w:sz="8" w:space="0"/>
              <w:right w:val="single" w:color="000000" w:sz="8" w:space="0"/>
            </w:tcBorders>
            <w:noWrap w:val="0"/>
            <w:vAlign w:val="center"/>
          </w:tcPr>
          <w:p w14:paraId="0E3F5790">
            <w:pPr>
              <w:adjustRightInd w:val="0"/>
              <w:spacing w:line="360" w:lineRule="auto"/>
              <w:jc w:val="center"/>
              <w:rPr>
                <w:rFonts w:hint="eastAsia" w:ascii="宋体" w:hAnsi="宋体" w:eastAsia="宋体" w:cs="宋体"/>
                <w:color w:val="auto"/>
                <w:sz w:val="21"/>
                <w:szCs w:val="21"/>
                <w:highlight w:val="none"/>
              </w:rPr>
            </w:pPr>
          </w:p>
        </w:tc>
        <w:tc>
          <w:tcPr>
            <w:tcW w:w="1311" w:type="dxa"/>
            <w:vMerge w:val="continue"/>
            <w:tcBorders>
              <w:top w:val="single" w:color="000000" w:sz="8" w:space="0"/>
              <w:left w:val="nil"/>
              <w:bottom w:val="single" w:color="000000" w:sz="8" w:space="0"/>
              <w:right w:val="single" w:color="000000" w:sz="8" w:space="0"/>
            </w:tcBorders>
            <w:noWrap w:val="0"/>
            <w:vAlign w:val="center"/>
          </w:tcPr>
          <w:p w14:paraId="5C4A7E0F">
            <w:pPr>
              <w:adjustRightInd w:val="0"/>
              <w:spacing w:line="360" w:lineRule="auto"/>
              <w:jc w:val="center"/>
              <w:rPr>
                <w:rFonts w:hint="eastAsia" w:ascii="宋体" w:hAnsi="宋体" w:eastAsia="宋体" w:cs="宋体"/>
                <w:color w:val="auto"/>
                <w:sz w:val="21"/>
                <w:szCs w:val="21"/>
                <w:highlight w:val="none"/>
              </w:rPr>
            </w:pPr>
          </w:p>
        </w:tc>
        <w:tc>
          <w:tcPr>
            <w:tcW w:w="1347" w:type="dxa"/>
            <w:vMerge w:val="continue"/>
            <w:tcBorders>
              <w:top w:val="single" w:color="000000" w:sz="8" w:space="0"/>
              <w:left w:val="nil"/>
              <w:bottom w:val="single" w:color="000000" w:sz="8" w:space="0"/>
              <w:right w:val="single" w:color="000000" w:sz="8" w:space="0"/>
            </w:tcBorders>
            <w:noWrap w:val="0"/>
            <w:vAlign w:val="center"/>
          </w:tcPr>
          <w:p w14:paraId="33B4A191">
            <w:pPr>
              <w:adjustRightInd w:val="0"/>
              <w:spacing w:line="360" w:lineRule="auto"/>
              <w:jc w:val="center"/>
              <w:rPr>
                <w:rFonts w:hint="eastAsia" w:ascii="宋体" w:hAnsi="宋体" w:eastAsia="宋体" w:cs="宋体"/>
                <w:color w:val="auto"/>
                <w:sz w:val="21"/>
                <w:szCs w:val="21"/>
                <w:highlight w:val="none"/>
              </w:rPr>
            </w:pPr>
          </w:p>
        </w:tc>
        <w:tc>
          <w:tcPr>
            <w:tcW w:w="1145" w:type="dxa"/>
            <w:vMerge w:val="continue"/>
            <w:tcBorders>
              <w:top w:val="single" w:color="000000" w:sz="8" w:space="0"/>
              <w:left w:val="nil"/>
              <w:bottom w:val="single" w:color="000000" w:sz="8" w:space="0"/>
              <w:right w:val="single" w:color="000000" w:sz="8" w:space="0"/>
            </w:tcBorders>
            <w:noWrap w:val="0"/>
            <w:vAlign w:val="center"/>
          </w:tcPr>
          <w:p w14:paraId="183E8131">
            <w:pPr>
              <w:adjustRightInd w:val="0"/>
              <w:jc w:val="center"/>
              <w:rPr>
                <w:rFonts w:hint="eastAsia" w:ascii="宋体" w:hAnsi="宋体" w:eastAsia="宋体" w:cs="宋体"/>
                <w:color w:val="auto"/>
                <w:sz w:val="21"/>
                <w:szCs w:val="21"/>
                <w:highlight w:val="none"/>
              </w:rPr>
            </w:pPr>
          </w:p>
        </w:tc>
        <w:tc>
          <w:tcPr>
            <w:tcW w:w="1145" w:type="dxa"/>
            <w:vMerge w:val="continue"/>
            <w:tcBorders>
              <w:top w:val="single" w:color="000000" w:sz="8" w:space="0"/>
              <w:left w:val="nil"/>
              <w:bottom w:val="single" w:color="000000" w:sz="8" w:space="0"/>
              <w:right w:val="single" w:color="000000" w:sz="8" w:space="0"/>
            </w:tcBorders>
            <w:noWrap w:val="0"/>
            <w:vAlign w:val="center"/>
          </w:tcPr>
          <w:p w14:paraId="69EAADAB">
            <w:pPr>
              <w:adjustRightInd w:val="0"/>
              <w:jc w:val="center"/>
              <w:rPr>
                <w:rFonts w:hint="eastAsia" w:ascii="宋体" w:hAnsi="宋体" w:eastAsia="宋体" w:cs="宋体"/>
                <w:color w:val="auto"/>
                <w:sz w:val="21"/>
                <w:szCs w:val="21"/>
                <w:highlight w:val="none"/>
              </w:rPr>
            </w:pPr>
          </w:p>
        </w:tc>
      </w:tr>
      <w:tr w14:paraId="36C384FF">
        <w:tblPrEx>
          <w:tblCellMar>
            <w:top w:w="0" w:type="dxa"/>
            <w:left w:w="108" w:type="dxa"/>
            <w:bottom w:w="0" w:type="dxa"/>
            <w:right w:w="108" w:type="dxa"/>
          </w:tblCellMar>
        </w:tblPrEx>
        <w:trPr>
          <w:trHeight w:val="345" w:hRule="atLeast"/>
        </w:trPr>
        <w:tc>
          <w:tcPr>
            <w:tcW w:w="687" w:type="dxa"/>
            <w:tcBorders>
              <w:top w:val="single" w:color="000000" w:sz="8" w:space="0"/>
              <w:left w:val="single" w:color="000000" w:sz="8" w:space="0"/>
              <w:bottom w:val="single" w:color="000000" w:sz="8" w:space="0"/>
              <w:right w:val="single" w:color="000000" w:sz="8" w:space="0"/>
            </w:tcBorders>
            <w:noWrap w:val="0"/>
            <w:vAlign w:val="center"/>
          </w:tcPr>
          <w:p w14:paraId="381E7F52">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mm</w:t>
            </w:r>
          </w:p>
        </w:tc>
        <w:tc>
          <w:tcPr>
            <w:tcW w:w="978" w:type="dxa"/>
            <w:vMerge w:val="continue"/>
            <w:tcBorders>
              <w:top w:val="single" w:color="000000" w:sz="8" w:space="0"/>
              <w:left w:val="nil"/>
              <w:bottom w:val="single" w:color="000000" w:sz="8" w:space="0"/>
              <w:right w:val="single" w:color="000000" w:sz="8" w:space="0"/>
            </w:tcBorders>
            <w:noWrap w:val="0"/>
            <w:vAlign w:val="center"/>
          </w:tcPr>
          <w:p w14:paraId="1C43A68B">
            <w:pPr>
              <w:adjustRightInd w:val="0"/>
              <w:spacing w:line="360" w:lineRule="auto"/>
              <w:jc w:val="center"/>
              <w:rPr>
                <w:rFonts w:hint="eastAsia" w:ascii="宋体" w:hAnsi="宋体" w:eastAsia="宋体" w:cs="宋体"/>
                <w:color w:val="auto"/>
                <w:sz w:val="21"/>
                <w:szCs w:val="21"/>
                <w:highlight w:val="none"/>
              </w:rPr>
            </w:pPr>
          </w:p>
        </w:tc>
        <w:tc>
          <w:tcPr>
            <w:tcW w:w="2555" w:type="dxa"/>
            <w:gridSpan w:val="2"/>
            <w:tcBorders>
              <w:top w:val="single" w:color="000000" w:sz="8" w:space="0"/>
              <w:left w:val="nil"/>
              <w:bottom w:val="single" w:color="000000" w:sz="8" w:space="0"/>
              <w:right w:val="single" w:color="000000" w:sz="8" w:space="0"/>
            </w:tcBorders>
            <w:noWrap w:val="0"/>
            <w:vAlign w:val="center"/>
          </w:tcPr>
          <w:p w14:paraId="46D01F7B">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m</w:t>
            </w:r>
            <w:r>
              <w:rPr>
                <w:rFonts w:hint="eastAsia" w:ascii="宋体" w:hAnsi="宋体" w:eastAsia="宋体" w:cs="宋体"/>
                <w:color w:val="auto"/>
                <w:kern w:val="0"/>
                <w:sz w:val="21"/>
                <w:szCs w:val="21"/>
                <w:highlight w:val="none"/>
                <w:vertAlign w:val="superscript"/>
                <w:lang w:bidi="ar"/>
              </w:rPr>
              <w:t>3</w:t>
            </w:r>
            <w:r>
              <w:rPr>
                <w:rFonts w:hint="eastAsia" w:ascii="宋体" w:hAnsi="宋体" w:eastAsia="宋体" w:cs="宋体"/>
                <w:color w:val="auto"/>
                <w:kern w:val="0"/>
                <w:sz w:val="21"/>
                <w:szCs w:val="21"/>
                <w:highlight w:val="none"/>
                <w:lang w:bidi="ar"/>
              </w:rPr>
              <w:t>/h</w:t>
            </w:r>
          </w:p>
        </w:tc>
        <w:tc>
          <w:tcPr>
            <w:tcW w:w="2658" w:type="dxa"/>
            <w:gridSpan w:val="2"/>
            <w:tcBorders>
              <w:top w:val="single" w:color="000000" w:sz="8" w:space="0"/>
              <w:left w:val="nil"/>
              <w:bottom w:val="single" w:color="000000" w:sz="8" w:space="0"/>
              <w:right w:val="single" w:color="000000" w:sz="8" w:space="0"/>
            </w:tcBorders>
            <w:noWrap w:val="0"/>
            <w:vAlign w:val="center"/>
          </w:tcPr>
          <w:p w14:paraId="62D6E878">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L/h</w:t>
            </w:r>
          </w:p>
        </w:tc>
        <w:tc>
          <w:tcPr>
            <w:tcW w:w="2290" w:type="dxa"/>
            <w:gridSpan w:val="2"/>
            <w:tcBorders>
              <w:top w:val="single" w:color="000000" w:sz="8" w:space="0"/>
              <w:left w:val="nil"/>
              <w:bottom w:val="single" w:color="000000" w:sz="8" w:space="0"/>
              <w:right w:val="single" w:color="000000" w:sz="8" w:space="0"/>
            </w:tcBorders>
            <w:noWrap w:val="0"/>
            <w:vAlign w:val="center"/>
          </w:tcPr>
          <w:p w14:paraId="088813C5">
            <w:pPr>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m</w:t>
            </w:r>
            <w:r>
              <w:rPr>
                <w:rFonts w:hint="eastAsia" w:ascii="宋体" w:hAnsi="宋体" w:eastAsia="宋体" w:cs="宋体"/>
                <w:color w:val="auto"/>
                <w:kern w:val="0"/>
                <w:sz w:val="21"/>
                <w:szCs w:val="21"/>
                <w:highlight w:val="none"/>
                <w:vertAlign w:val="superscript"/>
                <w:lang w:bidi="ar"/>
              </w:rPr>
              <w:t>3</w:t>
            </w:r>
          </w:p>
        </w:tc>
      </w:tr>
      <w:tr w14:paraId="033D6385">
        <w:tblPrEx>
          <w:tblCellMar>
            <w:top w:w="0" w:type="dxa"/>
            <w:left w:w="108" w:type="dxa"/>
            <w:bottom w:w="0" w:type="dxa"/>
            <w:right w:w="108" w:type="dxa"/>
          </w:tblCellMar>
        </w:tblPrEx>
        <w:trPr>
          <w:trHeight w:val="315" w:hRule="atLeast"/>
        </w:trPr>
        <w:tc>
          <w:tcPr>
            <w:tcW w:w="687" w:type="dxa"/>
            <w:vMerge w:val="restart"/>
            <w:tcBorders>
              <w:top w:val="single" w:color="000000" w:sz="8" w:space="0"/>
              <w:left w:val="single" w:color="000000" w:sz="8" w:space="0"/>
              <w:bottom w:val="single" w:color="000000" w:sz="8" w:space="0"/>
              <w:right w:val="single" w:color="000000" w:sz="8" w:space="0"/>
            </w:tcBorders>
            <w:noWrap w:val="0"/>
            <w:vAlign w:val="center"/>
          </w:tcPr>
          <w:p w14:paraId="07204437">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w:t>
            </w:r>
          </w:p>
        </w:tc>
        <w:tc>
          <w:tcPr>
            <w:tcW w:w="978" w:type="dxa"/>
            <w:tcBorders>
              <w:top w:val="single" w:color="000000" w:sz="8" w:space="0"/>
              <w:left w:val="nil"/>
              <w:bottom w:val="single" w:color="000000" w:sz="8" w:space="0"/>
              <w:right w:val="single" w:color="000000" w:sz="8" w:space="0"/>
            </w:tcBorders>
            <w:noWrap w:val="0"/>
            <w:vAlign w:val="center"/>
          </w:tcPr>
          <w:p w14:paraId="3B913F36">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80</w:t>
            </w:r>
          </w:p>
        </w:tc>
        <w:tc>
          <w:tcPr>
            <w:tcW w:w="1255" w:type="dxa"/>
            <w:vMerge w:val="restart"/>
            <w:tcBorders>
              <w:top w:val="single" w:color="000000" w:sz="8" w:space="0"/>
              <w:left w:val="nil"/>
              <w:bottom w:val="single" w:color="000000" w:sz="8" w:space="0"/>
              <w:right w:val="single" w:color="000000" w:sz="8" w:space="0"/>
            </w:tcBorders>
            <w:noWrap w:val="0"/>
            <w:vAlign w:val="center"/>
          </w:tcPr>
          <w:p w14:paraId="4399351E">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3.125</w:t>
            </w:r>
          </w:p>
        </w:tc>
        <w:tc>
          <w:tcPr>
            <w:tcW w:w="1300" w:type="dxa"/>
            <w:vMerge w:val="restart"/>
            <w:tcBorders>
              <w:top w:val="single" w:color="000000" w:sz="8" w:space="0"/>
              <w:left w:val="nil"/>
              <w:bottom w:val="single" w:color="000000" w:sz="8" w:space="0"/>
              <w:right w:val="single" w:color="000000" w:sz="8" w:space="0"/>
            </w:tcBorders>
            <w:noWrap w:val="0"/>
            <w:vAlign w:val="center"/>
          </w:tcPr>
          <w:p w14:paraId="4AFE9F7A">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w:t>
            </w:r>
          </w:p>
        </w:tc>
        <w:tc>
          <w:tcPr>
            <w:tcW w:w="1311" w:type="dxa"/>
            <w:tcBorders>
              <w:top w:val="single" w:color="000000" w:sz="8" w:space="0"/>
              <w:left w:val="nil"/>
              <w:bottom w:val="single" w:color="000000" w:sz="8" w:space="0"/>
              <w:right w:val="single" w:color="000000" w:sz="8" w:space="0"/>
            </w:tcBorders>
            <w:noWrap w:val="0"/>
            <w:vAlign w:val="center"/>
          </w:tcPr>
          <w:p w14:paraId="1AD8EC12">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50</w:t>
            </w:r>
          </w:p>
        </w:tc>
        <w:tc>
          <w:tcPr>
            <w:tcW w:w="1347" w:type="dxa"/>
            <w:tcBorders>
              <w:top w:val="single" w:color="000000" w:sz="8" w:space="0"/>
              <w:left w:val="nil"/>
              <w:bottom w:val="single" w:color="000000" w:sz="8" w:space="0"/>
              <w:right w:val="single" w:color="000000" w:sz="8" w:space="0"/>
            </w:tcBorders>
            <w:noWrap w:val="0"/>
            <w:vAlign w:val="center"/>
          </w:tcPr>
          <w:p w14:paraId="0C58AB5A">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31.25</w:t>
            </w:r>
          </w:p>
        </w:tc>
        <w:tc>
          <w:tcPr>
            <w:tcW w:w="1145" w:type="dxa"/>
            <w:vMerge w:val="restart"/>
            <w:tcBorders>
              <w:top w:val="single" w:color="000000" w:sz="8" w:space="0"/>
              <w:left w:val="nil"/>
              <w:bottom w:val="single" w:color="000000" w:sz="8" w:space="0"/>
              <w:right w:val="single" w:color="000000" w:sz="8" w:space="0"/>
            </w:tcBorders>
            <w:noWrap w:val="0"/>
            <w:vAlign w:val="center"/>
          </w:tcPr>
          <w:p w14:paraId="1B07EA17">
            <w:pPr>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0.00005</w:t>
            </w:r>
          </w:p>
        </w:tc>
        <w:tc>
          <w:tcPr>
            <w:tcW w:w="1145" w:type="dxa"/>
            <w:vMerge w:val="restart"/>
            <w:tcBorders>
              <w:top w:val="single" w:color="000000" w:sz="8" w:space="0"/>
              <w:left w:val="nil"/>
              <w:bottom w:val="single" w:color="000000" w:sz="8" w:space="0"/>
              <w:right w:val="single" w:color="000000" w:sz="8" w:space="0"/>
            </w:tcBorders>
            <w:noWrap w:val="0"/>
            <w:vAlign w:val="center"/>
          </w:tcPr>
          <w:p w14:paraId="6ACA3A13">
            <w:pPr>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99,999</w:t>
            </w:r>
          </w:p>
        </w:tc>
      </w:tr>
      <w:tr w14:paraId="5AFA1945">
        <w:tblPrEx>
          <w:tblCellMar>
            <w:top w:w="0" w:type="dxa"/>
            <w:left w:w="108" w:type="dxa"/>
            <w:bottom w:w="0" w:type="dxa"/>
            <w:right w:w="108" w:type="dxa"/>
          </w:tblCellMar>
        </w:tblPrEx>
        <w:trPr>
          <w:trHeight w:val="300" w:hRule="atLeast"/>
        </w:trPr>
        <w:tc>
          <w:tcPr>
            <w:tcW w:w="687" w:type="dxa"/>
            <w:vMerge w:val="continue"/>
            <w:tcBorders>
              <w:top w:val="single" w:color="000000" w:sz="8" w:space="0"/>
              <w:left w:val="single" w:color="000000" w:sz="8" w:space="0"/>
              <w:bottom w:val="single" w:color="000000" w:sz="8" w:space="0"/>
              <w:right w:val="single" w:color="000000" w:sz="8" w:space="0"/>
            </w:tcBorders>
            <w:noWrap w:val="0"/>
            <w:vAlign w:val="center"/>
          </w:tcPr>
          <w:p w14:paraId="1F33B5A1">
            <w:pPr>
              <w:adjustRightInd w:val="0"/>
              <w:spacing w:line="360" w:lineRule="auto"/>
              <w:jc w:val="center"/>
              <w:rPr>
                <w:rFonts w:hint="eastAsia" w:ascii="宋体" w:hAnsi="宋体" w:eastAsia="宋体" w:cs="宋体"/>
                <w:color w:val="auto"/>
                <w:sz w:val="21"/>
                <w:szCs w:val="21"/>
                <w:highlight w:val="none"/>
              </w:rPr>
            </w:pPr>
          </w:p>
        </w:tc>
        <w:tc>
          <w:tcPr>
            <w:tcW w:w="978" w:type="dxa"/>
            <w:tcBorders>
              <w:top w:val="single" w:color="000000" w:sz="8" w:space="0"/>
              <w:left w:val="nil"/>
              <w:bottom w:val="single" w:color="000000" w:sz="8" w:space="0"/>
              <w:right w:val="single" w:color="000000" w:sz="8" w:space="0"/>
            </w:tcBorders>
            <w:noWrap w:val="0"/>
            <w:vAlign w:val="center"/>
          </w:tcPr>
          <w:p w14:paraId="3C19BB02">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100</w:t>
            </w:r>
          </w:p>
        </w:tc>
        <w:tc>
          <w:tcPr>
            <w:tcW w:w="1255" w:type="dxa"/>
            <w:vMerge w:val="continue"/>
            <w:tcBorders>
              <w:top w:val="single" w:color="000000" w:sz="8" w:space="0"/>
              <w:left w:val="nil"/>
              <w:bottom w:val="single" w:color="000000" w:sz="8" w:space="0"/>
              <w:right w:val="single" w:color="000000" w:sz="8" w:space="0"/>
            </w:tcBorders>
            <w:noWrap w:val="0"/>
            <w:vAlign w:val="center"/>
          </w:tcPr>
          <w:p w14:paraId="0C855AA2">
            <w:pPr>
              <w:adjustRightInd w:val="0"/>
              <w:spacing w:line="360" w:lineRule="auto"/>
              <w:jc w:val="center"/>
              <w:rPr>
                <w:rFonts w:hint="eastAsia" w:ascii="宋体" w:hAnsi="宋体" w:eastAsia="宋体" w:cs="宋体"/>
                <w:color w:val="auto"/>
                <w:sz w:val="21"/>
                <w:szCs w:val="21"/>
                <w:highlight w:val="none"/>
              </w:rPr>
            </w:pPr>
          </w:p>
        </w:tc>
        <w:tc>
          <w:tcPr>
            <w:tcW w:w="1300" w:type="dxa"/>
            <w:vMerge w:val="continue"/>
            <w:tcBorders>
              <w:top w:val="single" w:color="000000" w:sz="8" w:space="0"/>
              <w:left w:val="nil"/>
              <w:bottom w:val="single" w:color="000000" w:sz="8" w:space="0"/>
              <w:right w:val="single" w:color="000000" w:sz="8" w:space="0"/>
            </w:tcBorders>
            <w:noWrap w:val="0"/>
            <w:vAlign w:val="center"/>
          </w:tcPr>
          <w:p w14:paraId="5049266B">
            <w:pPr>
              <w:adjustRightInd w:val="0"/>
              <w:spacing w:line="360" w:lineRule="auto"/>
              <w:jc w:val="center"/>
              <w:rPr>
                <w:rFonts w:hint="eastAsia" w:ascii="宋体" w:hAnsi="宋体" w:eastAsia="宋体" w:cs="宋体"/>
                <w:color w:val="auto"/>
                <w:sz w:val="21"/>
                <w:szCs w:val="21"/>
                <w:highlight w:val="none"/>
              </w:rPr>
            </w:pPr>
          </w:p>
        </w:tc>
        <w:tc>
          <w:tcPr>
            <w:tcW w:w="1311" w:type="dxa"/>
            <w:tcBorders>
              <w:top w:val="single" w:color="000000" w:sz="8" w:space="0"/>
              <w:left w:val="nil"/>
              <w:bottom w:val="single" w:color="000000" w:sz="8" w:space="0"/>
              <w:right w:val="single" w:color="000000" w:sz="8" w:space="0"/>
            </w:tcBorders>
            <w:noWrap w:val="0"/>
            <w:vAlign w:val="center"/>
          </w:tcPr>
          <w:p w14:paraId="1E3FE8CD">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40</w:t>
            </w:r>
          </w:p>
        </w:tc>
        <w:tc>
          <w:tcPr>
            <w:tcW w:w="1347" w:type="dxa"/>
            <w:tcBorders>
              <w:top w:val="single" w:color="000000" w:sz="8" w:space="0"/>
              <w:left w:val="nil"/>
              <w:bottom w:val="single" w:color="000000" w:sz="8" w:space="0"/>
              <w:right w:val="single" w:color="000000" w:sz="8" w:space="0"/>
            </w:tcBorders>
            <w:noWrap w:val="0"/>
            <w:vAlign w:val="center"/>
          </w:tcPr>
          <w:p w14:paraId="6768CDA1">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w:t>
            </w:r>
          </w:p>
        </w:tc>
        <w:tc>
          <w:tcPr>
            <w:tcW w:w="1145" w:type="dxa"/>
            <w:vMerge w:val="continue"/>
            <w:tcBorders>
              <w:top w:val="single" w:color="000000" w:sz="8" w:space="0"/>
              <w:left w:val="nil"/>
              <w:bottom w:val="single" w:color="000000" w:sz="8" w:space="0"/>
              <w:right w:val="single" w:color="000000" w:sz="8" w:space="0"/>
            </w:tcBorders>
            <w:noWrap w:val="0"/>
            <w:vAlign w:val="center"/>
          </w:tcPr>
          <w:p w14:paraId="48058752">
            <w:pPr>
              <w:adjustRightInd w:val="0"/>
              <w:jc w:val="center"/>
              <w:rPr>
                <w:rFonts w:hint="eastAsia" w:ascii="宋体" w:hAnsi="宋体" w:eastAsia="宋体" w:cs="宋体"/>
                <w:color w:val="auto"/>
                <w:sz w:val="21"/>
                <w:szCs w:val="21"/>
                <w:highlight w:val="none"/>
              </w:rPr>
            </w:pPr>
          </w:p>
        </w:tc>
        <w:tc>
          <w:tcPr>
            <w:tcW w:w="1145" w:type="dxa"/>
            <w:vMerge w:val="continue"/>
            <w:tcBorders>
              <w:top w:val="single" w:color="000000" w:sz="8" w:space="0"/>
              <w:left w:val="nil"/>
              <w:bottom w:val="single" w:color="000000" w:sz="8" w:space="0"/>
              <w:right w:val="single" w:color="000000" w:sz="8" w:space="0"/>
            </w:tcBorders>
            <w:noWrap w:val="0"/>
            <w:vAlign w:val="center"/>
          </w:tcPr>
          <w:p w14:paraId="5526E973">
            <w:pPr>
              <w:adjustRightInd w:val="0"/>
              <w:jc w:val="center"/>
              <w:rPr>
                <w:rFonts w:hint="eastAsia" w:ascii="宋体" w:hAnsi="宋体" w:eastAsia="宋体" w:cs="宋体"/>
                <w:color w:val="auto"/>
                <w:sz w:val="21"/>
                <w:szCs w:val="21"/>
                <w:highlight w:val="none"/>
              </w:rPr>
            </w:pPr>
          </w:p>
        </w:tc>
      </w:tr>
      <w:tr w14:paraId="5708D5F5">
        <w:tblPrEx>
          <w:tblCellMar>
            <w:top w:w="0" w:type="dxa"/>
            <w:left w:w="108" w:type="dxa"/>
            <w:bottom w:w="0" w:type="dxa"/>
            <w:right w:w="108" w:type="dxa"/>
          </w:tblCellMar>
        </w:tblPrEx>
        <w:trPr>
          <w:trHeight w:val="300" w:hRule="atLeast"/>
        </w:trPr>
        <w:tc>
          <w:tcPr>
            <w:tcW w:w="687" w:type="dxa"/>
            <w:vMerge w:val="continue"/>
            <w:tcBorders>
              <w:top w:val="single" w:color="000000" w:sz="8" w:space="0"/>
              <w:left w:val="single" w:color="000000" w:sz="8" w:space="0"/>
              <w:bottom w:val="single" w:color="000000" w:sz="8" w:space="0"/>
              <w:right w:val="single" w:color="000000" w:sz="8" w:space="0"/>
            </w:tcBorders>
            <w:noWrap w:val="0"/>
            <w:vAlign w:val="center"/>
          </w:tcPr>
          <w:p w14:paraId="2989DFD4">
            <w:pPr>
              <w:adjustRightInd w:val="0"/>
              <w:spacing w:line="360" w:lineRule="auto"/>
              <w:jc w:val="center"/>
              <w:rPr>
                <w:rFonts w:hint="eastAsia" w:ascii="宋体" w:hAnsi="宋体" w:eastAsia="宋体" w:cs="宋体"/>
                <w:color w:val="auto"/>
                <w:sz w:val="21"/>
                <w:szCs w:val="21"/>
                <w:highlight w:val="none"/>
              </w:rPr>
            </w:pPr>
          </w:p>
        </w:tc>
        <w:tc>
          <w:tcPr>
            <w:tcW w:w="978" w:type="dxa"/>
            <w:tcBorders>
              <w:top w:val="single" w:color="000000" w:sz="8" w:space="0"/>
              <w:left w:val="nil"/>
              <w:bottom w:val="single" w:color="000000" w:sz="8" w:space="0"/>
              <w:right w:val="single" w:color="000000" w:sz="8" w:space="0"/>
            </w:tcBorders>
            <w:noWrap w:val="0"/>
            <w:vAlign w:val="center"/>
          </w:tcPr>
          <w:p w14:paraId="7666D2AD">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160</w:t>
            </w:r>
          </w:p>
        </w:tc>
        <w:tc>
          <w:tcPr>
            <w:tcW w:w="1255" w:type="dxa"/>
            <w:vMerge w:val="continue"/>
            <w:tcBorders>
              <w:top w:val="single" w:color="000000" w:sz="8" w:space="0"/>
              <w:left w:val="nil"/>
              <w:bottom w:val="single" w:color="000000" w:sz="8" w:space="0"/>
              <w:right w:val="single" w:color="000000" w:sz="8" w:space="0"/>
            </w:tcBorders>
            <w:noWrap w:val="0"/>
            <w:vAlign w:val="center"/>
          </w:tcPr>
          <w:p w14:paraId="4CE84024">
            <w:pPr>
              <w:adjustRightInd w:val="0"/>
              <w:spacing w:line="360" w:lineRule="auto"/>
              <w:jc w:val="center"/>
              <w:rPr>
                <w:rFonts w:hint="eastAsia" w:ascii="宋体" w:hAnsi="宋体" w:eastAsia="宋体" w:cs="宋体"/>
                <w:color w:val="auto"/>
                <w:sz w:val="21"/>
                <w:szCs w:val="21"/>
                <w:highlight w:val="none"/>
              </w:rPr>
            </w:pPr>
          </w:p>
        </w:tc>
        <w:tc>
          <w:tcPr>
            <w:tcW w:w="1300" w:type="dxa"/>
            <w:vMerge w:val="continue"/>
            <w:tcBorders>
              <w:top w:val="single" w:color="000000" w:sz="8" w:space="0"/>
              <w:left w:val="nil"/>
              <w:bottom w:val="single" w:color="000000" w:sz="8" w:space="0"/>
              <w:right w:val="single" w:color="000000" w:sz="8" w:space="0"/>
            </w:tcBorders>
            <w:noWrap w:val="0"/>
            <w:vAlign w:val="center"/>
          </w:tcPr>
          <w:p w14:paraId="1B75339B">
            <w:pPr>
              <w:adjustRightInd w:val="0"/>
              <w:spacing w:line="360" w:lineRule="auto"/>
              <w:jc w:val="center"/>
              <w:rPr>
                <w:rFonts w:hint="eastAsia" w:ascii="宋体" w:hAnsi="宋体" w:eastAsia="宋体" w:cs="宋体"/>
                <w:color w:val="auto"/>
                <w:sz w:val="21"/>
                <w:szCs w:val="21"/>
                <w:highlight w:val="none"/>
              </w:rPr>
            </w:pPr>
          </w:p>
        </w:tc>
        <w:tc>
          <w:tcPr>
            <w:tcW w:w="1311" w:type="dxa"/>
            <w:tcBorders>
              <w:top w:val="single" w:color="000000" w:sz="8" w:space="0"/>
              <w:left w:val="nil"/>
              <w:bottom w:val="single" w:color="000000" w:sz="8" w:space="0"/>
              <w:right w:val="single" w:color="000000" w:sz="8" w:space="0"/>
            </w:tcBorders>
            <w:noWrap w:val="0"/>
            <w:vAlign w:val="center"/>
          </w:tcPr>
          <w:p w14:paraId="24A8B8A6">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w:t>
            </w:r>
          </w:p>
        </w:tc>
        <w:tc>
          <w:tcPr>
            <w:tcW w:w="1347" w:type="dxa"/>
            <w:tcBorders>
              <w:top w:val="single" w:color="000000" w:sz="8" w:space="0"/>
              <w:left w:val="nil"/>
              <w:bottom w:val="single" w:color="000000" w:sz="8" w:space="0"/>
              <w:right w:val="single" w:color="000000" w:sz="8" w:space="0"/>
            </w:tcBorders>
            <w:noWrap w:val="0"/>
            <w:vAlign w:val="center"/>
          </w:tcPr>
          <w:p w14:paraId="47AF13FF">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15.625</w:t>
            </w:r>
          </w:p>
        </w:tc>
        <w:tc>
          <w:tcPr>
            <w:tcW w:w="1145" w:type="dxa"/>
            <w:vMerge w:val="continue"/>
            <w:tcBorders>
              <w:top w:val="single" w:color="000000" w:sz="8" w:space="0"/>
              <w:left w:val="nil"/>
              <w:bottom w:val="single" w:color="000000" w:sz="8" w:space="0"/>
              <w:right w:val="single" w:color="000000" w:sz="8" w:space="0"/>
            </w:tcBorders>
            <w:noWrap w:val="0"/>
            <w:vAlign w:val="center"/>
          </w:tcPr>
          <w:p w14:paraId="7AD59DCB">
            <w:pPr>
              <w:adjustRightInd w:val="0"/>
              <w:jc w:val="center"/>
              <w:rPr>
                <w:rFonts w:hint="eastAsia" w:ascii="宋体" w:hAnsi="宋体" w:eastAsia="宋体" w:cs="宋体"/>
                <w:color w:val="auto"/>
                <w:sz w:val="21"/>
                <w:szCs w:val="21"/>
                <w:highlight w:val="none"/>
              </w:rPr>
            </w:pPr>
          </w:p>
        </w:tc>
        <w:tc>
          <w:tcPr>
            <w:tcW w:w="1145" w:type="dxa"/>
            <w:vMerge w:val="continue"/>
            <w:tcBorders>
              <w:top w:val="single" w:color="000000" w:sz="8" w:space="0"/>
              <w:left w:val="nil"/>
              <w:bottom w:val="single" w:color="000000" w:sz="8" w:space="0"/>
              <w:right w:val="single" w:color="000000" w:sz="8" w:space="0"/>
            </w:tcBorders>
            <w:noWrap w:val="0"/>
            <w:vAlign w:val="center"/>
          </w:tcPr>
          <w:p w14:paraId="3716C984">
            <w:pPr>
              <w:adjustRightInd w:val="0"/>
              <w:jc w:val="center"/>
              <w:rPr>
                <w:rFonts w:hint="eastAsia" w:ascii="宋体" w:hAnsi="宋体" w:eastAsia="宋体" w:cs="宋体"/>
                <w:color w:val="auto"/>
                <w:sz w:val="21"/>
                <w:szCs w:val="21"/>
                <w:highlight w:val="none"/>
              </w:rPr>
            </w:pPr>
          </w:p>
        </w:tc>
      </w:tr>
      <w:tr w14:paraId="3691EF44">
        <w:tblPrEx>
          <w:tblCellMar>
            <w:top w:w="0" w:type="dxa"/>
            <w:left w:w="108" w:type="dxa"/>
            <w:bottom w:w="0" w:type="dxa"/>
            <w:right w:w="108" w:type="dxa"/>
          </w:tblCellMar>
        </w:tblPrEx>
        <w:trPr>
          <w:trHeight w:val="315" w:hRule="atLeast"/>
        </w:trPr>
        <w:tc>
          <w:tcPr>
            <w:tcW w:w="687" w:type="dxa"/>
            <w:vMerge w:val="restart"/>
            <w:tcBorders>
              <w:top w:val="single" w:color="000000" w:sz="8" w:space="0"/>
              <w:left w:val="single" w:color="000000" w:sz="8" w:space="0"/>
              <w:bottom w:val="single" w:color="000000" w:sz="8" w:space="0"/>
              <w:right w:val="single" w:color="000000" w:sz="8" w:space="0"/>
            </w:tcBorders>
            <w:noWrap w:val="0"/>
            <w:vAlign w:val="center"/>
          </w:tcPr>
          <w:p w14:paraId="380D07CD">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w:t>
            </w:r>
          </w:p>
        </w:tc>
        <w:tc>
          <w:tcPr>
            <w:tcW w:w="978" w:type="dxa"/>
            <w:tcBorders>
              <w:top w:val="single" w:color="000000" w:sz="8" w:space="0"/>
              <w:left w:val="nil"/>
              <w:bottom w:val="single" w:color="000000" w:sz="8" w:space="0"/>
              <w:right w:val="single" w:color="000000" w:sz="8" w:space="0"/>
            </w:tcBorders>
            <w:noWrap w:val="0"/>
            <w:vAlign w:val="center"/>
          </w:tcPr>
          <w:p w14:paraId="3FCD6F80">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80</w:t>
            </w:r>
          </w:p>
        </w:tc>
        <w:tc>
          <w:tcPr>
            <w:tcW w:w="1255" w:type="dxa"/>
            <w:vMerge w:val="restart"/>
            <w:tcBorders>
              <w:top w:val="single" w:color="000000" w:sz="8" w:space="0"/>
              <w:left w:val="nil"/>
              <w:bottom w:val="single" w:color="000000" w:sz="8" w:space="0"/>
              <w:right w:val="single" w:color="000000" w:sz="8" w:space="0"/>
            </w:tcBorders>
            <w:noWrap w:val="0"/>
            <w:vAlign w:val="center"/>
          </w:tcPr>
          <w:p w14:paraId="12C007A1">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w:t>
            </w:r>
          </w:p>
        </w:tc>
        <w:tc>
          <w:tcPr>
            <w:tcW w:w="1300" w:type="dxa"/>
            <w:vMerge w:val="restart"/>
            <w:tcBorders>
              <w:top w:val="single" w:color="000000" w:sz="8" w:space="0"/>
              <w:left w:val="nil"/>
              <w:bottom w:val="single" w:color="000000" w:sz="8" w:space="0"/>
              <w:right w:val="single" w:color="000000" w:sz="8" w:space="0"/>
            </w:tcBorders>
            <w:noWrap w:val="0"/>
            <w:vAlign w:val="center"/>
          </w:tcPr>
          <w:p w14:paraId="73F10AB8">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w:t>
            </w:r>
          </w:p>
        </w:tc>
        <w:tc>
          <w:tcPr>
            <w:tcW w:w="1311" w:type="dxa"/>
            <w:tcBorders>
              <w:top w:val="single" w:color="000000" w:sz="8" w:space="0"/>
              <w:left w:val="nil"/>
              <w:bottom w:val="single" w:color="000000" w:sz="8" w:space="0"/>
              <w:right w:val="single" w:color="000000" w:sz="8" w:space="0"/>
            </w:tcBorders>
            <w:noWrap w:val="0"/>
            <w:vAlign w:val="center"/>
          </w:tcPr>
          <w:p w14:paraId="19A2E136">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80</w:t>
            </w:r>
          </w:p>
        </w:tc>
        <w:tc>
          <w:tcPr>
            <w:tcW w:w="1347" w:type="dxa"/>
            <w:tcBorders>
              <w:top w:val="single" w:color="000000" w:sz="8" w:space="0"/>
              <w:left w:val="nil"/>
              <w:bottom w:val="single" w:color="000000" w:sz="8" w:space="0"/>
              <w:right w:val="single" w:color="000000" w:sz="8" w:space="0"/>
            </w:tcBorders>
            <w:noWrap w:val="0"/>
            <w:vAlign w:val="center"/>
          </w:tcPr>
          <w:p w14:paraId="5A2FAAFD">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50</w:t>
            </w:r>
          </w:p>
        </w:tc>
        <w:tc>
          <w:tcPr>
            <w:tcW w:w="1145" w:type="dxa"/>
            <w:vMerge w:val="restart"/>
            <w:tcBorders>
              <w:top w:val="single" w:color="000000" w:sz="8" w:space="0"/>
              <w:left w:val="nil"/>
              <w:bottom w:val="single" w:color="000000" w:sz="8" w:space="0"/>
              <w:right w:val="single" w:color="000000" w:sz="8" w:space="0"/>
            </w:tcBorders>
            <w:noWrap w:val="0"/>
            <w:vAlign w:val="center"/>
          </w:tcPr>
          <w:p w14:paraId="4D3949EB">
            <w:pPr>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0.00005</w:t>
            </w:r>
          </w:p>
        </w:tc>
        <w:tc>
          <w:tcPr>
            <w:tcW w:w="1145" w:type="dxa"/>
            <w:vMerge w:val="restart"/>
            <w:tcBorders>
              <w:top w:val="single" w:color="000000" w:sz="8" w:space="0"/>
              <w:left w:val="nil"/>
              <w:bottom w:val="single" w:color="000000" w:sz="8" w:space="0"/>
              <w:right w:val="single" w:color="000000" w:sz="8" w:space="0"/>
            </w:tcBorders>
            <w:noWrap w:val="0"/>
            <w:vAlign w:val="center"/>
          </w:tcPr>
          <w:p w14:paraId="478E0D79">
            <w:pPr>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99,999</w:t>
            </w:r>
          </w:p>
        </w:tc>
      </w:tr>
      <w:tr w14:paraId="695C0A4E">
        <w:tblPrEx>
          <w:tblCellMar>
            <w:top w:w="0" w:type="dxa"/>
            <w:left w:w="108" w:type="dxa"/>
            <w:bottom w:w="0" w:type="dxa"/>
            <w:right w:w="108" w:type="dxa"/>
          </w:tblCellMar>
        </w:tblPrEx>
        <w:trPr>
          <w:trHeight w:val="300" w:hRule="atLeast"/>
        </w:trPr>
        <w:tc>
          <w:tcPr>
            <w:tcW w:w="687" w:type="dxa"/>
            <w:vMerge w:val="continue"/>
            <w:tcBorders>
              <w:top w:val="single" w:color="000000" w:sz="8" w:space="0"/>
              <w:left w:val="single" w:color="000000" w:sz="8" w:space="0"/>
              <w:bottom w:val="single" w:color="000000" w:sz="8" w:space="0"/>
              <w:right w:val="single" w:color="000000" w:sz="8" w:space="0"/>
            </w:tcBorders>
            <w:noWrap w:val="0"/>
            <w:vAlign w:val="center"/>
          </w:tcPr>
          <w:p w14:paraId="29442D4F">
            <w:pPr>
              <w:adjustRightInd w:val="0"/>
              <w:spacing w:line="360" w:lineRule="auto"/>
              <w:jc w:val="center"/>
              <w:rPr>
                <w:rFonts w:hint="eastAsia" w:ascii="宋体" w:hAnsi="宋体" w:eastAsia="宋体" w:cs="宋体"/>
                <w:color w:val="auto"/>
                <w:sz w:val="21"/>
                <w:szCs w:val="21"/>
                <w:highlight w:val="none"/>
              </w:rPr>
            </w:pPr>
          </w:p>
        </w:tc>
        <w:tc>
          <w:tcPr>
            <w:tcW w:w="978" w:type="dxa"/>
            <w:tcBorders>
              <w:top w:val="single" w:color="000000" w:sz="8" w:space="0"/>
              <w:left w:val="nil"/>
              <w:bottom w:val="single" w:color="000000" w:sz="8" w:space="0"/>
              <w:right w:val="single" w:color="000000" w:sz="8" w:space="0"/>
            </w:tcBorders>
            <w:noWrap w:val="0"/>
            <w:vAlign w:val="center"/>
          </w:tcPr>
          <w:p w14:paraId="754B423E">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100</w:t>
            </w:r>
          </w:p>
        </w:tc>
        <w:tc>
          <w:tcPr>
            <w:tcW w:w="1255" w:type="dxa"/>
            <w:vMerge w:val="continue"/>
            <w:tcBorders>
              <w:top w:val="single" w:color="000000" w:sz="8" w:space="0"/>
              <w:left w:val="nil"/>
              <w:bottom w:val="single" w:color="000000" w:sz="8" w:space="0"/>
              <w:right w:val="single" w:color="000000" w:sz="8" w:space="0"/>
            </w:tcBorders>
            <w:noWrap w:val="0"/>
            <w:vAlign w:val="center"/>
          </w:tcPr>
          <w:p w14:paraId="3F88C90E">
            <w:pPr>
              <w:adjustRightInd w:val="0"/>
              <w:spacing w:line="360" w:lineRule="auto"/>
              <w:jc w:val="center"/>
              <w:rPr>
                <w:rFonts w:hint="eastAsia" w:ascii="宋体" w:hAnsi="宋体" w:eastAsia="宋体" w:cs="宋体"/>
                <w:color w:val="auto"/>
                <w:sz w:val="21"/>
                <w:szCs w:val="21"/>
                <w:highlight w:val="none"/>
              </w:rPr>
            </w:pPr>
          </w:p>
        </w:tc>
        <w:tc>
          <w:tcPr>
            <w:tcW w:w="1300" w:type="dxa"/>
            <w:vMerge w:val="continue"/>
            <w:tcBorders>
              <w:top w:val="single" w:color="000000" w:sz="8" w:space="0"/>
              <w:left w:val="nil"/>
              <w:bottom w:val="single" w:color="000000" w:sz="8" w:space="0"/>
              <w:right w:val="single" w:color="000000" w:sz="8" w:space="0"/>
            </w:tcBorders>
            <w:noWrap w:val="0"/>
            <w:vAlign w:val="center"/>
          </w:tcPr>
          <w:p w14:paraId="20512C94">
            <w:pPr>
              <w:adjustRightInd w:val="0"/>
              <w:spacing w:line="360" w:lineRule="auto"/>
              <w:jc w:val="center"/>
              <w:rPr>
                <w:rFonts w:hint="eastAsia" w:ascii="宋体" w:hAnsi="宋体" w:eastAsia="宋体" w:cs="宋体"/>
                <w:color w:val="auto"/>
                <w:sz w:val="21"/>
                <w:szCs w:val="21"/>
                <w:highlight w:val="none"/>
              </w:rPr>
            </w:pPr>
          </w:p>
        </w:tc>
        <w:tc>
          <w:tcPr>
            <w:tcW w:w="1311" w:type="dxa"/>
            <w:tcBorders>
              <w:top w:val="single" w:color="000000" w:sz="8" w:space="0"/>
              <w:left w:val="nil"/>
              <w:bottom w:val="single" w:color="000000" w:sz="8" w:space="0"/>
              <w:right w:val="single" w:color="000000" w:sz="8" w:space="0"/>
            </w:tcBorders>
            <w:noWrap w:val="0"/>
            <w:vAlign w:val="center"/>
          </w:tcPr>
          <w:p w14:paraId="6B46683E">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64</w:t>
            </w:r>
          </w:p>
        </w:tc>
        <w:tc>
          <w:tcPr>
            <w:tcW w:w="1347" w:type="dxa"/>
            <w:tcBorders>
              <w:top w:val="single" w:color="000000" w:sz="8" w:space="0"/>
              <w:left w:val="nil"/>
              <w:bottom w:val="single" w:color="000000" w:sz="8" w:space="0"/>
              <w:right w:val="single" w:color="000000" w:sz="8" w:space="0"/>
            </w:tcBorders>
            <w:noWrap w:val="0"/>
            <w:vAlign w:val="center"/>
          </w:tcPr>
          <w:p w14:paraId="46007734">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40</w:t>
            </w:r>
          </w:p>
        </w:tc>
        <w:tc>
          <w:tcPr>
            <w:tcW w:w="1145" w:type="dxa"/>
            <w:vMerge w:val="continue"/>
            <w:tcBorders>
              <w:top w:val="single" w:color="000000" w:sz="8" w:space="0"/>
              <w:left w:val="nil"/>
              <w:bottom w:val="single" w:color="000000" w:sz="8" w:space="0"/>
              <w:right w:val="single" w:color="000000" w:sz="8" w:space="0"/>
            </w:tcBorders>
            <w:noWrap w:val="0"/>
            <w:vAlign w:val="center"/>
          </w:tcPr>
          <w:p w14:paraId="67CB967E">
            <w:pPr>
              <w:adjustRightInd w:val="0"/>
              <w:jc w:val="center"/>
              <w:rPr>
                <w:rFonts w:hint="eastAsia" w:ascii="宋体" w:hAnsi="宋体" w:eastAsia="宋体" w:cs="宋体"/>
                <w:color w:val="auto"/>
                <w:sz w:val="21"/>
                <w:szCs w:val="21"/>
                <w:highlight w:val="none"/>
              </w:rPr>
            </w:pPr>
          </w:p>
        </w:tc>
        <w:tc>
          <w:tcPr>
            <w:tcW w:w="1145" w:type="dxa"/>
            <w:vMerge w:val="continue"/>
            <w:tcBorders>
              <w:top w:val="single" w:color="000000" w:sz="8" w:space="0"/>
              <w:left w:val="nil"/>
              <w:bottom w:val="single" w:color="000000" w:sz="8" w:space="0"/>
              <w:right w:val="single" w:color="000000" w:sz="8" w:space="0"/>
            </w:tcBorders>
            <w:noWrap w:val="0"/>
            <w:vAlign w:val="center"/>
          </w:tcPr>
          <w:p w14:paraId="246C8667">
            <w:pPr>
              <w:adjustRightInd w:val="0"/>
              <w:jc w:val="center"/>
              <w:rPr>
                <w:rFonts w:hint="eastAsia" w:ascii="宋体" w:hAnsi="宋体" w:eastAsia="宋体" w:cs="宋体"/>
                <w:color w:val="auto"/>
                <w:sz w:val="21"/>
                <w:szCs w:val="21"/>
                <w:highlight w:val="none"/>
              </w:rPr>
            </w:pPr>
          </w:p>
        </w:tc>
      </w:tr>
      <w:tr w14:paraId="7787B761">
        <w:tblPrEx>
          <w:tblCellMar>
            <w:top w:w="0" w:type="dxa"/>
            <w:left w:w="108" w:type="dxa"/>
            <w:bottom w:w="0" w:type="dxa"/>
            <w:right w:w="108" w:type="dxa"/>
          </w:tblCellMar>
        </w:tblPrEx>
        <w:trPr>
          <w:trHeight w:val="300" w:hRule="atLeast"/>
        </w:trPr>
        <w:tc>
          <w:tcPr>
            <w:tcW w:w="687" w:type="dxa"/>
            <w:vMerge w:val="continue"/>
            <w:tcBorders>
              <w:top w:val="single" w:color="000000" w:sz="8" w:space="0"/>
              <w:left w:val="single" w:color="000000" w:sz="8" w:space="0"/>
              <w:bottom w:val="single" w:color="000000" w:sz="8" w:space="0"/>
              <w:right w:val="single" w:color="000000" w:sz="8" w:space="0"/>
            </w:tcBorders>
            <w:noWrap w:val="0"/>
            <w:vAlign w:val="center"/>
          </w:tcPr>
          <w:p w14:paraId="0249CA10">
            <w:pPr>
              <w:adjustRightInd w:val="0"/>
              <w:spacing w:line="360" w:lineRule="auto"/>
              <w:jc w:val="center"/>
              <w:rPr>
                <w:rFonts w:hint="eastAsia" w:ascii="宋体" w:hAnsi="宋体" w:eastAsia="宋体" w:cs="宋体"/>
                <w:color w:val="auto"/>
                <w:sz w:val="21"/>
                <w:szCs w:val="21"/>
                <w:highlight w:val="none"/>
              </w:rPr>
            </w:pPr>
          </w:p>
        </w:tc>
        <w:tc>
          <w:tcPr>
            <w:tcW w:w="978" w:type="dxa"/>
            <w:tcBorders>
              <w:top w:val="single" w:color="000000" w:sz="8" w:space="0"/>
              <w:left w:val="nil"/>
              <w:bottom w:val="single" w:color="000000" w:sz="8" w:space="0"/>
              <w:right w:val="single" w:color="000000" w:sz="8" w:space="0"/>
            </w:tcBorders>
            <w:noWrap w:val="0"/>
            <w:vAlign w:val="center"/>
          </w:tcPr>
          <w:p w14:paraId="601D7560">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160</w:t>
            </w:r>
          </w:p>
        </w:tc>
        <w:tc>
          <w:tcPr>
            <w:tcW w:w="1255" w:type="dxa"/>
            <w:vMerge w:val="continue"/>
            <w:tcBorders>
              <w:top w:val="single" w:color="000000" w:sz="8" w:space="0"/>
              <w:left w:val="nil"/>
              <w:bottom w:val="single" w:color="000000" w:sz="8" w:space="0"/>
              <w:right w:val="single" w:color="000000" w:sz="8" w:space="0"/>
            </w:tcBorders>
            <w:noWrap w:val="0"/>
            <w:vAlign w:val="center"/>
          </w:tcPr>
          <w:p w14:paraId="07808863">
            <w:pPr>
              <w:adjustRightInd w:val="0"/>
              <w:spacing w:line="360" w:lineRule="auto"/>
              <w:jc w:val="center"/>
              <w:rPr>
                <w:rFonts w:hint="eastAsia" w:ascii="宋体" w:hAnsi="宋体" w:eastAsia="宋体" w:cs="宋体"/>
                <w:color w:val="auto"/>
                <w:sz w:val="21"/>
                <w:szCs w:val="21"/>
                <w:highlight w:val="none"/>
              </w:rPr>
            </w:pPr>
          </w:p>
        </w:tc>
        <w:tc>
          <w:tcPr>
            <w:tcW w:w="1300" w:type="dxa"/>
            <w:vMerge w:val="continue"/>
            <w:tcBorders>
              <w:top w:val="single" w:color="000000" w:sz="8" w:space="0"/>
              <w:left w:val="nil"/>
              <w:bottom w:val="single" w:color="000000" w:sz="8" w:space="0"/>
              <w:right w:val="single" w:color="000000" w:sz="8" w:space="0"/>
            </w:tcBorders>
            <w:noWrap w:val="0"/>
            <w:vAlign w:val="center"/>
          </w:tcPr>
          <w:p w14:paraId="710C51DB">
            <w:pPr>
              <w:adjustRightInd w:val="0"/>
              <w:spacing w:line="360" w:lineRule="auto"/>
              <w:jc w:val="center"/>
              <w:rPr>
                <w:rFonts w:hint="eastAsia" w:ascii="宋体" w:hAnsi="宋体" w:eastAsia="宋体" w:cs="宋体"/>
                <w:color w:val="auto"/>
                <w:sz w:val="21"/>
                <w:szCs w:val="21"/>
                <w:highlight w:val="none"/>
              </w:rPr>
            </w:pPr>
          </w:p>
        </w:tc>
        <w:tc>
          <w:tcPr>
            <w:tcW w:w="1311" w:type="dxa"/>
            <w:tcBorders>
              <w:top w:val="single" w:color="000000" w:sz="8" w:space="0"/>
              <w:left w:val="nil"/>
              <w:bottom w:val="single" w:color="000000" w:sz="8" w:space="0"/>
              <w:right w:val="single" w:color="000000" w:sz="8" w:space="0"/>
            </w:tcBorders>
            <w:noWrap w:val="0"/>
            <w:vAlign w:val="center"/>
          </w:tcPr>
          <w:p w14:paraId="58421159">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40</w:t>
            </w:r>
          </w:p>
        </w:tc>
        <w:tc>
          <w:tcPr>
            <w:tcW w:w="1347" w:type="dxa"/>
            <w:tcBorders>
              <w:top w:val="single" w:color="000000" w:sz="8" w:space="0"/>
              <w:left w:val="nil"/>
              <w:bottom w:val="single" w:color="000000" w:sz="8" w:space="0"/>
              <w:right w:val="single" w:color="000000" w:sz="8" w:space="0"/>
            </w:tcBorders>
            <w:noWrap w:val="0"/>
            <w:vAlign w:val="center"/>
          </w:tcPr>
          <w:p w14:paraId="30604761">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w:t>
            </w:r>
          </w:p>
        </w:tc>
        <w:tc>
          <w:tcPr>
            <w:tcW w:w="1145" w:type="dxa"/>
            <w:vMerge w:val="continue"/>
            <w:tcBorders>
              <w:top w:val="single" w:color="000000" w:sz="8" w:space="0"/>
              <w:left w:val="nil"/>
              <w:bottom w:val="single" w:color="000000" w:sz="8" w:space="0"/>
              <w:right w:val="single" w:color="000000" w:sz="8" w:space="0"/>
            </w:tcBorders>
            <w:noWrap w:val="0"/>
            <w:vAlign w:val="center"/>
          </w:tcPr>
          <w:p w14:paraId="5903DC5F">
            <w:pPr>
              <w:adjustRightInd w:val="0"/>
              <w:jc w:val="center"/>
              <w:rPr>
                <w:rFonts w:hint="eastAsia" w:ascii="宋体" w:hAnsi="宋体" w:eastAsia="宋体" w:cs="宋体"/>
                <w:color w:val="auto"/>
                <w:sz w:val="21"/>
                <w:szCs w:val="21"/>
                <w:highlight w:val="none"/>
              </w:rPr>
            </w:pPr>
          </w:p>
        </w:tc>
        <w:tc>
          <w:tcPr>
            <w:tcW w:w="1145" w:type="dxa"/>
            <w:vMerge w:val="continue"/>
            <w:tcBorders>
              <w:top w:val="single" w:color="000000" w:sz="8" w:space="0"/>
              <w:left w:val="nil"/>
              <w:bottom w:val="single" w:color="000000" w:sz="8" w:space="0"/>
              <w:right w:val="single" w:color="000000" w:sz="8" w:space="0"/>
            </w:tcBorders>
            <w:noWrap w:val="0"/>
            <w:vAlign w:val="center"/>
          </w:tcPr>
          <w:p w14:paraId="1122DB1F">
            <w:pPr>
              <w:adjustRightInd w:val="0"/>
              <w:jc w:val="center"/>
              <w:rPr>
                <w:rFonts w:hint="eastAsia" w:ascii="宋体" w:hAnsi="宋体" w:eastAsia="宋体" w:cs="宋体"/>
                <w:color w:val="auto"/>
                <w:sz w:val="21"/>
                <w:szCs w:val="21"/>
                <w:highlight w:val="none"/>
              </w:rPr>
            </w:pPr>
          </w:p>
        </w:tc>
      </w:tr>
      <w:tr w14:paraId="69816539">
        <w:tblPrEx>
          <w:tblCellMar>
            <w:top w:w="0" w:type="dxa"/>
            <w:left w:w="108" w:type="dxa"/>
            <w:bottom w:w="0" w:type="dxa"/>
            <w:right w:w="108" w:type="dxa"/>
          </w:tblCellMar>
        </w:tblPrEx>
        <w:trPr>
          <w:trHeight w:val="315" w:hRule="atLeast"/>
        </w:trPr>
        <w:tc>
          <w:tcPr>
            <w:tcW w:w="687" w:type="dxa"/>
            <w:vMerge w:val="restart"/>
            <w:tcBorders>
              <w:top w:val="single" w:color="000000" w:sz="8" w:space="0"/>
              <w:left w:val="single" w:color="000000" w:sz="8" w:space="0"/>
              <w:bottom w:val="single" w:color="000000" w:sz="8" w:space="0"/>
              <w:right w:val="single" w:color="000000" w:sz="8" w:space="0"/>
            </w:tcBorders>
            <w:noWrap w:val="0"/>
            <w:vAlign w:val="center"/>
          </w:tcPr>
          <w:p w14:paraId="4192B9CF">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w:t>
            </w:r>
          </w:p>
        </w:tc>
        <w:tc>
          <w:tcPr>
            <w:tcW w:w="978" w:type="dxa"/>
            <w:tcBorders>
              <w:top w:val="single" w:color="000000" w:sz="8" w:space="0"/>
              <w:left w:val="nil"/>
              <w:bottom w:val="single" w:color="000000" w:sz="8" w:space="0"/>
              <w:right w:val="single" w:color="000000" w:sz="8" w:space="0"/>
            </w:tcBorders>
            <w:noWrap w:val="0"/>
            <w:vAlign w:val="center"/>
          </w:tcPr>
          <w:p w14:paraId="6D9219C4">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80</w:t>
            </w:r>
          </w:p>
        </w:tc>
        <w:tc>
          <w:tcPr>
            <w:tcW w:w="1255" w:type="dxa"/>
            <w:vMerge w:val="restart"/>
            <w:tcBorders>
              <w:top w:val="single" w:color="000000" w:sz="8" w:space="0"/>
              <w:left w:val="nil"/>
              <w:bottom w:val="single" w:color="000000" w:sz="8" w:space="0"/>
              <w:right w:val="single" w:color="000000" w:sz="8" w:space="0"/>
            </w:tcBorders>
            <w:noWrap w:val="0"/>
            <w:vAlign w:val="center"/>
          </w:tcPr>
          <w:p w14:paraId="78A79734">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7.875</w:t>
            </w:r>
          </w:p>
        </w:tc>
        <w:tc>
          <w:tcPr>
            <w:tcW w:w="1300" w:type="dxa"/>
            <w:vMerge w:val="restart"/>
            <w:tcBorders>
              <w:top w:val="single" w:color="000000" w:sz="8" w:space="0"/>
              <w:left w:val="nil"/>
              <w:bottom w:val="single" w:color="000000" w:sz="8" w:space="0"/>
              <w:right w:val="single" w:color="000000" w:sz="8" w:space="0"/>
            </w:tcBorders>
            <w:noWrap w:val="0"/>
            <w:vAlign w:val="center"/>
          </w:tcPr>
          <w:p w14:paraId="77979F15">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6.3</w:t>
            </w:r>
          </w:p>
        </w:tc>
        <w:tc>
          <w:tcPr>
            <w:tcW w:w="1311" w:type="dxa"/>
            <w:tcBorders>
              <w:top w:val="single" w:color="000000" w:sz="8" w:space="0"/>
              <w:left w:val="nil"/>
              <w:bottom w:val="single" w:color="000000" w:sz="8" w:space="0"/>
              <w:right w:val="single" w:color="000000" w:sz="8" w:space="0"/>
            </w:tcBorders>
            <w:noWrap w:val="0"/>
            <w:vAlign w:val="center"/>
          </w:tcPr>
          <w:p w14:paraId="29C7962D">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126</w:t>
            </w:r>
          </w:p>
        </w:tc>
        <w:tc>
          <w:tcPr>
            <w:tcW w:w="1347" w:type="dxa"/>
            <w:tcBorders>
              <w:top w:val="single" w:color="000000" w:sz="8" w:space="0"/>
              <w:left w:val="nil"/>
              <w:bottom w:val="single" w:color="000000" w:sz="8" w:space="0"/>
              <w:right w:val="single" w:color="000000" w:sz="8" w:space="0"/>
            </w:tcBorders>
            <w:noWrap w:val="0"/>
            <w:vAlign w:val="center"/>
          </w:tcPr>
          <w:p w14:paraId="54E94D10">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78.75</w:t>
            </w:r>
          </w:p>
        </w:tc>
        <w:tc>
          <w:tcPr>
            <w:tcW w:w="1145" w:type="dxa"/>
            <w:vMerge w:val="restart"/>
            <w:tcBorders>
              <w:top w:val="single" w:color="000000" w:sz="8" w:space="0"/>
              <w:left w:val="nil"/>
              <w:bottom w:val="single" w:color="000000" w:sz="8" w:space="0"/>
              <w:right w:val="single" w:color="000000" w:sz="8" w:space="0"/>
            </w:tcBorders>
            <w:noWrap w:val="0"/>
            <w:vAlign w:val="center"/>
          </w:tcPr>
          <w:p w14:paraId="73DC6C5A">
            <w:pPr>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0.00005</w:t>
            </w:r>
          </w:p>
        </w:tc>
        <w:tc>
          <w:tcPr>
            <w:tcW w:w="1145" w:type="dxa"/>
            <w:vMerge w:val="restart"/>
            <w:tcBorders>
              <w:top w:val="single" w:color="000000" w:sz="8" w:space="0"/>
              <w:left w:val="nil"/>
              <w:bottom w:val="single" w:color="000000" w:sz="8" w:space="0"/>
              <w:right w:val="single" w:color="000000" w:sz="8" w:space="0"/>
            </w:tcBorders>
            <w:noWrap w:val="0"/>
            <w:vAlign w:val="center"/>
          </w:tcPr>
          <w:p w14:paraId="0B6FA3E5">
            <w:pPr>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99,999</w:t>
            </w:r>
          </w:p>
        </w:tc>
      </w:tr>
      <w:tr w14:paraId="70BD3349">
        <w:tblPrEx>
          <w:tblCellMar>
            <w:top w:w="0" w:type="dxa"/>
            <w:left w:w="108" w:type="dxa"/>
            <w:bottom w:w="0" w:type="dxa"/>
            <w:right w:w="108" w:type="dxa"/>
          </w:tblCellMar>
        </w:tblPrEx>
        <w:trPr>
          <w:trHeight w:val="300" w:hRule="atLeast"/>
        </w:trPr>
        <w:tc>
          <w:tcPr>
            <w:tcW w:w="687" w:type="dxa"/>
            <w:vMerge w:val="continue"/>
            <w:tcBorders>
              <w:top w:val="single" w:color="000000" w:sz="8" w:space="0"/>
              <w:left w:val="single" w:color="000000" w:sz="8" w:space="0"/>
              <w:bottom w:val="single" w:color="000000" w:sz="8" w:space="0"/>
              <w:right w:val="single" w:color="000000" w:sz="8" w:space="0"/>
            </w:tcBorders>
            <w:noWrap w:val="0"/>
            <w:vAlign w:val="center"/>
          </w:tcPr>
          <w:p w14:paraId="48237335">
            <w:pPr>
              <w:adjustRightInd w:val="0"/>
              <w:spacing w:line="360" w:lineRule="auto"/>
              <w:jc w:val="center"/>
              <w:rPr>
                <w:rFonts w:hint="eastAsia" w:ascii="宋体" w:hAnsi="宋体" w:eastAsia="宋体" w:cs="宋体"/>
                <w:color w:val="auto"/>
                <w:sz w:val="21"/>
                <w:szCs w:val="21"/>
                <w:highlight w:val="none"/>
              </w:rPr>
            </w:pPr>
          </w:p>
        </w:tc>
        <w:tc>
          <w:tcPr>
            <w:tcW w:w="978" w:type="dxa"/>
            <w:tcBorders>
              <w:top w:val="single" w:color="000000" w:sz="8" w:space="0"/>
              <w:left w:val="nil"/>
              <w:bottom w:val="single" w:color="000000" w:sz="8" w:space="0"/>
              <w:right w:val="single" w:color="000000" w:sz="8" w:space="0"/>
            </w:tcBorders>
            <w:noWrap w:val="0"/>
            <w:vAlign w:val="center"/>
          </w:tcPr>
          <w:p w14:paraId="6BAA29A8">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100</w:t>
            </w:r>
          </w:p>
        </w:tc>
        <w:tc>
          <w:tcPr>
            <w:tcW w:w="1255" w:type="dxa"/>
            <w:vMerge w:val="continue"/>
            <w:tcBorders>
              <w:top w:val="single" w:color="000000" w:sz="8" w:space="0"/>
              <w:left w:val="nil"/>
              <w:bottom w:val="single" w:color="000000" w:sz="8" w:space="0"/>
              <w:right w:val="single" w:color="000000" w:sz="8" w:space="0"/>
            </w:tcBorders>
            <w:noWrap w:val="0"/>
            <w:vAlign w:val="center"/>
          </w:tcPr>
          <w:p w14:paraId="433CFFA2">
            <w:pPr>
              <w:adjustRightInd w:val="0"/>
              <w:spacing w:line="360" w:lineRule="auto"/>
              <w:jc w:val="center"/>
              <w:rPr>
                <w:rFonts w:hint="eastAsia" w:ascii="宋体" w:hAnsi="宋体" w:eastAsia="宋体" w:cs="宋体"/>
                <w:color w:val="auto"/>
                <w:sz w:val="21"/>
                <w:szCs w:val="21"/>
                <w:highlight w:val="none"/>
              </w:rPr>
            </w:pPr>
          </w:p>
        </w:tc>
        <w:tc>
          <w:tcPr>
            <w:tcW w:w="1300" w:type="dxa"/>
            <w:vMerge w:val="continue"/>
            <w:tcBorders>
              <w:top w:val="single" w:color="000000" w:sz="8" w:space="0"/>
              <w:left w:val="nil"/>
              <w:bottom w:val="single" w:color="000000" w:sz="8" w:space="0"/>
              <w:right w:val="single" w:color="000000" w:sz="8" w:space="0"/>
            </w:tcBorders>
            <w:noWrap w:val="0"/>
            <w:vAlign w:val="center"/>
          </w:tcPr>
          <w:p w14:paraId="0AADE798">
            <w:pPr>
              <w:adjustRightInd w:val="0"/>
              <w:spacing w:line="360" w:lineRule="auto"/>
              <w:jc w:val="center"/>
              <w:rPr>
                <w:rFonts w:hint="eastAsia" w:ascii="宋体" w:hAnsi="宋体" w:eastAsia="宋体" w:cs="宋体"/>
                <w:color w:val="auto"/>
                <w:sz w:val="21"/>
                <w:szCs w:val="21"/>
                <w:highlight w:val="none"/>
              </w:rPr>
            </w:pPr>
          </w:p>
        </w:tc>
        <w:tc>
          <w:tcPr>
            <w:tcW w:w="1311" w:type="dxa"/>
            <w:tcBorders>
              <w:top w:val="single" w:color="000000" w:sz="8" w:space="0"/>
              <w:left w:val="nil"/>
              <w:bottom w:val="single" w:color="000000" w:sz="8" w:space="0"/>
              <w:right w:val="single" w:color="000000" w:sz="8" w:space="0"/>
            </w:tcBorders>
            <w:noWrap w:val="0"/>
            <w:vAlign w:val="center"/>
          </w:tcPr>
          <w:p w14:paraId="43B7EB71">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100.8</w:t>
            </w:r>
          </w:p>
        </w:tc>
        <w:tc>
          <w:tcPr>
            <w:tcW w:w="1347" w:type="dxa"/>
            <w:tcBorders>
              <w:top w:val="single" w:color="000000" w:sz="8" w:space="0"/>
              <w:left w:val="nil"/>
              <w:bottom w:val="single" w:color="000000" w:sz="8" w:space="0"/>
              <w:right w:val="single" w:color="000000" w:sz="8" w:space="0"/>
            </w:tcBorders>
            <w:noWrap w:val="0"/>
            <w:vAlign w:val="center"/>
          </w:tcPr>
          <w:p w14:paraId="4FB0F339">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63</w:t>
            </w:r>
          </w:p>
        </w:tc>
        <w:tc>
          <w:tcPr>
            <w:tcW w:w="1145" w:type="dxa"/>
            <w:vMerge w:val="continue"/>
            <w:tcBorders>
              <w:top w:val="single" w:color="000000" w:sz="8" w:space="0"/>
              <w:left w:val="nil"/>
              <w:bottom w:val="single" w:color="000000" w:sz="8" w:space="0"/>
              <w:right w:val="single" w:color="000000" w:sz="8" w:space="0"/>
            </w:tcBorders>
            <w:noWrap w:val="0"/>
            <w:vAlign w:val="center"/>
          </w:tcPr>
          <w:p w14:paraId="1ABBEA4B">
            <w:pPr>
              <w:adjustRightInd w:val="0"/>
              <w:jc w:val="center"/>
              <w:rPr>
                <w:rFonts w:hint="eastAsia" w:ascii="宋体" w:hAnsi="宋体" w:eastAsia="宋体" w:cs="宋体"/>
                <w:color w:val="auto"/>
                <w:sz w:val="21"/>
                <w:szCs w:val="21"/>
                <w:highlight w:val="none"/>
              </w:rPr>
            </w:pPr>
          </w:p>
        </w:tc>
        <w:tc>
          <w:tcPr>
            <w:tcW w:w="1145" w:type="dxa"/>
            <w:vMerge w:val="continue"/>
            <w:tcBorders>
              <w:top w:val="single" w:color="000000" w:sz="8" w:space="0"/>
              <w:left w:val="nil"/>
              <w:bottom w:val="single" w:color="000000" w:sz="8" w:space="0"/>
              <w:right w:val="single" w:color="000000" w:sz="8" w:space="0"/>
            </w:tcBorders>
            <w:noWrap w:val="0"/>
            <w:vAlign w:val="center"/>
          </w:tcPr>
          <w:p w14:paraId="717DBB25">
            <w:pPr>
              <w:adjustRightInd w:val="0"/>
              <w:jc w:val="center"/>
              <w:rPr>
                <w:rFonts w:hint="eastAsia" w:ascii="宋体" w:hAnsi="宋体" w:eastAsia="宋体" w:cs="宋体"/>
                <w:color w:val="auto"/>
                <w:sz w:val="21"/>
                <w:szCs w:val="21"/>
                <w:highlight w:val="none"/>
              </w:rPr>
            </w:pPr>
          </w:p>
        </w:tc>
      </w:tr>
      <w:tr w14:paraId="167D92AC">
        <w:tblPrEx>
          <w:tblCellMar>
            <w:top w:w="0" w:type="dxa"/>
            <w:left w:w="108" w:type="dxa"/>
            <w:bottom w:w="0" w:type="dxa"/>
            <w:right w:w="108" w:type="dxa"/>
          </w:tblCellMar>
        </w:tblPrEx>
        <w:trPr>
          <w:trHeight w:val="300" w:hRule="atLeast"/>
        </w:trPr>
        <w:tc>
          <w:tcPr>
            <w:tcW w:w="687" w:type="dxa"/>
            <w:vMerge w:val="continue"/>
            <w:tcBorders>
              <w:top w:val="single" w:color="000000" w:sz="8" w:space="0"/>
              <w:left w:val="single" w:color="000000" w:sz="8" w:space="0"/>
              <w:bottom w:val="single" w:color="000000" w:sz="8" w:space="0"/>
              <w:right w:val="single" w:color="000000" w:sz="8" w:space="0"/>
            </w:tcBorders>
            <w:noWrap w:val="0"/>
            <w:vAlign w:val="center"/>
          </w:tcPr>
          <w:p w14:paraId="7C085BCF">
            <w:pPr>
              <w:adjustRightInd w:val="0"/>
              <w:spacing w:line="360" w:lineRule="auto"/>
              <w:jc w:val="center"/>
              <w:rPr>
                <w:rFonts w:hint="eastAsia" w:ascii="宋体" w:hAnsi="宋体" w:eastAsia="宋体" w:cs="宋体"/>
                <w:color w:val="auto"/>
                <w:sz w:val="21"/>
                <w:szCs w:val="21"/>
                <w:highlight w:val="none"/>
              </w:rPr>
            </w:pPr>
          </w:p>
        </w:tc>
        <w:tc>
          <w:tcPr>
            <w:tcW w:w="978" w:type="dxa"/>
            <w:tcBorders>
              <w:top w:val="single" w:color="000000" w:sz="8" w:space="0"/>
              <w:left w:val="nil"/>
              <w:bottom w:val="single" w:color="000000" w:sz="8" w:space="0"/>
              <w:right w:val="single" w:color="000000" w:sz="8" w:space="0"/>
            </w:tcBorders>
            <w:noWrap w:val="0"/>
            <w:vAlign w:val="center"/>
          </w:tcPr>
          <w:p w14:paraId="5493F65A">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160</w:t>
            </w:r>
          </w:p>
        </w:tc>
        <w:tc>
          <w:tcPr>
            <w:tcW w:w="1255" w:type="dxa"/>
            <w:vMerge w:val="continue"/>
            <w:tcBorders>
              <w:top w:val="single" w:color="000000" w:sz="8" w:space="0"/>
              <w:left w:val="nil"/>
              <w:bottom w:val="single" w:color="000000" w:sz="8" w:space="0"/>
              <w:right w:val="single" w:color="000000" w:sz="8" w:space="0"/>
            </w:tcBorders>
            <w:noWrap w:val="0"/>
            <w:vAlign w:val="center"/>
          </w:tcPr>
          <w:p w14:paraId="61BB3160">
            <w:pPr>
              <w:adjustRightInd w:val="0"/>
              <w:spacing w:line="360" w:lineRule="auto"/>
              <w:jc w:val="center"/>
              <w:rPr>
                <w:rFonts w:hint="eastAsia" w:ascii="宋体" w:hAnsi="宋体" w:eastAsia="宋体" w:cs="宋体"/>
                <w:color w:val="auto"/>
                <w:sz w:val="21"/>
                <w:szCs w:val="21"/>
                <w:highlight w:val="none"/>
              </w:rPr>
            </w:pPr>
          </w:p>
        </w:tc>
        <w:tc>
          <w:tcPr>
            <w:tcW w:w="1300" w:type="dxa"/>
            <w:vMerge w:val="continue"/>
            <w:tcBorders>
              <w:top w:val="single" w:color="000000" w:sz="8" w:space="0"/>
              <w:left w:val="nil"/>
              <w:bottom w:val="single" w:color="000000" w:sz="8" w:space="0"/>
              <w:right w:val="single" w:color="000000" w:sz="8" w:space="0"/>
            </w:tcBorders>
            <w:noWrap w:val="0"/>
            <w:vAlign w:val="center"/>
          </w:tcPr>
          <w:p w14:paraId="012B0B74">
            <w:pPr>
              <w:adjustRightInd w:val="0"/>
              <w:spacing w:line="360" w:lineRule="auto"/>
              <w:jc w:val="center"/>
              <w:rPr>
                <w:rFonts w:hint="eastAsia" w:ascii="宋体" w:hAnsi="宋体" w:eastAsia="宋体" w:cs="宋体"/>
                <w:color w:val="auto"/>
                <w:sz w:val="21"/>
                <w:szCs w:val="21"/>
                <w:highlight w:val="none"/>
              </w:rPr>
            </w:pPr>
          </w:p>
        </w:tc>
        <w:tc>
          <w:tcPr>
            <w:tcW w:w="1311" w:type="dxa"/>
            <w:tcBorders>
              <w:top w:val="single" w:color="000000" w:sz="8" w:space="0"/>
              <w:left w:val="nil"/>
              <w:bottom w:val="single" w:color="000000" w:sz="8" w:space="0"/>
              <w:right w:val="single" w:color="000000" w:sz="8" w:space="0"/>
            </w:tcBorders>
            <w:noWrap w:val="0"/>
            <w:vAlign w:val="center"/>
          </w:tcPr>
          <w:p w14:paraId="0147A3FC">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63</w:t>
            </w:r>
          </w:p>
        </w:tc>
        <w:tc>
          <w:tcPr>
            <w:tcW w:w="1347" w:type="dxa"/>
            <w:tcBorders>
              <w:top w:val="single" w:color="000000" w:sz="8" w:space="0"/>
              <w:left w:val="nil"/>
              <w:bottom w:val="single" w:color="000000" w:sz="8" w:space="0"/>
              <w:right w:val="single" w:color="000000" w:sz="8" w:space="0"/>
            </w:tcBorders>
            <w:noWrap w:val="0"/>
            <w:vAlign w:val="center"/>
          </w:tcPr>
          <w:p w14:paraId="7246CCBC">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39.375</w:t>
            </w:r>
          </w:p>
        </w:tc>
        <w:tc>
          <w:tcPr>
            <w:tcW w:w="1145" w:type="dxa"/>
            <w:vMerge w:val="continue"/>
            <w:tcBorders>
              <w:top w:val="single" w:color="000000" w:sz="8" w:space="0"/>
              <w:left w:val="nil"/>
              <w:bottom w:val="single" w:color="000000" w:sz="8" w:space="0"/>
              <w:right w:val="single" w:color="000000" w:sz="8" w:space="0"/>
            </w:tcBorders>
            <w:noWrap w:val="0"/>
            <w:vAlign w:val="center"/>
          </w:tcPr>
          <w:p w14:paraId="57ED413A">
            <w:pPr>
              <w:adjustRightInd w:val="0"/>
              <w:jc w:val="center"/>
              <w:rPr>
                <w:rFonts w:hint="eastAsia" w:ascii="宋体" w:hAnsi="宋体" w:eastAsia="宋体" w:cs="宋体"/>
                <w:color w:val="auto"/>
                <w:sz w:val="21"/>
                <w:szCs w:val="21"/>
                <w:highlight w:val="none"/>
              </w:rPr>
            </w:pPr>
          </w:p>
        </w:tc>
        <w:tc>
          <w:tcPr>
            <w:tcW w:w="1145" w:type="dxa"/>
            <w:vMerge w:val="continue"/>
            <w:tcBorders>
              <w:top w:val="single" w:color="000000" w:sz="8" w:space="0"/>
              <w:left w:val="nil"/>
              <w:bottom w:val="single" w:color="000000" w:sz="8" w:space="0"/>
              <w:right w:val="single" w:color="000000" w:sz="8" w:space="0"/>
            </w:tcBorders>
            <w:noWrap w:val="0"/>
            <w:vAlign w:val="center"/>
          </w:tcPr>
          <w:p w14:paraId="2FAF9855">
            <w:pPr>
              <w:adjustRightInd w:val="0"/>
              <w:jc w:val="center"/>
              <w:rPr>
                <w:rFonts w:hint="eastAsia" w:ascii="宋体" w:hAnsi="宋体" w:eastAsia="宋体" w:cs="宋体"/>
                <w:color w:val="auto"/>
                <w:sz w:val="21"/>
                <w:szCs w:val="21"/>
                <w:highlight w:val="none"/>
              </w:rPr>
            </w:pPr>
          </w:p>
        </w:tc>
      </w:tr>
      <w:tr w14:paraId="60851F9A">
        <w:tblPrEx>
          <w:tblCellMar>
            <w:top w:w="0" w:type="dxa"/>
            <w:left w:w="108" w:type="dxa"/>
            <w:bottom w:w="0" w:type="dxa"/>
            <w:right w:w="108" w:type="dxa"/>
          </w:tblCellMar>
        </w:tblPrEx>
        <w:trPr>
          <w:trHeight w:val="315" w:hRule="atLeast"/>
        </w:trPr>
        <w:tc>
          <w:tcPr>
            <w:tcW w:w="687" w:type="dxa"/>
            <w:vMerge w:val="restart"/>
            <w:tcBorders>
              <w:top w:val="single" w:color="000000" w:sz="8" w:space="0"/>
              <w:left w:val="single" w:color="000000" w:sz="8" w:space="0"/>
              <w:bottom w:val="single" w:color="000000" w:sz="8" w:space="0"/>
              <w:right w:val="single" w:color="000000" w:sz="8" w:space="0"/>
            </w:tcBorders>
            <w:noWrap w:val="0"/>
            <w:vAlign w:val="center"/>
          </w:tcPr>
          <w:p w14:paraId="3FEEC744">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40</w:t>
            </w:r>
          </w:p>
        </w:tc>
        <w:tc>
          <w:tcPr>
            <w:tcW w:w="978" w:type="dxa"/>
            <w:tcBorders>
              <w:top w:val="single" w:color="000000" w:sz="8" w:space="0"/>
              <w:left w:val="nil"/>
              <w:bottom w:val="single" w:color="000000" w:sz="8" w:space="0"/>
              <w:right w:val="single" w:color="000000" w:sz="8" w:space="0"/>
            </w:tcBorders>
            <w:noWrap w:val="0"/>
            <w:vAlign w:val="center"/>
          </w:tcPr>
          <w:p w14:paraId="6EA3CF16">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80</w:t>
            </w:r>
          </w:p>
        </w:tc>
        <w:tc>
          <w:tcPr>
            <w:tcW w:w="1255" w:type="dxa"/>
            <w:vMerge w:val="restart"/>
            <w:tcBorders>
              <w:top w:val="single" w:color="000000" w:sz="8" w:space="0"/>
              <w:left w:val="nil"/>
              <w:bottom w:val="single" w:color="000000" w:sz="8" w:space="0"/>
              <w:right w:val="single" w:color="000000" w:sz="8" w:space="0"/>
            </w:tcBorders>
            <w:noWrap w:val="0"/>
            <w:vAlign w:val="center"/>
          </w:tcPr>
          <w:p w14:paraId="2D36D2F3">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w:t>
            </w:r>
          </w:p>
        </w:tc>
        <w:tc>
          <w:tcPr>
            <w:tcW w:w="1300" w:type="dxa"/>
            <w:vMerge w:val="restart"/>
            <w:tcBorders>
              <w:top w:val="single" w:color="000000" w:sz="8" w:space="0"/>
              <w:left w:val="nil"/>
              <w:bottom w:val="single" w:color="000000" w:sz="8" w:space="0"/>
              <w:right w:val="single" w:color="000000" w:sz="8" w:space="0"/>
            </w:tcBorders>
            <w:noWrap w:val="0"/>
            <w:vAlign w:val="center"/>
          </w:tcPr>
          <w:p w14:paraId="7713D087">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w:t>
            </w:r>
          </w:p>
        </w:tc>
        <w:tc>
          <w:tcPr>
            <w:tcW w:w="1311" w:type="dxa"/>
            <w:tcBorders>
              <w:top w:val="single" w:color="000000" w:sz="8" w:space="0"/>
              <w:left w:val="nil"/>
              <w:bottom w:val="single" w:color="000000" w:sz="8" w:space="0"/>
              <w:right w:val="single" w:color="000000" w:sz="8" w:space="0"/>
            </w:tcBorders>
            <w:noWrap w:val="0"/>
            <w:vAlign w:val="center"/>
          </w:tcPr>
          <w:p w14:paraId="56171C72">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320</w:t>
            </w:r>
          </w:p>
        </w:tc>
        <w:tc>
          <w:tcPr>
            <w:tcW w:w="1347" w:type="dxa"/>
            <w:tcBorders>
              <w:top w:val="single" w:color="000000" w:sz="8" w:space="0"/>
              <w:left w:val="nil"/>
              <w:bottom w:val="single" w:color="000000" w:sz="8" w:space="0"/>
              <w:right w:val="single" w:color="000000" w:sz="8" w:space="0"/>
            </w:tcBorders>
            <w:noWrap w:val="0"/>
            <w:vAlign w:val="center"/>
          </w:tcPr>
          <w:p w14:paraId="343192FE">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200</w:t>
            </w:r>
          </w:p>
        </w:tc>
        <w:tc>
          <w:tcPr>
            <w:tcW w:w="1145" w:type="dxa"/>
            <w:vMerge w:val="restart"/>
            <w:tcBorders>
              <w:top w:val="single" w:color="000000" w:sz="8" w:space="0"/>
              <w:left w:val="nil"/>
              <w:bottom w:val="single" w:color="000000" w:sz="8" w:space="0"/>
              <w:right w:val="single" w:color="000000" w:sz="8" w:space="0"/>
            </w:tcBorders>
            <w:noWrap w:val="0"/>
            <w:vAlign w:val="center"/>
          </w:tcPr>
          <w:p w14:paraId="70EE3F11">
            <w:pPr>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0.00005</w:t>
            </w:r>
          </w:p>
        </w:tc>
        <w:tc>
          <w:tcPr>
            <w:tcW w:w="1145" w:type="dxa"/>
            <w:vMerge w:val="restart"/>
            <w:tcBorders>
              <w:top w:val="single" w:color="000000" w:sz="8" w:space="0"/>
              <w:left w:val="nil"/>
              <w:bottom w:val="single" w:color="000000" w:sz="8" w:space="0"/>
              <w:right w:val="single" w:color="000000" w:sz="8" w:space="0"/>
            </w:tcBorders>
            <w:noWrap w:val="0"/>
            <w:vAlign w:val="center"/>
          </w:tcPr>
          <w:p w14:paraId="64F1052C">
            <w:pPr>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99,999或999,999</w:t>
            </w:r>
          </w:p>
        </w:tc>
      </w:tr>
      <w:tr w14:paraId="2B5EE604">
        <w:tblPrEx>
          <w:tblCellMar>
            <w:top w:w="0" w:type="dxa"/>
            <w:left w:w="108" w:type="dxa"/>
            <w:bottom w:w="0" w:type="dxa"/>
            <w:right w:w="108" w:type="dxa"/>
          </w:tblCellMar>
        </w:tblPrEx>
        <w:trPr>
          <w:trHeight w:val="300" w:hRule="atLeast"/>
        </w:trPr>
        <w:tc>
          <w:tcPr>
            <w:tcW w:w="687" w:type="dxa"/>
            <w:vMerge w:val="continue"/>
            <w:tcBorders>
              <w:top w:val="single" w:color="000000" w:sz="8" w:space="0"/>
              <w:left w:val="single" w:color="000000" w:sz="8" w:space="0"/>
              <w:bottom w:val="single" w:color="000000" w:sz="8" w:space="0"/>
              <w:right w:val="single" w:color="000000" w:sz="8" w:space="0"/>
            </w:tcBorders>
            <w:noWrap w:val="0"/>
            <w:vAlign w:val="center"/>
          </w:tcPr>
          <w:p w14:paraId="6323D5F5">
            <w:pPr>
              <w:adjustRightInd w:val="0"/>
              <w:spacing w:line="360" w:lineRule="auto"/>
              <w:jc w:val="center"/>
              <w:rPr>
                <w:rFonts w:hint="eastAsia" w:ascii="宋体" w:hAnsi="宋体" w:eastAsia="宋体" w:cs="宋体"/>
                <w:color w:val="auto"/>
                <w:sz w:val="21"/>
                <w:szCs w:val="21"/>
                <w:highlight w:val="none"/>
              </w:rPr>
            </w:pPr>
          </w:p>
        </w:tc>
        <w:tc>
          <w:tcPr>
            <w:tcW w:w="978" w:type="dxa"/>
            <w:tcBorders>
              <w:top w:val="single" w:color="000000" w:sz="8" w:space="0"/>
              <w:left w:val="nil"/>
              <w:bottom w:val="single" w:color="000000" w:sz="8" w:space="0"/>
              <w:right w:val="single" w:color="000000" w:sz="8" w:space="0"/>
            </w:tcBorders>
            <w:noWrap w:val="0"/>
            <w:vAlign w:val="center"/>
          </w:tcPr>
          <w:p w14:paraId="4D485CC1">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100</w:t>
            </w:r>
          </w:p>
        </w:tc>
        <w:tc>
          <w:tcPr>
            <w:tcW w:w="1255" w:type="dxa"/>
            <w:vMerge w:val="continue"/>
            <w:tcBorders>
              <w:top w:val="single" w:color="000000" w:sz="8" w:space="0"/>
              <w:left w:val="nil"/>
              <w:bottom w:val="single" w:color="000000" w:sz="8" w:space="0"/>
              <w:right w:val="single" w:color="000000" w:sz="8" w:space="0"/>
            </w:tcBorders>
            <w:noWrap w:val="0"/>
            <w:vAlign w:val="center"/>
          </w:tcPr>
          <w:p w14:paraId="178AADCA">
            <w:pPr>
              <w:adjustRightInd w:val="0"/>
              <w:spacing w:line="360" w:lineRule="auto"/>
              <w:jc w:val="center"/>
              <w:rPr>
                <w:rFonts w:hint="eastAsia" w:ascii="宋体" w:hAnsi="宋体" w:eastAsia="宋体" w:cs="宋体"/>
                <w:color w:val="auto"/>
                <w:sz w:val="21"/>
                <w:szCs w:val="21"/>
                <w:highlight w:val="none"/>
              </w:rPr>
            </w:pPr>
          </w:p>
        </w:tc>
        <w:tc>
          <w:tcPr>
            <w:tcW w:w="1300" w:type="dxa"/>
            <w:vMerge w:val="continue"/>
            <w:tcBorders>
              <w:top w:val="single" w:color="000000" w:sz="8" w:space="0"/>
              <w:left w:val="nil"/>
              <w:bottom w:val="single" w:color="000000" w:sz="8" w:space="0"/>
              <w:right w:val="single" w:color="000000" w:sz="8" w:space="0"/>
            </w:tcBorders>
            <w:noWrap w:val="0"/>
            <w:vAlign w:val="center"/>
          </w:tcPr>
          <w:p w14:paraId="79733195">
            <w:pPr>
              <w:adjustRightInd w:val="0"/>
              <w:spacing w:line="360" w:lineRule="auto"/>
              <w:jc w:val="center"/>
              <w:rPr>
                <w:rFonts w:hint="eastAsia" w:ascii="宋体" w:hAnsi="宋体" w:eastAsia="宋体" w:cs="宋体"/>
                <w:color w:val="auto"/>
                <w:sz w:val="21"/>
                <w:szCs w:val="21"/>
                <w:highlight w:val="none"/>
              </w:rPr>
            </w:pPr>
          </w:p>
        </w:tc>
        <w:tc>
          <w:tcPr>
            <w:tcW w:w="1311" w:type="dxa"/>
            <w:tcBorders>
              <w:top w:val="single" w:color="000000" w:sz="8" w:space="0"/>
              <w:left w:val="nil"/>
              <w:bottom w:val="single" w:color="000000" w:sz="8" w:space="0"/>
              <w:right w:val="single" w:color="000000" w:sz="8" w:space="0"/>
            </w:tcBorders>
            <w:noWrap w:val="0"/>
            <w:vAlign w:val="center"/>
          </w:tcPr>
          <w:p w14:paraId="12666924">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256</w:t>
            </w:r>
          </w:p>
        </w:tc>
        <w:tc>
          <w:tcPr>
            <w:tcW w:w="1347" w:type="dxa"/>
            <w:tcBorders>
              <w:top w:val="single" w:color="000000" w:sz="8" w:space="0"/>
              <w:left w:val="nil"/>
              <w:bottom w:val="single" w:color="000000" w:sz="8" w:space="0"/>
              <w:right w:val="single" w:color="000000" w:sz="8" w:space="0"/>
            </w:tcBorders>
            <w:noWrap w:val="0"/>
            <w:vAlign w:val="center"/>
          </w:tcPr>
          <w:p w14:paraId="1B11509B">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160</w:t>
            </w:r>
          </w:p>
        </w:tc>
        <w:tc>
          <w:tcPr>
            <w:tcW w:w="1145" w:type="dxa"/>
            <w:vMerge w:val="continue"/>
            <w:tcBorders>
              <w:top w:val="single" w:color="000000" w:sz="8" w:space="0"/>
              <w:left w:val="nil"/>
              <w:bottom w:val="single" w:color="000000" w:sz="8" w:space="0"/>
              <w:right w:val="single" w:color="000000" w:sz="8" w:space="0"/>
            </w:tcBorders>
            <w:noWrap w:val="0"/>
            <w:vAlign w:val="center"/>
          </w:tcPr>
          <w:p w14:paraId="15DCA087">
            <w:pPr>
              <w:adjustRightInd w:val="0"/>
              <w:jc w:val="center"/>
              <w:rPr>
                <w:rFonts w:hint="eastAsia" w:ascii="宋体" w:hAnsi="宋体" w:eastAsia="宋体" w:cs="宋体"/>
                <w:color w:val="auto"/>
                <w:sz w:val="21"/>
                <w:szCs w:val="21"/>
                <w:highlight w:val="none"/>
              </w:rPr>
            </w:pPr>
          </w:p>
        </w:tc>
        <w:tc>
          <w:tcPr>
            <w:tcW w:w="1145" w:type="dxa"/>
            <w:vMerge w:val="continue"/>
            <w:tcBorders>
              <w:top w:val="single" w:color="000000" w:sz="8" w:space="0"/>
              <w:left w:val="nil"/>
              <w:bottom w:val="single" w:color="000000" w:sz="8" w:space="0"/>
              <w:right w:val="single" w:color="000000" w:sz="8" w:space="0"/>
            </w:tcBorders>
            <w:noWrap w:val="0"/>
            <w:vAlign w:val="center"/>
          </w:tcPr>
          <w:p w14:paraId="032E4713">
            <w:pPr>
              <w:adjustRightInd w:val="0"/>
              <w:jc w:val="center"/>
              <w:rPr>
                <w:rFonts w:hint="eastAsia" w:ascii="宋体" w:hAnsi="宋体" w:eastAsia="宋体" w:cs="宋体"/>
                <w:color w:val="auto"/>
                <w:sz w:val="21"/>
                <w:szCs w:val="21"/>
                <w:highlight w:val="none"/>
              </w:rPr>
            </w:pPr>
          </w:p>
        </w:tc>
      </w:tr>
      <w:tr w14:paraId="59A71366">
        <w:tblPrEx>
          <w:tblCellMar>
            <w:top w:w="0" w:type="dxa"/>
            <w:left w:w="108" w:type="dxa"/>
            <w:bottom w:w="0" w:type="dxa"/>
            <w:right w:w="108" w:type="dxa"/>
          </w:tblCellMar>
        </w:tblPrEx>
        <w:trPr>
          <w:trHeight w:val="300" w:hRule="atLeast"/>
        </w:trPr>
        <w:tc>
          <w:tcPr>
            <w:tcW w:w="687" w:type="dxa"/>
            <w:vMerge w:val="continue"/>
            <w:tcBorders>
              <w:top w:val="single" w:color="000000" w:sz="8" w:space="0"/>
              <w:left w:val="single" w:color="000000" w:sz="8" w:space="0"/>
              <w:bottom w:val="single" w:color="000000" w:sz="8" w:space="0"/>
              <w:right w:val="single" w:color="000000" w:sz="8" w:space="0"/>
            </w:tcBorders>
            <w:noWrap w:val="0"/>
            <w:vAlign w:val="center"/>
          </w:tcPr>
          <w:p w14:paraId="7FBBDA4A">
            <w:pPr>
              <w:adjustRightInd w:val="0"/>
              <w:spacing w:line="360" w:lineRule="auto"/>
              <w:jc w:val="center"/>
              <w:rPr>
                <w:rFonts w:hint="eastAsia" w:ascii="宋体" w:hAnsi="宋体" w:eastAsia="宋体" w:cs="宋体"/>
                <w:color w:val="auto"/>
                <w:sz w:val="21"/>
                <w:szCs w:val="21"/>
                <w:highlight w:val="none"/>
              </w:rPr>
            </w:pPr>
          </w:p>
        </w:tc>
        <w:tc>
          <w:tcPr>
            <w:tcW w:w="978" w:type="dxa"/>
            <w:tcBorders>
              <w:top w:val="single" w:color="000000" w:sz="8" w:space="0"/>
              <w:left w:val="nil"/>
              <w:bottom w:val="single" w:color="000000" w:sz="8" w:space="0"/>
              <w:right w:val="single" w:color="000000" w:sz="8" w:space="0"/>
            </w:tcBorders>
            <w:noWrap w:val="0"/>
            <w:vAlign w:val="center"/>
          </w:tcPr>
          <w:p w14:paraId="4F4D3C85">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160</w:t>
            </w:r>
          </w:p>
        </w:tc>
        <w:tc>
          <w:tcPr>
            <w:tcW w:w="1255" w:type="dxa"/>
            <w:vMerge w:val="continue"/>
            <w:tcBorders>
              <w:top w:val="single" w:color="000000" w:sz="8" w:space="0"/>
              <w:left w:val="nil"/>
              <w:bottom w:val="single" w:color="000000" w:sz="8" w:space="0"/>
              <w:right w:val="single" w:color="000000" w:sz="8" w:space="0"/>
            </w:tcBorders>
            <w:noWrap w:val="0"/>
            <w:vAlign w:val="center"/>
          </w:tcPr>
          <w:p w14:paraId="3ACA7B46">
            <w:pPr>
              <w:adjustRightInd w:val="0"/>
              <w:spacing w:line="360" w:lineRule="auto"/>
              <w:jc w:val="center"/>
              <w:rPr>
                <w:rFonts w:hint="eastAsia" w:ascii="宋体" w:hAnsi="宋体" w:eastAsia="宋体" w:cs="宋体"/>
                <w:color w:val="auto"/>
                <w:sz w:val="21"/>
                <w:szCs w:val="21"/>
                <w:highlight w:val="none"/>
              </w:rPr>
            </w:pPr>
          </w:p>
        </w:tc>
        <w:tc>
          <w:tcPr>
            <w:tcW w:w="1300" w:type="dxa"/>
            <w:vMerge w:val="continue"/>
            <w:tcBorders>
              <w:top w:val="single" w:color="000000" w:sz="8" w:space="0"/>
              <w:left w:val="nil"/>
              <w:bottom w:val="single" w:color="000000" w:sz="8" w:space="0"/>
              <w:right w:val="single" w:color="000000" w:sz="8" w:space="0"/>
            </w:tcBorders>
            <w:noWrap w:val="0"/>
            <w:vAlign w:val="center"/>
          </w:tcPr>
          <w:p w14:paraId="1442B31F">
            <w:pPr>
              <w:adjustRightInd w:val="0"/>
              <w:spacing w:line="360" w:lineRule="auto"/>
              <w:jc w:val="center"/>
              <w:rPr>
                <w:rFonts w:hint="eastAsia" w:ascii="宋体" w:hAnsi="宋体" w:eastAsia="宋体" w:cs="宋体"/>
                <w:color w:val="auto"/>
                <w:sz w:val="21"/>
                <w:szCs w:val="21"/>
                <w:highlight w:val="none"/>
              </w:rPr>
            </w:pPr>
          </w:p>
        </w:tc>
        <w:tc>
          <w:tcPr>
            <w:tcW w:w="1311" w:type="dxa"/>
            <w:tcBorders>
              <w:top w:val="single" w:color="000000" w:sz="8" w:space="0"/>
              <w:left w:val="nil"/>
              <w:bottom w:val="single" w:color="000000" w:sz="8" w:space="0"/>
              <w:right w:val="single" w:color="000000" w:sz="8" w:space="0"/>
            </w:tcBorders>
            <w:noWrap w:val="0"/>
            <w:vAlign w:val="center"/>
          </w:tcPr>
          <w:p w14:paraId="198638AC">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160</w:t>
            </w:r>
          </w:p>
        </w:tc>
        <w:tc>
          <w:tcPr>
            <w:tcW w:w="1347" w:type="dxa"/>
            <w:tcBorders>
              <w:top w:val="single" w:color="000000" w:sz="8" w:space="0"/>
              <w:left w:val="nil"/>
              <w:bottom w:val="single" w:color="000000" w:sz="8" w:space="0"/>
              <w:right w:val="single" w:color="000000" w:sz="8" w:space="0"/>
            </w:tcBorders>
            <w:noWrap w:val="0"/>
            <w:vAlign w:val="center"/>
          </w:tcPr>
          <w:p w14:paraId="70DFA093">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100</w:t>
            </w:r>
          </w:p>
        </w:tc>
        <w:tc>
          <w:tcPr>
            <w:tcW w:w="1145" w:type="dxa"/>
            <w:vMerge w:val="continue"/>
            <w:tcBorders>
              <w:top w:val="single" w:color="000000" w:sz="8" w:space="0"/>
              <w:left w:val="nil"/>
              <w:bottom w:val="single" w:color="000000" w:sz="8" w:space="0"/>
              <w:right w:val="single" w:color="000000" w:sz="8" w:space="0"/>
            </w:tcBorders>
            <w:noWrap w:val="0"/>
            <w:vAlign w:val="center"/>
          </w:tcPr>
          <w:p w14:paraId="20AC1AFF">
            <w:pPr>
              <w:adjustRightInd w:val="0"/>
              <w:jc w:val="center"/>
              <w:rPr>
                <w:rFonts w:hint="eastAsia" w:ascii="宋体" w:hAnsi="宋体" w:eastAsia="宋体" w:cs="宋体"/>
                <w:color w:val="auto"/>
                <w:sz w:val="21"/>
                <w:szCs w:val="21"/>
                <w:highlight w:val="none"/>
              </w:rPr>
            </w:pPr>
          </w:p>
        </w:tc>
        <w:tc>
          <w:tcPr>
            <w:tcW w:w="1145" w:type="dxa"/>
            <w:vMerge w:val="continue"/>
            <w:tcBorders>
              <w:top w:val="single" w:color="000000" w:sz="8" w:space="0"/>
              <w:left w:val="nil"/>
              <w:bottom w:val="single" w:color="000000" w:sz="8" w:space="0"/>
              <w:right w:val="single" w:color="000000" w:sz="8" w:space="0"/>
            </w:tcBorders>
            <w:noWrap w:val="0"/>
            <w:vAlign w:val="center"/>
          </w:tcPr>
          <w:p w14:paraId="017513E5">
            <w:pPr>
              <w:adjustRightInd w:val="0"/>
              <w:jc w:val="center"/>
              <w:rPr>
                <w:rFonts w:hint="eastAsia" w:ascii="宋体" w:hAnsi="宋体" w:eastAsia="宋体" w:cs="宋体"/>
                <w:color w:val="auto"/>
                <w:sz w:val="21"/>
                <w:szCs w:val="21"/>
                <w:highlight w:val="none"/>
              </w:rPr>
            </w:pPr>
          </w:p>
        </w:tc>
      </w:tr>
      <w:tr w14:paraId="7D835B1F">
        <w:tblPrEx>
          <w:tblCellMar>
            <w:top w:w="0" w:type="dxa"/>
            <w:left w:w="108" w:type="dxa"/>
            <w:bottom w:w="0" w:type="dxa"/>
            <w:right w:w="108" w:type="dxa"/>
          </w:tblCellMar>
        </w:tblPrEx>
        <w:trPr>
          <w:trHeight w:val="300" w:hRule="atLeast"/>
        </w:trPr>
        <w:tc>
          <w:tcPr>
            <w:tcW w:w="687" w:type="dxa"/>
            <w:vMerge w:val="restart"/>
            <w:tcBorders>
              <w:top w:val="single" w:color="000000" w:sz="8" w:space="0"/>
              <w:left w:val="single" w:color="000000" w:sz="8" w:space="0"/>
              <w:bottom w:val="single" w:color="000000" w:sz="8" w:space="0"/>
              <w:right w:val="single" w:color="000000" w:sz="8" w:space="0"/>
            </w:tcBorders>
            <w:noWrap w:val="0"/>
            <w:vAlign w:val="center"/>
          </w:tcPr>
          <w:p w14:paraId="538F2E6E">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50</w:t>
            </w:r>
          </w:p>
        </w:tc>
        <w:tc>
          <w:tcPr>
            <w:tcW w:w="978" w:type="dxa"/>
            <w:tcBorders>
              <w:top w:val="single" w:color="000000" w:sz="8" w:space="0"/>
              <w:left w:val="nil"/>
              <w:bottom w:val="single" w:color="000000" w:sz="8" w:space="0"/>
              <w:right w:val="single" w:color="000000" w:sz="8" w:space="0"/>
            </w:tcBorders>
            <w:noWrap w:val="0"/>
            <w:vAlign w:val="center"/>
          </w:tcPr>
          <w:p w14:paraId="35CAEF4F">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80</w:t>
            </w:r>
          </w:p>
        </w:tc>
        <w:tc>
          <w:tcPr>
            <w:tcW w:w="1255" w:type="dxa"/>
            <w:vMerge w:val="restart"/>
            <w:tcBorders>
              <w:top w:val="single" w:color="000000" w:sz="8" w:space="0"/>
              <w:left w:val="nil"/>
              <w:bottom w:val="single" w:color="000000" w:sz="8" w:space="0"/>
              <w:right w:val="single" w:color="000000" w:sz="8" w:space="0"/>
            </w:tcBorders>
            <w:noWrap w:val="0"/>
            <w:vAlign w:val="center"/>
          </w:tcPr>
          <w:p w14:paraId="1CF4A2DE">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31.25</w:t>
            </w:r>
          </w:p>
        </w:tc>
        <w:tc>
          <w:tcPr>
            <w:tcW w:w="1300" w:type="dxa"/>
            <w:vMerge w:val="restart"/>
            <w:tcBorders>
              <w:top w:val="single" w:color="000000" w:sz="8" w:space="0"/>
              <w:left w:val="nil"/>
              <w:bottom w:val="single" w:color="000000" w:sz="8" w:space="0"/>
              <w:right w:val="single" w:color="000000" w:sz="8" w:space="0"/>
            </w:tcBorders>
            <w:noWrap w:val="0"/>
            <w:vAlign w:val="center"/>
          </w:tcPr>
          <w:p w14:paraId="1C72B0C9">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w:t>
            </w:r>
          </w:p>
        </w:tc>
        <w:tc>
          <w:tcPr>
            <w:tcW w:w="1311" w:type="dxa"/>
            <w:tcBorders>
              <w:top w:val="single" w:color="000000" w:sz="8" w:space="0"/>
              <w:left w:val="nil"/>
              <w:bottom w:val="single" w:color="000000" w:sz="8" w:space="0"/>
              <w:right w:val="single" w:color="000000" w:sz="8" w:space="0"/>
            </w:tcBorders>
            <w:noWrap w:val="0"/>
            <w:vAlign w:val="center"/>
          </w:tcPr>
          <w:p w14:paraId="441C6273">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500</w:t>
            </w:r>
          </w:p>
        </w:tc>
        <w:tc>
          <w:tcPr>
            <w:tcW w:w="1347" w:type="dxa"/>
            <w:tcBorders>
              <w:top w:val="single" w:color="000000" w:sz="8" w:space="0"/>
              <w:left w:val="nil"/>
              <w:bottom w:val="single" w:color="000000" w:sz="8" w:space="0"/>
              <w:right w:val="single" w:color="000000" w:sz="8" w:space="0"/>
            </w:tcBorders>
            <w:noWrap w:val="0"/>
            <w:vAlign w:val="center"/>
          </w:tcPr>
          <w:p w14:paraId="73F1BFA5">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312.5</w:t>
            </w:r>
          </w:p>
        </w:tc>
        <w:tc>
          <w:tcPr>
            <w:tcW w:w="1145" w:type="dxa"/>
            <w:vMerge w:val="restart"/>
            <w:tcBorders>
              <w:top w:val="single" w:color="000000" w:sz="8" w:space="0"/>
              <w:left w:val="nil"/>
              <w:bottom w:val="single" w:color="000000" w:sz="8" w:space="0"/>
              <w:right w:val="single" w:color="000000" w:sz="8" w:space="0"/>
            </w:tcBorders>
            <w:noWrap w:val="0"/>
            <w:vAlign w:val="center"/>
          </w:tcPr>
          <w:p w14:paraId="057DE344">
            <w:pPr>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0.00005</w:t>
            </w:r>
          </w:p>
        </w:tc>
        <w:tc>
          <w:tcPr>
            <w:tcW w:w="1145" w:type="dxa"/>
            <w:vMerge w:val="restart"/>
            <w:tcBorders>
              <w:top w:val="single" w:color="000000" w:sz="8" w:space="0"/>
              <w:left w:val="nil"/>
              <w:bottom w:val="single" w:color="000000" w:sz="8" w:space="0"/>
              <w:right w:val="single" w:color="000000" w:sz="8" w:space="0"/>
            </w:tcBorders>
            <w:noWrap w:val="0"/>
            <w:vAlign w:val="center"/>
          </w:tcPr>
          <w:p w14:paraId="51730506">
            <w:pPr>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99,999或999,999</w:t>
            </w:r>
          </w:p>
        </w:tc>
      </w:tr>
      <w:tr w14:paraId="03C194F5">
        <w:tblPrEx>
          <w:tblCellMar>
            <w:top w:w="0" w:type="dxa"/>
            <w:left w:w="108" w:type="dxa"/>
            <w:bottom w:w="0" w:type="dxa"/>
            <w:right w:w="108" w:type="dxa"/>
          </w:tblCellMar>
        </w:tblPrEx>
        <w:trPr>
          <w:trHeight w:val="300" w:hRule="atLeast"/>
        </w:trPr>
        <w:tc>
          <w:tcPr>
            <w:tcW w:w="687" w:type="dxa"/>
            <w:vMerge w:val="continue"/>
            <w:tcBorders>
              <w:top w:val="single" w:color="000000" w:sz="8" w:space="0"/>
              <w:left w:val="single" w:color="000000" w:sz="8" w:space="0"/>
              <w:bottom w:val="single" w:color="000000" w:sz="8" w:space="0"/>
              <w:right w:val="single" w:color="000000" w:sz="8" w:space="0"/>
            </w:tcBorders>
            <w:noWrap w:val="0"/>
            <w:vAlign w:val="center"/>
          </w:tcPr>
          <w:p w14:paraId="05AAFAD1">
            <w:pPr>
              <w:adjustRightInd w:val="0"/>
              <w:spacing w:line="360" w:lineRule="auto"/>
              <w:jc w:val="center"/>
              <w:rPr>
                <w:rFonts w:hint="eastAsia" w:ascii="宋体" w:hAnsi="宋体" w:eastAsia="宋体" w:cs="宋体"/>
                <w:color w:val="auto"/>
                <w:sz w:val="21"/>
                <w:szCs w:val="21"/>
                <w:highlight w:val="none"/>
              </w:rPr>
            </w:pPr>
          </w:p>
        </w:tc>
        <w:tc>
          <w:tcPr>
            <w:tcW w:w="978" w:type="dxa"/>
            <w:tcBorders>
              <w:top w:val="single" w:color="000000" w:sz="8" w:space="0"/>
              <w:left w:val="nil"/>
              <w:bottom w:val="single" w:color="000000" w:sz="8" w:space="0"/>
              <w:right w:val="single" w:color="000000" w:sz="8" w:space="0"/>
            </w:tcBorders>
            <w:noWrap w:val="0"/>
            <w:vAlign w:val="center"/>
          </w:tcPr>
          <w:p w14:paraId="2E48CEB1">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100</w:t>
            </w:r>
          </w:p>
        </w:tc>
        <w:tc>
          <w:tcPr>
            <w:tcW w:w="1255" w:type="dxa"/>
            <w:vMerge w:val="continue"/>
            <w:tcBorders>
              <w:top w:val="single" w:color="000000" w:sz="8" w:space="0"/>
              <w:left w:val="nil"/>
              <w:bottom w:val="single" w:color="000000" w:sz="8" w:space="0"/>
              <w:right w:val="single" w:color="000000" w:sz="8" w:space="0"/>
            </w:tcBorders>
            <w:noWrap w:val="0"/>
            <w:vAlign w:val="center"/>
          </w:tcPr>
          <w:p w14:paraId="7FEB1F1E">
            <w:pPr>
              <w:adjustRightInd w:val="0"/>
              <w:spacing w:line="360" w:lineRule="auto"/>
              <w:jc w:val="center"/>
              <w:rPr>
                <w:rFonts w:hint="eastAsia" w:ascii="宋体" w:hAnsi="宋体" w:eastAsia="宋体" w:cs="宋体"/>
                <w:color w:val="auto"/>
                <w:sz w:val="21"/>
                <w:szCs w:val="21"/>
                <w:highlight w:val="none"/>
              </w:rPr>
            </w:pPr>
          </w:p>
        </w:tc>
        <w:tc>
          <w:tcPr>
            <w:tcW w:w="1300" w:type="dxa"/>
            <w:vMerge w:val="continue"/>
            <w:tcBorders>
              <w:top w:val="single" w:color="000000" w:sz="8" w:space="0"/>
              <w:left w:val="nil"/>
              <w:bottom w:val="single" w:color="000000" w:sz="8" w:space="0"/>
              <w:right w:val="single" w:color="000000" w:sz="8" w:space="0"/>
            </w:tcBorders>
            <w:noWrap w:val="0"/>
            <w:vAlign w:val="center"/>
          </w:tcPr>
          <w:p w14:paraId="1D0E8F0C">
            <w:pPr>
              <w:adjustRightInd w:val="0"/>
              <w:spacing w:line="360" w:lineRule="auto"/>
              <w:jc w:val="center"/>
              <w:rPr>
                <w:rFonts w:hint="eastAsia" w:ascii="宋体" w:hAnsi="宋体" w:eastAsia="宋体" w:cs="宋体"/>
                <w:color w:val="auto"/>
                <w:sz w:val="21"/>
                <w:szCs w:val="21"/>
                <w:highlight w:val="none"/>
              </w:rPr>
            </w:pPr>
          </w:p>
        </w:tc>
        <w:tc>
          <w:tcPr>
            <w:tcW w:w="1311" w:type="dxa"/>
            <w:tcBorders>
              <w:top w:val="single" w:color="000000" w:sz="8" w:space="0"/>
              <w:left w:val="nil"/>
              <w:bottom w:val="single" w:color="000000" w:sz="8" w:space="0"/>
              <w:right w:val="single" w:color="000000" w:sz="8" w:space="0"/>
            </w:tcBorders>
            <w:noWrap w:val="0"/>
            <w:vAlign w:val="center"/>
          </w:tcPr>
          <w:p w14:paraId="02129830">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400</w:t>
            </w:r>
          </w:p>
        </w:tc>
        <w:tc>
          <w:tcPr>
            <w:tcW w:w="1347" w:type="dxa"/>
            <w:tcBorders>
              <w:top w:val="single" w:color="000000" w:sz="8" w:space="0"/>
              <w:left w:val="nil"/>
              <w:bottom w:val="single" w:color="000000" w:sz="8" w:space="0"/>
              <w:right w:val="single" w:color="000000" w:sz="8" w:space="0"/>
            </w:tcBorders>
            <w:noWrap w:val="0"/>
            <w:vAlign w:val="center"/>
          </w:tcPr>
          <w:p w14:paraId="5BD7E0BC">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250</w:t>
            </w:r>
          </w:p>
        </w:tc>
        <w:tc>
          <w:tcPr>
            <w:tcW w:w="1145" w:type="dxa"/>
            <w:vMerge w:val="continue"/>
            <w:tcBorders>
              <w:top w:val="single" w:color="000000" w:sz="8" w:space="0"/>
              <w:left w:val="nil"/>
              <w:bottom w:val="single" w:color="000000" w:sz="8" w:space="0"/>
              <w:right w:val="single" w:color="000000" w:sz="8" w:space="0"/>
            </w:tcBorders>
            <w:noWrap w:val="0"/>
            <w:vAlign w:val="center"/>
          </w:tcPr>
          <w:p w14:paraId="485D8B9A">
            <w:pPr>
              <w:adjustRightInd w:val="0"/>
              <w:jc w:val="center"/>
              <w:rPr>
                <w:rFonts w:hint="eastAsia" w:ascii="宋体" w:hAnsi="宋体" w:eastAsia="宋体" w:cs="宋体"/>
                <w:color w:val="auto"/>
                <w:sz w:val="21"/>
                <w:szCs w:val="21"/>
                <w:highlight w:val="none"/>
              </w:rPr>
            </w:pPr>
          </w:p>
        </w:tc>
        <w:tc>
          <w:tcPr>
            <w:tcW w:w="1145" w:type="dxa"/>
            <w:vMerge w:val="continue"/>
            <w:tcBorders>
              <w:top w:val="single" w:color="000000" w:sz="8" w:space="0"/>
              <w:left w:val="nil"/>
              <w:bottom w:val="single" w:color="000000" w:sz="8" w:space="0"/>
              <w:right w:val="single" w:color="000000" w:sz="8" w:space="0"/>
            </w:tcBorders>
            <w:noWrap w:val="0"/>
            <w:vAlign w:val="center"/>
          </w:tcPr>
          <w:p w14:paraId="340CE031">
            <w:pPr>
              <w:adjustRightInd w:val="0"/>
              <w:jc w:val="center"/>
              <w:rPr>
                <w:rFonts w:hint="eastAsia" w:ascii="宋体" w:hAnsi="宋体" w:eastAsia="宋体" w:cs="宋体"/>
                <w:color w:val="auto"/>
                <w:sz w:val="21"/>
                <w:szCs w:val="21"/>
                <w:highlight w:val="none"/>
              </w:rPr>
            </w:pPr>
          </w:p>
        </w:tc>
      </w:tr>
      <w:tr w14:paraId="5E1E107B">
        <w:tblPrEx>
          <w:tblCellMar>
            <w:top w:w="0" w:type="dxa"/>
            <w:left w:w="108" w:type="dxa"/>
            <w:bottom w:w="0" w:type="dxa"/>
            <w:right w:w="108" w:type="dxa"/>
          </w:tblCellMar>
        </w:tblPrEx>
        <w:trPr>
          <w:trHeight w:val="300" w:hRule="atLeast"/>
        </w:trPr>
        <w:tc>
          <w:tcPr>
            <w:tcW w:w="687" w:type="dxa"/>
            <w:vMerge w:val="continue"/>
            <w:tcBorders>
              <w:top w:val="single" w:color="000000" w:sz="8" w:space="0"/>
              <w:left w:val="single" w:color="000000" w:sz="8" w:space="0"/>
              <w:bottom w:val="single" w:color="000000" w:sz="8" w:space="0"/>
              <w:right w:val="single" w:color="000000" w:sz="8" w:space="0"/>
            </w:tcBorders>
            <w:noWrap w:val="0"/>
            <w:vAlign w:val="center"/>
          </w:tcPr>
          <w:p w14:paraId="2D24408B">
            <w:pPr>
              <w:adjustRightInd w:val="0"/>
              <w:spacing w:line="360" w:lineRule="auto"/>
              <w:jc w:val="center"/>
              <w:rPr>
                <w:rFonts w:hint="eastAsia" w:ascii="宋体" w:hAnsi="宋体" w:eastAsia="宋体" w:cs="宋体"/>
                <w:color w:val="auto"/>
                <w:sz w:val="21"/>
                <w:szCs w:val="21"/>
                <w:highlight w:val="none"/>
              </w:rPr>
            </w:pPr>
          </w:p>
        </w:tc>
        <w:tc>
          <w:tcPr>
            <w:tcW w:w="978" w:type="dxa"/>
            <w:tcBorders>
              <w:top w:val="single" w:color="000000" w:sz="8" w:space="0"/>
              <w:left w:val="nil"/>
              <w:bottom w:val="single" w:color="000000" w:sz="8" w:space="0"/>
              <w:right w:val="single" w:color="000000" w:sz="8" w:space="0"/>
            </w:tcBorders>
            <w:noWrap w:val="0"/>
            <w:vAlign w:val="center"/>
          </w:tcPr>
          <w:p w14:paraId="28EF3C8E">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160</w:t>
            </w:r>
          </w:p>
        </w:tc>
        <w:tc>
          <w:tcPr>
            <w:tcW w:w="1255" w:type="dxa"/>
            <w:vMerge w:val="continue"/>
            <w:tcBorders>
              <w:top w:val="single" w:color="000000" w:sz="8" w:space="0"/>
              <w:left w:val="nil"/>
              <w:bottom w:val="single" w:color="000000" w:sz="8" w:space="0"/>
              <w:right w:val="single" w:color="000000" w:sz="8" w:space="0"/>
            </w:tcBorders>
            <w:noWrap w:val="0"/>
            <w:vAlign w:val="center"/>
          </w:tcPr>
          <w:p w14:paraId="59F2DE7A">
            <w:pPr>
              <w:adjustRightInd w:val="0"/>
              <w:spacing w:line="360" w:lineRule="auto"/>
              <w:jc w:val="center"/>
              <w:rPr>
                <w:rFonts w:hint="eastAsia" w:ascii="宋体" w:hAnsi="宋体" w:eastAsia="宋体" w:cs="宋体"/>
                <w:color w:val="auto"/>
                <w:sz w:val="21"/>
                <w:szCs w:val="21"/>
                <w:highlight w:val="none"/>
              </w:rPr>
            </w:pPr>
          </w:p>
        </w:tc>
        <w:tc>
          <w:tcPr>
            <w:tcW w:w="1300" w:type="dxa"/>
            <w:vMerge w:val="continue"/>
            <w:tcBorders>
              <w:top w:val="single" w:color="000000" w:sz="8" w:space="0"/>
              <w:left w:val="nil"/>
              <w:bottom w:val="single" w:color="000000" w:sz="8" w:space="0"/>
              <w:right w:val="single" w:color="000000" w:sz="8" w:space="0"/>
            </w:tcBorders>
            <w:noWrap w:val="0"/>
            <w:vAlign w:val="center"/>
          </w:tcPr>
          <w:p w14:paraId="74BE1BC7">
            <w:pPr>
              <w:adjustRightInd w:val="0"/>
              <w:spacing w:line="360" w:lineRule="auto"/>
              <w:jc w:val="center"/>
              <w:rPr>
                <w:rFonts w:hint="eastAsia" w:ascii="宋体" w:hAnsi="宋体" w:eastAsia="宋体" w:cs="宋体"/>
                <w:color w:val="auto"/>
                <w:sz w:val="21"/>
                <w:szCs w:val="21"/>
                <w:highlight w:val="none"/>
              </w:rPr>
            </w:pPr>
          </w:p>
        </w:tc>
        <w:tc>
          <w:tcPr>
            <w:tcW w:w="1311" w:type="dxa"/>
            <w:tcBorders>
              <w:top w:val="single" w:color="000000" w:sz="8" w:space="0"/>
              <w:left w:val="nil"/>
              <w:bottom w:val="single" w:color="000000" w:sz="8" w:space="0"/>
              <w:right w:val="single" w:color="000000" w:sz="8" w:space="0"/>
            </w:tcBorders>
            <w:noWrap w:val="0"/>
            <w:vAlign w:val="center"/>
          </w:tcPr>
          <w:p w14:paraId="29772C03">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250</w:t>
            </w:r>
          </w:p>
        </w:tc>
        <w:tc>
          <w:tcPr>
            <w:tcW w:w="1347" w:type="dxa"/>
            <w:tcBorders>
              <w:top w:val="single" w:color="000000" w:sz="8" w:space="0"/>
              <w:left w:val="nil"/>
              <w:bottom w:val="single" w:color="000000" w:sz="8" w:space="0"/>
              <w:right w:val="single" w:color="000000" w:sz="8" w:space="0"/>
            </w:tcBorders>
            <w:noWrap w:val="0"/>
            <w:vAlign w:val="center"/>
          </w:tcPr>
          <w:p w14:paraId="06131A21">
            <w:pPr>
              <w:adjustRightInd w:val="0"/>
              <w:spacing w:line="36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156.25</w:t>
            </w:r>
          </w:p>
        </w:tc>
        <w:tc>
          <w:tcPr>
            <w:tcW w:w="1145" w:type="dxa"/>
            <w:vMerge w:val="continue"/>
            <w:tcBorders>
              <w:top w:val="single" w:color="000000" w:sz="8" w:space="0"/>
              <w:left w:val="nil"/>
              <w:bottom w:val="single" w:color="000000" w:sz="8" w:space="0"/>
              <w:right w:val="single" w:color="000000" w:sz="8" w:space="0"/>
            </w:tcBorders>
            <w:noWrap w:val="0"/>
            <w:vAlign w:val="center"/>
          </w:tcPr>
          <w:p w14:paraId="742F72BC">
            <w:pPr>
              <w:adjustRightInd w:val="0"/>
              <w:jc w:val="center"/>
              <w:rPr>
                <w:rFonts w:hint="eastAsia" w:ascii="宋体" w:hAnsi="宋体" w:eastAsia="宋体" w:cs="宋体"/>
                <w:color w:val="auto"/>
                <w:sz w:val="21"/>
                <w:szCs w:val="21"/>
                <w:highlight w:val="none"/>
              </w:rPr>
            </w:pPr>
          </w:p>
        </w:tc>
        <w:tc>
          <w:tcPr>
            <w:tcW w:w="1145" w:type="dxa"/>
            <w:vMerge w:val="continue"/>
            <w:tcBorders>
              <w:top w:val="single" w:color="000000" w:sz="8" w:space="0"/>
              <w:left w:val="nil"/>
              <w:bottom w:val="single" w:color="000000" w:sz="8" w:space="0"/>
              <w:right w:val="single" w:color="000000" w:sz="8" w:space="0"/>
            </w:tcBorders>
            <w:noWrap w:val="0"/>
            <w:vAlign w:val="center"/>
          </w:tcPr>
          <w:p w14:paraId="396CADC8">
            <w:pPr>
              <w:adjustRightInd w:val="0"/>
              <w:jc w:val="center"/>
              <w:rPr>
                <w:rFonts w:hint="eastAsia" w:ascii="宋体" w:hAnsi="宋体" w:eastAsia="宋体" w:cs="宋体"/>
                <w:color w:val="auto"/>
                <w:sz w:val="21"/>
                <w:szCs w:val="21"/>
                <w:highlight w:val="none"/>
              </w:rPr>
            </w:pPr>
          </w:p>
        </w:tc>
      </w:tr>
    </w:tbl>
    <w:p w14:paraId="0ABCC603">
      <w:pPr>
        <w:adjustRightInd/>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注：上表为参考的流量数据等；</w:t>
      </w:r>
    </w:p>
    <w:p w14:paraId="66A6275B">
      <w:pPr>
        <w:widowControl w:val="0"/>
        <w:autoSpaceDE w:val="0"/>
        <w:autoSpaceDN w:val="0"/>
        <w:adjustRightInd w:val="0"/>
        <w:rPr>
          <w:rFonts w:hint="eastAsia" w:ascii="宋体" w:hAnsi="宋体" w:eastAsia="宋体" w:cs="宋体"/>
          <w:color w:val="auto"/>
          <w:sz w:val="21"/>
          <w:szCs w:val="21"/>
          <w:highlight w:val="none"/>
          <w:lang w:val="en-US" w:eastAsia="zh-CN" w:bidi="ar-SA"/>
        </w:rPr>
      </w:pPr>
    </w:p>
    <w:tbl>
      <w:tblPr>
        <w:tblStyle w:val="31"/>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08"/>
        <w:gridCol w:w="1566"/>
        <w:gridCol w:w="1706"/>
        <w:gridCol w:w="1632"/>
        <w:gridCol w:w="2363"/>
      </w:tblGrid>
      <w:tr w14:paraId="3B966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CellSpacing w:w="0" w:type="dxa"/>
          <w:jc w:val="center"/>
        </w:trPr>
        <w:tc>
          <w:tcPr>
            <w:tcW w:w="1708" w:type="dxa"/>
            <w:tcBorders>
              <w:top w:val="single" w:color="auto" w:sz="4" w:space="0"/>
              <w:left w:val="single" w:color="auto" w:sz="4" w:space="0"/>
              <w:bottom w:val="single" w:color="auto" w:sz="4" w:space="0"/>
              <w:right w:val="single" w:color="auto" w:sz="4" w:space="0"/>
            </w:tcBorders>
            <w:noWrap w:val="0"/>
            <w:vAlign w:val="center"/>
          </w:tcPr>
          <w:p w14:paraId="05F4CE4D">
            <w:pPr>
              <w:adjustRightInd w:val="0"/>
              <w:snapToGrid w:val="0"/>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口径DN</w:t>
            </w:r>
          </w:p>
        </w:tc>
        <w:tc>
          <w:tcPr>
            <w:tcW w:w="1566" w:type="dxa"/>
            <w:tcBorders>
              <w:top w:val="single" w:color="auto" w:sz="4" w:space="0"/>
              <w:left w:val="single" w:color="auto" w:sz="4" w:space="0"/>
              <w:bottom w:val="single" w:color="auto" w:sz="4" w:space="0"/>
              <w:right w:val="single" w:color="auto" w:sz="4" w:space="0"/>
            </w:tcBorders>
            <w:noWrap w:val="0"/>
            <w:vAlign w:val="center"/>
          </w:tcPr>
          <w:p w14:paraId="103AF083">
            <w:pPr>
              <w:adjustRightInd w:val="0"/>
              <w:snapToGrid w:val="0"/>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长</w:t>
            </w:r>
          </w:p>
        </w:tc>
        <w:tc>
          <w:tcPr>
            <w:tcW w:w="1706" w:type="dxa"/>
            <w:tcBorders>
              <w:top w:val="single" w:color="auto" w:sz="4" w:space="0"/>
              <w:left w:val="single" w:color="auto" w:sz="4" w:space="0"/>
              <w:bottom w:val="single" w:color="auto" w:sz="4" w:space="0"/>
              <w:right w:val="single" w:color="auto" w:sz="4" w:space="0"/>
            </w:tcBorders>
            <w:noWrap w:val="0"/>
            <w:vAlign w:val="center"/>
          </w:tcPr>
          <w:p w14:paraId="4E830A0D">
            <w:pPr>
              <w:adjustRightInd w:val="0"/>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宽</w:t>
            </w:r>
          </w:p>
        </w:tc>
        <w:tc>
          <w:tcPr>
            <w:tcW w:w="1632" w:type="dxa"/>
            <w:tcBorders>
              <w:top w:val="single" w:color="auto" w:sz="4" w:space="0"/>
              <w:left w:val="single" w:color="auto" w:sz="4" w:space="0"/>
              <w:bottom w:val="single" w:color="auto" w:sz="4" w:space="0"/>
              <w:right w:val="single" w:color="auto" w:sz="4" w:space="0"/>
            </w:tcBorders>
            <w:noWrap w:val="0"/>
            <w:vAlign w:val="center"/>
          </w:tcPr>
          <w:p w14:paraId="442B24D4">
            <w:pPr>
              <w:adjustRightInd w:val="0"/>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w:t>
            </w:r>
          </w:p>
        </w:tc>
        <w:tc>
          <w:tcPr>
            <w:tcW w:w="2363" w:type="dxa"/>
            <w:vMerge w:val="restart"/>
            <w:tcBorders>
              <w:top w:val="single" w:color="auto" w:sz="4" w:space="0"/>
              <w:left w:val="single" w:color="auto" w:sz="4" w:space="0"/>
              <w:bottom w:val="single" w:color="auto" w:sz="4" w:space="0"/>
              <w:right w:val="single" w:color="auto" w:sz="4" w:space="0"/>
            </w:tcBorders>
            <w:noWrap w:val="0"/>
            <w:vAlign w:val="center"/>
          </w:tcPr>
          <w:p w14:paraId="17F888F9">
            <w:pPr>
              <w:adjustRightInd w:val="0"/>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连接</w:t>
            </w:r>
          </w:p>
          <w:p w14:paraId="41CADDCC">
            <w:pPr>
              <w:adjustRightInd w:val="0"/>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螺纹</w:t>
            </w:r>
          </w:p>
        </w:tc>
      </w:tr>
      <w:tr w14:paraId="2894E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CellSpacing w:w="0" w:type="dxa"/>
          <w:jc w:val="center"/>
        </w:trPr>
        <w:tc>
          <w:tcPr>
            <w:tcW w:w="1708" w:type="dxa"/>
            <w:tcBorders>
              <w:top w:val="single" w:color="auto" w:sz="4" w:space="0"/>
              <w:left w:val="single" w:color="auto" w:sz="4" w:space="0"/>
              <w:bottom w:val="single" w:color="auto" w:sz="4" w:space="0"/>
              <w:right w:val="single" w:color="auto" w:sz="4" w:space="0"/>
            </w:tcBorders>
            <w:noWrap w:val="0"/>
            <w:vAlign w:val="center"/>
          </w:tcPr>
          <w:p w14:paraId="1B24A806">
            <w:pPr>
              <w:adjustRightInd w:val="0"/>
              <w:snapToGrid w:val="0"/>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mm</w:t>
            </w:r>
          </w:p>
        </w:tc>
        <w:tc>
          <w:tcPr>
            <w:tcW w:w="4904" w:type="dxa"/>
            <w:gridSpan w:val="3"/>
            <w:tcBorders>
              <w:top w:val="single" w:color="auto" w:sz="4" w:space="0"/>
              <w:left w:val="single" w:color="auto" w:sz="4" w:space="0"/>
              <w:bottom w:val="single" w:color="auto" w:sz="4" w:space="0"/>
              <w:right w:val="single" w:color="auto" w:sz="4" w:space="0"/>
            </w:tcBorders>
            <w:noWrap w:val="0"/>
            <w:vAlign w:val="center"/>
          </w:tcPr>
          <w:p w14:paraId="077F959D">
            <w:pPr>
              <w:adjustRightInd w:val="0"/>
              <w:snapToGrid w:val="0"/>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mm</w:t>
            </w:r>
          </w:p>
        </w:tc>
        <w:tc>
          <w:tcPr>
            <w:tcW w:w="2363" w:type="dxa"/>
            <w:vMerge w:val="continue"/>
            <w:tcBorders>
              <w:top w:val="single" w:color="auto" w:sz="4" w:space="0"/>
              <w:left w:val="single" w:color="auto" w:sz="4" w:space="0"/>
              <w:bottom w:val="single" w:color="auto" w:sz="4" w:space="0"/>
              <w:right w:val="single" w:color="auto" w:sz="4" w:space="0"/>
            </w:tcBorders>
            <w:noWrap w:val="0"/>
            <w:vAlign w:val="center"/>
          </w:tcPr>
          <w:p w14:paraId="7470F2CF">
            <w:pPr>
              <w:adjustRightInd w:val="0"/>
              <w:snapToGrid w:val="0"/>
              <w:spacing w:line="280" w:lineRule="exact"/>
              <w:jc w:val="center"/>
              <w:rPr>
                <w:rFonts w:hint="eastAsia" w:ascii="宋体" w:hAnsi="宋体" w:eastAsia="宋体" w:cs="宋体"/>
                <w:color w:val="auto"/>
                <w:sz w:val="21"/>
                <w:szCs w:val="21"/>
                <w:highlight w:val="none"/>
              </w:rPr>
            </w:pPr>
          </w:p>
        </w:tc>
      </w:tr>
      <w:tr w14:paraId="3B38A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CellSpacing w:w="0" w:type="dxa"/>
          <w:jc w:val="center"/>
        </w:trPr>
        <w:tc>
          <w:tcPr>
            <w:tcW w:w="1708" w:type="dxa"/>
            <w:tcBorders>
              <w:top w:val="single" w:color="auto" w:sz="4" w:space="0"/>
              <w:left w:val="single" w:color="auto" w:sz="4" w:space="0"/>
              <w:bottom w:val="single" w:color="auto" w:sz="4" w:space="0"/>
              <w:right w:val="single" w:color="auto" w:sz="4" w:space="0"/>
            </w:tcBorders>
            <w:noWrap w:val="0"/>
            <w:vAlign w:val="center"/>
          </w:tcPr>
          <w:p w14:paraId="6A295DFB">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566" w:type="dxa"/>
            <w:tcBorders>
              <w:top w:val="single" w:color="auto" w:sz="4" w:space="0"/>
              <w:left w:val="single" w:color="auto" w:sz="4" w:space="0"/>
              <w:bottom w:val="single" w:color="auto" w:sz="4" w:space="0"/>
              <w:right w:val="single" w:color="auto" w:sz="4" w:space="0"/>
            </w:tcBorders>
            <w:noWrap w:val="0"/>
            <w:vAlign w:val="center"/>
          </w:tcPr>
          <w:p w14:paraId="2071F16B">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w:t>
            </w:r>
          </w:p>
        </w:tc>
        <w:tc>
          <w:tcPr>
            <w:tcW w:w="1706" w:type="dxa"/>
            <w:tcBorders>
              <w:top w:val="single" w:color="auto" w:sz="4" w:space="0"/>
              <w:left w:val="single" w:color="auto" w:sz="4" w:space="0"/>
              <w:bottom w:val="single" w:color="auto" w:sz="4" w:space="0"/>
              <w:right w:val="single" w:color="auto" w:sz="4" w:space="0"/>
            </w:tcBorders>
            <w:noWrap w:val="0"/>
            <w:vAlign w:val="center"/>
          </w:tcPr>
          <w:p w14:paraId="1FA4239C">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1632" w:type="dxa"/>
            <w:tcBorders>
              <w:top w:val="single" w:color="auto" w:sz="4" w:space="0"/>
              <w:left w:val="single" w:color="auto" w:sz="4" w:space="0"/>
              <w:bottom w:val="single" w:color="auto" w:sz="4" w:space="0"/>
              <w:right w:val="single" w:color="auto" w:sz="4" w:space="0"/>
            </w:tcBorders>
            <w:noWrap w:val="0"/>
            <w:vAlign w:val="center"/>
          </w:tcPr>
          <w:p w14:paraId="188DFDCB">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106</w:t>
            </w:r>
          </w:p>
        </w:tc>
        <w:tc>
          <w:tcPr>
            <w:tcW w:w="2363" w:type="dxa"/>
            <w:tcBorders>
              <w:top w:val="single" w:color="auto" w:sz="4" w:space="0"/>
              <w:left w:val="single" w:color="auto" w:sz="4" w:space="0"/>
              <w:bottom w:val="single" w:color="auto" w:sz="4" w:space="0"/>
              <w:right w:val="single" w:color="auto" w:sz="4" w:space="0"/>
            </w:tcBorders>
            <w:noWrap w:val="0"/>
            <w:vAlign w:val="center"/>
          </w:tcPr>
          <w:p w14:paraId="653EE9DB">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G3/4</w:t>
            </w:r>
          </w:p>
        </w:tc>
      </w:tr>
      <w:tr w14:paraId="32CE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CellSpacing w:w="0" w:type="dxa"/>
          <w:jc w:val="center"/>
        </w:trPr>
        <w:tc>
          <w:tcPr>
            <w:tcW w:w="1708" w:type="dxa"/>
            <w:tcBorders>
              <w:top w:val="single" w:color="auto" w:sz="4" w:space="0"/>
              <w:left w:val="single" w:color="auto" w:sz="4" w:space="0"/>
              <w:bottom w:val="single" w:color="auto" w:sz="4" w:space="0"/>
              <w:right w:val="single" w:color="auto" w:sz="4" w:space="0"/>
            </w:tcBorders>
            <w:noWrap w:val="0"/>
            <w:vAlign w:val="center"/>
          </w:tcPr>
          <w:p w14:paraId="35C45A0C">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w:t>
            </w:r>
          </w:p>
        </w:tc>
        <w:tc>
          <w:tcPr>
            <w:tcW w:w="1566" w:type="dxa"/>
            <w:tcBorders>
              <w:top w:val="single" w:color="auto" w:sz="4" w:space="0"/>
              <w:left w:val="single" w:color="auto" w:sz="4" w:space="0"/>
              <w:bottom w:val="single" w:color="auto" w:sz="4" w:space="0"/>
              <w:right w:val="single" w:color="auto" w:sz="4" w:space="0"/>
            </w:tcBorders>
            <w:noWrap w:val="0"/>
            <w:vAlign w:val="center"/>
          </w:tcPr>
          <w:p w14:paraId="463DA902">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195</w:t>
            </w:r>
          </w:p>
        </w:tc>
        <w:tc>
          <w:tcPr>
            <w:tcW w:w="1706" w:type="dxa"/>
            <w:tcBorders>
              <w:top w:val="single" w:color="auto" w:sz="4" w:space="0"/>
              <w:left w:val="single" w:color="auto" w:sz="4" w:space="0"/>
              <w:bottom w:val="single" w:color="auto" w:sz="4" w:space="0"/>
              <w:right w:val="single" w:color="auto" w:sz="4" w:space="0"/>
            </w:tcBorders>
            <w:noWrap w:val="0"/>
            <w:vAlign w:val="center"/>
          </w:tcPr>
          <w:p w14:paraId="0E5F18DF">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1632" w:type="dxa"/>
            <w:tcBorders>
              <w:top w:val="single" w:color="auto" w:sz="4" w:space="0"/>
              <w:left w:val="single" w:color="auto" w:sz="4" w:space="0"/>
              <w:bottom w:val="single" w:color="auto" w:sz="4" w:space="0"/>
              <w:right w:val="single" w:color="auto" w:sz="4" w:space="0"/>
            </w:tcBorders>
            <w:noWrap w:val="0"/>
            <w:vAlign w:val="center"/>
          </w:tcPr>
          <w:p w14:paraId="5E1CACFA">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w:t>
            </w:r>
          </w:p>
        </w:tc>
        <w:tc>
          <w:tcPr>
            <w:tcW w:w="2363" w:type="dxa"/>
            <w:tcBorders>
              <w:top w:val="single" w:color="auto" w:sz="4" w:space="0"/>
              <w:left w:val="single" w:color="auto" w:sz="4" w:space="0"/>
              <w:bottom w:val="single" w:color="auto" w:sz="4" w:space="0"/>
              <w:right w:val="single" w:color="auto" w:sz="4" w:space="0"/>
            </w:tcBorders>
            <w:noWrap w:val="0"/>
            <w:vAlign w:val="center"/>
          </w:tcPr>
          <w:p w14:paraId="2E6AD67D">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G1</w:t>
            </w:r>
          </w:p>
        </w:tc>
      </w:tr>
      <w:tr w14:paraId="1D106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CellSpacing w:w="0" w:type="dxa"/>
          <w:jc w:val="center"/>
        </w:trPr>
        <w:tc>
          <w:tcPr>
            <w:tcW w:w="1708" w:type="dxa"/>
            <w:tcBorders>
              <w:top w:val="single" w:color="auto" w:sz="4" w:space="0"/>
              <w:left w:val="single" w:color="auto" w:sz="4" w:space="0"/>
              <w:bottom w:val="single" w:color="auto" w:sz="4" w:space="0"/>
              <w:right w:val="single" w:color="auto" w:sz="4" w:space="0"/>
            </w:tcBorders>
            <w:noWrap w:val="0"/>
            <w:vAlign w:val="center"/>
          </w:tcPr>
          <w:p w14:paraId="04DD539D">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w:t>
            </w:r>
          </w:p>
        </w:tc>
        <w:tc>
          <w:tcPr>
            <w:tcW w:w="1566" w:type="dxa"/>
            <w:tcBorders>
              <w:top w:val="single" w:color="auto" w:sz="4" w:space="0"/>
              <w:left w:val="single" w:color="auto" w:sz="4" w:space="0"/>
              <w:bottom w:val="single" w:color="auto" w:sz="4" w:space="0"/>
              <w:right w:val="single" w:color="auto" w:sz="4" w:space="0"/>
            </w:tcBorders>
            <w:noWrap w:val="0"/>
            <w:vAlign w:val="center"/>
          </w:tcPr>
          <w:p w14:paraId="35C61BD4">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225</w:t>
            </w:r>
          </w:p>
        </w:tc>
        <w:tc>
          <w:tcPr>
            <w:tcW w:w="1706" w:type="dxa"/>
            <w:tcBorders>
              <w:top w:val="single" w:color="auto" w:sz="4" w:space="0"/>
              <w:left w:val="single" w:color="auto" w:sz="4" w:space="0"/>
              <w:bottom w:val="single" w:color="auto" w:sz="4" w:space="0"/>
              <w:right w:val="single" w:color="auto" w:sz="4" w:space="0"/>
            </w:tcBorders>
            <w:noWrap w:val="0"/>
            <w:vAlign w:val="center"/>
          </w:tcPr>
          <w:p w14:paraId="5BF1738D">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632" w:type="dxa"/>
            <w:tcBorders>
              <w:top w:val="single" w:color="auto" w:sz="4" w:space="0"/>
              <w:left w:val="single" w:color="auto" w:sz="4" w:space="0"/>
              <w:bottom w:val="single" w:color="auto" w:sz="4" w:space="0"/>
              <w:right w:val="single" w:color="auto" w:sz="4" w:space="0"/>
            </w:tcBorders>
            <w:noWrap w:val="0"/>
            <w:vAlign w:val="center"/>
          </w:tcPr>
          <w:p w14:paraId="59C29360">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2363" w:type="dxa"/>
            <w:tcBorders>
              <w:top w:val="single" w:color="auto" w:sz="4" w:space="0"/>
              <w:left w:val="single" w:color="auto" w:sz="4" w:space="0"/>
              <w:bottom w:val="single" w:color="auto" w:sz="4" w:space="0"/>
              <w:right w:val="single" w:color="auto" w:sz="4" w:space="0"/>
            </w:tcBorders>
            <w:noWrap w:val="0"/>
            <w:vAlign w:val="center"/>
          </w:tcPr>
          <w:p w14:paraId="68A86D6B">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G11/4</w:t>
            </w:r>
          </w:p>
        </w:tc>
      </w:tr>
      <w:tr w14:paraId="5E44D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CellSpacing w:w="0" w:type="dxa"/>
          <w:jc w:val="center"/>
        </w:trPr>
        <w:tc>
          <w:tcPr>
            <w:tcW w:w="1708" w:type="dxa"/>
            <w:tcBorders>
              <w:top w:val="single" w:color="auto" w:sz="4" w:space="0"/>
              <w:left w:val="single" w:color="auto" w:sz="4" w:space="0"/>
              <w:bottom w:val="single" w:color="auto" w:sz="4" w:space="0"/>
              <w:right w:val="single" w:color="auto" w:sz="4" w:space="0"/>
            </w:tcBorders>
            <w:noWrap w:val="0"/>
            <w:vAlign w:val="center"/>
          </w:tcPr>
          <w:p w14:paraId="1F419A00">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w:t>
            </w:r>
          </w:p>
        </w:tc>
        <w:tc>
          <w:tcPr>
            <w:tcW w:w="1566" w:type="dxa"/>
            <w:tcBorders>
              <w:top w:val="single" w:color="auto" w:sz="4" w:space="0"/>
              <w:left w:val="single" w:color="auto" w:sz="4" w:space="0"/>
              <w:bottom w:val="single" w:color="auto" w:sz="4" w:space="0"/>
              <w:right w:val="single" w:color="auto" w:sz="4" w:space="0"/>
            </w:tcBorders>
            <w:noWrap w:val="0"/>
            <w:vAlign w:val="center"/>
          </w:tcPr>
          <w:p w14:paraId="31AD4E04">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245</w:t>
            </w:r>
          </w:p>
        </w:tc>
        <w:tc>
          <w:tcPr>
            <w:tcW w:w="1706" w:type="dxa"/>
            <w:tcBorders>
              <w:top w:val="single" w:color="auto" w:sz="4" w:space="0"/>
              <w:left w:val="single" w:color="auto" w:sz="4" w:space="0"/>
              <w:bottom w:val="single" w:color="auto" w:sz="4" w:space="0"/>
              <w:right w:val="single" w:color="auto" w:sz="4" w:space="0"/>
            </w:tcBorders>
            <w:noWrap w:val="0"/>
            <w:vAlign w:val="center"/>
          </w:tcPr>
          <w:p w14:paraId="26430078">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w:t>
            </w:r>
          </w:p>
        </w:tc>
        <w:tc>
          <w:tcPr>
            <w:tcW w:w="1632" w:type="dxa"/>
            <w:tcBorders>
              <w:top w:val="single" w:color="auto" w:sz="4" w:space="0"/>
              <w:left w:val="single" w:color="auto" w:sz="4" w:space="0"/>
              <w:bottom w:val="single" w:color="auto" w:sz="4" w:space="0"/>
              <w:right w:val="single" w:color="auto" w:sz="4" w:space="0"/>
            </w:tcBorders>
            <w:noWrap w:val="0"/>
            <w:vAlign w:val="center"/>
          </w:tcPr>
          <w:p w14:paraId="02FA8820">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w:t>
            </w:r>
          </w:p>
        </w:tc>
        <w:tc>
          <w:tcPr>
            <w:tcW w:w="2363" w:type="dxa"/>
            <w:tcBorders>
              <w:top w:val="single" w:color="auto" w:sz="4" w:space="0"/>
              <w:left w:val="single" w:color="auto" w:sz="4" w:space="0"/>
              <w:bottom w:val="single" w:color="auto" w:sz="4" w:space="0"/>
              <w:right w:val="single" w:color="auto" w:sz="4" w:space="0"/>
            </w:tcBorders>
            <w:noWrap w:val="0"/>
            <w:vAlign w:val="center"/>
          </w:tcPr>
          <w:p w14:paraId="6D5545FF">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G2</w:t>
            </w:r>
          </w:p>
        </w:tc>
      </w:tr>
      <w:tr w14:paraId="7B811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CellSpacing w:w="0" w:type="dxa"/>
          <w:jc w:val="center"/>
        </w:trPr>
        <w:tc>
          <w:tcPr>
            <w:tcW w:w="1708" w:type="dxa"/>
            <w:tcBorders>
              <w:top w:val="single" w:color="auto" w:sz="4" w:space="0"/>
              <w:left w:val="single" w:color="auto" w:sz="4" w:space="0"/>
              <w:bottom w:val="single" w:color="auto" w:sz="4" w:space="0"/>
              <w:right w:val="single" w:color="auto" w:sz="4" w:space="0"/>
            </w:tcBorders>
            <w:noWrap w:val="0"/>
            <w:vAlign w:val="center"/>
          </w:tcPr>
          <w:p w14:paraId="4B7A9666">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w:t>
            </w:r>
          </w:p>
        </w:tc>
        <w:tc>
          <w:tcPr>
            <w:tcW w:w="1566" w:type="dxa"/>
            <w:tcBorders>
              <w:top w:val="single" w:color="auto" w:sz="4" w:space="0"/>
              <w:left w:val="single" w:color="auto" w:sz="4" w:space="0"/>
              <w:bottom w:val="single" w:color="auto" w:sz="4" w:space="0"/>
              <w:right w:val="single" w:color="auto" w:sz="4" w:space="0"/>
            </w:tcBorders>
            <w:noWrap w:val="0"/>
            <w:vAlign w:val="center"/>
          </w:tcPr>
          <w:p w14:paraId="6D552053">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280</w:t>
            </w:r>
          </w:p>
        </w:tc>
        <w:tc>
          <w:tcPr>
            <w:tcW w:w="1706" w:type="dxa"/>
            <w:tcBorders>
              <w:top w:val="single" w:color="auto" w:sz="4" w:space="0"/>
              <w:left w:val="single" w:color="auto" w:sz="4" w:space="0"/>
              <w:bottom w:val="single" w:color="auto" w:sz="4" w:space="0"/>
              <w:right w:val="single" w:color="auto" w:sz="4" w:space="0"/>
            </w:tcBorders>
            <w:noWrap w:val="0"/>
            <w:vAlign w:val="center"/>
          </w:tcPr>
          <w:p w14:paraId="27A05E07">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w:t>
            </w:r>
          </w:p>
        </w:tc>
        <w:tc>
          <w:tcPr>
            <w:tcW w:w="1632" w:type="dxa"/>
            <w:tcBorders>
              <w:top w:val="single" w:color="auto" w:sz="4" w:space="0"/>
              <w:left w:val="single" w:color="auto" w:sz="4" w:space="0"/>
              <w:bottom w:val="single" w:color="auto" w:sz="4" w:space="0"/>
              <w:right w:val="single" w:color="auto" w:sz="4" w:space="0"/>
            </w:tcBorders>
            <w:noWrap w:val="0"/>
            <w:vAlign w:val="center"/>
          </w:tcPr>
          <w:p w14:paraId="1121021B">
            <w:pPr>
              <w:adjustRightInd w:val="0"/>
              <w:snapToGri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w:t>
            </w:r>
          </w:p>
        </w:tc>
        <w:tc>
          <w:tcPr>
            <w:tcW w:w="2363" w:type="dxa"/>
            <w:tcBorders>
              <w:top w:val="single" w:color="auto" w:sz="4" w:space="0"/>
              <w:left w:val="single" w:color="auto" w:sz="4" w:space="0"/>
              <w:bottom w:val="single" w:color="auto" w:sz="4" w:space="0"/>
              <w:right w:val="single" w:color="auto" w:sz="4" w:space="0"/>
            </w:tcBorders>
            <w:noWrap w:val="0"/>
            <w:vAlign w:val="center"/>
          </w:tcPr>
          <w:p w14:paraId="3169024D">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法兰连接按GB/T17241.6-2008</w:t>
            </w:r>
          </w:p>
          <w:p w14:paraId="58B7B84C">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D=165D1=125</w:t>
            </w:r>
          </w:p>
        </w:tc>
      </w:tr>
    </w:tbl>
    <w:p w14:paraId="716D3845">
      <w:pPr>
        <w:adjustRightInd w:val="0"/>
        <w:snapToGrid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注：上表为水表的参考尺寸、连接方式。</w:t>
      </w:r>
    </w:p>
    <w:p w14:paraId="42E59290">
      <w:pPr>
        <w:widowControl w:val="0"/>
        <w:autoSpaceDE w:val="0"/>
        <w:autoSpaceDN w:val="0"/>
        <w:adjustRightInd w:val="0"/>
        <w:rPr>
          <w:rFonts w:hint="eastAsia" w:ascii="宋体" w:hAnsi="宋体" w:eastAsia="宋体" w:cs="宋体"/>
          <w:color w:val="auto"/>
          <w:sz w:val="21"/>
          <w:szCs w:val="21"/>
          <w:highlight w:val="none"/>
          <w:lang w:val="en-US" w:eastAsia="zh-CN" w:bidi="ar-SA"/>
        </w:rPr>
      </w:pPr>
    </w:p>
    <w:p w14:paraId="0FED0098">
      <w:pPr>
        <w:adjustRightInd w:val="0"/>
        <w:snapToGrid w:val="0"/>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2.2.6主要部件采用材料见下表：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4043"/>
        <w:gridCol w:w="3052"/>
      </w:tblGrid>
      <w:tr w14:paraId="55973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6" w:type="dxa"/>
            <w:noWrap w:val="0"/>
            <w:vAlign w:val="center"/>
          </w:tcPr>
          <w:p w14:paraId="6FBF49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440" w:lineRule="exact"/>
              <w:ind w:firstLine="287" w:firstLineChars="1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零件名称</w:t>
            </w:r>
          </w:p>
        </w:tc>
        <w:tc>
          <w:tcPr>
            <w:tcW w:w="4043" w:type="dxa"/>
            <w:noWrap w:val="0"/>
            <w:vAlign w:val="center"/>
          </w:tcPr>
          <w:p w14:paraId="21EAA554">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材料名称</w:t>
            </w:r>
          </w:p>
        </w:tc>
        <w:tc>
          <w:tcPr>
            <w:tcW w:w="3052" w:type="dxa"/>
            <w:noWrap w:val="0"/>
            <w:vAlign w:val="center"/>
          </w:tcPr>
          <w:p w14:paraId="322C2FAE">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638F9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6" w:type="dxa"/>
            <w:noWrap w:val="0"/>
            <w:vAlign w:val="center"/>
          </w:tcPr>
          <w:p w14:paraId="539DB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表壳</w:t>
            </w:r>
          </w:p>
        </w:tc>
        <w:tc>
          <w:tcPr>
            <w:tcW w:w="4043" w:type="dxa"/>
            <w:noWrap w:val="0"/>
            <w:vAlign w:val="center"/>
          </w:tcPr>
          <w:p w14:paraId="4C0867EC">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球墨铸铁（球化率：≥四级）</w:t>
            </w:r>
          </w:p>
        </w:tc>
        <w:tc>
          <w:tcPr>
            <w:tcW w:w="3052" w:type="dxa"/>
            <w:noWrap w:val="0"/>
            <w:vAlign w:val="center"/>
          </w:tcPr>
          <w:p w14:paraId="659E2D8B">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符合CJ266要求</w:t>
            </w:r>
          </w:p>
        </w:tc>
      </w:tr>
      <w:tr w14:paraId="1C334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6" w:type="dxa"/>
            <w:noWrap w:val="0"/>
            <w:vAlign w:val="center"/>
          </w:tcPr>
          <w:p w14:paraId="69A35D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表芯主材</w:t>
            </w:r>
          </w:p>
        </w:tc>
        <w:tc>
          <w:tcPr>
            <w:tcW w:w="4043" w:type="dxa"/>
            <w:noWrap w:val="0"/>
            <w:vAlign w:val="center"/>
          </w:tcPr>
          <w:p w14:paraId="5DAAF87E">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高强度工程塑料</w:t>
            </w:r>
          </w:p>
        </w:tc>
        <w:tc>
          <w:tcPr>
            <w:tcW w:w="3052" w:type="dxa"/>
            <w:noWrap w:val="0"/>
            <w:vAlign w:val="center"/>
          </w:tcPr>
          <w:p w14:paraId="2FD3607D">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高强度工程塑料ABS</w:t>
            </w:r>
          </w:p>
        </w:tc>
      </w:tr>
      <w:tr w14:paraId="1C81C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6" w:type="dxa"/>
            <w:noWrap w:val="0"/>
            <w:vAlign w:val="center"/>
          </w:tcPr>
          <w:p w14:paraId="7B08CF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叶轮主材</w:t>
            </w:r>
          </w:p>
        </w:tc>
        <w:tc>
          <w:tcPr>
            <w:tcW w:w="4043" w:type="dxa"/>
            <w:noWrap w:val="0"/>
            <w:vAlign w:val="center"/>
          </w:tcPr>
          <w:p w14:paraId="02174094">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高强度工程塑料</w:t>
            </w:r>
          </w:p>
        </w:tc>
        <w:tc>
          <w:tcPr>
            <w:tcW w:w="3052" w:type="dxa"/>
            <w:noWrap w:val="0"/>
            <w:vAlign w:val="center"/>
          </w:tcPr>
          <w:p w14:paraId="5A4EF065">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高强度工程塑料ABS</w:t>
            </w:r>
          </w:p>
        </w:tc>
      </w:tr>
      <w:tr w14:paraId="76DB1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6" w:type="dxa"/>
            <w:noWrap w:val="0"/>
            <w:vAlign w:val="center"/>
          </w:tcPr>
          <w:p w14:paraId="6B00D3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表罩</w:t>
            </w:r>
          </w:p>
        </w:tc>
        <w:tc>
          <w:tcPr>
            <w:tcW w:w="4043" w:type="dxa"/>
            <w:noWrap w:val="0"/>
            <w:vAlign w:val="center"/>
          </w:tcPr>
          <w:p w14:paraId="55EC2A3C">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铸造铅黄铜（ZCuZn40Pb）</w:t>
            </w:r>
          </w:p>
        </w:tc>
        <w:tc>
          <w:tcPr>
            <w:tcW w:w="3052" w:type="dxa"/>
            <w:noWrap w:val="0"/>
            <w:vAlign w:val="center"/>
          </w:tcPr>
          <w:p w14:paraId="4E99286B">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符合CJ266要求</w:t>
            </w:r>
          </w:p>
        </w:tc>
      </w:tr>
      <w:tr w14:paraId="41BCD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6" w:type="dxa"/>
            <w:noWrap w:val="0"/>
            <w:vAlign w:val="center"/>
          </w:tcPr>
          <w:p w14:paraId="33DDA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接管、螺母</w:t>
            </w:r>
          </w:p>
        </w:tc>
        <w:tc>
          <w:tcPr>
            <w:tcW w:w="4043" w:type="dxa"/>
            <w:noWrap w:val="0"/>
            <w:vAlign w:val="center"/>
          </w:tcPr>
          <w:p w14:paraId="35AAF6C6">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铸造铅黄铜（ZCuZn40Pb）（红冲）</w:t>
            </w:r>
          </w:p>
        </w:tc>
        <w:tc>
          <w:tcPr>
            <w:tcW w:w="3052" w:type="dxa"/>
            <w:noWrap w:val="0"/>
            <w:vAlign w:val="center"/>
          </w:tcPr>
          <w:p w14:paraId="3A12D5C7">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符合CJ266要求</w:t>
            </w:r>
          </w:p>
        </w:tc>
      </w:tr>
      <w:tr w14:paraId="22C31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6" w:type="dxa"/>
            <w:noWrap w:val="0"/>
            <w:vAlign w:val="center"/>
          </w:tcPr>
          <w:p w14:paraId="248B04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防冻玻璃</w:t>
            </w:r>
          </w:p>
        </w:tc>
        <w:tc>
          <w:tcPr>
            <w:tcW w:w="4043" w:type="dxa"/>
            <w:noWrap w:val="0"/>
            <w:vAlign w:val="center"/>
          </w:tcPr>
          <w:p w14:paraId="0122A7F1">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透明尼龙材料</w:t>
            </w:r>
          </w:p>
        </w:tc>
        <w:tc>
          <w:tcPr>
            <w:tcW w:w="3052" w:type="dxa"/>
            <w:noWrap w:val="0"/>
            <w:vAlign w:val="center"/>
          </w:tcPr>
          <w:p w14:paraId="5B83D61E">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符合CJ266要求</w:t>
            </w:r>
          </w:p>
        </w:tc>
      </w:tr>
      <w:tr w14:paraId="56749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76" w:type="dxa"/>
            <w:noWrap w:val="0"/>
            <w:vAlign w:val="center"/>
          </w:tcPr>
          <w:p w14:paraId="45DE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w:t>
            </w:r>
          </w:p>
        </w:tc>
        <w:tc>
          <w:tcPr>
            <w:tcW w:w="4043" w:type="dxa"/>
            <w:noWrap w:val="0"/>
            <w:vAlign w:val="center"/>
          </w:tcPr>
          <w:p w14:paraId="0DC2CC32">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铜、不锈钢、硬质合金</w:t>
            </w:r>
          </w:p>
        </w:tc>
        <w:tc>
          <w:tcPr>
            <w:tcW w:w="3052" w:type="dxa"/>
            <w:noWrap w:val="0"/>
            <w:vAlign w:val="center"/>
          </w:tcPr>
          <w:p w14:paraId="3F1E2C3E">
            <w:pPr>
              <w:adjustRightInd w:val="0"/>
              <w:jc w:val="center"/>
              <w:rPr>
                <w:rFonts w:hint="eastAsia" w:ascii="宋体" w:hAnsi="宋体" w:eastAsia="宋体" w:cs="宋体"/>
                <w:color w:val="auto"/>
                <w:sz w:val="21"/>
                <w:szCs w:val="21"/>
                <w:highlight w:val="none"/>
              </w:rPr>
            </w:pPr>
          </w:p>
        </w:tc>
      </w:tr>
    </w:tbl>
    <w:p w14:paraId="5D670C66">
      <w:pPr>
        <w:adjustRightInd w:val="0"/>
        <w:snapToGrid w:val="0"/>
        <w:spacing w:line="440" w:lineRule="exact"/>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注：水表安装防冻玻璃须满足能抵抗－10℃低温不破裂。配防冻玻璃的DN（15-20）水表应有水表防冻试验报告，必须达到能抵抗-10℃低温不破裂的要求。</w:t>
      </w:r>
    </w:p>
    <w:p w14:paraId="799DEB79">
      <w:pPr>
        <w:widowControl w:val="0"/>
        <w:kinsoku/>
        <w:overflowPunct/>
        <w:bidi w:val="0"/>
        <w:adjustRightInd/>
        <w:snapToGrid w:val="0"/>
        <w:spacing w:line="440" w:lineRule="exact"/>
        <w:ind w:firstLine="420" w:firstLineChars="200"/>
        <w:jc w:val="left"/>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r>
        <w:rPr>
          <w:rFonts w:hint="eastAsia" w:ascii="宋体" w:hAnsi="宋体" w:eastAsia="宋体" w:cs="宋体"/>
          <w:color w:val="000000" w:themeColor="text1"/>
          <w:kern w:val="0"/>
          <w:sz w:val="21"/>
          <w:szCs w:val="21"/>
          <w:highlight w:val="none"/>
          <w14:textFill>
            <w14:solidFill>
              <w14:schemeClr w14:val="tx1"/>
            </w14:solidFill>
          </w14:textFill>
        </w:rPr>
        <w:t>.DN</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15-2</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5）</w:t>
      </w:r>
      <w:r>
        <w:rPr>
          <w:rFonts w:hint="eastAsia" w:ascii="宋体" w:hAnsi="宋体" w:eastAsia="宋体" w:cs="宋体"/>
          <w:color w:val="000000" w:themeColor="text1"/>
          <w:kern w:val="0"/>
          <w:sz w:val="21"/>
          <w:szCs w:val="21"/>
          <w:highlight w:val="none"/>
          <w14:textFill>
            <w14:solidFill>
              <w14:schemeClr w14:val="tx1"/>
            </w14:solidFill>
          </w14:textFill>
        </w:rPr>
        <w:t xml:space="preserve"> 水平旋翼式液封湿式水表供货前须完成首次强制检定（后称“首检”）。供应商不具备首检能力的，可委托具备资质的第三方机构完成首检后方可供货，并保证首检数据的真实有效。（需提供承诺函</w:t>
      </w:r>
      <w:r>
        <w:rPr>
          <w:rFonts w:hint="eastAsia" w:ascii="宋体" w:hAnsi="宋体" w:eastAsia="宋体" w:cs="宋体"/>
          <w:color w:val="000000" w:themeColor="text1"/>
          <w:kern w:val="0"/>
          <w:sz w:val="21"/>
          <w:szCs w:val="21"/>
          <w:highlight w:val="none"/>
          <w:lang w:eastAsia="zh-CN"/>
          <w14:textFill>
            <w14:solidFill>
              <w14:schemeClr w14:val="tx1"/>
            </w14:solidFill>
          </w14:textFill>
        </w:rPr>
        <w:t>并加盖公章</w:t>
      </w:r>
      <w:r>
        <w:rPr>
          <w:rFonts w:hint="eastAsia" w:ascii="宋体" w:hAnsi="宋体" w:eastAsia="宋体" w:cs="宋体"/>
          <w:color w:val="000000" w:themeColor="text1"/>
          <w:kern w:val="0"/>
          <w:sz w:val="21"/>
          <w:szCs w:val="21"/>
          <w:highlight w:val="none"/>
          <w14:textFill>
            <w14:solidFill>
              <w14:schemeClr w14:val="tx1"/>
            </w14:solidFill>
          </w14:textFill>
        </w:rPr>
        <w:t>，承诺所供水表均依规完成首检，检定数据</w:t>
      </w:r>
      <w:r>
        <w:rPr>
          <w:rFonts w:hint="eastAsia" w:ascii="宋体" w:hAnsi="宋体" w:eastAsia="宋体" w:cs="宋体"/>
          <w:color w:val="000000" w:themeColor="text1"/>
          <w:kern w:val="0"/>
          <w:sz w:val="21"/>
          <w:szCs w:val="21"/>
          <w:highlight w:val="none"/>
          <w:lang w:eastAsia="zh-CN"/>
          <w14:textFill>
            <w14:solidFill>
              <w14:schemeClr w14:val="tx1"/>
            </w14:solidFill>
          </w14:textFill>
        </w:rPr>
        <w:t>能满足浙江省市场监管部门的核查要求</w:t>
      </w:r>
      <w:r>
        <w:rPr>
          <w:rFonts w:hint="eastAsia" w:ascii="宋体" w:hAnsi="宋体" w:eastAsia="宋体" w:cs="宋体"/>
          <w:color w:val="000000" w:themeColor="text1"/>
          <w:kern w:val="0"/>
          <w:sz w:val="21"/>
          <w:szCs w:val="21"/>
          <w:highlight w:val="none"/>
          <w14:textFill>
            <w14:solidFill>
              <w14:schemeClr w14:val="tx1"/>
            </w14:solidFill>
          </w14:textFill>
        </w:rPr>
        <w:t>）</w:t>
      </w:r>
    </w:p>
    <w:p w14:paraId="59C81E90">
      <w:pPr>
        <w:widowControl w:val="0"/>
        <w:kinsoku/>
        <w:overflowPunct/>
        <w:bidi w:val="0"/>
        <w:adjustRightInd/>
        <w:snapToGrid w:val="0"/>
        <w:spacing w:line="44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.采购人依据国家检定规程JJG162-2019《饮用冷水水表》对采购的每批次水表进行检定，如发现所购水表首检合格率低于99.5%</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采购人有权停止后续采购，并终止采购合同；</w:t>
      </w:r>
    </w:p>
    <w:p w14:paraId="52FD1463">
      <w:pPr>
        <w:adjustRightInd/>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.投标人所投的水表产品具有在有效期内的质量技术监督部门出具的《中华人民共和国计量器具型式批准证书》（证书中需包含水平旋翼式湿式冷水水表）。</w:t>
      </w:r>
    </w:p>
    <w:p w14:paraId="3228B7FB">
      <w:pPr>
        <w:adjustRightInd/>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DN（15-25）水平旋翼式液封湿式水表</w:t>
      </w:r>
      <w:r>
        <w:rPr>
          <w:rFonts w:hint="eastAsia" w:ascii="宋体" w:hAnsi="宋体" w:eastAsia="宋体" w:cs="宋体"/>
          <w:b/>
          <w:bCs/>
          <w:color w:val="auto"/>
          <w:sz w:val="21"/>
          <w:szCs w:val="21"/>
          <w:highlight w:val="none"/>
          <w:lang w:eastAsia="zh-CN"/>
        </w:rPr>
        <w:t>质量保证期</w:t>
      </w:r>
      <w:r>
        <w:rPr>
          <w:rFonts w:hint="eastAsia" w:ascii="宋体" w:hAnsi="宋体" w:eastAsia="宋体" w:cs="宋体"/>
          <w:b/>
          <w:bCs/>
          <w:color w:val="auto"/>
          <w:sz w:val="21"/>
          <w:szCs w:val="21"/>
          <w:highlight w:val="none"/>
        </w:rPr>
        <w:t>统一为6年</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DN（40-50）水平旋翼式液封湿式水表</w:t>
      </w:r>
      <w:r>
        <w:rPr>
          <w:rFonts w:hint="eastAsia" w:ascii="宋体" w:hAnsi="宋体" w:eastAsia="宋体" w:cs="宋体"/>
          <w:b/>
          <w:bCs/>
          <w:color w:val="auto"/>
          <w:sz w:val="21"/>
          <w:szCs w:val="21"/>
          <w:highlight w:val="none"/>
          <w:lang w:val="en-US" w:eastAsia="zh-CN"/>
        </w:rPr>
        <w:t>基础</w:t>
      </w:r>
      <w:r>
        <w:rPr>
          <w:rFonts w:hint="eastAsia" w:ascii="宋体" w:hAnsi="宋体" w:eastAsia="宋体" w:cs="宋体"/>
          <w:b/>
          <w:bCs/>
          <w:color w:val="auto"/>
          <w:sz w:val="21"/>
          <w:szCs w:val="21"/>
          <w:highlight w:val="none"/>
          <w:lang w:eastAsia="zh-CN"/>
        </w:rPr>
        <w:t>质量保证期</w:t>
      </w:r>
      <w:r>
        <w:rPr>
          <w:rFonts w:hint="eastAsia" w:ascii="宋体" w:hAnsi="宋体" w:eastAsia="宋体" w:cs="宋体"/>
          <w:b/>
          <w:bCs/>
          <w:color w:val="auto"/>
          <w:sz w:val="21"/>
          <w:szCs w:val="21"/>
          <w:highlight w:val="none"/>
        </w:rPr>
        <w:t>统一为4年</w:t>
      </w:r>
      <w:r>
        <w:rPr>
          <w:rFonts w:hint="eastAsia" w:ascii="宋体" w:hAnsi="宋体" w:eastAsia="宋体" w:cs="宋体"/>
          <w:color w:val="auto"/>
          <w:sz w:val="21"/>
          <w:szCs w:val="21"/>
          <w:highlight w:val="none"/>
        </w:rPr>
        <w:t>。</w:t>
      </w:r>
    </w:p>
    <w:p w14:paraId="53ED4C4A">
      <w:pPr>
        <w:adjustRightInd/>
        <w:spacing w:line="440" w:lineRule="exact"/>
        <w:jc w:val="left"/>
        <w:rPr>
          <w:rFonts w:hint="eastAsia" w:ascii="宋体" w:hAnsi="宋体" w:eastAsia="宋体" w:cs="宋体"/>
          <w:b/>
          <w:bCs/>
          <w:color w:val="auto"/>
          <w:sz w:val="21"/>
          <w:szCs w:val="21"/>
          <w:highlight w:val="none"/>
          <w:lang w:eastAsia="zh-CN"/>
        </w:rPr>
      </w:pPr>
    </w:p>
    <w:p w14:paraId="76F30CA1">
      <w:pPr>
        <w:adjustRightInd/>
        <w:spacing w:line="44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二、</w:t>
      </w:r>
      <w:r>
        <w:rPr>
          <w:rFonts w:hint="eastAsia" w:ascii="宋体" w:hAnsi="宋体" w:eastAsia="宋体" w:cs="宋体"/>
          <w:b/>
          <w:bCs/>
          <w:color w:val="auto"/>
          <w:sz w:val="21"/>
          <w:szCs w:val="21"/>
          <w:highlight w:val="none"/>
        </w:rPr>
        <w:t>DN（40-200）螺翼式冷水水表及附属配件</w:t>
      </w:r>
    </w:p>
    <w:p w14:paraId="31F53D32">
      <w:pPr>
        <w:adjustRightInd/>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1.本次采购所涉及的所有产品须满足下列技术标准：</w:t>
      </w:r>
    </w:p>
    <w:p w14:paraId="387CD6F1">
      <w:pPr>
        <w:adjustRightInd/>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（1）GB/T778《饮用冷水水表和热水水表》</w:t>
      </w:r>
    </w:p>
    <w:p w14:paraId="2A01F99C">
      <w:pPr>
        <w:adjustRightInd/>
        <w:snapToGrid w:val="0"/>
        <w:spacing w:line="44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（2）CMA/WM778《小口径饮用水冷水表表壳技术规范》</w:t>
      </w:r>
    </w:p>
    <w:p w14:paraId="18C52344">
      <w:pPr>
        <w:adjustRightInd/>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（3）JJG162-2019《饮用冷水水表》</w:t>
      </w:r>
    </w:p>
    <w:p w14:paraId="16D12E80">
      <w:pPr>
        <w:adjustRightInd/>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（4）CJ266-2008《饮用水冷水水表安全规则》</w:t>
      </w:r>
    </w:p>
    <w:p w14:paraId="66F41102">
      <w:pPr>
        <w:adjustRightInd/>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（5）GB/T17219《生活饮用水输配水设备及防护材料的安全性评价标准》</w:t>
      </w:r>
    </w:p>
    <w:p w14:paraId="2DA854BD">
      <w:pPr>
        <w:adjustRightInd/>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2.水表要求</w:t>
      </w:r>
    </w:p>
    <w:p w14:paraId="45D6F211">
      <w:pPr>
        <w:adjustRightInd/>
        <w:snapToGrid w:val="0"/>
        <w:spacing w:line="4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 基表</w:t>
      </w:r>
    </w:p>
    <w:p w14:paraId="289D16A9">
      <w:pPr>
        <w:adjustRightInd/>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准确度等级：2级</w:t>
      </w:r>
    </w:p>
    <w:p w14:paraId="0BDAF9A2">
      <w:pPr>
        <w:adjustRightInd/>
        <w:snapToGrid w:val="0"/>
        <w:spacing w:line="44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压力等级：≤1.0MPa</w:t>
      </w:r>
    </w:p>
    <w:p w14:paraId="6FD7A098">
      <w:pPr>
        <w:adjustRightInd/>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水表基表材质：球墨铸铁，内外喷塑（表壳材料为球墨铸铁QT450，材质应符合国家GB/T778-2018</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要求）</w:t>
      </w:r>
    </w:p>
    <w:p w14:paraId="03C1A19D">
      <w:pPr>
        <w:adjustRightInd/>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采购人有权根据实际情况对水表参数及要求进行合理调整。</w:t>
      </w:r>
    </w:p>
    <w:p w14:paraId="26201C57">
      <w:pPr>
        <w:adjustRightInd/>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标志：应清楚、永久地在水表外壳、指示装置的度盘或铭牌、不可分离的水表表盖上，集中或分散标明以下信息：</w:t>
      </w:r>
    </w:p>
    <w:p w14:paraId="23F7BCC5">
      <w:pPr>
        <w:adjustRightInd/>
        <w:snapToGrid w:val="0"/>
        <w:spacing w:line="440" w:lineRule="exact"/>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①制造计量器具许可证标志和编号（或应标明型式批准标志和编号）；</w:t>
      </w:r>
    </w:p>
    <w:p w14:paraId="49A4F104">
      <w:pPr>
        <w:adjustRightInd/>
        <w:snapToGrid w:val="0"/>
        <w:spacing w:line="440" w:lineRule="exact"/>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②制造商名称或商标；</w:t>
      </w:r>
    </w:p>
    <w:p w14:paraId="6CE63333">
      <w:pPr>
        <w:adjustRightInd/>
        <w:snapToGrid w:val="0"/>
        <w:spacing w:line="440" w:lineRule="exact"/>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③制造年月和编号（尽可能靠近指标装置）；</w:t>
      </w:r>
    </w:p>
    <w:p w14:paraId="47027EA4">
      <w:pPr>
        <w:adjustRightInd/>
        <w:snapToGrid w:val="0"/>
        <w:spacing w:line="440" w:lineRule="exact"/>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④流向（在水表壳体两侧标志，或者如果在任何情况下都能很容易看到流动方向指示箭头，也可只标志在一侧）；</w:t>
      </w:r>
    </w:p>
    <w:p w14:paraId="639F1D3C">
      <w:pPr>
        <w:adjustRightInd/>
        <w:snapToGrid w:val="0"/>
        <w:spacing w:line="440" w:lineRule="exact"/>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⑤常用流量和量程比；</w:t>
      </w:r>
    </w:p>
    <w:p w14:paraId="563108B1">
      <w:pPr>
        <w:adjustRightInd/>
        <w:snapToGrid w:val="0"/>
        <w:spacing w:line="440" w:lineRule="exact"/>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⑥最大允许压力；</w:t>
      </w:r>
    </w:p>
    <w:p w14:paraId="45278533">
      <w:pPr>
        <w:adjustRightInd/>
        <w:snapToGrid w:val="0"/>
        <w:spacing w:line="440" w:lineRule="exact"/>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⑦水表准确度等级；</w:t>
      </w:r>
    </w:p>
    <w:p w14:paraId="41BB5C80">
      <w:pPr>
        <w:adjustRightInd/>
        <w:snapToGrid w:val="0"/>
        <w:spacing w:line="440" w:lineRule="exact"/>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⑧温度等级；</w:t>
      </w:r>
    </w:p>
    <w:p w14:paraId="252E3F63">
      <w:pPr>
        <w:adjustRightInd/>
        <w:snapToGrid w:val="0"/>
        <w:spacing w:line="440" w:lineRule="exact"/>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⑨最大压力损失；</w:t>
      </w:r>
    </w:p>
    <w:p w14:paraId="3E57100A">
      <w:pPr>
        <w:adjustRightInd/>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应附有产品使用说明书；</w:t>
      </w:r>
    </w:p>
    <w:p w14:paraId="0C8724E5">
      <w:pPr>
        <w:adjustRightInd/>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水表编号由采购人提供，厂家协助定制</w:t>
      </w:r>
    </w:p>
    <w:p w14:paraId="0274FF71">
      <w:pPr>
        <w:adjustRightInd/>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rPr>
        <w:t>.水平螺翼式冷水水表</w:t>
      </w:r>
      <w:r>
        <w:rPr>
          <w:rFonts w:hint="eastAsia" w:ascii="宋体" w:hAnsi="宋体" w:eastAsia="宋体" w:cs="宋体"/>
          <w:color w:val="auto"/>
          <w:sz w:val="21"/>
          <w:szCs w:val="21"/>
          <w:highlight w:val="none"/>
          <w:lang w:eastAsia="zh-CN"/>
        </w:rPr>
        <w:t>技术要求</w:t>
      </w:r>
    </w:p>
    <w:p w14:paraId="2372C37E">
      <w:pPr>
        <w:adjustRightInd/>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（1）温度等级：T30；</w:t>
      </w:r>
    </w:p>
    <w:p w14:paraId="5DE5EBD0">
      <w:pPr>
        <w:adjustRightInd/>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（2）DN80～DN200最大压力损失≤0.063MPa。</w:t>
      </w:r>
    </w:p>
    <w:p w14:paraId="4BB37AD2">
      <w:pPr>
        <w:adjustRightInd/>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（3）主要技术参数：</w:t>
      </w:r>
    </w:p>
    <w:tbl>
      <w:tblPr>
        <w:tblStyle w:val="31"/>
        <w:tblW w:w="0" w:type="auto"/>
        <w:jc w:val="center"/>
        <w:tblLayout w:type="fixed"/>
        <w:tblCellMar>
          <w:top w:w="0" w:type="dxa"/>
          <w:left w:w="108" w:type="dxa"/>
          <w:bottom w:w="0" w:type="dxa"/>
          <w:right w:w="108" w:type="dxa"/>
        </w:tblCellMar>
      </w:tblPr>
      <w:tblGrid>
        <w:gridCol w:w="795"/>
        <w:gridCol w:w="1011"/>
        <w:gridCol w:w="1300"/>
        <w:gridCol w:w="1322"/>
        <w:gridCol w:w="1345"/>
        <w:gridCol w:w="1255"/>
        <w:gridCol w:w="878"/>
        <w:gridCol w:w="1262"/>
      </w:tblGrid>
      <w:tr w14:paraId="0CF45DFC">
        <w:tblPrEx>
          <w:tblCellMar>
            <w:top w:w="0" w:type="dxa"/>
            <w:left w:w="108" w:type="dxa"/>
            <w:bottom w:w="0" w:type="dxa"/>
            <w:right w:w="108" w:type="dxa"/>
          </w:tblCellMar>
        </w:tblPrEx>
        <w:trPr>
          <w:trHeight w:val="440" w:hRule="atLeast"/>
          <w:jc w:val="center"/>
        </w:trPr>
        <w:tc>
          <w:tcPr>
            <w:tcW w:w="795" w:type="dxa"/>
            <w:vMerge w:val="restart"/>
            <w:tcBorders>
              <w:top w:val="single" w:color="auto" w:sz="8" w:space="0"/>
              <w:left w:val="single" w:color="auto" w:sz="8" w:space="0"/>
              <w:bottom w:val="single" w:color="000000" w:sz="8" w:space="0"/>
              <w:right w:val="single" w:color="auto" w:sz="8" w:space="0"/>
            </w:tcBorders>
            <w:noWrap w:val="0"/>
            <w:vAlign w:val="center"/>
          </w:tcPr>
          <w:p w14:paraId="36DE0F5D">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口径DN</w:t>
            </w:r>
          </w:p>
        </w:tc>
        <w:tc>
          <w:tcPr>
            <w:tcW w:w="1011" w:type="dxa"/>
            <w:vMerge w:val="restart"/>
            <w:tcBorders>
              <w:top w:val="single" w:color="auto" w:sz="8" w:space="0"/>
              <w:left w:val="single" w:color="auto" w:sz="8" w:space="0"/>
              <w:bottom w:val="single" w:color="000000" w:sz="8" w:space="0"/>
              <w:right w:val="single" w:color="auto" w:sz="8" w:space="0"/>
            </w:tcBorders>
            <w:noWrap w:val="0"/>
            <w:vAlign w:val="center"/>
          </w:tcPr>
          <w:p w14:paraId="13D58D8B">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量程比（Q</w:t>
            </w:r>
            <w:r>
              <w:rPr>
                <w:rFonts w:hint="eastAsia" w:ascii="宋体" w:hAnsi="宋体" w:eastAsia="宋体" w:cs="宋体"/>
                <w:color w:val="auto"/>
                <w:sz w:val="21"/>
                <w:szCs w:val="21"/>
                <w:highlight w:val="none"/>
                <w:vertAlign w:val="subscript"/>
              </w:rPr>
              <w:t>3</w:t>
            </w:r>
            <w:r>
              <w:rPr>
                <w:rFonts w:hint="eastAsia" w:ascii="宋体" w:hAnsi="宋体" w:eastAsia="宋体" w:cs="宋体"/>
                <w:color w:val="auto"/>
                <w:sz w:val="21"/>
                <w:szCs w:val="21"/>
                <w:highlight w:val="none"/>
              </w:rPr>
              <w:t>/Q</w:t>
            </w:r>
            <w:r>
              <w:rPr>
                <w:rFonts w:hint="eastAsia" w:ascii="宋体" w:hAnsi="宋体" w:eastAsia="宋体" w:cs="宋体"/>
                <w:color w:val="auto"/>
                <w:sz w:val="21"/>
                <w:szCs w:val="21"/>
                <w:highlight w:val="none"/>
                <w:vertAlign w:val="subscript"/>
              </w:rPr>
              <w:t>1</w:t>
            </w:r>
            <w:r>
              <w:rPr>
                <w:rFonts w:hint="eastAsia" w:ascii="宋体" w:hAnsi="宋体" w:eastAsia="宋体" w:cs="宋体"/>
                <w:color w:val="auto"/>
                <w:sz w:val="21"/>
                <w:szCs w:val="21"/>
                <w:highlight w:val="none"/>
              </w:rPr>
              <w:t>）</w:t>
            </w:r>
          </w:p>
        </w:tc>
        <w:tc>
          <w:tcPr>
            <w:tcW w:w="1300" w:type="dxa"/>
            <w:vMerge w:val="restart"/>
            <w:tcBorders>
              <w:top w:val="single" w:color="auto" w:sz="8" w:space="0"/>
              <w:left w:val="single" w:color="auto" w:sz="8" w:space="0"/>
              <w:bottom w:val="single" w:color="000000" w:sz="8" w:space="0"/>
              <w:right w:val="single" w:color="auto" w:sz="8" w:space="0"/>
            </w:tcBorders>
            <w:noWrap w:val="0"/>
            <w:vAlign w:val="center"/>
          </w:tcPr>
          <w:p w14:paraId="4C32D882">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过载流量Q</w:t>
            </w:r>
            <w:r>
              <w:rPr>
                <w:rFonts w:hint="eastAsia" w:ascii="宋体" w:hAnsi="宋体" w:eastAsia="宋体" w:cs="宋体"/>
                <w:color w:val="auto"/>
                <w:sz w:val="21"/>
                <w:szCs w:val="21"/>
                <w:highlight w:val="none"/>
                <w:u w:val="single"/>
                <w:vertAlign w:val="subscript"/>
              </w:rPr>
              <w:t>4</w:t>
            </w:r>
          </w:p>
        </w:tc>
        <w:tc>
          <w:tcPr>
            <w:tcW w:w="1322" w:type="dxa"/>
            <w:vMerge w:val="restart"/>
            <w:tcBorders>
              <w:top w:val="single" w:color="auto" w:sz="8" w:space="0"/>
              <w:left w:val="single" w:color="auto" w:sz="8" w:space="0"/>
              <w:bottom w:val="single" w:color="000000" w:sz="8" w:space="0"/>
              <w:right w:val="single" w:color="auto" w:sz="8" w:space="0"/>
            </w:tcBorders>
            <w:noWrap w:val="0"/>
            <w:vAlign w:val="center"/>
          </w:tcPr>
          <w:p w14:paraId="7E8BFAFB">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常用流量Q</w:t>
            </w:r>
            <w:r>
              <w:rPr>
                <w:rFonts w:hint="eastAsia" w:ascii="宋体" w:hAnsi="宋体" w:eastAsia="宋体" w:cs="宋体"/>
                <w:color w:val="auto"/>
                <w:sz w:val="21"/>
                <w:szCs w:val="21"/>
                <w:highlight w:val="none"/>
                <w:u w:val="single"/>
                <w:vertAlign w:val="subscript"/>
              </w:rPr>
              <w:t>3</w:t>
            </w:r>
          </w:p>
        </w:tc>
        <w:tc>
          <w:tcPr>
            <w:tcW w:w="1345" w:type="dxa"/>
            <w:vMerge w:val="restart"/>
            <w:tcBorders>
              <w:top w:val="single" w:color="auto" w:sz="8" w:space="0"/>
              <w:left w:val="single" w:color="auto" w:sz="8" w:space="0"/>
              <w:bottom w:val="single" w:color="000000" w:sz="8" w:space="0"/>
              <w:right w:val="single" w:color="auto" w:sz="8" w:space="0"/>
            </w:tcBorders>
            <w:noWrap w:val="0"/>
            <w:vAlign w:val="center"/>
          </w:tcPr>
          <w:p w14:paraId="3FC71C6A">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分界流量Q</w:t>
            </w:r>
            <w:r>
              <w:rPr>
                <w:rFonts w:hint="eastAsia" w:ascii="宋体" w:hAnsi="宋体" w:eastAsia="宋体" w:cs="宋体"/>
                <w:color w:val="auto"/>
                <w:sz w:val="21"/>
                <w:szCs w:val="21"/>
                <w:highlight w:val="none"/>
                <w:u w:val="single"/>
                <w:vertAlign w:val="subscript"/>
              </w:rPr>
              <w:t>2</w:t>
            </w:r>
          </w:p>
        </w:tc>
        <w:tc>
          <w:tcPr>
            <w:tcW w:w="1255" w:type="dxa"/>
            <w:vMerge w:val="restart"/>
            <w:tcBorders>
              <w:top w:val="single" w:color="auto" w:sz="8" w:space="0"/>
              <w:left w:val="single" w:color="auto" w:sz="8" w:space="0"/>
              <w:bottom w:val="single" w:color="000000" w:sz="8" w:space="0"/>
              <w:right w:val="single" w:color="auto" w:sz="8" w:space="0"/>
            </w:tcBorders>
            <w:noWrap w:val="0"/>
            <w:vAlign w:val="center"/>
          </w:tcPr>
          <w:p w14:paraId="48A0626A">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最小流量Q</w:t>
            </w:r>
            <w:r>
              <w:rPr>
                <w:rFonts w:hint="eastAsia" w:ascii="宋体" w:hAnsi="宋体" w:eastAsia="宋体" w:cs="宋体"/>
                <w:color w:val="auto"/>
                <w:sz w:val="21"/>
                <w:szCs w:val="21"/>
                <w:highlight w:val="none"/>
                <w:u w:val="single"/>
                <w:vertAlign w:val="subscript"/>
              </w:rPr>
              <w:t>1</w:t>
            </w:r>
          </w:p>
        </w:tc>
        <w:tc>
          <w:tcPr>
            <w:tcW w:w="878" w:type="dxa"/>
            <w:vMerge w:val="restart"/>
            <w:tcBorders>
              <w:top w:val="single" w:color="auto" w:sz="8" w:space="0"/>
              <w:left w:val="single" w:color="auto" w:sz="8" w:space="0"/>
              <w:bottom w:val="single" w:color="000000" w:sz="8" w:space="0"/>
              <w:right w:val="single" w:color="auto" w:sz="8" w:space="0"/>
            </w:tcBorders>
            <w:noWrap w:val="0"/>
            <w:vAlign w:val="center"/>
          </w:tcPr>
          <w:p w14:paraId="0C444B82">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最小读数Min</w:t>
            </w:r>
          </w:p>
        </w:tc>
        <w:tc>
          <w:tcPr>
            <w:tcW w:w="1262" w:type="dxa"/>
            <w:vMerge w:val="restart"/>
            <w:tcBorders>
              <w:top w:val="single" w:color="auto" w:sz="8" w:space="0"/>
              <w:left w:val="single" w:color="auto" w:sz="8" w:space="0"/>
              <w:bottom w:val="single" w:color="000000" w:sz="8" w:space="0"/>
              <w:right w:val="single" w:color="auto" w:sz="8" w:space="0"/>
            </w:tcBorders>
            <w:noWrap w:val="0"/>
            <w:vAlign w:val="center"/>
          </w:tcPr>
          <w:p w14:paraId="755D422F">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最大读数Max</w:t>
            </w:r>
          </w:p>
        </w:tc>
      </w:tr>
      <w:tr w14:paraId="79DA65AA">
        <w:tblPrEx>
          <w:tblCellMar>
            <w:top w:w="0" w:type="dxa"/>
            <w:left w:w="108" w:type="dxa"/>
            <w:bottom w:w="0" w:type="dxa"/>
            <w:right w:w="108" w:type="dxa"/>
          </w:tblCellMar>
        </w:tblPrEx>
        <w:trPr>
          <w:trHeight w:val="312" w:hRule="atLeast"/>
          <w:jc w:val="center"/>
        </w:trPr>
        <w:tc>
          <w:tcPr>
            <w:tcW w:w="795" w:type="dxa"/>
            <w:vMerge w:val="continue"/>
            <w:tcBorders>
              <w:top w:val="single" w:color="auto" w:sz="8" w:space="0"/>
              <w:left w:val="single" w:color="auto" w:sz="8" w:space="0"/>
              <w:bottom w:val="single" w:color="000000" w:sz="8" w:space="0"/>
              <w:right w:val="single" w:color="auto" w:sz="8" w:space="0"/>
            </w:tcBorders>
            <w:noWrap w:val="0"/>
            <w:vAlign w:val="center"/>
          </w:tcPr>
          <w:p w14:paraId="739CEA2B">
            <w:pPr>
              <w:adjustRightInd/>
              <w:jc w:val="center"/>
              <w:rPr>
                <w:rFonts w:hint="eastAsia" w:ascii="宋体" w:hAnsi="宋体" w:eastAsia="宋体" w:cs="宋体"/>
                <w:color w:val="auto"/>
                <w:sz w:val="21"/>
                <w:szCs w:val="21"/>
                <w:highlight w:val="none"/>
              </w:rPr>
            </w:pPr>
          </w:p>
        </w:tc>
        <w:tc>
          <w:tcPr>
            <w:tcW w:w="1011" w:type="dxa"/>
            <w:vMerge w:val="continue"/>
            <w:tcBorders>
              <w:top w:val="single" w:color="auto" w:sz="8" w:space="0"/>
              <w:left w:val="single" w:color="auto" w:sz="8" w:space="0"/>
              <w:bottom w:val="single" w:color="000000" w:sz="8" w:space="0"/>
              <w:right w:val="single" w:color="auto" w:sz="8" w:space="0"/>
            </w:tcBorders>
            <w:noWrap w:val="0"/>
            <w:vAlign w:val="center"/>
          </w:tcPr>
          <w:p w14:paraId="0D74DE42">
            <w:pPr>
              <w:adjustRightInd/>
              <w:jc w:val="center"/>
              <w:rPr>
                <w:rFonts w:hint="eastAsia" w:ascii="宋体" w:hAnsi="宋体" w:eastAsia="宋体" w:cs="宋体"/>
                <w:color w:val="auto"/>
                <w:sz w:val="21"/>
                <w:szCs w:val="21"/>
                <w:highlight w:val="none"/>
              </w:rPr>
            </w:pPr>
          </w:p>
        </w:tc>
        <w:tc>
          <w:tcPr>
            <w:tcW w:w="1300" w:type="dxa"/>
            <w:vMerge w:val="continue"/>
            <w:tcBorders>
              <w:top w:val="single" w:color="auto" w:sz="8" w:space="0"/>
              <w:left w:val="single" w:color="auto" w:sz="8" w:space="0"/>
              <w:bottom w:val="single" w:color="000000" w:sz="8" w:space="0"/>
              <w:right w:val="single" w:color="auto" w:sz="8" w:space="0"/>
            </w:tcBorders>
            <w:noWrap w:val="0"/>
            <w:vAlign w:val="center"/>
          </w:tcPr>
          <w:p w14:paraId="4EED79A9">
            <w:pPr>
              <w:adjustRightInd/>
              <w:jc w:val="center"/>
              <w:rPr>
                <w:rFonts w:hint="eastAsia" w:ascii="宋体" w:hAnsi="宋体" w:eastAsia="宋体" w:cs="宋体"/>
                <w:color w:val="auto"/>
                <w:sz w:val="21"/>
                <w:szCs w:val="21"/>
                <w:highlight w:val="none"/>
              </w:rPr>
            </w:pPr>
          </w:p>
        </w:tc>
        <w:tc>
          <w:tcPr>
            <w:tcW w:w="1322" w:type="dxa"/>
            <w:vMerge w:val="continue"/>
            <w:tcBorders>
              <w:top w:val="single" w:color="auto" w:sz="8" w:space="0"/>
              <w:left w:val="single" w:color="auto" w:sz="8" w:space="0"/>
              <w:bottom w:val="single" w:color="000000" w:sz="8" w:space="0"/>
              <w:right w:val="single" w:color="auto" w:sz="8" w:space="0"/>
            </w:tcBorders>
            <w:noWrap w:val="0"/>
            <w:vAlign w:val="center"/>
          </w:tcPr>
          <w:p w14:paraId="139C2F08">
            <w:pPr>
              <w:adjustRightInd/>
              <w:jc w:val="center"/>
              <w:rPr>
                <w:rFonts w:hint="eastAsia" w:ascii="宋体" w:hAnsi="宋体" w:eastAsia="宋体" w:cs="宋体"/>
                <w:color w:val="auto"/>
                <w:sz w:val="21"/>
                <w:szCs w:val="21"/>
                <w:highlight w:val="none"/>
              </w:rPr>
            </w:pPr>
          </w:p>
        </w:tc>
        <w:tc>
          <w:tcPr>
            <w:tcW w:w="1345" w:type="dxa"/>
            <w:vMerge w:val="continue"/>
            <w:tcBorders>
              <w:top w:val="single" w:color="auto" w:sz="8" w:space="0"/>
              <w:left w:val="single" w:color="auto" w:sz="8" w:space="0"/>
              <w:bottom w:val="single" w:color="000000" w:sz="8" w:space="0"/>
              <w:right w:val="single" w:color="auto" w:sz="8" w:space="0"/>
            </w:tcBorders>
            <w:noWrap w:val="0"/>
            <w:vAlign w:val="center"/>
          </w:tcPr>
          <w:p w14:paraId="4E803AD6">
            <w:pPr>
              <w:adjustRightInd/>
              <w:jc w:val="center"/>
              <w:rPr>
                <w:rFonts w:hint="eastAsia" w:ascii="宋体" w:hAnsi="宋体" w:eastAsia="宋体" w:cs="宋体"/>
                <w:color w:val="auto"/>
                <w:sz w:val="21"/>
                <w:szCs w:val="21"/>
                <w:highlight w:val="none"/>
              </w:rPr>
            </w:pPr>
          </w:p>
        </w:tc>
        <w:tc>
          <w:tcPr>
            <w:tcW w:w="1255" w:type="dxa"/>
            <w:vMerge w:val="continue"/>
            <w:tcBorders>
              <w:top w:val="single" w:color="auto" w:sz="8" w:space="0"/>
              <w:left w:val="single" w:color="auto" w:sz="8" w:space="0"/>
              <w:bottom w:val="single" w:color="000000" w:sz="8" w:space="0"/>
              <w:right w:val="single" w:color="auto" w:sz="8" w:space="0"/>
            </w:tcBorders>
            <w:noWrap w:val="0"/>
            <w:vAlign w:val="center"/>
          </w:tcPr>
          <w:p w14:paraId="0CDA834A">
            <w:pPr>
              <w:adjustRightInd/>
              <w:jc w:val="center"/>
              <w:rPr>
                <w:rFonts w:hint="eastAsia" w:ascii="宋体" w:hAnsi="宋体" w:eastAsia="宋体" w:cs="宋体"/>
                <w:color w:val="auto"/>
                <w:sz w:val="21"/>
                <w:szCs w:val="21"/>
                <w:highlight w:val="none"/>
              </w:rPr>
            </w:pPr>
          </w:p>
        </w:tc>
        <w:tc>
          <w:tcPr>
            <w:tcW w:w="878" w:type="dxa"/>
            <w:vMerge w:val="continue"/>
            <w:tcBorders>
              <w:top w:val="single" w:color="auto" w:sz="8" w:space="0"/>
              <w:left w:val="single" w:color="auto" w:sz="8" w:space="0"/>
              <w:bottom w:val="single" w:color="000000" w:sz="8" w:space="0"/>
              <w:right w:val="single" w:color="auto" w:sz="8" w:space="0"/>
            </w:tcBorders>
            <w:noWrap w:val="0"/>
            <w:vAlign w:val="center"/>
          </w:tcPr>
          <w:p w14:paraId="23299073">
            <w:pPr>
              <w:adjustRightInd/>
              <w:jc w:val="center"/>
              <w:rPr>
                <w:rFonts w:hint="eastAsia" w:ascii="宋体" w:hAnsi="宋体" w:eastAsia="宋体" w:cs="宋体"/>
                <w:color w:val="auto"/>
                <w:sz w:val="21"/>
                <w:szCs w:val="21"/>
                <w:highlight w:val="none"/>
              </w:rPr>
            </w:pPr>
          </w:p>
        </w:tc>
        <w:tc>
          <w:tcPr>
            <w:tcW w:w="1262" w:type="dxa"/>
            <w:vMerge w:val="continue"/>
            <w:tcBorders>
              <w:top w:val="single" w:color="auto" w:sz="8" w:space="0"/>
              <w:left w:val="single" w:color="auto" w:sz="8" w:space="0"/>
              <w:bottom w:val="single" w:color="000000" w:sz="8" w:space="0"/>
              <w:right w:val="single" w:color="auto" w:sz="8" w:space="0"/>
            </w:tcBorders>
            <w:noWrap w:val="0"/>
            <w:vAlign w:val="center"/>
          </w:tcPr>
          <w:p w14:paraId="4325F3EC">
            <w:pPr>
              <w:adjustRightInd/>
              <w:jc w:val="center"/>
              <w:rPr>
                <w:rFonts w:hint="eastAsia" w:ascii="宋体" w:hAnsi="宋体" w:eastAsia="宋体" w:cs="宋体"/>
                <w:color w:val="auto"/>
                <w:sz w:val="21"/>
                <w:szCs w:val="21"/>
                <w:highlight w:val="none"/>
              </w:rPr>
            </w:pPr>
          </w:p>
        </w:tc>
      </w:tr>
      <w:tr w14:paraId="72693A21">
        <w:tblPrEx>
          <w:tblCellMar>
            <w:top w:w="0" w:type="dxa"/>
            <w:left w:w="108" w:type="dxa"/>
            <w:bottom w:w="0" w:type="dxa"/>
            <w:right w:w="108" w:type="dxa"/>
          </w:tblCellMar>
        </w:tblPrEx>
        <w:trPr>
          <w:trHeight w:val="395" w:hRule="atLeast"/>
          <w:jc w:val="center"/>
        </w:trPr>
        <w:tc>
          <w:tcPr>
            <w:tcW w:w="795" w:type="dxa"/>
            <w:tcBorders>
              <w:top w:val="nil"/>
              <w:left w:val="single" w:color="auto" w:sz="8" w:space="0"/>
              <w:bottom w:val="single" w:color="auto" w:sz="8" w:space="0"/>
              <w:right w:val="single" w:color="auto" w:sz="8" w:space="0"/>
            </w:tcBorders>
            <w:noWrap w:val="0"/>
            <w:vAlign w:val="center"/>
          </w:tcPr>
          <w:p w14:paraId="3126ADE2">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mm</w:t>
            </w:r>
          </w:p>
        </w:tc>
        <w:tc>
          <w:tcPr>
            <w:tcW w:w="1011" w:type="dxa"/>
            <w:vMerge w:val="continue"/>
            <w:tcBorders>
              <w:top w:val="single" w:color="auto" w:sz="8" w:space="0"/>
              <w:left w:val="single" w:color="auto" w:sz="8" w:space="0"/>
              <w:bottom w:val="single" w:color="000000" w:sz="8" w:space="0"/>
              <w:right w:val="single" w:color="auto" w:sz="8" w:space="0"/>
            </w:tcBorders>
            <w:noWrap w:val="0"/>
            <w:vAlign w:val="center"/>
          </w:tcPr>
          <w:p w14:paraId="3B29801F">
            <w:pPr>
              <w:adjustRightInd/>
              <w:jc w:val="center"/>
              <w:rPr>
                <w:rFonts w:hint="eastAsia" w:ascii="宋体" w:hAnsi="宋体" w:eastAsia="宋体" w:cs="宋体"/>
                <w:color w:val="auto"/>
                <w:sz w:val="21"/>
                <w:szCs w:val="21"/>
                <w:highlight w:val="none"/>
              </w:rPr>
            </w:pPr>
          </w:p>
        </w:tc>
        <w:tc>
          <w:tcPr>
            <w:tcW w:w="2622" w:type="dxa"/>
            <w:gridSpan w:val="2"/>
            <w:tcBorders>
              <w:top w:val="single" w:color="000000" w:sz="8" w:space="0"/>
              <w:left w:val="nil"/>
              <w:bottom w:val="single" w:color="auto" w:sz="8" w:space="0"/>
              <w:right w:val="single" w:color="000000" w:sz="8" w:space="0"/>
            </w:tcBorders>
            <w:noWrap w:val="0"/>
            <w:vAlign w:val="center"/>
          </w:tcPr>
          <w:p w14:paraId="2448D8AB">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r>
              <w:rPr>
                <w:rFonts w:hint="eastAsia" w:ascii="宋体" w:hAnsi="宋体" w:eastAsia="宋体" w:cs="宋体"/>
                <w:color w:val="auto"/>
                <w:sz w:val="21"/>
                <w:szCs w:val="21"/>
                <w:highlight w:val="none"/>
                <w:vertAlign w:val="superscript"/>
              </w:rPr>
              <w:t>3</w:t>
            </w:r>
            <w:r>
              <w:rPr>
                <w:rFonts w:hint="eastAsia" w:ascii="宋体" w:hAnsi="宋体" w:eastAsia="宋体" w:cs="宋体"/>
                <w:color w:val="auto"/>
                <w:sz w:val="21"/>
                <w:szCs w:val="21"/>
                <w:highlight w:val="none"/>
              </w:rPr>
              <w:t>/h</w:t>
            </w:r>
          </w:p>
        </w:tc>
        <w:tc>
          <w:tcPr>
            <w:tcW w:w="2600" w:type="dxa"/>
            <w:gridSpan w:val="2"/>
            <w:tcBorders>
              <w:top w:val="single" w:color="000000" w:sz="8" w:space="0"/>
              <w:left w:val="nil"/>
              <w:bottom w:val="single" w:color="auto" w:sz="8" w:space="0"/>
              <w:right w:val="single" w:color="000000" w:sz="8" w:space="0"/>
            </w:tcBorders>
            <w:noWrap w:val="0"/>
            <w:vAlign w:val="center"/>
          </w:tcPr>
          <w:p w14:paraId="308B99CD">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r>
              <w:rPr>
                <w:rFonts w:hint="eastAsia" w:ascii="宋体" w:hAnsi="宋体" w:eastAsia="宋体" w:cs="宋体"/>
                <w:color w:val="auto"/>
                <w:sz w:val="21"/>
                <w:szCs w:val="21"/>
                <w:highlight w:val="none"/>
                <w:vertAlign w:val="superscript"/>
              </w:rPr>
              <w:t>3</w:t>
            </w:r>
            <w:r>
              <w:rPr>
                <w:rFonts w:hint="eastAsia" w:ascii="宋体" w:hAnsi="宋体" w:eastAsia="宋体" w:cs="宋体"/>
                <w:color w:val="auto"/>
                <w:sz w:val="21"/>
                <w:szCs w:val="21"/>
                <w:highlight w:val="none"/>
              </w:rPr>
              <w:t>/h</w:t>
            </w:r>
          </w:p>
        </w:tc>
        <w:tc>
          <w:tcPr>
            <w:tcW w:w="2140" w:type="dxa"/>
            <w:gridSpan w:val="2"/>
            <w:tcBorders>
              <w:top w:val="single" w:color="000000" w:sz="8" w:space="0"/>
              <w:left w:val="nil"/>
              <w:bottom w:val="single" w:color="auto" w:sz="8" w:space="0"/>
              <w:right w:val="single" w:color="000000" w:sz="8" w:space="0"/>
            </w:tcBorders>
            <w:noWrap w:val="0"/>
            <w:vAlign w:val="center"/>
          </w:tcPr>
          <w:p w14:paraId="0EBC8CE2">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w:t>
            </w:r>
            <w:r>
              <w:rPr>
                <w:rFonts w:hint="eastAsia" w:ascii="宋体" w:hAnsi="宋体" w:eastAsia="宋体" w:cs="宋体"/>
                <w:color w:val="auto"/>
                <w:sz w:val="21"/>
                <w:szCs w:val="21"/>
                <w:highlight w:val="none"/>
                <w:vertAlign w:val="superscript"/>
              </w:rPr>
              <w:t>3</w:t>
            </w:r>
          </w:p>
        </w:tc>
      </w:tr>
      <w:tr w14:paraId="63545D11">
        <w:tblPrEx>
          <w:tblCellMar>
            <w:top w:w="0" w:type="dxa"/>
            <w:left w:w="108" w:type="dxa"/>
            <w:bottom w:w="0" w:type="dxa"/>
            <w:right w:w="108" w:type="dxa"/>
          </w:tblCellMar>
        </w:tblPrEx>
        <w:trPr>
          <w:trHeight w:val="395" w:hRule="atLeast"/>
          <w:jc w:val="center"/>
        </w:trPr>
        <w:tc>
          <w:tcPr>
            <w:tcW w:w="795" w:type="dxa"/>
            <w:vMerge w:val="restart"/>
            <w:tcBorders>
              <w:top w:val="nil"/>
              <w:left w:val="single" w:color="auto" w:sz="8" w:space="0"/>
              <w:bottom w:val="single" w:color="000000" w:sz="8" w:space="0"/>
              <w:right w:val="single" w:color="auto" w:sz="8" w:space="0"/>
            </w:tcBorders>
            <w:noWrap w:val="0"/>
            <w:vAlign w:val="center"/>
          </w:tcPr>
          <w:p w14:paraId="60D52380">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1011" w:type="dxa"/>
            <w:tcBorders>
              <w:top w:val="nil"/>
              <w:left w:val="nil"/>
              <w:bottom w:val="single" w:color="auto" w:sz="8" w:space="0"/>
              <w:right w:val="single" w:color="auto" w:sz="8" w:space="0"/>
            </w:tcBorders>
            <w:noWrap w:val="0"/>
            <w:vAlign w:val="center"/>
          </w:tcPr>
          <w:p w14:paraId="4138F2A6">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1300" w:type="dxa"/>
            <w:vMerge w:val="restart"/>
            <w:tcBorders>
              <w:top w:val="nil"/>
              <w:left w:val="single" w:color="auto" w:sz="8" w:space="0"/>
              <w:bottom w:val="single" w:color="000000" w:sz="8" w:space="0"/>
              <w:right w:val="single" w:color="auto" w:sz="8" w:space="0"/>
            </w:tcBorders>
            <w:noWrap w:val="0"/>
            <w:vAlign w:val="center"/>
          </w:tcPr>
          <w:p w14:paraId="677430C3">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78.75</w:t>
            </w:r>
          </w:p>
        </w:tc>
        <w:tc>
          <w:tcPr>
            <w:tcW w:w="1322" w:type="dxa"/>
            <w:vMerge w:val="restart"/>
            <w:tcBorders>
              <w:top w:val="nil"/>
              <w:left w:val="single" w:color="auto" w:sz="8" w:space="0"/>
              <w:bottom w:val="single" w:color="000000" w:sz="8" w:space="0"/>
              <w:right w:val="single" w:color="auto" w:sz="8" w:space="0"/>
            </w:tcBorders>
            <w:noWrap w:val="0"/>
            <w:vAlign w:val="center"/>
          </w:tcPr>
          <w:p w14:paraId="03DC5AC6">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w:t>
            </w:r>
          </w:p>
        </w:tc>
        <w:tc>
          <w:tcPr>
            <w:tcW w:w="1345" w:type="dxa"/>
            <w:tcBorders>
              <w:top w:val="nil"/>
              <w:left w:val="nil"/>
              <w:bottom w:val="single" w:color="auto" w:sz="8" w:space="0"/>
              <w:right w:val="single" w:color="auto" w:sz="8" w:space="0"/>
            </w:tcBorders>
            <w:noWrap w:val="0"/>
            <w:vAlign w:val="center"/>
          </w:tcPr>
          <w:p w14:paraId="0EA48E6F">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1.26</w:t>
            </w:r>
          </w:p>
        </w:tc>
        <w:tc>
          <w:tcPr>
            <w:tcW w:w="1255" w:type="dxa"/>
            <w:tcBorders>
              <w:top w:val="nil"/>
              <w:left w:val="nil"/>
              <w:bottom w:val="single" w:color="auto" w:sz="8" w:space="0"/>
              <w:right w:val="single" w:color="auto" w:sz="8" w:space="0"/>
            </w:tcBorders>
            <w:noWrap w:val="0"/>
            <w:vAlign w:val="center"/>
          </w:tcPr>
          <w:p w14:paraId="4377154D">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0.8</w:t>
            </w:r>
          </w:p>
        </w:tc>
        <w:tc>
          <w:tcPr>
            <w:tcW w:w="878" w:type="dxa"/>
            <w:vMerge w:val="restart"/>
            <w:tcBorders>
              <w:top w:val="nil"/>
              <w:left w:val="single" w:color="auto" w:sz="8" w:space="0"/>
              <w:bottom w:val="single" w:color="000000" w:sz="8" w:space="0"/>
              <w:right w:val="single" w:color="auto" w:sz="8" w:space="0"/>
            </w:tcBorders>
            <w:noWrap w:val="0"/>
            <w:vAlign w:val="center"/>
          </w:tcPr>
          <w:p w14:paraId="36BE382F">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0.001</w:t>
            </w:r>
          </w:p>
        </w:tc>
        <w:tc>
          <w:tcPr>
            <w:tcW w:w="1262" w:type="dxa"/>
            <w:vMerge w:val="restart"/>
            <w:tcBorders>
              <w:top w:val="nil"/>
              <w:left w:val="single" w:color="auto" w:sz="8" w:space="0"/>
              <w:bottom w:val="single" w:color="000000" w:sz="8" w:space="0"/>
              <w:right w:val="single" w:color="auto" w:sz="8" w:space="0"/>
            </w:tcBorders>
            <w:noWrap w:val="0"/>
            <w:vAlign w:val="center"/>
          </w:tcPr>
          <w:p w14:paraId="61ADD086">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999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999</w:t>
            </w:r>
          </w:p>
        </w:tc>
      </w:tr>
      <w:tr w14:paraId="1D7301C3">
        <w:tblPrEx>
          <w:tblCellMar>
            <w:top w:w="0" w:type="dxa"/>
            <w:left w:w="108" w:type="dxa"/>
            <w:bottom w:w="0" w:type="dxa"/>
            <w:right w:w="108" w:type="dxa"/>
          </w:tblCellMar>
        </w:tblPrEx>
        <w:trPr>
          <w:trHeight w:val="395" w:hRule="atLeast"/>
          <w:jc w:val="center"/>
        </w:trPr>
        <w:tc>
          <w:tcPr>
            <w:tcW w:w="795" w:type="dxa"/>
            <w:vMerge w:val="continue"/>
            <w:tcBorders>
              <w:top w:val="nil"/>
              <w:left w:val="single" w:color="auto" w:sz="8" w:space="0"/>
              <w:bottom w:val="single" w:color="000000" w:sz="8" w:space="0"/>
              <w:right w:val="single" w:color="auto" w:sz="8" w:space="0"/>
            </w:tcBorders>
            <w:noWrap w:val="0"/>
            <w:vAlign w:val="center"/>
          </w:tcPr>
          <w:p w14:paraId="09FBA015">
            <w:pPr>
              <w:adjustRightInd/>
              <w:jc w:val="center"/>
              <w:rPr>
                <w:rFonts w:hint="eastAsia" w:ascii="宋体" w:hAnsi="宋体" w:eastAsia="宋体" w:cs="宋体"/>
                <w:color w:val="auto"/>
                <w:sz w:val="21"/>
                <w:szCs w:val="21"/>
                <w:highlight w:val="none"/>
              </w:rPr>
            </w:pPr>
          </w:p>
        </w:tc>
        <w:tc>
          <w:tcPr>
            <w:tcW w:w="1011" w:type="dxa"/>
            <w:tcBorders>
              <w:top w:val="nil"/>
              <w:left w:val="nil"/>
              <w:bottom w:val="single" w:color="auto" w:sz="8" w:space="0"/>
              <w:right w:val="single" w:color="auto" w:sz="8" w:space="0"/>
            </w:tcBorders>
            <w:noWrap w:val="0"/>
            <w:vAlign w:val="center"/>
          </w:tcPr>
          <w:p w14:paraId="1365E35C">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300" w:type="dxa"/>
            <w:vMerge w:val="continue"/>
            <w:tcBorders>
              <w:top w:val="nil"/>
              <w:left w:val="single" w:color="auto" w:sz="8" w:space="0"/>
              <w:bottom w:val="single" w:color="000000" w:sz="8" w:space="0"/>
              <w:right w:val="single" w:color="auto" w:sz="8" w:space="0"/>
            </w:tcBorders>
            <w:noWrap w:val="0"/>
            <w:vAlign w:val="center"/>
          </w:tcPr>
          <w:p w14:paraId="6A7BC43D">
            <w:pPr>
              <w:adjustRightInd/>
              <w:jc w:val="center"/>
              <w:rPr>
                <w:rFonts w:hint="eastAsia" w:ascii="宋体" w:hAnsi="宋体" w:eastAsia="宋体" w:cs="宋体"/>
                <w:color w:val="auto"/>
                <w:sz w:val="21"/>
                <w:szCs w:val="21"/>
                <w:highlight w:val="none"/>
              </w:rPr>
            </w:pPr>
          </w:p>
        </w:tc>
        <w:tc>
          <w:tcPr>
            <w:tcW w:w="1322" w:type="dxa"/>
            <w:vMerge w:val="continue"/>
            <w:tcBorders>
              <w:top w:val="nil"/>
              <w:left w:val="single" w:color="auto" w:sz="8" w:space="0"/>
              <w:bottom w:val="single" w:color="000000" w:sz="8" w:space="0"/>
              <w:right w:val="single" w:color="auto" w:sz="8" w:space="0"/>
            </w:tcBorders>
            <w:noWrap w:val="0"/>
            <w:vAlign w:val="center"/>
          </w:tcPr>
          <w:p w14:paraId="4E7570BD">
            <w:pPr>
              <w:adjustRightInd/>
              <w:jc w:val="center"/>
              <w:rPr>
                <w:rFonts w:hint="eastAsia" w:ascii="宋体" w:hAnsi="宋体" w:eastAsia="宋体" w:cs="宋体"/>
                <w:color w:val="auto"/>
                <w:sz w:val="21"/>
                <w:szCs w:val="21"/>
                <w:highlight w:val="none"/>
              </w:rPr>
            </w:pPr>
          </w:p>
        </w:tc>
        <w:tc>
          <w:tcPr>
            <w:tcW w:w="1345" w:type="dxa"/>
            <w:tcBorders>
              <w:top w:val="nil"/>
              <w:left w:val="nil"/>
              <w:bottom w:val="single" w:color="auto" w:sz="8" w:space="0"/>
              <w:right w:val="single" w:color="auto" w:sz="8" w:space="0"/>
            </w:tcBorders>
            <w:noWrap w:val="0"/>
            <w:vAlign w:val="center"/>
          </w:tcPr>
          <w:p w14:paraId="5BF0158C">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255" w:type="dxa"/>
            <w:tcBorders>
              <w:top w:val="nil"/>
              <w:left w:val="nil"/>
              <w:bottom w:val="single" w:color="auto" w:sz="8" w:space="0"/>
              <w:right w:val="single" w:color="auto" w:sz="8" w:space="0"/>
            </w:tcBorders>
            <w:noWrap w:val="0"/>
            <w:vAlign w:val="center"/>
          </w:tcPr>
          <w:p w14:paraId="792A0BBA">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0.63</w:t>
            </w:r>
          </w:p>
        </w:tc>
        <w:tc>
          <w:tcPr>
            <w:tcW w:w="878" w:type="dxa"/>
            <w:vMerge w:val="continue"/>
            <w:tcBorders>
              <w:top w:val="nil"/>
              <w:left w:val="single" w:color="auto" w:sz="8" w:space="0"/>
              <w:bottom w:val="single" w:color="000000" w:sz="8" w:space="0"/>
              <w:right w:val="single" w:color="auto" w:sz="8" w:space="0"/>
            </w:tcBorders>
            <w:noWrap w:val="0"/>
            <w:vAlign w:val="center"/>
          </w:tcPr>
          <w:p w14:paraId="0C84FC66">
            <w:pPr>
              <w:adjustRightInd/>
              <w:jc w:val="center"/>
              <w:rPr>
                <w:rFonts w:hint="eastAsia" w:ascii="宋体" w:hAnsi="宋体" w:eastAsia="宋体" w:cs="宋体"/>
                <w:color w:val="auto"/>
                <w:sz w:val="21"/>
                <w:szCs w:val="21"/>
                <w:highlight w:val="none"/>
              </w:rPr>
            </w:pPr>
          </w:p>
        </w:tc>
        <w:tc>
          <w:tcPr>
            <w:tcW w:w="1262" w:type="dxa"/>
            <w:vMerge w:val="continue"/>
            <w:tcBorders>
              <w:top w:val="nil"/>
              <w:left w:val="single" w:color="auto" w:sz="8" w:space="0"/>
              <w:bottom w:val="single" w:color="000000" w:sz="8" w:space="0"/>
              <w:right w:val="single" w:color="auto" w:sz="8" w:space="0"/>
            </w:tcBorders>
            <w:noWrap w:val="0"/>
            <w:vAlign w:val="center"/>
          </w:tcPr>
          <w:p w14:paraId="4B215BEE">
            <w:pPr>
              <w:adjustRightInd/>
              <w:jc w:val="center"/>
              <w:rPr>
                <w:rFonts w:hint="eastAsia" w:ascii="宋体" w:hAnsi="宋体" w:eastAsia="宋体" w:cs="宋体"/>
                <w:color w:val="auto"/>
                <w:sz w:val="21"/>
                <w:szCs w:val="21"/>
                <w:highlight w:val="none"/>
              </w:rPr>
            </w:pPr>
          </w:p>
        </w:tc>
      </w:tr>
      <w:tr w14:paraId="679B2707">
        <w:tblPrEx>
          <w:tblCellMar>
            <w:top w:w="0" w:type="dxa"/>
            <w:left w:w="108" w:type="dxa"/>
            <w:bottom w:w="0" w:type="dxa"/>
            <w:right w:w="108" w:type="dxa"/>
          </w:tblCellMar>
        </w:tblPrEx>
        <w:trPr>
          <w:trHeight w:val="395" w:hRule="atLeast"/>
          <w:jc w:val="center"/>
        </w:trPr>
        <w:tc>
          <w:tcPr>
            <w:tcW w:w="795" w:type="dxa"/>
            <w:vMerge w:val="restart"/>
            <w:tcBorders>
              <w:top w:val="nil"/>
              <w:left w:val="single" w:color="auto" w:sz="8" w:space="0"/>
              <w:bottom w:val="single" w:color="000000" w:sz="8" w:space="0"/>
              <w:right w:val="single" w:color="auto" w:sz="8" w:space="0"/>
            </w:tcBorders>
            <w:noWrap w:val="0"/>
            <w:vAlign w:val="center"/>
          </w:tcPr>
          <w:p w14:paraId="4F13A4B6">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011" w:type="dxa"/>
            <w:tcBorders>
              <w:top w:val="nil"/>
              <w:left w:val="nil"/>
              <w:bottom w:val="single" w:color="auto" w:sz="8" w:space="0"/>
              <w:right w:val="single" w:color="auto" w:sz="8" w:space="0"/>
            </w:tcBorders>
            <w:noWrap w:val="0"/>
            <w:vAlign w:val="center"/>
          </w:tcPr>
          <w:p w14:paraId="56A31E90">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1300" w:type="dxa"/>
            <w:vMerge w:val="restart"/>
            <w:tcBorders>
              <w:top w:val="nil"/>
              <w:left w:val="single" w:color="auto" w:sz="8" w:space="0"/>
              <w:bottom w:val="single" w:color="000000" w:sz="8" w:space="0"/>
              <w:right w:val="single" w:color="auto" w:sz="8" w:space="0"/>
            </w:tcBorders>
            <w:noWrap w:val="0"/>
            <w:vAlign w:val="center"/>
          </w:tcPr>
          <w:p w14:paraId="496D1D42">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w:t>
            </w:r>
          </w:p>
        </w:tc>
        <w:tc>
          <w:tcPr>
            <w:tcW w:w="1322" w:type="dxa"/>
            <w:vMerge w:val="restart"/>
            <w:tcBorders>
              <w:top w:val="nil"/>
              <w:left w:val="single" w:color="auto" w:sz="8" w:space="0"/>
              <w:bottom w:val="single" w:color="000000" w:sz="8" w:space="0"/>
              <w:right w:val="single" w:color="auto" w:sz="8" w:space="0"/>
            </w:tcBorders>
            <w:noWrap w:val="0"/>
            <w:vAlign w:val="center"/>
          </w:tcPr>
          <w:p w14:paraId="7BD89320">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345" w:type="dxa"/>
            <w:tcBorders>
              <w:top w:val="nil"/>
              <w:left w:val="nil"/>
              <w:bottom w:val="single" w:color="auto" w:sz="8" w:space="0"/>
              <w:right w:val="single" w:color="auto" w:sz="8" w:space="0"/>
            </w:tcBorders>
            <w:noWrap w:val="0"/>
            <w:vAlign w:val="center"/>
          </w:tcPr>
          <w:p w14:paraId="712ADDBE">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w:t>
            </w:r>
          </w:p>
        </w:tc>
        <w:tc>
          <w:tcPr>
            <w:tcW w:w="1255" w:type="dxa"/>
            <w:tcBorders>
              <w:top w:val="nil"/>
              <w:left w:val="nil"/>
              <w:bottom w:val="single" w:color="auto" w:sz="8" w:space="0"/>
              <w:right w:val="single" w:color="auto" w:sz="8" w:space="0"/>
            </w:tcBorders>
            <w:noWrap w:val="0"/>
            <w:vAlign w:val="center"/>
          </w:tcPr>
          <w:p w14:paraId="68D25E51">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w:t>
            </w:r>
          </w:p>
        </w:tc>
        <w:tc>
          <w:tcPr>
            <w:tcW w:w="878" w:type="dxa"/>
            <w:vMerge w:val="restart"/>
            <w:tcBorders>
              <w:top w:val="nil"/>
              <w:left w:val="single" w:color="auto" w:sz="8" w:space="0"/>
              <w:bottom w:val="single" w:color="000000" w:sz="8" w:space="0"/>
              <w:right w:val="single" w:color="auto" w:sz="8" w:space="0"/>
            </w:tcBorders>
            <w:noWrap w:val="0"/>
            <w:vAlign w:val="center"/>
          </w:tcPr>
          <w:p w14:paraId="560F0FBD">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0.001</w:t>
            </w:r>
          </w:p>
        </w:tc>
        <w:tc>
          <w:tcPr>
            <w:tcW w:w="1262" w:type="dxa"/>
            <w:vMerge w:val="restart"/>
            <w:tcBorders>
              <w:top w:val="nil"/>
              <w:left w:val="single" w:color="auto" w:sz="8" w:space="0"/>
              <w:bottom w:val="single" w:color="000000" w:sz="8" w:space="0"/>
              <w:right w:val="single" w:color="auto" w:sz="8" w:space="0"/>
            </w:tcBorders>
            <w:noWrap w:val="0"/>
            <w:vAlign w:val="center"/>
          </w:tcPr>
          <w:p w14:paraId="0622B9DC">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999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999</w:t>
            </w:r>
          </w:p>
        </w:tc>
      </w:tr>
      <w:tr w14:paraId="5C19E909">
        <w:tblPrEx>
          <w:tblCellMar>
            <w:top w:w="0" w:type="dxa"/>
            <w:left w:w="108" w:type="dxa"/>
            <w:bottom w:w="0" w:type="dxa"/>
            <w:right w:w="108" w:type="dxa"/>
          </w:tblCellMar>
        </w:tblPrEx>
        <w:trPr>
          <w:trHeight w:val="395" w:hRule="atLeast"/>
          <w:jc w:val="center"/>
        </w:trPr>
        <w:tc>
          <w:tcPr>
            <w:tcW w:w="795" w:type="dxa"/>
            <w:vMerge w:val="continue"/>
            <w:tcBorders>
              <w:top w:val="nil"/>
              <w:left w:val="single" w:color="auto" w:sz="8" w:space="0"/>
              <w:bottom w:val="single" w:color="000000" w:sz="8" w:space="0"/>
              <w:right w:val="single" w:color="auto" w:sz="8" w:space="0"/>
            </w:tcBorders>
            <w:noWrap w:val="0"/>
            <w:vAlign w:val="center"/>
          </w:tcPr>
          <w:p w14:paraId="4377C5B3">
            <w:pPr>
              <w:adjustRightInd/>
              <w:jc w:val="center"/>
              <w:rPr>
                <w:rFonts w:hint="eastAsia" w:ascii="宋体" w:hAnsi="宋体" w:eastAsia="宋体" w:cs="宋体"/>
                <w:color w:val="auto"/>
                <w:sz w:val="21"/>
                <w:szCs w:val="21"/>
                <w:highlight w:val="none"/>
              </w:rPr>
            </w:pPr>
          </w:p>
        </w:tc>
        <w:tc>
          <w:tcPr>
            <w:tcW w:w="1011" w:type="dxa"/>
            <w:tcBorders>
              <w:top w:val="nil"/>
              <w:left w:val="nil"/>
              <w:bottom w:val="single" w:color="auto" w:sz="8" w:space="0"/>
              <w:right w:val="single" w:color="auto" w:sz="8" w:space="0"/>
            </w:tcBorders>
            <w:noWrap w:val="0"/>
            <w:vAlign w:val="center"/>
          </w:tcPr>
          <w:p w14:paraId="61C47FCF">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300" w:type="dxa"/>
            <w:vMerge w:val="continue"/>
            <w:tcBorders>
              <w:top w:val="nil"/>
              <w:left w:val="single" w:color="auto" w:sz="8" w:space="0"/>
              <w:bottom w:val="single" w:color="000000" w:sz="8" w:space="0"/>
              <w:right w:val="single" w:color="auto" w:sz="8" w:space="0"/>
            </w:tcBorders>
            <w:noWrap w:val="0"/>
            <w:vAlign w:val="center"/>
          </w:tcPr>
          <w:p w14:paraId="23094E36">
            <w:pPr>
              <w:adjustRightInd/>
              <w:jc w:val="center"/>
              <w:rPr>
                <w:rFonts w:hint="eastAsia" w:ascii="宋体" w:hAnsi="宋体" w:eastAsia="宋体" w:cs="宋体"/>
                <w:color w:val="auto"/>
                <w:sz w:val="21"/>
                <w:szCs w:val="21"/>
                <w:highlight w:val="none"/>
              </w:rPr>
            </w:pPr>
          </w:p>
        </w:tc>
        <w:tc>
          <w:tcPr>
            <w:tcW w:w="1322" w:type="dxa"/>
            <w:vMerge w:val="continue"/>
            <w:tcBorders>
              <w:top w:val="nil"/>
              <w:left w:val="single" w:color="auto" w:sz="8" w:space="0"/>
              <w:bottom w:val="single" w:color="000000" w:sz="8" w:space="0"/>
              <w:right w:val="single" w:color="auto" w:sz="8" w:space="0"/>
            </w:tcBorders>
            <w:noWrap w:val="0"/>
            <w:vAlign w:val="center"/>
          </w:tcPr>
          <w:p w14:paraId="6256ACA3">
            <w:pPr>
              <w:adjustRightInd/>
              <w:jc w:val="center"/>
              <w:rPr>
                <w:rFonts w:hint="eastAsia" w:ascii="宋体" w:hAnsi="宋体" w:eastAsia="宋体" w:cs="宋体"/>
                <w:color w:val="auto"/>
                <w:sz w:val="21"/>
                <w:szCs w:val="21"/>
                <w:highlight w:val="none"/>
              </w:rPr>
            </w:pPr>
          </w:p>
        </w:tc>
        <w:tc>
          <w:tcPr>
            <w:tcW w:w="1345" w:type="dxa"/>
            <w:tcBorders>
              <w:top w:val="nil"/>
              <w:left w:val="nil"/>
              <w:bottom w:val="single" w:color="auto" w:sz="8" w:space="0"/>
              <w:right w:val="single" w:color="auto" w:sz="8" w:space="0"/>
            </w:tcBorders>
            <w:noWrap w:val="0"/>
            <w:vAlign w:val="center"/>
          </w:tcPr>
          <w:p w14:paraId="21713C69">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1255" w:type="dxa"/>
            <w:tcBorders>
              <w:top w:val="nil"/>
              <w:left w:val="nil"/>
              <w:bottom w:val="single" w:color="auto" w:sz="8" w:space="0"/>
              <w:right w:val="single" w:color="auto" w:sz="8" w:space="0"/>
            </w:tcBorders>
            <w:noWrap w:val="0"/>
            <w:vAlign w:val="center"/>
          </w:tcPr>
          <w:p w14:paraId="0436F1C0">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878" w:type="dxa"/>
            <w:vMerge w:val="continue"/>
            <w:tcBorders>
              <w:top w:val="nil"/>
              <w:left w:val="single" w:color="auto" w:sz="8" w:space="0"/>
              <w:bottom w:val="single" w:color="000000" w:sz="8" w:space="0"/>
              <w:right w:val="single" w:color="auto" w:sz="8" w:space="0"/>
            </w:tcBorders>
            <w:noWrap w:val="0"/>
            <w:vAlign w:val="center"/>
          </w:tcPr>
          <w:p w14:paraId="0CD1776A">
            <w:pPr>
              <w:adjustRightInd/>
              <w:jc w:val="center"/>
              <w:rPr>
                <w:rFonts w:hint="eastAsia" w:ascii="宋体" w:hAnsi="宋体" w:eastAsia="宋体" w:cs="宋体"/>
                <w:color w:val="auto"/>
                <w:sz w:val="21"/>
                <w:szCs w:val="21"/>
                <w:highlight w:val="none"/>
              </w:rPr>
            </w:pPr>
          </w:p>
        </w:tc>
        <w:tc>
          <w:tcPr>
            <w:tcW w:w="1262" w:type="dxa"/>
            <w:vMerge w:val="continue"/>
            <w:tcBorders>
              <w:top w:val="nil"/>
              <w:left w:val="single" w:color="auto" w:sz="8" w:space="0"/>
              <w:bottom w:val="single" w:color="000000" w:sz="8" w:space="0"/>
              <w:right w:val="single" w:color="auto" w:sz="8" w:space="0"/>
            </w:tcBorders>
            <w:noWrap w:val="0"/>
            <w:vAlign w:val="center"/>
          </w:tcPr>
          <w:p w14:paraId="3C7EB36A">
            <w:pPr>
              <w:adjustRightInd/>
              <w:jc w:val="center"/>
              <w:rPr>
                <w:rFonts w:hint="eastAsia" w:ascii="宋体" w:hAnsi="宋体" w:eastAsia="宋体" w:cs="宋体"/>
                <w:color w:val="auto"/>
                <w:sz w:val="21"/>
                <w:szCs w:val="21"/>
                <w:highlight w:val="none"/>
              </w:rPr>
            </w:pPr>
          </w:p>
        </w:tc>
      </w:tr>
      <w:tr w14:paraId="43941949">
        <w:tblPrEx>
          <w:tblCellMar>
            <w:top w:w="0" w:type="dxa"/>
            <w:left w:w="108" w:type="dxa"/>
            <w:bottom w:w="0" w:type="dxa"/>
            <w:right w:w="108" w:type="dxa"/>
          </w:tblCellMar>
        </w:tblPrEx>
        <w:trPr>
          <w:trHeight w:val="395" w:hRule="atLeast"/>
          <w:jc w:val="center"/>
        </w:trPr>
        <w:tc>
          <w:tcPr>
            <w:tcW w:w="795" w:type="dxa"/>
            <w:vMerge w:val="restart"/>
            <w:tcBorders>
              <w:top w:val="nil"/>
              <w:left w:val="single" w:color="auto" w:sz="8" w:space="0"/>
              <w:bottom w:val="single" w:color="000000" w:sz="8" w:space="0"/>
              <w:right w:val="single" w:color="auto" w:sz="8" w:space="0"/>
            </w:tcBorders>
            <w:noWrap w:val="0"/>
            <w:vAlign w:val="center"/>
          </w:tcPr>
          <w:p w14:paraId="0B30C05C">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150</w:t>
            </w:r>
          </w:p>
        </w:tc>
        <w:tc>
          <w:tcPr>
            <w:tcW w:w="1011" w:type="dxa"/>
            <w:tcBorders>
              <w:top w:val="nil"/>
              <w:left w:val="nil"/>
              <w:bottom w:val="single" w:color="auto" w:sz="8" w:space="0"/>
              <w:right w:val="single" w:color="auto" w:sz="8" w:space="0"/>
            </w:tcBorders>
            <w:noWrap w:val="0"/>
            <w:vAlign w:val="center"/>
          </w:tcPr>
          <w:p w14:paraId="6B5951EE">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1300" w:type="dxa"/>
            <w:vMerge w:val="restart"/>
            <w:tcBorders>
              <w:top w:val="nil"/>
              <w:left w:val="single" w:color="auto" w:sz="8" w:space="0"/>
              <w:bottom w:val="single" w:color="000000" w:sz="8" w:space="0"/>
              <w:right w:val="single" w:color="auto" w:sz="8" w:space="0"/>
            </w:tcBorders>
            <w:noWrap w:val="0"/>
            <w:vAlign w:val="center"/>
          </w:tcPr>
          <w:p w14:paraId="2F5BBD51">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312.5</w:t>
            </w:r>
          </w:p>
        </w:tc>
        <w:tc>
          <w:tcPr>
            <w:tcW w:w="1322" w:type="dxa"/>
            <w:vMerge w:val="restart"/>
            <w:tcBorders>
              <w:top w:val="nil"/>
              <w:left w:val="single" w:color="auto" w:sz="8" w:space="0"/>
              <w:bottom w:val="single" w:color="000000" w:sz="8" w:space="0"/>
              <w:right w:val="single" w:color="auto" w:sz="8" w:space="0"/>
            </w:tcBorders>
            <w:noWrap w:val="0"/>
            <w:vAlign w:val="center"/>
          </w:tcPr>
          <w:p w14:paraId="17167519">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w:t>
            </w:r>
          </w:p>
        </w:tc>
        <w:tc>
          <w:tcPr>
            <w:tcW w:w="1345" w:type="dxa"/>
            <w:tcBorders>
              <w:top w:val="nil"/>
              <w:left w:val="nil"/>
              <w:bottom w:val="single" w:color="auto" w:sz="8" w:space="0"/>
              <w:right w:val="single" w:color="auto" w:sz="8" w:space="0"/>
            </w:tcBorders>
            <w:noWrap w:val="0"/>
            <w:vAlign w:val="center"/>
          </w:tcPr>
          <w:p w14:paraId="634438FA">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w:t>
            </w:r>
          </w:p>
        </w:tc>
        <w:tc>
          <w:tcPr>
            <w:tcW w:w="1255" w:type="dxa"/>
            <w:tcBorders>
              <w:top w:val="nil"/>
              <w:left w:val="nil"/>
              <w:bottom w:val="single" w:color="auto" w:sz="8" w:space="0"/>
              <w:right w:val="single" w:color="auto" w:sz="8" w:space="0"/>
            </w:tcBorders>
            <w:noWrap w:val="0"/>
            <w:vAlign w:val="center"/>
          </w:tcPr>
          <w:p w14:paraId="3D857DD8">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3.125</w:t>
            </w:r>
          </w:p>
        </w:tc>
        <w:tc>
          <w:tcPr>
            <w:tcW w:w="878" w:type="dxa"/>
            <w:vMerge w:val="restart"/>
            <w:tcBorders>
              <w:top w:val="nil"/>
              <w:left w:val="single" w:color="auto" w:sz="8" w:space="0"/>
              <w:bottom w:val="single" w:color="000000" w:sz="8" w:space="0"/>
              <w:right w:val="single" w:color="auto" w:sz="8" w:space="0"/>
            </w:tcBorders>
            <w:noWrap w:val="0"/>
            <w:vAlign w:val="center"/>
          </w:tcPr>
          <w:p w14:paraId="1745BDC3">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0.01</w:t>
            </w:r>
          </w:p>
        </w:tc>
        <w:tc>
          <w:tcPr>
            <w:tcW w:w="1262" w:type="dxa"/>
            <w:vMerge w:val="restart"/>
            <w:tcBorders>
              <w:top w:val="nil"/>
              <w:left w:val="single" w:color="auto" w:sz="8" w:space="0"/>
              <w:bottom w:val="single" w:color="000000" w:sz="8" w:space="0"/>
              <w:right w:val="single" w:color="auto" w:sz="8" w:space="0"/>
            </w:tcBorders>
            <w:noWrap w:val="0"/>
            <w:vAlign w:val="center"/>
          </w:tcPr>
          <w:p w14:paraId="4C2AD06F">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999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999</w:t>
            </w:r>
          </w:p>
        </w:tc>
      </w:tr>
      <w:tr w14:paraId="2DBB53D4">
        <w:tblPrEx>
          <w:tblCellMar>
            <w:top w:w="0" w:type="dxa"/>
            <w:left w:w="108" w:type="dxa"/>
            <w:bottom w:w="0" w:type="dxa"/>
            <w:right w:w="108" w:type="dxa"/>
          </w:tblCellMar>
        </w:tblPrEx>
        <w:trPr>
          <w:trHeight w:val="395" w:hRule="atLeast"/>
          <w:jc w:val="center"/>
        </w:trPr>
        <w:tc>
          <w:tcPr>
            <w:tcW w:w="795" w:type="dxa"/>
            <w:vMerge w:val="continue"/>
            <w:tcBorders>
              <w:top w:val="nil"/>
              <w:left w:val="single" w:color="auto" w:sz="8" w:space="0"/>
              <w:bottom w:val="single" w:color="000000" w:sz="8" w:space="0"/>
              <w:right w:val="single" w:color="auto" w:sz="8" w:space="0"/>
            </w:tcBorders>
            <w:noWrap w:val="0"/>
            <w:vAlign w:val="center"/>
          </w:tcPr>
          <w:p w14:paraId="403C4446">
            <w:pPr>
              <w:adjustRightInd/>
              <w:rPr>
                <w:rFonts w:hint="eastAsia" w:ascii="宋体" w:hAnsi="宋体" w:eastAsia="宋体" w:cs="宋体"/>
                <w:color w:val="auto"/>
                <w:sz w:val="21"/>
                <w:szCs w:val="21"/>
                <w:highlight w:val="none"/>
              </w:rPr>
            </w:pPr>
          </w:p>
        </w:tc>
        <w:tc>
          <w:tcPr>
            <w:tcW w:w="1011" w:type="dxa"/>
            <w:tcBorders>
              <w:top w:val="nil"/>
              <w:left w:val="nil"/>
              <w:bottom w:val="single" w:color="auto" w:sz="8" w:space="0"/>
              <w:right w:val="single" w:color="auto" w:sz="8" w:space="0"/>
            </w:tcBorders>
            <w:noWrap w:val="0"/>
            <w:vAlign w:val="center"/>
          </w:tcPr>
          <w:p w14:paraId="742CF7F8">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300" w:type="dxa"/>
            <w:vMerge w:val="continue"/>
            <w:tcBorders>
              <w:top w:val="nil"/>
              <w:left w:val="single" w:color="auto" w:sz="8" w:space="0"/>
              <w:bottom w:val="single" w:color="000000" w:sz="8" w:space="0"/>
              <w:right w:val="single" w:color="auto" w:sz="8" w:space="0"/>
            </w:tcBorders>
            <w:noWrap w:val="0"/>
            <w:vAlign w:val="center"/>
          </w:tcPr>
          <w:p w14:paraId="4E64F45F">
            <w:pPr>
              <w:adjustRightInd/>
              <w:jc w:val="center"/>
              <w:rPr>
                <w:rFonts w:hint="eastAsia" w:ascii="宋体" w:hAnsi="宋体" w:eastAsia="宋体" w:cs="宋体"/>
                <w:color w:val="auto"/>
                <w:sz w:val="21"/>
                <w:szCs w:val="21"/>
                <w:highlight w:val="none"/>
              </w:rPr>
            </w:pPr>
          </w:p>
        </w:tc>
        <w:tc>
          <w:tcPr>
            <w:tcW w:w="1322" w:type="dxa"/>
            <w:vMerge w:val="continue"/>
            <w:tcBorders>
              <w:top w:val="nil"/>
              <w:left w:val="single" w:color="auto" w:sz="8" w:space="0"/>
              <w:bottom w:val="single" w:color="000000" w:sz="8" w:space="0"/>
              <w:right w:val="single" w:color="auto" w:sz="8" w:space="0"/>
            </w:tcBorders>
            <w:noWrap w:val="0"/>
            <w:vAlign w:val="center"/>
          </w:tcPr>
          <w:p w14:paraId="6CBF0877">
            <w:pPr>
              <w:adjustRightInd/>
              <w:jc w:val="center"/>
              <w:rPr>
                <w:rFonts w:hint="eastAsia" w:ascii="宋体" w:hAnsi="宋体" w:eastAsia="宋体" w:cs="宋体"/>
                <w:color w:val="auto"/>
                <w:sz w:val="21"/>
                <w:szCs w:val="21"/>
                <w:highlight w:val="none"/>
              </w:rPr>
            </w:pPr>
          </w:p>
        </w:tc>
        <w:tc>
          <w:tcPr>
            <w:tcW w:w="1345" w:type="dxa"/>
            <w:tcBorders>
              <w:top w:val="nil"/>
              <w:left w:val="nil"/>
              <w:bottom w:val="single" w:color="auto" w:sz="8" w:space="0"/>
              <w:right w:val="single" w:color="auto" w:sz="8" w:space="0"/>
            </w:tcBorders>
            <w:noWrap w:val="0"/>
            <w:vAlign w:val="center"/>
          </w:tcPr>
          <w:p w14:paraId="2CFDC656">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w:t>
            </w:r>
          </w:p>
        </w:tc>
        <w:tc>
          <w:tcPr>
            <w:tcW w:w="1255" w:type="dxa"/>
            <w:tcBorders>
              <w:top w:val="nil"/>
              <w:left w:val="nil"/>
              <w:bottom w:val="single" w:color="auto" w:sz="8" w:space="0"/>
              <w:right w:val="single" w:color="auto" w:sz="8" w:space="0"/>
            </w:tcBorders>
            <w:noWrap w:val="0"/>
            <w:vAlign w:val="center"/>
          </w:tcPr>
          <w:p w14:paraId="539BC199">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w:t>
            </w:r>
          </w:p>
        </w:tc>
        <w:tc>
          <w:tcPr>
            <w:tcW w:w="878" w:type="dxa"/>
            <w:vMerge w:val="continue"/>
            <w:tcBorders>
              <w:top w:val="nil"/>
              <w:left w:val="single" w:color="auto" w:sz="8" w:space="0"/>
              <w:bottom w:val="single" w:color="000000" w:sz="8" w:space="0"/>
              <w:right w:val="single" w:color="auto" w:sz="8" w:space="0"/>
            </w:tcBorders>
            <w:noWrap w:val="0"/>
            <w:vAlign w:val="center"/>
          </w:tcPr>
          <w:p w14:paraId="37E47902">
            <w:pPr>
              <w:adjustRightInd/>
              <w:jc w:val="center"/>
              <w:rPr>
                <w:rFonts w:hint="eastAsia" w:ascii="宋体" w:hAnsi="宋体" w:eastAsia="宋体" w:cs="宋体"/>
                <w:color w:val="auto"/>
                <w:sz w:val="21"/>
                <w:szCs w:val="21"/>
                <w:highlight w:val="none"/>
              </w:rPr>
            </w:pPr>
          </w:p>
        </w:tc>
        <w:tc>
          <w:tcPr>
            <w:tcW w:w="1262" w:type="dxa"/>
            <w:vMerge w:val="continue"/>
            <w:tcBorders>
              <w:top w:val="nil"/>
              <w:left w:val="single" w:color="auto" w:sz="8" w:space="0"/>
              <w:bottom w:val="single" w:color="000000" w:sz="8" w:space="0"/>
              <w:right w:val="single" w:color="auto" w:sz="8" w:space="0"/>
            </w:tcBorders>
            <w:noWrap w:val="0"/>
            <w:vAlign w:val="center"/>
          </w:tcPr>
          <w:p w14:paraId="67E787CD">
            <w:pPr>
              <w:adjustRightInd/>
              <w:rPr>
                <w:rFonts w:hint="eastAsia" w:ascii="宋体" w:hAnsi="宋体" w:eastAsia="宋体" w:cs="宋体"/>
                <w:color w:val="auto"/>
                <w:sz w:val="21"/>
                <w:szCs w:val="21"/>
                <w:highlight w:val="none"/>
              </w:rPr>
            </w:pPr>
          </w:p>
        </w:tc>
      </w:tr>
      <w:tr w14:paraId="3B75A5C3">
        <w:tblPrEx>
          <w:tblCellMar>
            <w:top w:w="0" w:type="dxa"/>
            <w:left w:w="108" w:type="dxa"/>
            <w:bottom w:w="0" w:type="dxa"/>
            <w:right w:w="108" w:type="dxa"/>
          </w:tblCellMar>
        </w:tblPrEx>
        <w:trPr>
          <w:trHeight w:val="395" w:hRule="atLeast"/>
          <w:jc w:val="center"/>
        </w:trPr>
        <w:tc>
          <w:tcPr>
            <w:tcW w:w="795" w:type="dxa"/>
            <w:vMerge w:val="restart"/>
            <w:tcBorders>
              <w:top w:val="nil"/>
              <w:left w:val="single" w:color="auto" w:sz="8" w:space="0"/>
              <w:bottom w:val="single" w:color="000000" w:sz="8" w:space="0"/>
              <w:right w:val="single" w:color="auto" w:sz="8" w:space="0"/>
            </w:tcBorders>
            <w:noWrap w:val="0"/>
            <w:vAlign w:val="center"/>
          </w:tcPr>
          <w:p w14:paraId="0B004B7A">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w:t>
            </w:r>
          </w:p>
        </w:tc>
        <w:tc>
          <w:tcPr>
            <w:tcW w:w="1011" w:type="dxa"/>
            <w:tcBorders>
              <w:top w:val="nil"/>
              <w:left w:val="nil"/>
              <w:bottom w:val="single" w:color="auto" w:sz="8" w:space="0"/>
              <w:right w:val="single" w:color="auto" w:sz="8" w:space="0"/>
            </w:tcBorders>
            <w:noWrap w:val="0"/>
            <w:vAlign w:val="center"/>
          </w:tcPr>
          <w:p w14:paraId="6F1CD87C">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1300" w:type="dxa"/>
            <w:vMerge w:val="restart"/>
            <w:tcBorders>
              <w:top w:val="nil"/>
              <w:left w:val="single" w:color="auto" w:sz="8" w:space="0"/>
              <w:bottom w:val="single" w:color="000000" w:sz="8" w:space="0"/>
              <w:right w:val="single" w:color="auto" w:sz="8" w:space="0"/>
            </w:tcBorders>
            <w:noWrap w:val="0"/>
            <w:vAlign w:val="center"/>
          </w:tcPr>
          <w:p w14:paraId="3880510D">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w:t>
            </w:r>
          </w:p>
        </w:tc>
        <w:tc>
          <w:tcPr>
            <w:tcW w:w="1322" w:type="dxa"/>
            <w:vMerge w:val="restart"/>
            <w:tcBorders>
              <w:top w:val="nil"/>
              <w:left w:val="single" w:color="auto" w:sz="8" w:space="0"/>
              <w:bottom w:val="single" w:color="000000" w:sz="8" w:space="0"/>
              <w:right w:val="single" w:color="auto" w:sz="8" w:space="0"/>
            </w:tcBorders>
            <w:noWrap w:val="0"/>
            <w:vAlign w:val="center"/>
          </w:tcPr>
          <w:p w14:paraId="5D7A46F5">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400</w:t>
            </w:r>
          </w:p>
        </w:tc>
        <w:tc>
          <w:tcPr>
            <w:tcW w:w="1345" w:type="dxa"/>
            <w:tcBorders>
              <w:top w:val="nil"/>
              <w:left w:val="nil"/>
              <w:bottom w:val="single" w:color="auto" w:sz="8" w:space="0"/>
              <w:right w:val="single" w:color="auto" w:sz="8" w:space="0"/>
            </w:tcBorders>
            <w:noWrap w:val="0"/>
            <w:vAlign w:val="center"/>
          </w:tcPr>
          <w:p w14:paraId="422AD7F2">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1255" w:type="dxa"/>
            <w:tcBorders>
              <w:top w:val="nil"/>
              <w:left w:val="nil"/>
              <w:bottom w:val="single" w:color="auto" w:sz="8" w:space="0"/>
              <w:right w:val="single" w:color="auto" w:sz="8" w:space="0"/>
            </w:tcBorders>
            <w:noWrap w:val="0"/>
            <w:vAlign w:val="center"/>
          </w:tcPr>
          <w:p w14:paraId="2D30379D">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w:t>
            </w:r>
          </w:p>
        </w:tc>
        <w:tc>
          <w:tcPr>
            <w:tcW w:w="878" w:type="dxa"/>
            <w:vMerge w:val="restart"/>
            <w:tcBorders>
              <w:top w:val="nil"/>
              <w:left w:val="single" w:color="auto" w:sz="8" w:space="0"/>
              <w:bottom w:val="single" w:color="000000" w:sz="8" w:space="0"/>
              <w:right w:val="single" w:color="auto" w:sz="8" w:space="0"/>
            </w:tcBorders>
            <w:noWrap w:val="0"/>
            <w:vAlign w:val="center"/>
          </w:tcPr>
          <w:p w14:paraId="5C5A95AF">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0.01</w:t>
            </w:r>
          </w:p>
        </w:tc>
        <w:tc>
          <w:tcPr>
            <w:tcW w:w="1262" w:type="dxa"/>
            <w:vMerge w:val="restart"/>
            <w:tcBorders>
              <w:top w:val="nil"/>
              <w:left w:val="single" w:color="auto" w:sz="8" w:space="0"/>
              <w:bottom w:val="single" w:color="000000" w:sz="8" w:space="0"/>
              <w:right w:val="single" w:color="auto" w:sz="8" w:space="0"/>
            </w:tcBorders>
            <w:noWrap w:val="0"/>
            <w:vAlign w:val="center"/>
          </w:tcPr>
          <w:p w14:paraId="18FA8141">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999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999</w:t>
            </w:r>
          </w:p>
        </w:tc>
      </w:tr>
      <w:tr w14:paraId="7D9BF388">
        <w:tblPrEx>
          <w:tblCellMar>
            <w:top w:w="0" w:type="dxa"/>
            <w:left w:w="108" w:type="dxa"/>
            <w:bottom w:w="0" w:type="dxa"/>
            <w:right w:w="108" w:type="dxa"/>
          </w:tblCellMar>
        </w:tblPrEx>
        <w:trPr>
          <w:trHeight w:val="395" w:hRule="atLeast"/>
          <w:jc w:val="center"/>
        </w:trPr>
        <w:tc>
          <w:tcPr>
            <w:tcW w:w="795" w:type="dxa"/>
            <w:vMerge w:val="continue"/>
            <w:tcBorders>
              <w:top w:val="nil"/>
              <w:left w:val="single" w:color="auto" w:sz="8" w:space="0"/>
              <w:bottom w:val="single" w:color="000000" w:sz="8" w:space="0"/>
              <w:right w:val="single" w:color="auto" w:sz="8" w:space="0"/>
            </w:tcBorders>
            <w:noWrap w:val="0"/>
            <w:vAlign w:val="center"/>
          </w:tcPr>
          <w:p w14:paraId="1F6A10B8">
            <w:pPr>
              <w:adjustRightInd/>
              <w:rPr>
                <w:rFonts w:hint="eastAsia" w:ascii="宋体" w:hAnsi="宋体" w:eastAsia="宋体" w:cs="宋体"/>
                <w:color w:val="auto"/>
                <w:sz w:val="21"/>
                <w:szCs w:val="21"/>
                <w:highlight w:val="none"/>
              </w:rPr>
            </w:pPr>
          </w:p>
        </w:tc>
        <w:tc>
          <w:tcPr>
            <w:tcW w:w="1011" w:type="dxa"/>
            <w:tcBorders>
              <w:top w:val="nil"/>
              <w:left w:val="nil"/>
              <w:bottom w:val="single" w:color="auto" w:sz="8" w:space="0"/>
              <w:right w:val="single" w:color="auto" w:sz="8" w:space="0"/>
            </w:tcBorders>
            <w:noWrap w:val="0"/>
            <w:vAlign w:val="center"/>
          </w:tcPr>
          <w:p w14:paraId="52D0BF63">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300" w:type="dxa"/>
            <w:vMerge w:val="continue"/>
            <w:tcBorders>
              <w:top w:val="nil"/>
              <w:left w:val="single" w:color="auto" w:sz="8" w:space="0"/>
              <w:bottom w:val="single" w:color="000000" w:sz="8" w:space="0"/>
              <w:right w:val="single" w:color="auto" w:sz="8" w:space="0"/>
            </w:tcBorders>
            <w:noWrap w:val="0"/>
            <w:vAlign w:val="center"/>
          </w:tcPr>
          <w:p w14:paraId="6FB2EC75">
            <w:pPr>
              <w:adjustRightInd/>
              <w:rPr>
                <w:rFonts w:hint="eastAsia" w:ascii="宋体" w:hAnsi="宋体" w:eastAsia="宋体" w:cs="宋体"/>
                <w:color w:val="auto"/>
                <w:sz w:val="21"/>
                <w:szCs w:val="21"/>
                <w:highlight w:val="none"/>
              </w:rPr>
            </w:pPr>
          </w:p>
        </w:tc>
        <w:tc>
          <w:tcPr>
            <w:tcW w:w="1322" w:type="dxa"/>
            <w:vMerge w:val="continue"/>
            <w:tcBorders>
              <w:top w:val="nil"/>
              <w:left w:val="single" w:color="auto" w:sz="8" w:space="0"/>
              <w:bottom w:val="single" w:color="000000" w:sz="8" w:space="0"/>
              <w:right w:val="single" w:color="auto" w:sz="8" w:space="0"/>
            </w:tcBorders>
            <w:noWrap w:val="0"/>
            <w:vAlign w:val="center"/>
          </w:tcPr>
          <w:p w14:paraId="6A709B4C">
            <w:pPr>
              <w:adjustRightInd/>
              <w:rPr>
                <w:rFonts w:hint="eastAsia" w:ascii="宋体" w:hAnsi="宋体" w:eastAsia="宋体" w:cs="宋体"/>
                <w:color w:val="auto"/>
                <w:sz w:val="21"/>
                <w:szCs w:val="21"/>
                <w:highlight w:val="none"/>
              </w:rPr>
            </w:pPr>
          </w:p>
        </w:tc>
        <w:tc>
          <w:tcPr>
            <w:tcW w:w="1345" w:type="dxa"/>
            <w:tcBorders>
              <w:top w:val="nil"/>
              <w:left w:val="nil"/>
              <w:bottom w:val="single" w:color="auto" w:sz="8" w:space="0"/>
              <w:right w:val="single" w:color="auto" w:sz="8" w:space="0"/>
            </w:tcBorders>
            <w:noWrap w:val="0"/>
            <w:vAlign w:val="center"/>
          </w:tcPr>
          <w:p w14:paraId="3851109A">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w:t>
            </w:r>
          </w:p>
        </w:tc>
        <w:tc>
          <w:tcPr>
            <w:tcW w:w="1255" w:type="dxa"/>
            <w:tcBorders>
              <w:top w:val="nil"/>
              <w:left w:val="nil"/>
              <w:bottom w:val="single" w:color="auto" w:sz="8" w:space="0"/>
              <w:right w:val="single" w:color="auto" w:sz="8" w:space="0"/>
            </w:tcBorders>
            <w:noWrap w:val="0"/>
            <w:vAlign w:val="center"/>
          </w:tcPr>
          <w:p w14:paraId="49758B21">
            <w:pPr>
              <w:adjustRightInd/>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w:t>
            </w:r>
          </w:p>
        </w:tc>
        <w:tc>
          <w:tcPr>
            <w:tcW w:w="878" w:type="dxa"/>
            <w:vMerge w:val="continue"/>
            <w:tcBorders>
              <w:top w:val="nil"/>
              <w:left w:val="single" w:color="auto" w:sz="8" w:space="0"/>
              <w:bottom w:val="single" w:color="000000" w:sz="8" w:space="0"/>
              <w:right w:val="single" w:color="auto" w:sz="8" w:space="0"/>
            </w:tcBorders>
            <w:noWrap w:val="0"/>
            <w:vAlign w:val="center"/>
          </w:tcPr>
          <w:p w14:paraId="00A07CEF">
            <w:pPr>
              <w:adjustRightInd/>
              <w:rPr>
                <w:rFonts w:hint="eastAsia" w:ascii="宋体" w:hAnsi="宋体" w:eastAsia="宋体" w:cs="宋体"/>
                <w:color w:val="auto"/>
                <w:sz w:val="21"/>
                <w:szCs w:val="21"/>
                <w:highlight w:val="none"/>
              </w:rPr>
            </w:pPr>
          </w:p>
        </w:tc>
        <w:tc>
          <w:tcPr>
            <w:tcW w:w="1262" w:type="dxa"/>
            <w:vMerge w:val="continue"/>
            <w:tcBorders>
              <w:top w:val="nil"/>
              <w:left w:val="single" w:color="auto" w:sz="8" w:space="0"/>
              <w:bottom w:val="single" w:color="000000" w:sz="8" w:space="0"/>
              <w:right w:val="single" w:color="auto" w:sz="8" w:space="0"/>
            </w:tcBorders>
            <w:noWrap w:val="0"/>
            <w:vAlign w:val="center"/>
          </w:tcPr>
          <w:p w14:paraId="6253B77D">
            <w:pPr>
              <w:adjustRightInd/>
              <w:rPr>
                <w:rFonts w:hint="eastAsia" w:ascii="宋体" w:hAnsi="宋体" w:eastAsia="宋体" w:cs="宋体"/>
                <w:color w:val="auto"/>
                <w:sz w:val="21"/>
                <w:szCs w:val="21"/>
                <w:highlight w:val="none"/>
              </w:rPr>
            </w:pPr>
          </w:p>
        </w:tc>
      </w:tr>
    </w:tbl>
    <w:p w14:paraId="00068FE2">
      <w:pPr>
        <w:adjustRightInd/>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（4）最大允许误差：</w:t>
      </w:r>
    </w:p>
    <w:p w14:paraId="0DFE91D4">
      <w:pPr>
        <w:numPr>
          <w:ilvl w:val="1"/>
          <w:numId w:val="11"/>
        </w:numPr>
        <w:adjustRightInd/>
        <w:spacing w:line="440" w:lineRule="exact"/>
        <w:ind w:left="1322"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低区（Q1≤Q＜Q2）的最大允许误差为</w:t>
      </w:r>
      <w:r>
        <w:rPr>
          <w:rFonts w:hint="eastAsia" w:ascii="宋体" w:hAnsi="宋体" w:eastAsia="宋体" w:cs="宋体"/>
          <w:color w:val="auto"/>
          <w:sz w:val="21"/>
          <w:szCs w:val="21"/>
          <w:highlight w:val="none"/>
        </w:rPr>
        <w:sym w:font="Symbol" w:char="F0B1"/>
      </w:r>
      <w:r>
        <w:rPr>
          <w:rFonts w:hint="eastAsia" w:ascii="宋体" w:hAnsi="宋体" w:eastAsia="宋体" w:cs="宋体"/>
          <w:color w:val="auto"/>
          <w:sz w:val="21"/>
          <w:szCs w:val="21"/>
          <w:highlight w:val="none"/>
        </w:rPr>
        <w:t>5%；</w:t>
      </w:r>
    </w:p>
    <w:p w14:paraId="4A7D1BE3">
      <w:pPr>
        <w:numPr>
          <w:ilvl w:val="1"/>
          <w:numId w:val="11"/>
        </w:numPr>
        <w:adjustRightInd/>
        <w:spacing w:line="440" w:lineRule="exact"/>
        <w:ind w:left="1322"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高区（Q2≤Q≤Q4）的最大允许误差为</w:t>
      </w:r>
      <w:r>
        <w:rPr>
          <w:rFonts w:hint="eastAsia" w:ascii="宋体" w:hAnsi="宋体" w:eastAsia="宋体" w:cs="宋体"/>
          <w:color w:val="auto"/>
          <w:sz w:val="21"/>
          <w:szCs w:val="21"/>
          <w:highlight w:val="none"/>
        </w:rPr>
        <w:sym w:font="Symbol" w:char="F0B1"/>
      </w:r>
      <w:r>
        <w:rPr>
          <w:rFonts w:hint="eastAsia" w:ascii="宋体" w:hAnsi="宋体" w:eastAsia="宋体" w:cs="宋体"/>
          <w:color w:val="auto"/>
          <w:sz w:val="21"/>
          <w:szCs w:val="21"/>
          <w:highlight w:val="none"/>
        </w:rPr>
        <w:t>2%。</w:t>
      </w:r>
    </w:p>
    <w:p w14:paraId="0A833410">
      <w:pPr>
        <w:adjustRightInd/>
        <w:spacing w:line="44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（5）外形尺寸、参数、重量：</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672"/>
        <w:gridCol w:w="767"/>
        <w:gridCol w:w="767"/>
        <w:gridCol w:w="1415"/>
        <w:gridCol w:w="1954"/>
        <w:gridCol w:w="1429"/>
        <w:gridCol w:w="1009"/>
      </w:tblGrid>
      <w:tr w14:paraId="53D6E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noWrap w:val="0"/>
            <w:vAlign w:val="center"/>
          </w:tcPr>
          <w:p w14:paraId="16E9EBF3">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口径DN</w:t>
            </w:r>
          </w:p>
        </w:tc>
        <w:tc>
          <w:tcPr>
            <w:tcW w:w="672" w:type="dxa"/>
            <w:noWrap w:val="0"/>
            <w:vAlign w:val="center"/>
          </w:tcPr>
          <w:p w14:paraId="399B29CB">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长L</w:t>
            </w:r>
          </w:p>
        </w:tc>
        <w:tc>
          <w:tcPr>
            <w:tcW w:w="767" w:type="dxa"/>
            <w:noWrap w:val="0"/>
            <w:vAlign w:val="center"/>
          </w:tcPr>
          <w:p w14:paraId="50C36BA6">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宽B</w:t>
            </w:r>
          </w:p>
        </w:tc>
        <w:tc>
          <w:tcPr>
            <w:tcW w:w="767" w:type="dxa"/>
            <w:noWrap w:val="0"/>
            <w:vAlign w:val="center"/>
          </w:tcPr>
          <w:p w14:paraId="5C7EEB86">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高H</w:t>
            </w:r>
          </w:p>
        </w:tc>
        <w:tc>
          <w:tcPr>
            <w:tcW w:w="4798" w:type="dxa"/>
            <w:gridSpan w:val="3"/>
            <w:noWrap w:val="0"/>
            <w:vAlign w:val="center"/>
          </w:tcPr>
          <w:p w14:paraId="0F2E30A0">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连接法兰</w:t>
            </w:r>
          </w:p>
        </w:tc>
        <w:tc>
          <w:tcPr>
            <w:tcW w:w="1009" w:type="dxa"/>
            <w:vMerge w:val="restart"/>
            <w:noWrap w:val="0"/>
            <w:vAlign w:val="center"/>
          </w:tcPr>
          <w:p w14:paraId="3E35CD9D">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重量</w:t>
            </w:r>
          </w:p>
          <w:p w14:paraId="2FAD2717">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kg</w:t>
            </w:r>
            <w:r>
              <w:rPr>
                <w:rFonts w:hint="eastAsia" w:ascii="宋体" w:hAnsi="宋体" w:eastAsia="宋体" w:cs="宋体"/>
                <w:color w:val="auto"/>
                <w:sz w:val="21"/>
                <w:szCs w:val="21"/>
                <w:highlight w:val="none"/>
                <w:lang w:eastAsia="zh-CN"/>
              </w:rPr>
              <w:t>)</w:t>
            </w:r>
          </w:p>
        </w:tc>
      </w:tr>
      <w:tr w14:paraId="09649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3364" w:type="dxa"/>
            <w:gridSpan w:val="4"/>
            <w:noWrap w:val="0"/>
            <w:vAlign w:val="center"/>
          </w:tcPr>
          <w:p w14:paraId="2E0271B6">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mm</w:t>
            </w:r>
          </w:p>
        </w:tc>
        <w:tc>
          <w:tcPr>
            <w:tcW w:w="1415" w:type="dxa"/>
            <w:noWrap w:val="0"/>
            <w:vAlign w:val="center"/>
          </w:tcPr>
          <w:p w14:paraId="5371D3C5">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法兰外径D（mm）</w:t>
            </w:r>
          </w:p>
        </w:tc>
        <w:tc>
          <w:tcPr>
            <w:tcW w:w="1954" w:type="dxa"/>
            <w:noWrap w:val="0"/>
            <w:vAlign w:val="center"/>
          </w:tcPr>
          <w:p w14:paraId="708AB71E">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螺栓孔中心圆直径D1（mm）</w:t>
            </w:r>
          </w:p>
        </w:tc>
        <w:tc>
          <w:tcPr>
            <w:tcW w:w="1429" w:type="dxa"/>
            <w:noWrap w:val="0"/>
            <w:vAlign w:val="center"/>
          </w:tcPr>
          <w:p w14:paraId="7E75B948">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连接螺栓数量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只</w:t>
            </w:r>
            <w:r>
              <w:rPr>
                <w:rFonts w:hint="eastAsia" w:ascii="宋体" w:hAnsi="宋体" w:eastAsia="宋体" w:cs="宋体"/>
                <w:color w:val="auto"/>
                <w:sz w:val="21"/>
                <w:szCs w:val="21"/>
                <w:highlight w:val="none"/>
                <w:lang w:eastAsia="zh-CN"/>
              </w:rPr>
              <w:t>）</w:t>
            </w:r>
          </w:p>
        </w:tc>
        <w:tc>
          <w:tcPr>
            <w:tcW w:w="1009" w:type="dxa"/>
            <w:vMerge w:val="continue"/>
            <w:noWrap w:val="0"/>
            <w:vAlign w:val="center"/>
          </w:tcPr>
          <w:p w14:paraId="4FD84200">
            <w:pPr>
              <w:adjustRightInd/>
              <w:snapToGrid w:val="0"/>
              <w:spacing w:line="240" w:lineRule="exact"/>
              <w:jc w:val="center"/>
              <w:rPr>
                <w:rFonts w:hint="eastAsia" w:ascii="宋体" w:hAnsi="宋体" w:eastAsia="宋体" w:cs="宋体"/>
                <w:color w:val="auto"/>
                <w:sz w:val="21"/>
                <w:szCs w:val="21"/>
                <w:highlight w:val="none"/>
              </w:rPr>
            </w:pPr>
          </w:p>
        </w:tc>
      </w:tr>
      <w:tr w14:paraId="4D377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noWrap w:val="0"/>
            <w:vAlign w:val="center"/>
          </w:tcPr>
          <w:p w14:paraId="469B2E09">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672" w:type="dxa"/>
            <w:noWrap w:val="0"/>
            <w:vAlign w:val="center"/>
          </w:tcPr>
          <w:p w14:paraId="183B123E">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225</w:t>
            </w:r>
          </w:p>
        </w:tc>
        <w:tc>
          <w:tcPr>
            <w:tcW w:w="767" w:type="dxa"/>
            <w:noWrap w:val="0"/>
            <w:vAlign w:val="center"/>
          </w:tcPr>
          <w:p w14:paraId="7472FFD6">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w:t>
            </w:r>
          </w:p>
        </w:tc>
        <w:tc>
          <w:tcPr>
            <w:tcW w:w="767" w:type="dxa"/>
            <w:noWrap w:val="0"/>
            <w:vAlign w:val="center"/>
          </w:tcPr>
          <w:p w14:paraId="2CECAB51">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320</w:t>
            </w:r>
          </w:p>
        </w:tc>
        <w:tc>
          <w:tcPr>
            <w:tcW w:w="1415" w:type="dxa"/>
            <w:noWrap w:val="0"/>
            <w:vAlign w:val="center"/>
          </w:tcPr>
          <w:p w14:paraId="653696BB">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w:t>
            </w:r>
          </w:p>
        </w:tc>
        <w:tc>
          <w:tcPr>
            <w:tcW w:w="1954" w:type="dxa"/>
            <w:noWrap w:val="0"/>
            <w:vAlign w:val="center"/>
          </w:tcPr>
          <w:p w14:paraId="42BDEE1F">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160</w:t>
            </w:r>
          </w:p>
        </w:tc>
        <w:tc>
          <w:tcPr>
            <w:tcW w:w="1429" w:type="dxa"/>
            <w:noWrap w:val="0"/>
            <w:vAlign w:val="center"/>
          </w:tcPr>
          <w:p w14:paraId="039B1360">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8×M16</w:t>
            </w:r>
          </w:p>
        </w:tc>
        <w:tc>
          <w:tcPr>
            <w:tcW w:w="1009" w:type="dxa"/>
            <w:noWrap w:val="0"/>
            <w:vAlign w:val="center"/>
          </w:tcPr>
          <w:p w14:paraId="581FBC72">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r>
      <w:tr w14:paraId="3E6A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noWrap w:val="0"/>
            <w:vAlign w:val="center"/>
          </w:tcPr>
          <w:p w14:paraId="61239291">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672" w:type="dxa"/>
            <w:noWrap w:val="0"/>
            <w:vAlign w:val="center"/>
          </w:tcPr>
          <w:p w14:paraId="5DDC9A0B">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w:t>
            </w:r>
          </w:p>
        </w:tc>
        <w:tc>
          <w:tcPr>
            <w:tcW w:w="767" w:type="dxa"/>
            <w:noWrap w:val="0"/>
            <w:vAlign w:val="center"/>
          </w:tcPr>
          <w:p w14:paraId="3154643C">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220</w:t>
            </w:r>
          </w:p>
        </w:tc>
        <w:tc>
          <w:tcPr>
            <w:tcW w:w="767" w:type="dxa"/>
            <w:noWrap w:val="0"/>
            <w:vAlign w:val="center"/>
          </w:tcPr>
          <w:p w14:paraId="75678B13">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320</w:t>
            </w:r>
          </w:p>
        </w:tc>
        <w:tc>
          <w:tcPr>
            <w:tcW w:w="1415" w:type="dxa"/>
            <w:noWrap w:val="0"/>
            <w:vAlign w:val="center"/>
          </w:tcPr>
          <w:p w14:paraId="4FAE685D">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220</w:t>
            </w:r>
          </w:p>
        </w:tc>
        <w:tc>
          <w:tcPr>
            <w:tcW w:w="1954" w:type="dxa"/>
            <w:noWrap w:val="0"/>
            <w:vAlign w:val="center"/>
          </w:tcPr>
          <w:p w14:paraId="55040B3B">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180</w:t>
            </w:r>
          </w:p>
        </w:tc>
        <w:tc>
          <w:tcPr>
            <w:tcW w:w="1429" w:type="dxa"/>
            <w:noWrap w:val="0"/>
            <w:vAlign w:val="center"/>
          </w:tcPr>
          <w:p w14:paraId="2CCE5F71">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8×M16</w:t>
            </w:r>
          </w:p>
        </w:tc>
        <w:tc>
          <w:tcPr>
            <w:tcW w:w="1009" w:type="dxa"/>
            <w:noWrap w:val="0"/>
            <w:vAlign w:val="center"/>
          </w:tcPr>
          <w:p w14:paraId="640143B8">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w:t>
            </w:r>
          </w:p>
        </w:tc>
      </w:tr>
      <w:tr w14:paraId="3188C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noWrap w:val="0"/>
            <w:vAlign w:val="center"/>
          </w:tcPr>
          <w:p w14:paraId="5B744BE8">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150</w:t>
            </w:r>
          </w:p>
        </w:tc>
        <w:tc>
          <w:tcPr>
            <w:tcW w:w="672" w:type="dxa"/>
            <w:noWrap w:val="0"/>
            <w:vAlign w:val="center"/>
          </w:tcPr>
          <w:p w14:paraId="6865B9BF">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w:t>
            </w:r>
          </w:p>
        </w:tc>
        <w:tc>
          <w:tcPr>
            <w:tcW w:w="767" w:type="dxa"/>
            <w:noWrap w:val="0"/>
            <w:vAlign w:val="center"/>
          </w:tcPr>
          <w:p w14:paraId="4D884887">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w:t>
            </w:r>
          </w:p>
        </w:tc>
        <w:tc>
          <w:tcPr>
            <w:tcW w:w="767" w:type="dxa"/>
            <w:noWrap w:val="0"/>
            <w:vAlign w:val="center"/>
          </w:tcPr>
          <w:p w14:paraId="62D99746">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420</w:t>
            </w:r>
          </w:p>
        </w:tc>
        <w:tc>
          <w:tcPr>
            <w:tcW w:w="1415" w:type="dxa"/>
            <w:noWrap w:val="0"/>
            <w:vAlign w:val="center"/>
          </w:tcPr>
          <w:p w14:paraId="0B4A2533">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w:t>
            </w:r>
          </w:p>
        </w:tc>
        <w:tc>
          <w:tcPr>
            <w:tcW w:w="1954" w:type="dxa"/>
            <w:noWrap w:val="0"/>
            <w:vAlign w:val="center"/>
          </w:tcPr>
          <w:p w14:paraId="42256E37">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240</w:t>
            </w:r>
          </w:p>
        </w:tc>
        <w:tc>
          <w:tcPr>
            <w:tcW w:w="1429" w:type="dxa"/>
            <w:noWrap w:val="0"/>
            <w:vAlign w:val="center"/>
          </w:tcPr>
          <w:p w14:paraId="2497000D">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8×M20</w:t>
            </w:r>
          </w:p>
        </w:tc>
        <w:tc>
          <w:tcPr>
            <w:tcW w:w="1009" w:type="dxa"/>
            <w:noWrap w:val="0"/>
            <w:vAlign w:val="center"/>
          </w:tcPr>
          <w:p w14:paraId="01F2E09F">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w:t>
            </w:r>
          </w:p>
        </w:tc>
      </w:tr>
      <w:tr w14:paraId="581F5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8" w:type="dxa"/>
            <w:noWrap w:val="0"/>
            <w:vAlign w:val="center"/>
          </w:tcPr>
          <w:p w14:paraId="232E4D67">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w:t>
            </w:r>
          </w:p>
        </w:tc>
        <w:tc>
          <w:tcPr>
            <w:tcW w:w="672" w:type="dxa"/>
            <w:noWrap w:val="0"/>
            <w:vAlign w:val="center"/>
          </w:tcPr>
          <w:p w14:paraId="61CD34AC">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350</w:t>
            </w:r>
          </w:p>
        </w:tc>
        <w:tc>
          <w:tcPr>
            <w:tcW w:w="767" w:type="dxa"/>
            <w:noWrap w:val="0"/>
            <w:vAlign w:val="center"/>
          </w:tcPr>
          <w:p w14:paraId="6CD2D384">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340</w:t>
            </w:r>
          </w:p>
        </w:tc>
        <w:tc>
          <w:tcPr>
            <w:tcW w:w="767" w:type="dxa"/>
            <w:noWrap w:val="0"/>
            <w:vAlign w:val="center"/>
          </w:tcPr>
          <w:p w14:paraId="7FF225EE">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450</w:t>
            </w:r>
          </w:p>
        </w:tc>
        <w:tc>
          <w:tcPr>
            <w:tcW w:w="1415" w:type="dxa"/>
            <w:noWrap w:val="0"/>
            <w:vAlign w:val="center"/>
          </w:tcPr>
          <w:p w14:paraId="2DD6DD75">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340</w:t>
            </w:r>
          </w:p>
        </w:tc>
        <w:tc>
          <w:tcPr>
            <w:tcW w:w="1954" w:type="dxa"/>
            <w:noWrap w:val="0"/>
            <w:vAlign w:val="center"/>
          </w:tcPr>
          <w:p w14:paraId="13C25076">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w:t>
            </w:r>
          </w:p>
        </w:tc>
        <w:tc>
          <w:tcPr>
            <w:tcW w:w="1429" w:type="dxa"/>
            <w:noWrap w:val="0"/>
            <w:vAlign w:val="center"/>
          </w:tcPr>
          <w:p w14:paraId="390F5FDF">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8×M20</w:t>
            </w:r>
          </w:p>
        </w:tc>
        <w:tc>
          <w:tcPr>
            <w:tcW w:w="1009" w:type="dxa"/>
            <w:noWrap w:val="0"/>
            <w:vAlign w:val="center"/>
          </w:tcPr>
          <w:p w14:paraId="6C5FF027">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w:t>
            </w:r>
          </w:p>
        </w:tc>
      </w:tr>
    </w:tbl>
    <w:p w14:paraId="02642758">
      <w:pPr>
        <w:adjustRightInd/>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上述外形尺寸及重量仅供参考</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以实物为准。另外，法兰连接按GB/T17241.6-2008PN10整体铸铁法兰尺寸的规定，特殊规格订货时提出。</w:t>
      </w:r>
    </w:p>
    <w:p w14:paraId="70ABE071">
      <w:pPr>
        <w:adjustRightInd/>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.可拆卸螺翼式发讯干式冷水水表</w:t>
      </w:r>
      <w:r>
        <w:rPr>
          <w:rFonts w:hint="eastAsia" w:ascii="宋体" w:hAnsi="宋体" w:eastAsia="宋体" w:cs="宋体"/>
          <w:color w:val="auto"/>
          <w:sz w:val="21"/>
          <w:szCs w:val="21"/>
          <w:highlight w:val="none"/>
          <w:lang w:eastAsia="zh-CN"/>
        </w:rPr>
        <w:t>技术</w:t>
      </w:r>
      <w:r>
        <w:rPr>
          <w:rFonts w:hint="eastAsia" w:ascii="宋体" w:hAnsi="宋体" w:eastAsia="宋体" w:cs="宋体"/>
          <w:color w:val="auto"/>
          <w:sz w:val="21"/>
          <w:szCs w:val="21"/>
          <w:highlight w:val="none"/>
        </w:rPr>
        <w:t>要求</w:t>
      </w:r>
    </w:p>
    <w:p w14:paraId="5C47634F">
      <w:pPr>
        <w:autoSpaceDE w:val="0"/>
        <w:autoSpaceDN w:val="0"/>
        <w:adjustRightIn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（1）水表机芯考虑采用申舒斯SENSUS、阿拉德、埃创机芯或同档次及以上品牌。</w:t>
      </w:r>
    </w:p>
    <w:p w14:paraId="67E75FB1">
      <w:pPr>
        <w:autoSpaceDE w:val="0"/>
        <w:autoSpaceDN w:val="0"/>
        <w:adjustRightIn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（2）防水等级为IP68，DN40～DN200最大压力损失≤0.063MPa。温度等级：T30。</w:t>
      </w:r>
    </w:p>
    <w:p w14:paraId="44939C31">
      <w:pPr>
        <w:adjustRightInd/>
        <w:snapToGrid w:val="0"/>
        <w:spacing w:line="440" w:lineRule="exact"/>
        <w:ind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★（3）水表计数器须采用干式模式，并按照采购人要求做好机电转换预留，并配套专用机电转换传感器进行远传输出。</w:t>
      </w:r>
    </w:p>
    <w:p w14:paraId="3A4F7E96">
      <w:pPr>
        <w:autoSpaceDE w:val="0"/>
        <w:autoSpaceDN w:val="0"/>
        <w:adjustRightIn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rPr>
        <w:t>主要技术参数：</w:t>
      </w:r>
    </w:p>
    <w:tbl>
      <w:tblPr>
        <w:tblStyle w:val="31"/>
        <w:tblW w:w="0" w:type="auto"/>
        <w:jc w:val="center"/>
        <w:tblLayout w:type="fixed"/>
        <w:tblCellMar>
          <w:top w:w="0" w:type="dxa"/>
          <w:left w:w="108" w:type="dxa"/>
          <w:bottom w:w="0" w:type="dxa"/>
          <w:right w:w="108" w:type="dxa"/>
        </w:tblCellMar>
      </w:tblPr>
      <w:tblGrid>
        <w:gridCol w:w="750"/>
        <w:gridCol w:w="956"/>
        <w:gridCol w:w="1245"/>
        <w:gridCol w:w="1255"/>
        <w:gridCol w:w="1270"/>
        <w:gridCol w:w="1352"/>
        <w:gridCol w:w="977"/>
        <w:gridCol w:w="1363"/>
      </w:tblGrid>
      <w:tr w14:paraId="081DF4E4">
        <w:tblPrEx>
          <w:tblCellMar>
            <w:top w:w="0" w:type="dxa"/>
            <w:left w:w="108" w:type="dxa"/>
            <w:bottom w:w="0" w:type="dxa"/>
            <w:right w:w="108" w:type="dxa"/>
          </w:tblCellMar>
        </w:tblPrEx>
        <w:trPr>
          <w:trHeight w:val="360" w:hRule="atLeast"/>
          <w:jc w:val="center"/>
        </w:trPr>
        <w:tc>
          <w:tcPr>
            <w:tcW w:w="750" w:type="dxa"/>
            <w:vMerge w:val="restart"/>
            <w:tcBorders>
              <w:top w:val="single" w:color="auto" w:sz="8" w:space="0"/>
              <w:left w:val="single" w:color="auto" w:sz="8" w:space="0"/>
              <w:bottom w:val="single" w:color="000000" w:sz="8" w:space="0"/>
              <w:right w:val="single" w:color="auto" w:sz="8" w:space="0"/>
            </w:tcBorders>
            <w:noWrap w:val="0"/>
            <w:vAlign w:val="center"/>
          </w:tcPr>
          <w:p w14:paraId="05AF3B2F">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口径DN</w:t>
            </w:r>
          </w:p>
        </w:tc>
        <w:tc>
          <w:tcPr>
            <w:tcW w:w="956" w:type="dxa"/>
            <w:vMerge w:val="restart"/>
            <w:tcBorders>
              <w:top w:val="single" w:color="auto" w:sz="8" w:space="0"/>
              <w:left w:val="single" w:color="auto" w:sz="8" w:space="0"/>
              <w:bottom w:val="single" w:color="000000" w:sz="8" w:space="0"/>
              <w:right w:val="single" w:color="auto" w:sz="8" w:space="0"/>
            </w:tcBorders>
            <w:noWrap w:val="0"/>
            <w:vAlign w:val="center"/>
          </w:tcPr>
          <w:p w14:paraId="75B0914D">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量程比（Q</w:t>
            </w:r>
            <w:r>
              <w:rPr>
                <w:rFonts w:hint="eastAsia" w:ascii="宋体" w:hAnsi="宋体" w:eastAsia="宋体" w:cs="宋体"/>
                <w:color w:val="auto"/>
                <w:kern w:val="0"/>
                <w:sz w:val="21"/>
                <w:szCs w:val="21"/>
                <w:highlight w:val="none"/>
                <w:vertAlign w:val="subscript"/>
              </w:rPr>
              <w:t>3</w:t>
            </w:r>
            <w:r>
              <w:rPr>
                <w:rFonts w:hint="eastAsia" w:ascii="宋体" w:hAnsi="宋体" w:eastAsia="宋体" w:cs="宋体"/>
                <w:color w:val="auto"/>
                <w:kern w:val="0"/>
                <w:sz w:val="21"/>
                <w:szCs w:val="21"/>
                <w:highlight w:val="none"/>
              </w:rPr>
              <w:t>/Q</w:t>
            </w:r>
            <w:r>
              <w:rPr>
                <w:rFonts w:hint="eastAsia" w:ascii="宋体" w:hAnsi="宋体" w:eastAsia="宋体" w:cs="宋体"/>
                <w:color w:val="auto"/>
                <w:kern w:val="0"/>
                <w:sz w:val="21"/>
                <w:szCs w:val="21"/>
                <w:highlight w:val="none"/>
                <w:vertAlign w:val="subscript"/>
              </w:rPr>
              <w:t>1</w:t>
            </w:r>
            <w:r>
              <w:rPr>
                <w:rFonts w:hint="eastAsia" w:ascii="宋体" w:hAnsi="宋体" w:eastAsia="宋体" w:cs="宋体"/>
                <w:color w:val="auto"/>
                <w:kern w:val="0"/>
                <w:sz w:val="21"/>
                <w:szCs w:val="21"/>
                <w:highlight w:val="none"/>
              </w:rPr>
              <w:t>）</w:t>
            </w:r>
          </w:p>
        </w:tc>
        <w:tc>
          <w:tcPr>
            <w:tcW w:w="1245" w:type="dxa"/>
            <w:vMerge w:val="restart"/>
            <w:tcBorders>
              <w:top w:val="single" w:color="auto" w:sz="8" w:space="0"/>
              <w:left w:val="single" w:color="auto" w:sz="8" w:space="0"/>
              <w:bottom w:val="single" w:color="000000" w:sz="8" w:space="0"/>
              <w:right w:val="single" w:color="auto" w:sz="8" w:space="0"/>
            </w:tcBorders>
            <w:noWrap w:val="0"/>
            <w:vAlign w:val="center"/>
          </w:tcPr>
          <w:p w14:paraId="4270CE87">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过载流量Q</w:t>
            </w:r>
            <w:r>
              <w:rPr>
                <w:rFonts w:hint="eastAsia" w:ascii="宋体" w:hAnsi="宋体" w:eastAsia="宋体" w:cs="宋体"/>
                <w:color w:val="auto"/>
                <w:kern w:val="0"/>
                <w:sz w:val="21"/>
                <w:szCs w:val="21"/>
                <w:highlight w:val="none"/>
                <w:u w:val="single"/>
                <w:vertAlign w:val="subscript"/>
              </w:rPr>
              <w:t>4</w:t>
            </w:r>
          </w:p>
        </w:tc>
        <w:tc>
          <w:tcPr>
            <w:tcW w:w="1255" w:type="dxa"/>
            <w:vMerge w:val="restart"/>
            <w:tcBorders>
              <w:top w:val="single" w:color="auto" w:sz="8" w:space="0"/>
              <w:left w:val="single" w:color="auto" w:sz="8" w:space="0"/>
              <w:bottom w:val="single" w:color="000000" w:sz="8" w:space="0"/>
              <w:right w:val="single" w:color="auto" w:sz="8" w:space="0"/>
            </w:tcBorders>
            <w:noWrap w:val="0"/>
            <w:vAlign w:val="center"/>
          </w:tcPr>
          <w:p w14:paraId="36F7E82E">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常用流量Q</w:t>
            </w:r>
            <w:r>
              <w:rPr>
                <w:rFonts w:hint="eastAsia" w:ascii="宋体" w:hAnsi="宋体" w:eastAsia="宋体" w:cs="宋体"/>
                <w:color w:val="auto"/>
                <w:kern w:val="0"/>
                <w:sz w:val="21"/>
                <w:szCs w:val="21"/>
                <w:highlight w:val="none"/>
                <w:u w:val="single"/>
                <w:vertAlign w:val="subscript"/>
              </w:rPr>
              <w:t>3</w:t>
            </w:r>
          </w:p>
        </w:tc>
        <w:tc>
          <w:tcPr>
            <w:tcW w:w="1270" w:type="dxa"/>
            <w:vMerge w:val="restart"/>
            <w:tcBorders>
              <w:top w:val="single" w:color="auto" w:sz="8" w:space="0"/>
              <w:left w:val="single" w:color="auto" w:sz="8" w:space="0"/>
              <w:bottom w:val="single" w:color="000000" w:sz="8" w:space="0"/>
              <w:right w:val="single" w:color="auto" w:sz="8" w:space="0"/>
            </w:tcBorders>
            <w:noWrap w:val="0"/>
            <w:vAlign w:val="center"/>
          </w:tcPr>
          <w:p w14:paraId="477C93AD">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分界流量Q</w:t>
            </w:r>
            <w:r>
              <w:rPr>
                <w:rFonts w:hint="eastAsia" w:ascii="宋体" w:hAnsi="宋体" w:eastAsia="宋体" w:cs="宋体"/>
                <w:color w:val="auto"/>
                <w:kern w:val="0"/>
                <w:sz w:val="21"/>
                <w:szCs w:val="21"/>
                <w:highlight w:val="none"/>
                <w:u w:val="single"/>
                <w:vertAlign w:val="subscript"/>
              </w:rPr>
              <w:t>2</w:t>
            </w:r>
          </w:p>
        </w:tc>
        <w:tc>
          <w:tcPr>
            <w:tcW w:w="1352" w:type="dxa"/>
            <w:vMerge w:val="restart"/>
            <w:tcBorders>
              <w:top w:val="single" w:color="auto" w:sz="8" w:space="0"/>
              <w:left w:val="single" w:color="auto" w:sz="8" w:space="0"/>
              <w:bottom w:val="single" w:color="000000" w:sz="8" w:space="0"/>
              <w:right w:val="single" w:color="auto" w:sz="8" w:space="0"/>
            </w:tcBorders>
            <w:noWrap w:val="0"/>
            <w:vAlign w:val="center"/>
          </w:tcPr>
          <w:p w14:paraId="58DAAFE9">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最小流量Q</w:t>
            </w:r>
            <w:r>
              <w:rPr>
                <w:rFonts w:hint="eastAsia" w:ascii="宋体" w:hAnsi="宋体" w:eastAsia="宋体" w:cs="宋体"/>
                <w:color w:val="auto"/>
                <w:kern w:val="0"/>
                <w:sz w:val="21"/>
                <w:szCs w:val="21"/>
                <w:highlight w:val="none"/>
                <w:u w:val="single"/>
                <w:vertAlign w:val="subscript"/>
              </w:rPr>
              <w:t>1</w:t>
            </w:r>
          </w:p>
        </w:tc>
        <w:tc>
          <w:tcPr>
            <w:tcW w:w="977" w:type="dxa"/>
            <w:vMerge w:val="restart"/>
            <w:tcBorders>
              <w:top w:val="single" w:color="auto" w:sz="8" w:space="0"/>
              <w:left w:val="single" w:color="auto" w:sz="8" w:space="0"/>
              <w:bottom w:val="single" w:color="000000" w:sz="8" w:space="0"/>
              <w:right w:val="single" w:color="auto" w:sz="8" w:space="0"/>
            </w:tcBorders>
            <w:noWrap w:val="0"/>
            <w:vAlign w:val="center"/>
          </w:tcPr>
          <w:p w14:paraId="5C3D0EC9">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最小读数Min</w:t>
            </w:r>
          </w:p>
        </w:tc>
        <w:tc>
          <w:tcPr>
            <w:tcW w:w="1363" w:type="dxa"/>
            <w:vMerge w:val="restart"/>
            <w:tcBorders>
              <w:top w:val="single" w:color="auto" w:sz="8" w:space="0"/>
              <w:left w:val="single" w:color="auto" w:sz="8" w:space="0"/>
              <w:bottom w:val="single" w:color="000000" w:sz="8" w:space="0"/>
              <w:right w:val="single" w:color="auto" w:sz="8" w:space="0"/>
            </w:tcBorders>
            <w:noWrap w:val="0"/>
            <w:vAlign w:val="center"/>
          </w:tcPr>
          <w:p w14:paraId="4FCB538E">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最大读数Max</w:t>
            </w:r>
          </w:p>
        </w:tc>
      </w:tr>
      <w:tr w14:paraId="7396E96E">
        <w:tblPrEx>
          <w:tblCellMar>
            <w:top w:w="0" w:type="dxa"/>
            <w:left w:w="108" w:type="dxa"/>
            <w:bottom w:w="0" w:type="dxa"/>
            <w:right w:w="108" w:type="dxa"/>
          </w:tblCellMar>
        </w:tblPrEx>
        <w:trPr>
          <w:trHeight w:val="312" w:hRule="atLeast"/>
          <w:jc w:val="center"/>
        </w:trPr>
        <w:tc>
          <w:tcPr>
            <w:tcW w:w="750" w:type="dxa"/>
            <w:vMerge w:val="continue"/>
            <w:tcBorders>
              <w:top w:val="single" w:color="auto" w:sz="8" w:space="0"/>
              <w:left w:val="single" w:color="auto" w:sz="8" w:space="0"/>
              <w:bottom w:val="single" w:color="000000" w:sz="8" w:space="0"/>
              <w:right w:val="single" w:color="auto" w:sz="8" w:space="0"/>
            </w:tcBorders>
            <w:noWrap w:val="0"/>
            <w:vAlign w:val="center"/>
          </w:tcPr>
          <w:p w14:paraId="15FE3D15">
            <w:pPr>
              <w:adjustRightInd/>
              <w:jc w:val="left"/>
              <w:rPr>
                <w:rFonts w:hint="eastAsia" w:ascii="宋体" w:hAnsi="宋体" w:eastAsia="宋体" w:cs="宋体"/>
                <w:color w:val="auto"/>
                <w:kern w:val="0"/>
                <w:sz w:val="21"/>
                <w:szCs w:val="21"/>
                <w:highlight w:val="none"/>
              </w:rPr>
            </w:pPr>
          </w:p>
        </w:tc>
        <w:tc>
          <w:tcPr>
            <w:tcW w:w="956" w:type="dxa"/>
            <w:vMerge w:val="continue"/>
            <w:tcBorders>
              <w:top w:val="single" w:color="auto" w:sz="8" w:space="0"/>
              <w:left w:val="single" w:color="auto" w:sz="8" w:space="0"/>
              <w:bottom w:val="single" w:color="000000" w:sz="8" w:space="0"/>
              <w:right w:val="single" w:color="auto" w:sz="8" w:space="0"/>
            </w:tcBorders>
            <w:noWrap w:val="0"/>
            <w:vAlign w:val="center"/>
          </w:tcPr>
          <w:p w14:paraId="216D4B23">
            <w:pPr>
              <w:adjustRightInd/>
              <w:jc w:val="left"/>
              <w:rPr>
                <w:rFonts w:hint="eastAsia" w:ascii="宋体" w:hAnsi="宋体" w:eastAsia="宋体" w:cs="宋体"/>
                <w:color w:val="auto"/>
                <w:kern w:val="0"/>
                <w:sz w:val="21"/>
                <w:szCs w:val="21"/>
                <w:highlight w:val="none"/>
              </w:rPr>
            </w:pPr>
          </w:p>
        </w:tc>
        <w:tc>
          <w:tcPr>
            <w:tcW w:w="1245" w:type="dxa"/>
            <w:vMerge w:val="continue"/>
            <w:tcBorders>
              <w:top w:val="single" w:color="auto" w:sz="8" w:space="0"/>
              <w:left w:val="single" w:color="auto" w:sz="8" w:space="0"/>
              <w:bottom w:val="single" w:color="000000" w:sz="8" w:space="0"/>
              <w:right w:val="single" w:color="auto" w:sz="8" w:space="0"/>
            </w:tcBorders>
            <w:noWrap w:val="0"/>
            <w:vAlign w:val="center"/>
          </w:tcPr>
          <w:p w14:paraId="74B0CF11">
            <w:pPr>
              <w:adjustRightInd/>
              <w:jc w:val="left"/>
              <w:rPr>
                <w:rFonts w:hint="eastAsia" w:ascii="宋体" w:hAnsi="宋体" w:eastAsia="宋体" w:cs="宋体"/>
                <w:color w:val="auto"/>
                <w:kern w:val="0"/>
                <w:sz w:val="21"/>
                <w:szCs w:val="21"/>
                <w:highlight w:val="none"/>
              </w:rPr>
            </w:pPr>
          </w:p>
        </w:tc>
        <w:tc>
          <w:tcPr>
            <w:tcW w:w="1255" w:type="dxa"/>
            <w:vMerge w:val="continue"/>
            <w:tcBorders>
              <w:top w:val="single" w:color="auto" w:sz="8" w:space="0"/>
              <w:left w:val="single" w:color="auto" w:sz="8" w:space="0"/>
              <w:bottom w:val="single" w:color="000000" w:sz="8" w:space="0"/>
              <w:right w:val="single" w:color="auto" w:sz="8" w:space="0"/>
            </w:tcBorders>
            <w:noWrap w:val="0"/>
            <w:vAlign w:val="center"/>
          </w:tcPr>
          <w:p w14:paraId="369FA549">
            <w:pPr>
              <w:adjustRightInd/>
              <w:jc w:val="left"/>
              <w:rPr>
                <w:rFonts w:hint="eastAsia" w:ascii="宋体" w:hAnsi="宋体" w:eastAsia="宋体" w:cs="宋体"/>
                <w:color w:val="auto"/>
                <w:kern w:val="0"/>
                <w:sz w:val="21"/>
                <w:szCs w:val="21"/>
                <w:highlight w:val="none"/>
              </w:rPr>
            </w:pPr>
          </w:p>
        </w:tc>
        <w:tc>
          <w:tcPr>
            <w:tcW w:w="1270" w:type="dxa"/>
            <w:vMerge w:val="continue"/>
            <w:tcBorders>
              <w:top w:val="single" w:color="auto" w:sz="8" w:space="0"/>
              <w:left w:val="single" w:color="auto" w:sz="8" w:space="0"/>
              <w:bottom w:val="single" w:color="000000" w:sz="8" w:space="0"/>
              <w:right w:val="single" w:color="auto" w:sz="8" w:space="0"/>
            </w:tcBorders>
            <w:noWrap w:val="0"/>
            <w:vAlign w:val="center"/>
          </w:tcPr>
          <w:p w14:paraId="7AAFE576">
            <w:pPr>
              <w:adjustRightInd/>
              <w:jc w:val="left"/>
              <w:rPr>
                <w:rFonts w:hint="eastAsia" w:ascii="宋体" w:hAnsi="宋体" w:eastAsia="宋体" w:cs="宋体"/>
                <w:color w:val="auto"/>
                <w:kern w:val="0"/>
                <w:sz w:val="21"/>
                <w:szCs w:val="21"/>
                <w:highlight w:val="none"/>
              </w:rPr>
            </w:pPr>
          </w:p>
        </w:tc>
        <w:tc>
          <w:tcPr>
            <w:tcW w:w="1352" w:type="dxa"/>
            <w:vMerge w:val="continue"/>
            <w:tcBorders>
              <w:top w:val="single" w:color="auto" w:sz="8" w:space="0"/>
              <w:left w:val="single" w:color="auto" w:sz="8" w:space="0"/>
              <w:bottom w:val="single" w:color="000000" w:sz="8" w:space="0"/>
              <w:right w:val="single" w:color="auto" w:sz="8" w:space="0"/>
            </w:tcBorders>
            <w:noWrap w:val="0"/>
            <w:vAlign w:val="center"/>
          </w:tcPr>
          <w:p w14:paraId="3E3FEB3D">
            <w:pPr>
              <w:adjustRightInd/>
              <w:jc w:val="left"/>
              <w:rPr>
                <w:rFonts w:hint="eastAsia" w:ascii="宋体" w:hAnsi="宋体" w:eastAsia="宋体" w:cs="宋体"/>
                <w:color w:val="auto"/>
                <w:kern w:val="0"/>
                <w:sz w:val="21"/>
                <w:szCs w:val="21"/>
                <w:highlight w:val="none"/>
              </w:rPr>
            </w:pPr>
          </w:p>
        </w:tc>
        <w:tc>
          <w:tcPr>
            <w:tcW w:w="977" w:type="dxa"/>
            <w:vMerge w:val="continue"/>
            <w:tcBorders>
              <w:top w:val="single" w:color="auto" w:sz="8" w:space="0"/>
              <w:left w:val="single" w:color="auto" w:sz="8" w:space="0"/>
              <w:bottom w:val="single" w:color="000000" w:sz="8" w:space="0"/>
              <w:right w:val="single" w:color="auto" w:sz="8" w:space="0"/>
            </w:tcBorders>
            <w:noWrap w:val="0"/>
            <w:vAlign w:val="center"/>
          </w:tcPr>
          <w:p w14:paraId="02FBD6F4">
            <w:pPr>
              <w:adjustRightInd/>
              <w:jc w:val="left"/>
              <w:rPr>
                <w:rFonts w:hint="eastAsia" w:ascii="宋体" w:hAnsi="宋体" w:eastAsia="宋体" w:cs="宋体"/>
                <w:color w:val="auto"/>
                <w:kern w:val="0"/>
                <w:sz w:val="21"/>
                <w:szCs w:val="21"/>
                <w:highlight w:val="none"/>
              </w:rPr>
            </w:pPr>
          </w:p>
        </w:tc>
        <w:tc>
          <w:tcPr>
            <w:tcW w:w="1363" w:type="dxa"/>
            <w:vMerge w:val="continue"/>
            <w:tcBorders>
              <w:top w:val="single" w:color="auto" w:sz="8" w:space="0"/>
              <w:left w:val="single" w:color="auto" w:sz="8" w:space="0"/>
              <w:bottom w:val="single" w:color="000000" w:sz="8" w:space="0"/>
              <w:right w:val="single" w:color="auto" w:sz="8" w:space="0"/>
            </w:tcBorders>
            <w:noWrap w:val="0"/>
            <w:vAlign w:val="center"/>
          </w:tcPr>
          <w:p w14:paraId="27F67E90">
            <w:pPr>
              <w:adjustRightInd/>
              <w:jc w:val="left"/>
              <w:rPr>
                <w:rFonts w:hint="eastAsia" w:ascii="宋体" w:hAnsi="宋体" w:eastAsia="宋体" w:cs="宋体"/>
                <w:color w:val="auto"/>
                <w:kern w:val="0"/>
                <w:sz w:val="21"/>
                <w:szCs w:val="21"/>
                <w:highlight w:val="none"/>
              </w:rPr>
            </w:pPr>
          </w:p>
        </w:tc>
      </w:tr>
      <w:tr w14:paraId="2164D56C">
        <w:tblPrEx>
          <w:tblCellMar>
            <w:top w:w="0" w:type="dxa"/>
            <w:left w:w="108" w:type="dxa"/>
            <w:bottom w:w="0" w:type="dxa"/>
            <w:right w:w="108" w:type="dxa"/>
          </w:tblCellMar>
        </w:tblPrEx>
        <w:trPr>
          <w:trHeight w:val="532" w:hRule="atLeast"/>
          <w:jc w:val="center"/>
        </w:trPr>
        <w:tc>
          <w:tcPr>
            <w:tcW w:w="750" w:type="dxa"/>
            <w:tcBorders>
              <w:top w:val="nil"/>
              <w:left w:val="single" w:color="auto" w:sz="8" w:space="0"/>
              <w:bottom w:val="single" w:color="auto" w:sz="8" w:space="0"/>
              <w:right w:val="single" w:color="auto" w:sz="8" w:space="0"/>
            </w:tcBorders>
            <w:noWrap w:val="0"/>
            <w:vAlign w:val="center"/>
          </w:tcPr>
          <w:p w14:paraId="1D8C4B02">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mm</w:t>
            </w:r>
          </w:p>
        </w:tc>
        <w:tc>
          <w:tcPr>
            <w:tcW w:w="956" w:type="dxa"/>
            <w:vMerge w:val="continue"/>
            <w:tcBorders>
              <w:top w:val="single" w:color="auto" w:sz="8" w:space="0"/>
              <w:left w:val="single" w:color="auto" w:sz="8" w:space="0"/>
              <w:bottom w:val="single" w:color="000000" w:sz="8" w:space="0"/>
              <w:right w:val="single" w:color="auto" w:sz="8" w:space="0"/>
            </w:tcBorders>
            <w:noWrap w:val="0"/>
            <w:vAlign w:val="center"/>
          </w:tcPr>
          <w:p w14:paraId="799BE09B">
            <w:pPr>
              <w:adjustRightInd/>
              <w:jc w:val="left"/>
              <w:rPr>
                <w:rFonts w:hint="eastAsia" w:ascii="宋体" w:hAnsi="宋体" w:eastAsia="宋体" w:cs="宋体"/>
                <w:color w:val="auto"/>
                <w:kern w:val="0"/>
                <w:sz w:val="21"/>
                <w:szCs w:val="21"/>
                <w:highlight w:val="none"/>
              </w:rPr>
            </w:pPr>
          </w:p>
        </w:tc>
        <w:tc>
          <w:tcPr>
            <w:tcW w:w="2500" w:type="dxa"/>
            <w:gridSpan w:val="2"/>
            <w:tcBorders>
              <w:top w:val="single" w:color="auto" w:sz="8" w:space="0"/>
              <w:left w:val="nil"/>
              <w:bottom w:val="single" w:color="auto" w:sz="8" w:space="0"/>
              <w:right w:val="single" w:color="000000" w:sz="8" w:space="0"/>
            </w:tcBorders>
            <w:noWrap w:val="0"/>
            <w:vAlign w:val="center"/>
          </w:tcPr>
          <w:p w14:paraId="7248F41F">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m</w:t>
            </w:r>
            <w:r>
              <w:rPr>
                <w:rFonts w:hint="eastAsia" w:ascii="宋体" w:hAnsi="宋体" w:eastAsia="宋体" w:cs="宋体"/>
                <w:color w:val="auto"/>
                <w:kern w:val="0"/>
                <w:sz w:val="21"/>
                <w:szCs w:val="21"/>
                <w:highlight w:val="none"/>
                <w:vertAlign w:val="superscript"/>
              </w:rPr>
              <w:t>3</w:t>
            </w:r>
            <w:r>
              <w:rPr>
                <w:rFonts w:hint="eastAsia" w:ascii="宋体" w:hAnsi="宋体" w:eastAsia="宋体" w:cs="宋体"/>
                <w:color w:val="auto"/>
                <w:kern w:val="0"/>
                <w:sz w:val="21"/>
                <w:szCs w:val="21"/>
                <w:highlight w:val="none"/>
              </w:rPr>
              <w:t>/h</w:t>
            </w:r>
          </w:p>
        </w:tc>
        <w:tc>
          <w:tcPr>
            <w:tcW w:w="2622" w:type="dxa"/>
            <w:gridSpan w:val="2"/>
            <w:tcBorders>
              <w:top w:val="single" w:color="auto" w:sz="8" w:space="0"/>
              <w:left w:val="nil"/>
              <w:bottom w:val="single" w:color="auto" w:sz="8" w:space="0"/>
              <w:right w:val="single" w:color="000000" w:sz="8" w:space="0"/>
            </w:tcBorders>
            <w:noWrap w:val="0"/>
            <w:vAlign w:val="center"/>
          </w:tcPr>
          <w:p w14:paraId="47AF0657">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m</w:t>
            </w:r>
            <w:r>
              <w:rPr>
                <w:rFonts w:hint="eastAsia" w:ascii="宋体" w:hAnsi="宋体" w:eastAsia="宋体" w:cs="宋体"/>
                <w:color w:val="auto"/>
                <w:kern w:val="0"/>
                <w:sz w:val="21"/>
                <w:szCs w:val="21"/>
                <w:highlight w:val="none"/>
                <w:vertAlign w:val="superscript"/>
              </w:rPr>
              <w:t>3</w:t>
            </w:r>
            <w:r>
              <w:rPr>
                <w:rFonts w:hint="eastAsia" w:ascii="宋体" w:hAnsi="宋体" w:eastAsia="宋体" w:cs="宋体"/>
                <w:color w:val="auto"/>
                <w:kern w:val="0"/>
                <w:sz w:val="21"/>
                <w:szCs w:val="21"/>
                <w:highlight w:val="none"/>
              </w:rPr>
              <w:t>/h</w:t>
            </w:r>
          </w:p>
        </w:tc>
        <w:tc>
          <w:tcPr>
            <w:tcW w:w="2340" w:type="dxa"/>
            <w:gridSpan w:val="2"/>
            <w:tcBorders>
              <w:top w:val="single" w:color="auto" w:sz="8" w:space="0"/>
              <w:left w:val="nil"/>
              <w:bottom w:val="single" w:color="auto" w:sz="8" w:space="0"/>
              <w:right w:val="single" w:color="000000" w:sz="8" w:space="0"/>
            </w:tcBorders>
            <w:noWrap w:val="0"/>
            <w:vAlign w:val="center"/>
          </w:tcPr>
          <w:p w14:paraId="6117FEBB">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m</w:t>
            </w:r>
            <w:r>
              <w:rPr>
                <w:rFonts w:hint="eastAsia" w:ascii="宋体" w:hAnsi="宋体" w:eastAsia="宋体" w:cs="宋体"/>
                <w:color w:val="auto"/>
                <w:kern w:val="0"/>
                <w:sz w:val="21"/>
                <w:szCs w:val="21"/>
                <w:highlight w:val="none"/>
                <w:vertAlign w:val="superscript"/>
              </w:rPr>
              <w:t>3</w:t>
            </w:r>
          </w:p>
        </w:tc>
      </w:tr>
      <w:tr w14:paraId="611F83E6">
        <w:tblPrEx>
          <w:tblCellMar>
            <w:top w:w="0" w:type="dxa"/>
            <w:left w:w="108" w:type="dxa"/>
            <w:bottom w:w="0" w:type="dxa"/>
            <w:right w:w="108" w:type="dxa"/>
          </w:tblCellMar>
        </w:tblPrEx>
        <w:trPr>
          <w:trHeight w:val="300" w:hRule="atLeast"/>
          <w:jc w:val="center"/>
        </w:trPr>
        <w:tc>
          <w:tcPr>
            <w:tcW w:w="750" w:type="dxa"/>
            <w:vMerge w:val="restart"/>
            <w:tcBorders>
              <w:top w:val="nil"/>
              <w:left w:val="single" w:color="auto" w:sz="8" w:space="0"/>
              <w:bottom w:val="single" w:color="000000" w:sz="8" w:space="0"/>
              <w:right w:val="single" w:color="auto" w:sz="8" w:space="0"/>
            </w:tcBorders>
            <w:noWrap w:val="0"/>
            <w:vAlign w:val="center"/>
          </w:tcPr>
          <w:p w14:paraId="4C9C6F1B">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w:t>
            </w:r>
          </w:p>
        </w:tc>
        <w:tc>
          <w:tcPr>
            <w:tcW w:w="956" w:type="dxa"/>
            <w:tcBorders>
              <w:top w:val="nil"/>
              <w:left w:val="nil"/>
              <w:bottom w:val="single" w:color="auto" w:sz="8" w:space="0"/>
              <w:right w:val="single" w:color="auto" w:sz="8" w:space="0"/>
            </w:tcBorders>
            <w:noWrap w:val="0"/>
            <w:vAlign w:val="center"/>
          </w:tcPr>
          <w:p w14:paraId="1BEB1BEB">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w:t>
            </w:r>
          </w:p>
        </w:tc>
        <w:tc>
          <w:tcPr>
            <w:tcW w:w="1245" w:type="dxa"/>
            <w:vMerge w:val="restart"/>
            <w:tcBorders>
              <w:top w:val="nil"/>
              <w:left w:val="single" w:color="auto" w:sz="8" w:space="0"/>
              <w:bottom w:val="single" w:color="000000" w:sz="8" w:space="0"/>
              <w:right w:val="single" w:color="auto" w:sz="8" w:space="0"/>
            </w:tcBorders>
            <w:noWrap w:val="0"/>
            <w:vAlign w:val="center"/>
          </w:tcPr>
          <w:p w14:paraId="6075581E">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31.5</w:t>
            </w:r>
          </w:p>
        </w:tc>
        <w:tc>
          <w:tcPr>
            <w:tcW w:w="1255" w:type="dxa"/>
            <w:vMerge w:val="restart"/>
            <w:tcBorders>
              <w:top w:val="nil"/>
              <w:left w:val="single" w:color="auto" w:sz="8" w:space="0"/>
              <w:bottom w:val="single" w:color="000000" w:sz="8" w:space="0"/>
              <w:right w:val="single" w:color="auto" w:sz="8" w:space="0"/>
            </w:tcBorders>
            <w:noWrap w:val="0"/>
            <w:vAlign w:val="center"/>
          </w:tcPr>
          <w:p w14:paraId="1AD1DA46">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25</w:t>
            </w:r>
          </w:p>
        </w:tc>
        <w:tc>
          <w:tcPr>
            <w:tcW w:w="1270" w:type="dxa"/>
            <w:tcBorders>
              <w:top w:val="nil"/>
              <w:left w:val="nil"/>
              <w:bottom w:val="single" w:color="auto" w:sz="8" w:space="0"/>
              <w:right w:val="single" w:color="auto" w:sz="8" w:space="0"/>
            </w:tcBorders>
            <w:noWrap w:val="0"/>
            <w:vAlign w:val="center"/>
          </w:tcPr>
          <w:p w14:paraId="3219C685">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0.4</w:t>
            </w:r>
          </w:p>
        </w:tc>
        <w:tc>
          <w:tcPr>
            <w:tcW w:w="1352" w:type="dxa"/>
            <w:tcBorders>
              <w:top w:val="nil"/>
              <w:left w:val="nil"/>
              <w:bottom w:val="single" w:color="auto" w:sz="8" w:space="0"/>
              <w:right w:val="single" w:color="auto" w:sz="8" w:space="0"/>
            </w:tcBorders>
            <w:noWrap w:val="0"/>
            <w:vAlign w:val="center"/>
          </w:tcPr>
          <w:p w14:paraId="79FB6EB1">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0.25</w:t>
            </w:r>
          </w:p>
        </w:tc>
        <w:tc>
          <w:tcPr>
            <w:tcW w:w="977" w:type="dxa"/>
            <w:vMerge w:val="restart"/>
            <w:tcBorders>
              <w:top w:val="nil"/>
              <w:left w:val="single" w:color="auto" w:sz="8" w:space="0"/>
              <w:bottom w:val="single" w:color="000000" w:sz="8" w:space="0"/>
              <w:right w:val="single" w:color="auto" w:sz="8" w:space="0"/>
            </w:tcBorders>
            <w:noWrap w:val="0"/>
            <w:vAlign w:val="center"/>
          </w:tcPr>
          <w:p w14:paraId="7DE43B0D">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0.0005</w:t>
            </w:r>
          </w:p>
        </w:tc>
        <w:tc>
          <w:tcPr>
            <w:tcW w:w="1363" w:type="dxa"/>
            <w:vMerge w:val="restart"/>
            <w:tcBorders>
              <w:top w:val="nil"/>
              <w:left w:val="single" w:color="auto" w:sz="8" w:space="0"/>
              <w:bottom w:val="single" w:color="000000" w:sz="8" w:space="0"/>
              <w:right w:val="single" w:color="auto" w:sz="8" w:space="0"/>
            </w:tcBorders>
            <w:noWrap w:val="0"/>
            <w:vAlign w:val="center"/>
          </w:tcPr>
          <w:p w14:paraId="52C99BB2">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999,999</w:t>
            </w:r>
          </w:p>
        </w:tc>
      </w:tr>
      <w:tr w14:paraId="3D11F280">
        <w:tblPrEx>
          <w:tblCellMar>
            <w:top w:w="0" w:type="dxa"/>
            <w:left w:w="108" w:type="dxa"/>
            <w:bottom w:w="0" w:type="dxa"/>
            <w:right w:w="108" w:type="dxa"/>
          </w:tblCellMar>
        </w:tblPrEx>
        <w:trPr>
          <w:trHeight w:val="300" w:hRule="atLeast"/>
          <w:jc w:val="center"/>
        </w:trPr>
        <w:tc>
          <w:tcPr>
            <w:tcW w:w="750" w:type="dxa"/>
            <w:vMerge w:val="continue"/>
            <w:tcBorders>
              <w:top w:val="nil"/>
              <w:left w:val="single" w:color="auto" w:sz="8" w:space="0"/>
              <w:bottom w:val="single" w:color="000000" w:sz="8" w:space="0"/>
              <w:right w:val="single" w:color="auto" w:sz="8" w:space="0"/>
            </w:tcBorders>
            <w:noWrap w:val="0"/>
            <w:vAlign w:val="center"/>
          </w:tcPr>
          <w:p w14:paraId="662DDC44">
            <w:pPr>
              <w:adjustRightInd/>
              <w:jc w:val="left"/>
              <w:rPr>
                <w:rFonts w:hint="eastAsia" w:ascii="宋体" w:hAnsi="宋体" w:eastAsia="宋体" w:cs="宋体"/>
                <w:color w:val="auto"/>
                <w:kern w:val="0"/>
                <w:sz w:val="21"/>
                <w:szCs w:val="21"/>
                <w:highlight w:val="none"/>
              </w:rPr>
            </w:pPr>
          </w:p>
        </w:tc>
        <w:tc>
          <w:tcPr>
            <w:tcW w:w="956" w:type="dxa"/>
            <w:tcBorders>
              <w:top w:val="nil"/>
              <w:left w:val="nil"/>
              <w:bottom w:val="single" w:color="auto" w:sz="8" w:space="0"/>
              <w:right w:val="single" w:color="auto" w:sz="8" w:space="0"/>
            </w:tcBorders>
            <w:noWrap w:val="0"/>
            <w:vAlign w:val="center"/>
          </w:tcPr>
          <w:p w14:paraId="7C70ED09">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160</w:t>
            </w:r>
          </w:p>
        </w:tc>
        <w:tc>
          <w:tcPr>
            <w:tcW w:w="1245" w:type="dxa"/>
            <w:vMerge w:val="continue"/>
            <w:tcBorders>
              <w:top w:val="nil"/>
              <w:left w:val="single" w:color="auto" w:sz="8" w:space="0"/>
              <w:bottom w:val="single" w:color="000000" w:sz="8" w:space="0"/>
              <w:right w:val="single" w:color="auto" w:sz="8" w:space="0"/>
            </w:tcBorders>
            <w:noWrap w:val="0"/>
            <w:vAlign w:val="center"/>
          </w:tcPr>
          <w:p w14:paraId="2BE7BA91">
            <w:pPr>
              <w:adjustRightInd/>
              <w:jc w:val="left"/>
              <w:rPr>
                <w:rFonts w:hint="eastAsia" w:ascii="宋体" w:hAnsi="宋体" w:eastAsia="宋体" w:cs="宋体"/>
                <w:color w:val="auto"/>
                <w:kern w:val="0"/>
                <w:sz w:val="21"/>
                <w:szCs w:val="21"/>
                <w:highlight w:val="none"/>
              </w:rPr>
            </w:pPr>
          </w:p>
        </w:tc>
        <w:tc>
          <w:tcPr>
            <w:tcW w:w="1255" w:type="dxa"/>
            <w:vMerge w:val="continue"/>
            <w:tcBorders>
              <w:top w:val="nil"/>
              <w:left w:val="single" w:color="auto" w:sz="8" w:space="0"/>
              <w:bottom w:val="single" w:color="000000" w:sz="8" w:space="0"/>
              <w:right w:val="single" w:color="auto" w:sz="8" w:space="0"/>
            </w:tcBorders>
            <w:noWrap w:val="0"/>
            <w:vAlign w:val="center"/>
          </w:tcPr>
          <w:p w14:paraId="620A0E47">
            <w:pPr>
              <w:adjustRightInd/>
              <w:jc w:val="left"/>
              <w:rPr>
                <w:rFonts w:hint="eastAsia" w:ascii="宋体" w:hAnsi="宋体" w:eastAsia="宋体" w:cs="宋体"/>
                <w:color w:val="auto"/>
                <w:kern w:val="0"/>
                <w:sz w:val="21"/>
                <w:szCs w:val="21"/>
                <w:highlight w:val="none"/>
              </w:rPr>
            </w:pPr>
          </w:p>
        </w:tc>
        <w:tc>
          <w:tcPr>
            <w:tcW w:w="1270" w:type="dxa"/>
            <w:tcBorders>
              <w:top w:val="nil"/>
              <w:left w:val="nil"/>
              <w:bottom w:val="single" w:color="auto" w:sz="8" w:space="0"/>
              <w:right w:val="single" w:color="auto" w:sz="8" w:space="0"/>
            </w:tcBorders>
            <w:noWrap w:val="0"/>
            <w:vAlign w:val="center"/>
          </w:tcPr>
          <w:p w14:paraId="403C32AD">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0.25</w:t>
            </w:r>
          </w:p>
        </w:tc>
        <w:tc>
          <w:tcPr>
            <w:tcW w:w="1352" w:type="dxa"/>
            <w:tcBorders>
              <w:top w:val="nil"/>
              <w:left w:val="nil"/>
              <w:bottom w:val="single" w:color="auto" w:sz="8" w:space="0"/>
              <w:right w:val="single" w:color="auto" w:sz="8" w:space="0"/>
            </w:tcBorders>
            <w:noWrap w:val="0"/>
            <w:vAlign w:val="center"/>
          </w:tcPr>
          <w:p w14:paraId="41D898C6">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0.16</w:t>
            </w:r>
          </w:p>
        </w:tc>
        <w:tc>
          <w:tcPr>
            <w:tcW w:w="977" w:type="dxa"/>
            <w:vMerge w:val="continue"/>
            <w:tcBorders>
              <w:top w:val="nil"/>
              <w:left w:val="single" w:color="auto" w:sz="8" w:space="0"/>
              <w:bottom w:val="single" w:color="000000" w:sz="8" w:space="0"/>
              <w:right w:val="single" w:color="auto" w:sz="8" w:space="0"/>
            </w:tcBorders>
            <w:noWrap w:val="0"/>
            <w:vAlign w:val="center"/>
          </w:tcPr>
          <w:p w14:paraId="3AC59B11">
            <w:pPr>
              <w:adjustRightInd/>
              <w:jc w:val="left"/>
              <w:rPr>
                <w:rFonts w:hint="eastAsia" w:ascii="宋体" w:hAnsi="宋体" w:eastAsia="宋体" w:cs="宋体"/>
                <w:color w:val="auto"/>
                <w:kern w:val="0"/>
                <w:sz w:val="21"/>
                <w:szCs w:val="21"/>
                <w:highlight w:val="none"/>
              </w:rPr>
            </w:pPr>
          </w:p>
        </w:tc>
        <w:tc>
          <w:tcPr>
            <w:tcW w:w="1363" w:type="dxa"/>
            <w:vMerge w:val="continue"/>
            <w:tcBorders>
              <w:top w:val="nil"/>
              <w:left w:val="single" w:color="auto" w:sz="8" w:space="0"/>
              <w:bottom w:val="single" w:color="000000" w:sz="8" w:space="0"/>
              <w:right w:val="single" w:color="auto" w:sz="8" w:space="0"/>
            </w:tcBorders>
            <w:noWrap w:val="0"/>
            <w:vAlign w:val="center"/>
          </w:tcPr>
          <w:p w14:paraId="1613CF9A">
            <w:pPr>
              <w:adjustRightInd/>
              <w:jc w:val="left"/>
              <w:rPr>
                <w:rFonts w:hint="eastAsia" w:ascii="宋体" w:hAnsi="宋体" w:eastAsia="宋体" w:cs="宋体"/>
                <w:color w:val="auto"/>
                <w:kern w:val="0"/>
                <w:sz w:val="21"/>
                <w:szCs w:val="21"/>
                <w:highlight w:val="none"/>
              </w:rPr>
            </w:pPr>
          </w:p>
        </w:tc>
      </w:tr>
      <w:tr w14:paraId="4FFFE8BB">
        <w:tblPrEx>
          <w:tblCellMar>
            <w:top w:w="0" w:type="dxa"/>
            <w:left w:w="108" w:type="dxa"/>
            <w:bottom w:w="0" w:type="dxa"/>
            <w:right w:w="108" w:type="dxa"/>
          </w:tblCellMar>
        </w:tblPrEx>
        <w:trPr>
          <w:trHeight w:val="300" w:hRule="atLeast"/>
          <w:jc w:val="center"/>
        </w:trPr>
        <w:tc>
          <w:tcPr>
            <w:tcW w:w="750" w:type="dxa"/>
            <w:vMerge w:val="restart"/>
            <w:tcBorders>
              <w:top w:val="nil"/>
              <w:left w:val="single" w:color="auto" w:sz="8" w:space="0"/>
              <w:bottom w:val="single" w:color="000000" w:sz="8" w:space="0"/>
              <w:right w:val="single" w:color="auto" w:sz="8" w:space="0"/>
            </w:tcBorders>
            <w:noWrap w:val="0"/>
            <w:vAlign w:val="center"/>
          </w:tcPr>
          <w:p w14:paraId="2E5C4112">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w:t>
            </w:r>
          </w:p>
        </w:tc>
        <w:tc>
          <w:tcPr>
            <w:tcW w:w="956" w:type="dxa"/>
            <w:tcBorders>
              <w:top w:val="nil"/>
              <w:left w:val="nil"/>
              <w:bottom w:val="single" w:color="auto" w:sz="8" w:space="0"/>
              <w:right w:val="single" w:color="auto" w:sz="8" w:space="0"/>
            </w:tcBorders>
            <w:noWrap w:val="0"/>
            <w:vAlign w:val="center"/>
          </w:tcPr>
          <w:p w14:paraId="4BDCA3B0">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125</w:t>
            </w:r>
          </w:p>
        </w:tc>
        <w:tc>
          <w:tcPr>
            <w:tcW w:w="1245" w:type="dxa"/>
            <w:vMerge w:val="restart"/>
            <w:tcBorders>
              <w:top w:val="nil"/>
              <w:left w:val="single" w:color="auto" w:sz="8" w:space="0"/>
              <w:bottom w:val="single" w:color="000000" w:sz="8" w:space="0"/>
              <w:right w:val="single" w:color="auto" w:sz="8" w:space="0"/>
            </w:tcBorders>
            <w:noWrap w:val="0"/>
            <w:vAlign w:val="center"/>
          </w:tcPr>
          <w:p w14:paraId="69383D0F">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78.75</w:t>
            </w:r>
          </w:p>
        </w:tc>
        <w:tc>
          <w:tcPr>
            <w:tcW w:w="1255" w:type="dxa"/>
            <w:vMerge w:val="restart"/>
            <w:tcBorders>
              <w:top w:val="nil"/>
              <w:left w:val="single" w:color="auto" w:sz="8" w:space="0"/>
              <w:bottom w:val="single" w:color="000000" w:sz="8" w:space="0"/>
              <w:right w:val="single" w:color="auto" w:sz="8" w:space="0"/>
            </w:tcBorders>
            <w:noWrap w:val="0"/>
            <w:vAlign w:val="center"/>
          </w:tcPr>
          <w:p w14:paraId="47522B5B">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63</w:t>
            </w:r>
          </w:p>
        </w:tc>
        <w:tc>
          <w:tcPr>
            <w:tcW w:w="1270" w:type="dxa"/>
            <w:tcBorders>
              <w:top w:val="nil"/>
              <w:left w:val="nil"/>
              <w:bottom w:val="single" w:color="auto" w:sz="8" w:space="0"/>
              <w:right w:val="single" w:color="auto" w:sz="8" w:space="0"/>
            </w:tcBorders>
            <w:noWrap w:val="0"/>
            <w:vAlign w:val="center"/>
          </w:tcPr>
          <w:p w14:paraId="0288425D">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0.8</w:t>
            </w:r>
          </w:p>
        </w:tc>
        <w:tc>
          <w:tcPr>
            <w:tcW w:w="1352" w:type="dxa"/>
            <w:tcBorders>
              <w:top w:val="nil"/>
              <w:left w:val="nil"/>
              <w:bottom w:val="single" w:color="auto" w:sz="8" w:space="0"/>
              <w:right w:val="single" w:color="auto" w:sz="8" w:space="0"/>
            </w:tcBorders>
            <w:noWrap w:val="0"/>
            <w:vAlign w:val="center"/>
          </w:tcPr>
          <w:p w14:paraId="2DD79C7A">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0.5</w:t>
            </w:r>
          </w:p>
        </w:tc>
        <w:tc>
          <w:tcPr>
            <w:tcW w:w="977" w:type="dxa"/>
            <w:vMerge w:val="restart"/>
            <w:tcBorders>
              <w:top w:val="nil"/>
              <w:left w:val="single" w:color="auto" w:sz="8" w:space="0"/>
              <w:bottom w:val="single" w:color="000000" w:sz="8" w:space="0"/>
              <w:right w:val="single" w:color="auto" w:sz="8" w:space="0"/>
            </w:tcBorders>
            <w:noWrap w:val="0"/>
            <w:vAlign w:val="center"/>
          </w:tcPr>
          <w:p w14:paraId="2FFA7EC9">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0.0005</w:t>
            </w:r>
          </w:p>
        </w:tc>
        <w:tc>
          <w:tcPr>
            <w:tcW w:w="1363" w:type="dxa"/>
            <w:vMerge w:val="restart"/>
            <w:tcBorders>
              <w:top w:val="nil"/>
              <w:left w:val="single" w:color="auto" w:sz="8" w:space="0"/>
              <w:bottom w:val="single" w:color="000000" w:sz="8" w:space="0"/>
              <w:right w:val="single" w:color="auto" w:sz="8" w:space="0"/>
            </w:tcBorders>
            <w:noWrap w:val="0"/>
            <w:vAlign w:val="center"/>
          </w:tcPr>
          <w:p w14:paraId="33CF57C1">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999,999</w:t>
            </w:r>
          </w:p>
        </w:tc>
      </w:tr>
      <w:tr w14:paraId="02A241EA">
        <w:tblPrEx>
          <w:tblCellMar>
            <w:top w:w="0" w:type="dxa"/>
            <w:left w:w="108" w:type="dxa"/>
            <w:bottom w:w="0" w:type="dxa"/>
            <w:right w:w="108" w:type="dxa"/>
          </w:tblCellMar>
        </w:tblPrEx>
        <w:trPr>
          <w:trHeight w:val="300" w:hRule="atLeast"/>
          <w:jc w:val="center"/>
        </w:trPr>
        <w:tc>
          <w:tcPr>
            <w:tcW w:w="750" w:type="dxa"/>
            <w:vMerge w:val="continue"/>
            <w:tcBorders>
              <w:top w:val="nil"/>
              <w:left w:val="single" w:color="auto" w:sz="8" w:space="0"/>
              <w:bottom w:val="single" w:color="000000" w:sz="8" w:space="0"/>
              <w:right w:val="single" w:color="auto" w:sz="8" w:space="0"/>
            </w:tcBorders>
            <w:noWrap w:val="0"/>
            <w:vAlign w:val="center"/>
          </w:tcPr>
          <w:p w14:paraId="3D3BCC7A">
            <w:pPr>
              <w:adjustRightInd/>
              <w:jc w:val="left"/>
              <w:rPr>
                <w:rFonts w:hint="eastAsia" w:ascii="宋体" w:hAnsi="宋体" w:eastAsia="宋体" w:cs="宋体"/>
                <w:color w:val="auto"/>
                <w:kern w:val="0"/>
                <w:sz w:val="21"/>
                <w:szCs w:val="21"/>
                <w:highlight w:val="none"/>
              </w:rPr>
            </w:pPr>
          </w:p>
        </w:tc>
        <w:tc>
          <w:tcPr>
            <w:tcW w:w="956" w:type="dxa"/>
            <w:tcBorders>
              <w:top w:val="nil"/>
              <w:left w:val="nil"/>
              <w:bottom w:val="single" w:color="auto" w:sz="8" w:space="0"/>
              <w:right w:val="single" w:color="auto" w:sz="8" w:space="0"/>
            </w:tcBorders>
            <w:noWrap w:val="0"/>
            <w:vAlign w:val="center"/>
          </w:tcPr>
          <w:p w14:paraId="519E4492">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160</w:t>
            </w:r>
          </w:p>
        </w:tc>
        <w:tc>
          <w:tcPr>
            <w:tcW w:w="1245" w:type="dxa"/>
            <w:vMerge w:val="continue"/>
            <w:tcBorders>
              <w:top w:val="nil"/>
              <w:left w:val="single" w:color="auto" w:sz="8" w:space="0"/>
              <w:bottom w:val="single" w:color="000000" w:sz="8" w:space="0"/>
              <w:right w:val="single" w:color="auto" w:sz="8" w:space="0"/>
            </w:tcBorders>
            <w:noWrap w:val="0"/>
            <w:vAlign w:val="center"/>
          </w:tcPr>
          <w:p w14:paraId="58C3D69D">
            <w:pPr>
              <w:adjustRightInd/>
              <w:jc w:val="left"/>
              <w:rPr>
                <w:rFonts w:hint="eastAsia" w:ascii="宋体" w:hAnsi="宋体" w:eastAsia="宋体" w:cs="宋体"/>
                <w:color w:val="auto"/>
                <w:kern w:val="0"/>
                <w:sz w:val="21"/>
                <w:szCs w:val="21"/>
                <w:highlight w:val="none"/>
              </w:rPr>
            </w:pPr>
          </w:p>
        </w:tc>
        <w:tc>
          <w:tcPr>
            <w:tcW w:w="1255" w:type="dxa"/>
            <w:vMerge w:val="continue"/>
            <w:tcBorders>
              <w:top w:val="nil"/>
              <w:left w:val="single" w:color="auto" w:sz="8" w:space="0"/>
              <w:bottom w:val="single" w:color="000000" w:sz="8" w:space="0"/>
              <w:right w:val="single" w:color="auto" w:sz="8" w:space="0"/>
            </w:tcBorders>
            <w:noWrap w:val="0"/>
            <w:vAlign w:val="center"/>
          </w:tcPr>
          <w:p w14:paraId="7527D6BA">
            <w:pPr>
              <w:adjustRightInd/>
              <w:jc w:val="left"/>
              <w:rPr>
                <w:rFonts w:hint="eastAsia" w:ascii="宋体" w:hAnsi="宋体" w:eastAsia="宋体" w:cs="宋体"/>
                <w:color w:val="auto"/>
                <w:kern w:val="0"/>
                <w:sz w:val="21"/>
                <w:szCs w:val="21"/>
                <w:highlight w:val="none"/>
              </w:rPr>
            </w:pPr>
          </w:p>
        </w:tc>
        <w:tc>
          <w:tcPr>
            <w:tcW w:w="1270" w:type="dxa"/>
            <w:tcBorders>
              <w:top w:val="nil"/>
              <w:left w:val="nil"/>
              <w:bottom w:val="single" w:color="auto" w:sz="8" w:space="0"/>
              <w:right w:val="single" w:color="auto" w:sz="8" w:space="0"/>
            </w:tcBorders>
            <w:noWrap w:val="0"/>
            <w:vAlign w:val="center"/>
          </w:tcPr>
          <w:p w14:paraId="3ADFCC9B">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0.63</w:t>
            </w:r>
          </w:p>
        </w:tc>
        <w:tc>
          <w:tcPr>
            <w:tcW w:w="1352" w:type="dxa"/>
            <w:tcBorders>
              <w:top w:val="nil"/>
              <w:left w:val="nil"/>
              <w:bottom w:val="single" w:color="auto" w:sz="8" w:space="0"/>
              <w:right w:val="single" w:color="auto" w:sz="8" w:space="0"/>
            </w:tcBorders>
            <w:noWrap w:val="0"/>
            <w:vAlign w:val="center"/>
          </w:tcPr>
          <w:p w14:paraId="50073562">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0.4</w:t>
            </w:r>
          </w:p>
        </w:tc>
        <w:tc>
          <w:tcPr>
            <w:tcW w:w="977" w:type="dxa"/>
            <w:vMerge w:val="continue"/>
            <w:tcBorders>
              <w:top w:val="nil"/>
              <w:left w:val="single" w:color="auto" w:sz="8" w:space="0"/>
              <w:bottom w:val="single" w:color="000000" w:sz="8" w:space="0"/>
              <w:right w:val="single" w:color="auto" w:sz="8" w:space="0"/>
            </w:tcBorders>
            <w:noWrap w:val="0"/>
            <w:vAlign w:val="center"/>
          </w:tcPr>
          <w:p w14:paraId="04E625A1">
            <w:pPr>
              <w:adjustRightInd/>
              <w:jc w:val="left"/>
              <w:rPr>
                <w:rFonts w:hint="eastAsia" w:ascii="宋体" w:hAnsi="宋体" w:eastAsia="宋体" w:cs="宋体"/>
                <w:color w:val="auto"/>
                <w:kern w:val="0"/>
                <w:sz w:val="21"/>
                <w:szCs w:val="21"/>
                <w:highlight w:val="none"/>
              </w:rPr>
            </w:pPr>
          </w:p>
        </w:tc>
        <w:tc>
          <w:tcPr>
            <w:tcW w:w="1363" w:type="dxa"/>
            <w:vMerge w:val="continue"/>
            <w:tcBorders>
              <w:top w:val="nil"/>
              <w:left w:val="single" w:color="auto" w:sz="8" w:space="0"/>
              <w:bottom w:val="single" w:color="000000" w:sz="8" w:space="0"/>
              <w:right w:val="single" w:color="auto" w:sz="8" w:space="0"/>
            </w:tcBorders>
            <w:noWrap w:val="0"/>
            <w:vAlign w:val="center"/>
          </w:tcPr>
          <w:p w14:paraId="5E22AAFB">
            <w:pPr>
              <w:adjustRightInd/>
              <w:jc w:val="left"/>
              <w:rPr>
                <w:rFonts w:hint="eastAsia" w:ascii="宋体" w:hAnsi="宋体" w:eastAsia="宋体" w:cs="宋体"/>
                <w:color w:val="auto"/>
                <w:kern w:val="0"/>
                <w:sz w:val="21"/>
                <w:szCs w:val="21"/>
                <w:highlight w:val="none"/>
              </w:rPr>
            </w:pPr>
          </w:p>
        </w:tc>
      </w:tr>
      <w:tr w14:paraId="2A8B29DD">
        <w:tblPrEx>
          <w:tblCellMar>
            <w:top w:w="0" w:type="dxa"/>
            <w:left w:w="108" w:type="dxa"/>
            <w:bottom w:w="0" w:type="dxa"/>
            <w:right w:w="108" w:type="dxa"/>
          </w:tblCellMar>
        </w:tblPrEx>
        <w:trPr>
          <w:trHeight w:val="300" w:hRule="atLeast"/>
          <w:jc w:val="center"/>
        </w:trPr>
        <w:tc>
          <w:tcPr>
            <w:tcW w:w="750" w:type="dxa"/>
            <w:vMerge w:val="continue"/>
            <w:tcBorders>
              <w:top w:val="nil"/>
              <w:left w:val="single" w:color="auto" w:sz="8" w:space="0"/>
              <w:bottom w:val="single" w:color="000000" w:sz="8" w:space="0"/>
              <w:right w:val="single" w:color="auto" w:sz="8" w:space="0"/>
            </w:tcBorders>
            <w:noWrap w:val="0"/>
            <w:vAlign w:val="center"/>
          </w:tcPr>
          <w:p w14:paraId="55936B18">
            <w:pPr>
              <w:adjustRightInd/>
              <w:jc w:val="left"/>
              <w:rPr>
                <w:rFonts w:hint="eastAsia" w:ascii="宋体" w:hAnsi="宋体" w:eastAsia="宋体" w:cs="宋体"/>
                <w:color w:val="auto"/>
                <w:kern w:val="0"/>
                <w:sz w:val="21"/>
                <w:szCs w:val="21"/>
                <w:highlight w:val="none"/>
              </w:rPr>
            </w:pPr>
          </w:p>
        </w:tc>
        <w:tc>
          <w:tcPr>
            <w:tcW w:w="956" w:type="dxa"/>
            <w:tcBorders>
              <w:top w:val="nil"/>
              <w:left w:val="nil"/>
              <w:bottom w:val="single" w:color="auto" w:sz="8" w:space="0"/>
              <w:right w:val="single" w:color="auto" w:sz="8" w:space="0"/>
            </w:tcBorders>
            <w:noWrap w:val="0"/>
            <w:vAlign w:val="center"/>
          </w:tcPr>
          <w:p w14:paraId="0EA478B0">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w:t>
            </w:r>
          </w:p>
        </w:tc>
        <w:tc>
          <w:tcPr>
            <w:tcW w:w="1245" w:type="dxa"/>
            <w:vMerge w:val="continue"/>
            <w:tcBorders>
              <w:top w:val="nil"/>
              <w:left w:val="single" w:color="auto" w:sz="8" w:space="0"/>
              <w:bottom w:val="single" w:color="000000" w:sz="8" w:space="0"/>
              <w:right w:val="single" w:color="auto" w:sz="8" w:space="0"/>
            </w:tcBorders>
            <w:noWrap w:val="0"/>
            <w:vAlign w:val="center"/>
          </w:tcPr>
          <w:p w14:paraId="315C7863">
            <w:pPr>
              <w:adjustRightInd/>
              <w:jc w:val="left"/>
              <w:rPr>
                <w:rFonts w:hint="eastAsia" w:ascii="宋体" w:hAnsi="宋体" w:eastAsia="宋体" w:cs="宋体"/>
                <w:color w:val="auto"/>
                <w:kern w:val="0"/>
                <w:sz w:val="21"/>
                <w:szCs w:val="21"/>
                <w:highlight w:val="none"/>
              </w:rPr>
            </w:pPr>
          </w:p>
        </w:tc>
        <w:tc>
          <w:tcPr>
            <w:tcW w:w="1255" w:type="dxa"/>
            <w:vMerge w:val="continue"/>
            <w:tcBorders>
              <w:top w:val="nil"/>
              <w:left w:val="single" w:color="auto" w:sz="8" w:space="0"/>
              <w:bottom w:val="single" w:color="000000" w:sz="8" w:space="0"/>
              <w:right w:val="single" w:color="auto" w:sz="8" w:space="0"/>
            </w:tcBorders>
            <w:noWrap w:val="0"/>
            <w:vAlign w:val="center"/>
          </w:tcPr>
          <w:p w14:paraId="14A37F5B">
            <w:pPr>
              <w:adjustRightInd/>
              <w:jc w:val="left"/>
              <w:rPr>
                <w:rFonts w:hint="eastAsia" w:ascii="宋体" w:hAnsi="宋体" w:eastAsia="宋体" w:cs="宋体"/>
                <w:color w:val="auto"/>
                <w:kern w:val="0"/>
                <w:sz w:val="21"/>
                <w:szCs w:val="21"/>
                <w:highlight w:val="none"/>
              </w:rPr>
            </w:pPr>
          </w:p>
        </w:tc>
        <w:tc>
          <w:tcPr>
            <w:tcW w:w="1270" w:type="dxa"/>
            <w:tcBorders>
              <w:top w:val="nil"/>
              <w:left w:val="nil"/>
              <w:bottom w:val="single" w:color="auto" w:sz="8" w:space="0"/>
              <w:right w:val="single" w:color="auto" w:sz="8" w:space="0"/>
            </w:tcBorders>
            <w:noWrap w:val="0"/>
            <w:vAlign w:val="center"/>
          </w:tcPr>
          <w:p w14:paraId="39638AB7">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0.5</w:t>
            </w:r>
          </w:p>
        </w:tc>
        <w:tc>
          <w:tcPr>
            <w:tcW w:w="1352" w:type="dxa"/>
            <w:tcBorders>
              <w:top w:val="nil"/>
              <w:left w:val="nil"/>
              <w:bottom w:val="single" w:color="auto" w:sz="8" w:space="0"/>
              <w:right w:val="single" w:color="auto" w:sz="8" w:space="0"/>
            </w:tcBorders>
            <w:noWrap w:val="0"/>
            <w:vAlign w:val="center"/>
          </w:tcPr>
          <w:p w14:paraId="4C89C753">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0.32</w:t>
            </w:r>
          </w:p>
        </w:tc>
        <w:tc>
          <w:tcPr>
            <w:tcW w:w="977" w:type="dxa"/>
            <w:vMerge w:val="continue"/>
            <w:tcBorders>
              <w:top w:val="nil"/>
              <w:left w:val="single" w:color="auto" w:sz="8" w:space="0"/>
              <w:bottom w:val="single" w:color="000000" w:sz="8" w:space="0"/>
              <w:right w:val="single" w:color="auto" w:sz="8" w:space="0"/>
            </w:tcBorders>
            <w:noWrap w:val="0"/>
            <w:vAlign w:val="center"/>
          </w:tcPr>
          <w:p w14:paraId="4549009D">
            <w:pPr>
              <w:adjustRightInd/>
              <w:jc w:val="left"/>
              <w:rPr>
                <w:rFonts w:hint="eastAsia" w:ascii="宋体" w:hAnsi="宋体" w:eastAsia="宋体" w:cs="宋体"/>
                <w:color w:val="auto"/>
                <w:kern w:val="0"/>
                <w:sz w:val="21"/>
                <w:szCs w:val="21"/>
                <w:highlight w:val="none"/>
              </w:rPr>
            </w:pPr>
          </w:p>
        </w:tc>
        <w:tc>
          <w:tcPr>
            <w:tcW w:w="1363" w:type="dxa"/>
            <w:vMerge w:val="continue"/>
            <w:tcBorders>
              <w:top w:val="nil"/>
              <w:left w:val="single" w:color="auto" w:sz="8" w:space="0"/>
              <w:bottom w:val="single" w:color="000000" w:sz="8" w:space="0"/>
              <w:right w:val="single" w:color="auto" w:sz="8" w:space="0"/>
            </w:tcBorders>
            <w:noWrap w:val="0"/>
            <w:vAlign w:val="center"/>
          </w:tcPr>
          <w:p w14:paraId="7E0D0254">
            <w:pPr>
              <w:adjustRightInd/>
              <w:jc w:val="left"/>
              <w:rPr>
                <w:rFonts w:hint="eastAsia" w:ascii="宋体" w:hAnsi="宋体" w:eastAsia="宋体" w:cs="宋体"/>
                <w:color w:val="auto"/>
                <w:kern w:val="0"/>
                <w:sz w:val="21"/>
                <w:szCs w:val="21"/>
                <w:highlight w:val="none"/>
              </w:rPr>
            </w:pPr>
          </w:p>
        </w:tc>
      </w:tr>
      <w:tr w14:paraId="3762D68B">
        <w:tblPrEx>
          <w:tblCellMar>
            <w:top w:w="0" w:type="dxa"/>
            <w:left w:w="108" w:type="dxa"/>
            <w:bottom w:w="0" w:type="dxa"/>
            <w:right w:w="108" w:type="dxa"/>
          </w:tblCellMar>
        </w:tblPrEx>
        <w:trPr>
          <w:trHeight w:val="300" w:hRule="atLeast"/>
          <w:jc w:val="center"/>
        </w:trPr>
        <w:tc>
          <w:tcPr>
            <w:tcW w:w="750" w:type="dxa"/>
            <w:vMerge w:val="restart"/>
            <w:tcBorders>
              <w:top w:val="nil"/>
              <w:left w:val="single" w:color="auto" w:sz="8" w:space="0"/>
              <w:bottom w:val="single" w:color="000000" w:sz="8" w:space="0"/>
              <w:right w:val="single" w:color="auto" w:sz="8" w:space="0"/>
            </w:tcBorders>
            <w:noWrap w:val="0"/>
            <w:vAlign w:val="center"/>
          </w:tcPr>
          <w:p w14:paraId="095D8086">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80</w:t>
            </w:r>
          </w:p>
        </w:tc>
        <w:tc>
          <w:tcPr>
            <w:tcW w:w="956" w:type="dxa"/>
            <w:tcBorders>
              <w:top w:val="nil"/>
              <w:left w:val="nil"/>
              <w:bottom w:val="single" w:color="auto" w:sz="8" w:space="0"/>
              <w:right w:val="single" w:color="auto" w:sz="8" w:space="0"/>
            </w:tcBorders>
            <w:noWrap w:val="0"/>
            <w:vAlign w:val="center"/>
          </w:tcPr>
          <w:p w14:paraId="6A485286">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125</w:t>
            </w:r>
          </w:p>
        </w:tc>
        <w:tc>
          <w:tcPr>
            <w:tcW w:w="1245" w:type="dxa"/>
            <w:vMerge w:val="restart"/>
            <w:tcBorders>
              <w:top w:val="nil"/>
              <w:left w:val="single" w:color="auto" w:sz="8" w:space="0"/>
              <w:bottom w:val="single" w:color="000000" w:sz="8" w:space="0"/>
              <w:right w:val="single" w:color="auto" w:sz="8" w:space="0"/>
            </w:tcBorders>
            <w:noWrap w:val="0"/>
            <w:vAlign w:val="center"/>
          </w:tcPr>
          <w:p w14:paraId="3EECFE21">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125</w:t>
            </w:r>
          </w:p>
        </w:tc>
        <w:tc>
          <w:tcPr>
            <w:tcW w:w="1255" w:type="dxa"/>
            <w:vMerge w:val="restart"/>
            <w:tcBorders>
              <w:top w:val="nil"/>
              <w:left w:val="single" w:color="auto" w:sz="8" w:space="0"/>
              <w:bottom w:val="single" w:color="000000" w:sz="8" w:space="0"/>
              <w:right w:val="single" w:color="auto" w:sz="8" w:space="0"/>
            </w:tcBorders>
            <w:noWrap w:val="0"/>
            <w:vAlign w:val="center"/>
          </w:tcPr>
          <w:p w14:paraId="23476605">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w:t>
            </w:r>
          </w:p>
        </w:tc>
        <w:tc>
          <w:tcPr>
            <w:tcW w:w="1270" w:type="dxa"/>
            <w:tcBorders>
              <w:top w:val="nil"/>
              <w:left w:val="nil"/>
              <w:bottom w:val="single" w:color="auto" w:sz="8" w:space="0"/>
              <w:right w:val="single" w:color="auto" w:sz="8" w:space="0"/>
            </w:tcBorders>
            <w:noWrap w:val="0"/>
            <w:vAlign w:val="center"/>
          </w:tcPr>
          <w:p w14:paraId="6CAAE118">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1.28</w:t>
            </w:r>
          </w:p>
        </w:tc>
        <w:tc>
          <w:tcPr>
            <w:tcW w:w="1352" w:type="dxa"/>
            <w:tcBorders>
              <w:top w:val="nil"/>
              <w:left w:val="nil"/>
              <w:bottom w:val="single" w:color="auto" w:sz="8" w:space="0"/>
              <w:right w:val="single" w:color="auto" w:sz="8" w:space="0"/>
            </w:tcBorders>
            <w:noWrap w:val="0"/>
            <w:vAlign w:val="center"/>
          </w:tcPr>
          <w:p w14:paraId="70DBFE88">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0.8</w:t>
            </w:r>
          </w:p>
        </w:tc>
        <w:tc>
          <w:tcPr>
            <w:tcW w:w="977" w:type="dxa"/>
            <w:vMerge w:val="restart"/>
            <w:tcBorders>
              <w:top w:val="nil"/>
              <w:left w:val="single" w:color="auto" w:sz="8" w:space="0"/>
              <w:bottom w:val="single" w:color="000000" w:sz="8" w:space="0"/>
              <w:right w:val="single" w:color="auto" w:sz="8" w:space="0"/>
            </w:tcBorders>
            <w:noWrap w:val="0"/>
            <w:vAlign w:val="center"/>
          </w:tcPr>
          <w:p w14:paraId="5285B09D">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0.0005</w:t>
            </w:r>
          </w:p>
        </w:tc>
        <w:tc>
          <w:tcPr>
            <w:tcW w:w="1363" w:type="dxa"/>
            <w:vMerge w:val="restart"/>
            <w:tcBorders>
              <w:top w:val="nil"/>
              <w:left w:val="single" w:color="auto" w:sz="8" w:space="0"/>
              <w:bottom w:val="single" w:color="000000" w:sz="8" w:space="0"/>
              <w:right w:val="single" w:color="auto" w:sz="8" w:space="0"/>
            </w:tcBorders>
            <w:noWrap w:val="0"/>
            <w:vAlign w:val="center"/>
          </w:tcPr>
          <w:p w14:paraId="3B39D211">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999,999</w:t>
            </w:r>
          </w:p>
        </w:tc>
      </w:tr>
      <w:tr w14:paraId="1559AF20">
        <w:tblPrEx>
          <w:tblCellMar>
            <w:top w:w="0" w:type="dxa"/>
            <w:left w:w="108" w:type="dxa"/>
            <w:bottom w:w="0" w:type="dxa"/>
            <w:right w:w="108" w:type="dxa"/>
          </w:tblCellMar>
        </w:tblPrEx>
        <w:trPr>
          <w:trHeight w:val="301" w:hRule="atLeast"/>
          <w:jc w:val="center"/>
        </w:trPr>
        <w:tc>
          <w:tcPr>
            <w:tcW w:w="750" w:type="dxa"/>
            <w:vMerge w:val="continue"/>
            <w:tcBorders>
              <w:top w:val="nil"/>
              <w:left w:val="single" w:color="auto" w:sz="8" w:space="0"/>
              <w:bottom w:val="single" w:color="000000" w:sz="8" w:space="0"/>
              <w:right w:val="single" w:color="auto" w:sz="8" w:space="0"/>
            </w:tcBorders>
            <w:noWrap w:val="0"/>
            <w:vAlign w:val="center"/>
          </w:tcPr>
          <w:p w14:paraId="2950B4A1">
            <w:pPr>
              <w:adjustRightInd/>
              <w:jc w:val="left"/>
              <w:rPr>
                <w:rFonts w:hint="eastAsia" w:ascii="宋体" w:hAnsi="宋体" w:eastAsia="宋体" w:cs="宋体"/>
                <w:color w:val="auto"/>
                <w:kern w:val="0"/>
                <w:sz w:val="21"/>
                <w:szCs w:val="21"/>
                <w:highlight w:val="none"/>
              </w:rPr>
            </w:pPr>
          </w:p>
        </w:tc>
        <w:tc>
          <w:tcPr>
            <w:tcW w:w="956" w:type="dxa"/>
            <w:tcBorders>
              <w:top w:val="nil"/>
              <w:left w:val="nil"/>
              <w:bottom w:val="single" w:color="auto" w:sz="8" w:space="0"/>
              <w:right w:val="single" w:color="auto" w:sz="8" w:space="0"/>
            </w:tcBorders>
            <w:noWrap w:val="0"/>
            <w:vAlign w:val="center"/>
          </w:tcPr>
          <w:p w14:paraId="1E6B9CDA">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160</w:t>
            </w:r>
          </w:p>
        </w:tc>
        <w:tc>
          <w:tcPr>
            <w:tcW w:w="1245" w:type="dxa"/>
            <w:vMerge w:val="continue"/>
            <w:tcBorders>
              <w:top w:val="nil"/>
              <w:left w:val="single" w:color="auto" w:sz="8" w:space="0"/>
              <w:bottom w:val="single" w:color="000000" w:sz="8" w:space="0"/>
              <w:right w:val="single" w:color="auto" w:sz="8" w:space="0"/>
            </w:tcBorders>
            <w:noWrap w:val="0"/>
            <w:vAlign w:val="center"/>
          </w:tcPr>
          <w:p w14:paraId="67EA45AB">
            <w:pPr>
              <w:adjustRightInd/>
              <w:jc w:val="left"/>
              <w:rPr>
                <w:rFonts w:hint="eastAsia" w:ascii="宋体" w:hAnsi="宋体" w:eastAsia="宋体" w:cs="宋体"/>
                <w:color w:val="auto"/>
                <w:kern w:val="0"/>
                <w:sz w:val="21"/>
                <w:szCs w:val="21"/>
                <w:highlight w:val="none"/>
              </w:rPr>
            </w:pPr>
          </w:p>
        </w:tc>
        <w:tc>
          <w:tcPr>
            <w:tcW w:w="1255" w:type="dxa"/>
            <w:vMerge w:val="continue"/>
            <w:tcBorders>
              <w:top w:val="nil"/>
              <w:left w:val="single" w:color="auto" w:sz="8" w:space="0"/>
              <w:bottom w:val="single" w:color="000000" w:sz="8" w:space="0"/>
              <w:right w:val="single" w:color="auto" w:sz="8" w:space="0"/>
            </w:tcBorders>
            <w:noWrap w:val="0"/>
            <w:vAlign w:val="center"/>
          </w:tcPr>
          <w:p w14:paraId="059A72DE">
            <w:pPr>
              <w:adjustRightInd/>
              <w:jc w:val="left"/>
              <w:rPr>
                <w:rFonts w:hint="eastAsia" w:ascii="宋体" w:hAnsi="宋体" w:eastAsia="宋体" w:cs="宋体"/>
                <w:color w:val="auto"/>
                <w:kern w:val="0"/>
                <w:sz w:val="21"/>
                <w:szCs w:val="21"/>
                <w:highlight w:val="none"/>
              </w:rPr>
            </w:pPr>
          </w:p>
        </w:tc>
        <w:tc>
          <w:tcPr>
            <w:tcW w:w="1270" w:type="dxa"/>
            <w:tcBorders>
              <w:top w:val="nil"/>
              <w:left w:val="nil"/>
              <w:bottom w:val="single" w:color="auto" w:sz="8" w:space="0"/>
              <w:right w:val="single" w:color="auto" w:sz="8" w:space="0"/>
            </w:tcBorders>
            <w:noWrap w:val="0"/>
            <w:vAlign w:val="center"/>
          </w:tcPr>
          <w:p w14:paraId="0CA90B06">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352" w:type="dxa"/>
            <w:tcBorders>
              <w:top w:val="nil"/>
              <w:left w:val="nil"/>
              <w:bottom w:val="single" w:color="auto" w:sz="8" w:space="0"/>
              <w:right w:val="single" w:color="auto" w:sz="8" w:space="0"/>
            </w:tcBorders>
            <w:noWrap w:val="0"/>
            <w:vAlign w:val="center"/>
          </w:tcPr>
          <w:p w14:paraId="7535119F">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0.63</w:t>
            </w:r>
          </w:p>
        </w:tc>
        <w:tc>
          <w:tcPr>
            <w:tcW w:w="977" w:type="dxa"/>
            <w:vMerge w:val="continue"/>
            <w:tcBorders>
              <w:top w:val="nil"/>
              <w:left w:val="single" w:color="auto" w:sz="8" w:space="0"/>
              <w:bottom w:val="single" w:color="000000" w:sz="8" w:space="0"/>
              <w:right w:val="single" w:color="auto" w:sz="8" w:space="0"/>
            </w:tcBorders>
            <w:noWrap w:val="0"/>
            <w:vAlign w:val="center"/>
          </w:tcPr>
          <w:p w14:paraId="44AD4AFB">
            <w:pPr>
              <w:adjustRightInd/>
              <w:jc w:val="left"/>
              <w:rPr>
                <w:rFonts w:hint="eastAsia" w:ascii="宋体" w:hAnsi="宋体" w:eastAsia="宋体" w:cs="宋体"/>
                <w:color w:val="auto"/>
                <w:kern w:val="0"/>
                <w:sz w:val="21"/>
                <w:szCs w:val="21"/>
                <w:highlight w:val="none"/>
              </w:rPr>
            </w:pPr>
          </w:p>
        </w:tc>
        <w:tc>
          <w:tcPr>
            <w:tcW w:w="1363" w:type="dxa"/>
            <w:vMerge w:val="continue"/>
            <w:tcBorders>
              <w:top w:val="nil"/>
              <w:left w:val="single" w:color="auto" w:sz="8" w:space="0"/>
              <w:bottom w:val="single" w:color="000000" w:sz="8" w:space="0"/>
              <w:right w:val="single" w:color="auto" w:sz="8" w:space="0"/>
            </w:tcBorders>
            <w:noWrap w:val="0"/>
            <w:vAlign w:val="center"/>
          </w:tcPr>
          <w:p w14:paraId="6A25AB1A">
            <w:pPr>
              <w:adjustRightInd/>
              <w:jc w:val="left"/>
              <w:rPr>
                <w:rFonts w:hint="eastAsia" w:ascii="宋体" w:hAnsi="宋体" w:eastAsia="宋体" w:cs="宋体"/>
                <w:color w:val="auto"/>
                <w:kern w:val="0"/>
                <w:sz w:val="21"/>
                <w:szCs w:val="21"/>
                <w:highlight w:val="none"/>
              </w:rPr>
            </w:pPr>
          </w:p>
        </w:tc>
      </w:tr>
      <w:tr w14:paraId="153CEBD7">
        <w:tblPrEx>
          <w:tblCellMar>
            <w:top w:w="0" w:type="dxa"/>
            <w:left w:w="108" w:type="dxa"/>
            <w:bottom w:w="0" w:type="dxa"/>
            <w:right w:w="108" w:type="dxa"/>
          </w:tblCellMar>
        </w:tblPrEx>
        <w:trPr>
          <w:trHeight w:val="300" w:hRule="atLeast"/>
          <w:jc w:val="center"/>
        </w:trPr>
        <w:tc>
          <w:tcPr>
            <w:tcW w:w="750" w:type="dxa"/>
            <w:vMerge w:val="continue"/>
            <w:tcBorders>
              <w:top w:val="nil"/>
              <w:left w:val="single" w:color="auto" w:sz="8" w:space="0"/>
              <w:bottom w:val="single" w:color="000000" w:sz="8" w:space="0"/>
              <w:right w:val="single" w:color="auto" w:sz="8" w:space="0"/>
            </w:tcBorders>
            <w:noWrap w:val="0"/>
            <w:vAlign w:val="center"/>
          </w:tcPr>
          <w:p w14:paraId="575F6763">
            <w:pPr>
              <w:adjustRightInd/>
              <w:jc w:val="left"/>
              <w:rPr>
                <w:rFonts w:hint="eastAsia" w:ascii="宋体" w:hAnsi="宋体" w:eastAsia="宋体" w:cs="宋体"/>
                <w:color w:val="auto"/>
                <w:kern w:val="0"/>
                <w:sz w:val="21"/>
                <w:szCs w:val="21"/>
                <w:highlight w:val="none"/>
              </w:rPr>
            </w:pPr>
          </w:p>
        </w:tc>
        <w:tc>
          <w:tcPr>
            <w:tcW w:w="956" w:type="dxa"/>
            <w:tcBorders>
              <w:top w:val="nil"/>
              <w:left w:val="nil"/>
              <w:bottom w:val="single" w:color="auto" w:sz="8" w:space="0"/>
              <w:right w:val="single" w:color="auto" w:sz="8" w:space="0"/>
            </w:tcBorders>
            <w:noWrap w:val="0"/>
            <w:vAlign w:val="center"/>
          </w:tcPr>
          <w:p w14:paraId="3E625BA9">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w:t>
            </w:r>
          </w:p>
        </w:tc>
        <w:tc>
          <w:tcPr>
            <w:tcW w:w="1245" w:type="dxa"/>
            <w:vMerge w:val="continue"/>
            <w:tcBorders>
              <w:top w:val="nil"/>
              <w:left w:val="single" w:color="auto" w:sz="8" w:space="0"/>
              <w:bottom w:val="single" w:color="000000" w:sz="8" w:space="0"/>
              <w:right w:val="single" w:color="auto" w:sz="8" w:space="0"/>
            </w:tcBorders>
            <w:noWrap w:val="0"/>
            <w:vAlign w:val="center"/>
          </w:tcPr>
          <w:p w14:paraId="581BB38B">
            <w:pPr>
              <w:adjustRightInd/>
              <w:jc w:val="left"/>
              <w:rPr>
                <w:rFonts w:hint="eastAsia" w:ascii="宋体" w:hAnsi="宋体" w:eastAsia="宋体" w:cs="宋体"/>
                <w:color w:val="auto"/>
                <w:kern w:val="0"/>
                <w:sz w:val="21"/>
                <w:szCs w:val="21"/>
                <w:highlight w:val="none"/>
              </w:rPr>
            </w:pPr>
          </w:p>
        </w:tc>
        <w:tc>
          <w:tcPr>
            <w:tcW w:w="1255" w:type="dxa"/>
            <w:vMerge w:val="continue"/>
            <w:tcBorders>
              <w:top w:val="nil"/>
              <w:left w:val="single" w:color="auto" w:sz="8" w:space="0"/>
              <w:bottom w:val="single" w:color="000000" w:sz="8" w:space="0"/>
              <w:right w:val="single" w:color="auto" w:sz="8" w:space="0"/>
            </w:tcBorders>
            <w:noWrap w:val="0"/>
            <w:vAlign w:val="center"/>
          </w:tcPr>
          <w:p w14:paraId="07C9A3E4">
            <w:pPr>
              <w:adjustRightInd/>
              <w:jc w:val="left"/>
              <w:rPr>
                <w:rFonts w:hint="eastAsia" w:ascii="宋体" w:hAnsi="宋体" w:eastAsia="宋体" w:cs="宋体"/>
                <w:color w:val="auto"/>
                <w:kern w:val="0"/>
                <w:sz w:val="21"/>
                <w:szCs w:val="21"/>
                <w:highlight w:val="none"/>
              </w:rPr>
            </w:pPr>
          </w:p>
        </w:tc>
        <w:tc>
          <w:tcPr>
            <w:tcW w:w="1270" w:type="dxa"/>
            <w:tcBorders>
              <w:top w:val="nil"/>
              <w:left w:val="nil"/>
              <w:bottom w:val="single" w:color="auto" w:sz="8" w:space="0"/>
              <w:right w:val="single" w:color="auto" w:sz="8" w:space="0"/>
            </w:tcBorders>
            <w:noWrap w:val="0"/>
            <w:vAlign w:val="center"/>
          </w:tcPr>
          <w:p w14:paraId="033135B4">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0.8</w:t>
            </w:r>
          </w:p>
        </w:tc>
        <w:tc>
          <w:tcPr>
            <w:tcW w:w="1352" w:type="dxa"/>
            <w:tcBorders>
              <w:top w:val="nil"/>
              <w:left w:val="nil"/>
              <w:bottom w:val="single" w:color="auto" w:sz="8" w:space="0"/>
              <w:right w:val="single" w:color="auto" w:sz="8" w:space="0"/>
            </w:tcBorders>
            <w:noWrap w:val="0"/>
            <w:vAlign w:val="center"/>
          </w:tcPr>
          <w:p w14:paraId="76764EA8">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0.5</w:t>
            </w:r>
          </w:p>
        </w:tc>
        <w:tc>
          <w:tcPr>
            <w:tcW w:w="977" w:type="dxa"/>
            <w:vMerge w:val="continue"/>
            <w:tcBorders>
              <w:top w:val="nil"/>
              <w:left w:val="single" w:color="auto" w:sz="8" w:space="0"/>
              <w:bottom w:val="single" w:color="000000" w:sz="8" w:space="0"/>
              <w:right w:val="single" w:color="auto" w:sz="8" w:space="0"/>
            </w:tcBorders>
            <w:noWrap w:val="0"/>
            <w:vAlign w:val="center"/>
          </w:tcPr>
          <w:p w14:paraId="57C20FCC">
            <w:pPr>
              <w:adjustRightInd/>
              <w:jc w:val="left"/>
              <w:rPr>
                <w:rFonts w:hint="eastAsia" w:ascii="宋体" w:hAnsi="宋体" w:eastAsia="宋体" w:cs="宋体"/>
                <w:color w:val="auto"/>
                <w:kern w:val="0"/>
                <w:sz w:val="21"/>
                <w:szCs w:val="21"/>
                <w:highlight w:val="none"/>
              </w:rPr>
            </w:pPr>
          </w:p>
        </w:tc>
        <w:tc>
          <w:tcPr>
            <w:tcW w:w="1363" w:type="dxa"/>
            <w:vMerge w:val="continue"/>
            <w:tcBorders>
              <w:top w:val="nil"/>
              <w:left w:val="single" w:color="auto" w:sz="8" w:space="0"/>
              <w:bottom w:val="single" w:color="000000" w:sz="8" w:space="0"/>
              <w:right w:val="single" w:color="auto" w:sz="8" w:space="0"/>
            </w:tcBorders>
            <w:noWrap w:val="0"/>
            <w:vAlign w:val="center"/>
          </w:tcPr>
          <w:p w14:paraId="10BE64E4">
            <w:pPr>
              <w:adjustRightInd/>
              <w:jc w:val="left"/>
              <w:rPr>
                <w:rFonts w:hint="eastAsia" w:ascii="宋体" w:hAnsi="宋体" w:eastAsia="宋体" w:cs="宋体"/>
                <w:color w:val="auto"/>
                <w:kern w:val="0"/>
                <w:sz w:val="21"/>
                <w:szCs w:val="21"/>
                <w:highlight w:val="none"/>
              </w:rPr>
            </w:pPr>
          </w:p>
        </w:tc>
      </w:tr>
      <w:tr w14:paraId="31DD28AC">
        <w:tblPrEx>
          <w:tblCellMar>
            <w:top w:w="0" w:type="dxa"/>
            <w:left w:w="108" w:type="dxa"/>
            <w:bottom w:w="0" w:type="dxa"/>
            <w:right w:w="108" w:type="dxa"/>
          </w:tblCellMar>
        </w:tblPrEx>
        <w:trPr>
          <w:trHeight w:val="300" w:hRule="atLeast"/>
          <w:jc w:val="center"/>
        </w:trPr>
        <w:tc>
          <w:tcPr>
            <w:tcW w:w="750" w:type="dxa"/>
            <w:vMerge w:val="restart"/>
            <w:tcBorders>
              <w:top w:val="nil"/>
              <w:left w:val="single" w:color="auto" w:sz="8" w:space="0"/>
              <w:bottom w:val="single" w:color="000000" w:sz="8" w:space="0"/>
              <w:right w:val="single" w:color="auto" w:sz="8" w:space="0"/>
            </w:tcBorders>
            <w:noWrap w:val="0"/>
            <w:vAlign w:val="center"/>
          </w:tcPr>
          <w:p w14:paraId="62CE797C">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w:t>
            </w:r>
          </w:p>
        </w:tc>
        <w:tc>
          <w:tcPr>
            <w:tcW w:w="956" w:type="dxa"/>
            <w:tcBorders>
              <w:top w:val="nil"/>
              <w:left w:val="nil"/>
              <w:bottom w:val="single" w:color="auto" w:sz="8" w:space="0"/>
              <w:right w:val="single" w:color="auto" w:sz="8" w:space="0"/>
            </w:tcBorders>
            <w:noWrap w:val="0"/>
            <w:vAlign w:val="center"/>
          </w:tcPr>
          <w:p w14:paraId="60DD360E">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125</w:t>
            </w:r>
          </w:p>
        </w:tc>
        <w:tc>
          <w:tcPr>
            <w:tcW w:w="1245" w:type="dxa"/>
            <w:vMerge w:val="restart"/>
            <w:tcBorders>
              <w:top w:val="nil"/>
              <w:left w:val="single" w:color="auto" w:sz="8" w:space="0"/>
              <w:bottom w:val="single" w:color="000000" w:sz="8" w:space="0"/>
              <w:right w:val="single" w:color="auto" w:sz="8" w:space="0"/>
            </w:tcBorders>
            <w:noWrap w:val="0"/>
            <w:vAlign w:val="center"/>
          </w:tcPr>
          <w:p w14:paraId="76B8BD0A">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w:t>
            </w:r>
          </w:p>
        </w:tc>
        <w:tc>
          <w:tcPr>
            <w:tcW w:w="1255" w:type="dxa"/>
            <w:vMerge w:val="restart"/>
            <w:tcBorders>
              <w:top w:val="nil"/>
              <w:left w:val="single" w:color="auto" w:sz="8" w:space="0"/>
              <w:bottom w:val="single" w:color="000000" w:sz="8" w:space="0"/>
              <w:right w:val="single" w:color="auto" w:sz="8" w:space="0"/>
            </w:tcBorders>
            <w:noWrap w:val="0"/>
            <w:vAlign w:val="center"/>
          </w:tcPr>
          <w:p w14:paraId="11A5F1B8">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160</w:t>
            </w:r>
          </w:p>
        </w:tc>
        <w:tc>
          <w:tcPr>
            <w:tcW w:w="1270" w:type="dxa"/>
            <w:tcBorders>
              <w:top w:val="nil"/>
              <w:left w:val="nil"/>
              <w:bottom w:val="single" w:color="auto" w:sz="8" w:space="0"/>
              <w:right w:val="single" w:color="auto" w:sz="8" w:space="0"/>
            </w:tcBorders>
            <w:noWrap w:val="0"/>
            <w:vAlign w:val="center"/>
          </w:tcPr>
          <w:p w14:paraId="7A050504">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352" w:type="dxa"/>
            <w:tcBorders>
              <w:top w:val="nil"/>
              <w:left w:val="nil"/>
              <w:bottom w:val="single" w:color="auto" w:sz="8" w:space="0"/>
              <w:right w:val="single" w:color="auto" w:sz="8" w:space="0"/>
            </w:tcBorders>
            <w:noWrap w:val="0"/>
            <w:vAlign w:val="center"/>
          </w:tcPr>
          <w:p w14:paraId="0744D59E">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1.28</w:t>
            </w:r>
          </w:p>
        </w:tc>
        <w:tc>
          <w:tcPr>
            <w:tcW w:w="977" w:type="dxa"/>
            <w:vMerge w:val="restart"/>
            <w:tcBorders>
              <w:top w:val="nil"/>
              <w:left w:val="single" w:color="auto" w:sz="8" w:space="0"/>
              <w:bottom w:val="single" w:color="000000" w:sz="8" w:space="0"/>
              <w:right w:val="single" w:color="auto" w:sz="8" w:space="0"/>
            </w:tcBorders>
            <w:noWrap w:val="0"/>
            <w:vAlign w:val="center"/>
          </w:tcPr>
          <w:p w14:paraId="1237655B">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0.0005</w:t>
            </w:r>
          </w:p>
        </w:tc>
        <w:tc>
          <w:tcPr>
            <w:tcW w:w="1363" w:type="dxa"/>
            <w:vMerge w:val="restart"/>
            <w:tcBorders>
              <w:top w:val="nil"/>
              <w:left w:val="single" w:color="auto" w:sz="8" w:space="0"/>
              <w:bottom w:val="single" w:color="000000" w:sz="8" w:space="0"/>
              <w:right w:val="single" w:color="auto" w:sz="8" w:space="0"/>
            </w:tcBorders>
            <w:noWrap w:val="0"/>
            <w:vAlign w:val="center"/>
          </w:tcPr>
          <w:p w14:paraId="235160DD">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999,999</w:t>
            </w:r>
          </w:p>
        </w:tc>
      </w:tr>
      <w:tr w14:paraId="5D722B20">
        <w:tblPrEx>
          <w:tblCellMar>
            <w:top w:w="0" w:type="dxa"/>
            <w:left w:w="108" w:type="dxa"/>
            <w:bottom w:w="0" w:type="dxa"/>
            <w:right w:w="108" w:type="dxa"/>
          </w:tblCellMar>
        </w:tblPrEx>
        <w:trPr>
          <w:trHeight w:val="300" w:hRule="atLeast"/>
          <w:jc w:val="center"/>
        </w:trPr>
        <w:tc>
          <w:tcPr>
            <w:tcW w:w="750" w:type="dxa"/>
            <w:vMerge w:val="continue"/>
            <w:tcBorders>
              <w:top w:val="nil"/>
              <w:left w:val="single" w:color="auto" w:sz="8" w:space="0"/>
              <w:bottom w:val="single" w:color="000000" w:sz="8" w:space="0"/>
              <w:right w:val="single" w:color="auto" w:sz="8" w:space="0"/>
            </w:tcBorders>
            <w:noWrap w:val="0"/>
            <w:vAlign w:val="center"/>
          </w:tcPr>
          <w:p w14:paraId="7799EB63">
            <w:pPr>
              <w:adjustRightInd/>
              <w:jc w:val="left"/>
              <w:rPr>
                <w:rFonts w:hint="eastAsia" w:ascii="宋体" w:hAnsi="宋体" w:eastAsia="宋体" w:cs="宋体"/>
                <w:color w:val="auto"/>
                <w:kern w:val="0"/>
                <w:sz w:val="21"/>
                <w:szCs w:val="21"/>
                <w:highlight w:val="none"/>
              </w:rPr>
            </w:pPr>
          </w:p>
        </w:tc>
        <w:tc>
          <w:tcPr>
            <w:tcW w:w="956" w:type="dxa"/>
            <w:tcBorders>
              <w:top w:val="nil"/>
              <w:left w:val="nil"/>
              <w:bottom w:val="single" w:color="auto" w:sz="8" w:space="0"/>
              <w:right w:val="single" w:color="auto" w:sz="8" w:space="0"/>
            </w:tcBorders>
            <w:noWrap w:val="0"/>
            <w:vAlign w:val="center"/>
          </w:tcPr>
          <w:p w14:paraId="5B75105F">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160</w:t>
            </w:r>
          </w:p>
        </w:tc>
        <w:tc>
          <w:tcPr>
            <w:tcW w:w="1245" w:type="dxa"/>
            <w:vMerge w:val="continue"/>
            <w:tcBorders>
              <w:top w:val="nil"/>
              <w:left w:val="single" w:color="auto" w:sz="8" w:space="0"/>
              <w:bottom w:val="single" w:color="000000" w:sz="8" w:space="0"/>
              <w:right w:val="single" w:color="auto" w:sz="8" w:space="0"/>
            </w:tcBorders>
            <w:noWrap w:val="0"/>
            <w:vAlign w:val="center"/>
          </w:tcPr>
          <w:p w14:paraId="5FFE4607">
            <w:pPr>
              <w:adjustRightInd/>
              <w:jc w:val="left"/>
              <w:rPr>
                <w:rFonts w:hint="eastAsia" w:ascii="宋体" w:hAnsi="宋体" w:eastAsia="宋体" w:cs="宋体"/>
                <w:color w:val="auto"/>
                <w:kern w:val="0"/>
                <w:sz w:val="21"/>
                <w:szCs w:val="21"/>
                <w:highlight w:val="none"/>
              </w:rPr>
            </w:pPr>
          </w:p>
        </w:tc>
        <w:tc>
          <w:tcPr>
            <w:tcW w:w="1255" w:type="dxa"/>
            <w:vMerge w:val="continue"/>
            <w:tcBorders>
              <w:top w:val="nil"/>
              <w:left w:val="single" w:color="auto" w:sz="8" w:space="0"/>
              <w:bottom w:val="single" w:color="000000" w:sz="8" w:space="0"/>
              <w:right w:val="single" w:color="auto" w:sz="8" w:space="0"/>
            </w:tcBorders>
            <w:noWrap w:val="0"/>
            <w:vAlign w:val="center"/>
          </w:tcPr>
          <w:p w14:paraId="6C917668">
            <w:pPr>
              <w:adjustRightInd/>
              <w:jc w:val="left"/>
              <w:rPr>
                <w:rFonts w:hint="eastAsia" w:ascii="宋体" w:hAnsi="宋体" w:eastAsia="宋体" w:cs="宋体"/>
                <w:color w:val="auto"/>
                <w:kern w:val="0"/>
                <w:sz w:val="21"/>
                <w:szCs w:val="21"/>
                <w:highlight w:val="none"/>
              </w:rPr>
            </w:pPr>
          </w:p>
        </w:tc>
        <w:tc>
          <w:tcPr>
            <w:tcW w:w="1270" w:type="dxa"/>
            <w:tcBorders>
              <w:top w:val="nil"/>
              <w:left w:val="nil"/>
              <w:bottom w:val="single" w:color="auto" w:sz="8" w:space="0"/>
              <w:right w:val="single" w:color="auto" w:sz="8" w:space="0"/>
            </w:tcBorders>
            <w:noWrap w:val="0"/>
            <w:vAlign w:val="center"/>
          </w:tcPr>
          <w:p w14:paraId="4446C9A1">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w:t>
            </w:r>
          </w:p>
        </w:tc>
        <w:tc>
          <w:tcPr>
            <w:tcW w:w="1352" w:type="dxa"/>
            <w:tcBorders>
              <w:top w:val="nil"/>
              <w:left w:val="nil"/>
              <w:bottom w:val="single" w:color="auto" w:sz="8" w:space="0"/>
              <w:right w:val="single" w:color="auto" w:sz="8" w:space="0"/>
            </w:tcBorders>
            <w:noWrap w:val="0"/>
            <w:vAlign w:val="center"/>
          </w:tcPr>
          <w:p w14:paraId="3074BA0A">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977" w:type="dxa"/>
            <w:vMerge w:val="continue"/>
            <w:tcBorders>
              <w:top w:val="nil"/>
              <w:left w:val="single" w:color="auto" w:sz="8" w:space="0"/>
              <w:bottom w:val="single" w:color="000000" w:sz="8" w:space="0"/>
              <w:right w:val="single" w:color="auto" w:sz="8" w:space="0"/>
            </w:tcBorders>
            <w:noWrap w:val="0"/>
            <w:vAlign w:val="center"/>
          </w:tcPr>
          <w:p w14:paraId="1E101450">
            <w:pPr>
              <w:adjustRightInd/>
              <w:jc w:val="left"/>
              <w:rPr>
                <w:rFonts w:hint="eastAsia" w:ascii="宋体" w:hAnsi="宋体" w:eastAsia="宋体" w:cs="宋体"/>
                <w:color w:val="auto"/>
                <w:kern w:val="0"/>
                <w:sz w:val="21"/>
                <w:szCs w:val="21"/>
                <w:highlight w:val="none"/>
              </w:rPr>
            </w:pPr>
          </w:p>
        </w:tc>
        <w:tc>
          <w:tcPr>
            <w:tcW w:w="1363" w:type="dxa"/>
            <w:vMerge w:val="continue"/>
            <w:tcBorders>
              <w:top w:val="nil"/>
              <w:left w:val="single" w:color="auto" w:sz="8" w:space="0"/>
              <w:bottom w:val="single" w:color="000000" w:sz="8" w:space="0"/>
              <w:right w:val="single" w:color="auto" w:sz="8" w:space="0"/>
            </w:tcBorders>
            <w:noWrap w:val="0"/>
            <w:vAlign w:val="center"/>
          </w:tcPr>
          <w:p w14:paraId="09152451">
            <w:pPr>
              <w:adjustRightInd/>
              <w:jc w:val="left"/>
              <w:rPr>
                <w:rFonts w:hint="eastAsia" w:ascii="宋体" w:hAnsi="宋体" w:eastAsia="宋体" w:cs="宋体"/>
                <w:color w:val="auto"/>
                <w:kern w:val="0"/>
                <w:sz w:val="21"/>
                <w:szCs w:val="21"/>
                <w:highlight w:val="none"/>
              </w:rPr>
            </w:pPr>
          </w:p>
        </w:tc>
      </w:tr>
      <w:tr w14:paraId="0B269C71">
        <w:tblPrEx>
          <w:tblCellMar>
            <w:top w:w="0" w:type="dxa"/>
            <w:left w:w="108" w:type="dxa"/>
            <w:bottom w:w="0" w:type="dxa"/>
            <w:right w:w="108" w:type="dxa"/>
          </w:tblCellMar>
        </w:tblPrEx>
        <w:trPr>
          <w:trHeight w:val="300" w:hRule="atLeast"/>
          <w:jc w:val="center"/>
        </w:trPr>
        <w:tc>
          <w:tcPr>
            <w:tcW w:w="750" w:type="dxa"/>
            <w:vMerge w:val="continue"/>
            <w:tcBorders>
              <w:top w:val="nil"/>
              <w:left w:val="single" w:color="auto" w:sz="8" w:space="0"/>
              <w:bottom w:val="single" w:color="000000" w:sz="8" w:space="0"/>
              <w:right w:val="single" w:color="auto" w:sz="8" w:space="0"/>
            </w:tcBorders>
            <w:noWrap w:val="0"/>
            <w:vAlign w:val="center"/>
          </w:tcPr>
          <w:p w14:paraId="7697F33D">
            <w:pPr>
              <w:adjustRightInd/>
              <w:jc w:val="left"/>
              <w:rPr>
                <w:rFonts w:hint="eastAsia" w:ascii="宋体" w:hAnsi="宋体" w:eastAsia="宋体" w:cs="宋体"/>
                <w:color w:val="auto"/>
                <w:kern w:val="0"/>
                <w:sz w:val="21"/>
                <w:szCs w:val="21"/>
                <w:highlight w:val="none"/>
              </w:rPr>
            </w:pPr>
          </w:p>
        </w:tc>
        <w:tc>
          <w:tcPr>
            <w:tcW w:w="956" w:type="dxa"/>
            <w:tcBorders>
              <w:top w:val="nil"/>
              <w:left w:val="nil"/>
              <w:bottom w:val="single" w:color="auto" w:sz="8" w:space="0"/>
              <w:right w:val="single" w:color="auto" w:sz="8" w:space="0"/>
            </w:tcBorders>
            <w:noWrap w:val="0"/>
            <w:vAlign w:val="center"/>
          </w:tcPr>
          <w:p w14:paraId="65259578">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w:t>
            </w:r>
          </w:p>
        </w:tc>
        <w:tc>
          <w:tcPr>
            <w:tcW w:w="1245" w:type="dxa"/>
            <w:vMerge w:val="continue"/>
            <w:tcBorders>
              <w:top w:val="nil"/>
              <w:left w:val="single" w:color="auto" w:sz="8" w:space="0"/>
              <w:bottom w:val="single" w:color="000000" w:sz="8" w:space="0"/>
              <w:right w:val="single" w:color="auto" w:sz="8" w:space="0"/>
            </w:tcBorders>
            <w:noWrap w:val="0"/>
            <w:vAlign w:val="center"/>
          </w:tcPr>
          <w:p w14:paraId="7C4F54FF">
            <w:pPr>
              <w:adjustRightInd/>
              <w:jc w:val="left"/>
              <w:rPr>
                <w:rFonts w:hint="eastAsia" w:ascii="宋体" w:hAnsi="宋体" w:eastAsia="宋体" w:cs="宋体"/>
                <w:color w:val="auto"/>
                <w:kern w:val="0"/>
                <w:sz w:val="21"/>
                <w:szCs w:val="21"/>
                <w:highlight w:val="none"/>
              </w:rPr>
            </w:pPr>
          </w:p>
        </w:tc>
        <w:tc>
          <w:tcPr>
            <w:tcW w:w="1255" w:type="dxa"/>
            <w:vMerge w:val="continue"/>
            <w:tcBorders>
              <w:top w:val="nil"/>
              <w:left w:val="single" w:color="auto" w:sz="8" w:space="0"/>
              <w:bottom w:val="single" w:color="000000" w:sz="8" w:space="0"/>
              <w:right w:val="single" w:color="auto" w:sz="8" w:space="0"/>
            </w:tcBorders>
            <w:noWrap w:val="0"/>
            <w:vAlign w:val="center"/>
          </w:tcPr>
          <w:p w14:paraId="602E0B62">
            <w:pPr>
              <w:adjustRightInd/>
              <w:jc w:val="left"/>
              <w:rPr>
                <w:rFonts w:hint="eastAsia" w:ascii="宋体" w:hAnsi="宋体" w:eastAsia="宋体" w:cs="宋体"/>
                <w:color w:val="auto"/>
                <w:kern w:val="0"/>
                <w:sz w:val="21"/>
                <w:szCs w:val="21"/>
                <w:highlight w:val="none"/>
              </w:rPr>
            </w:pPr>
          </w:p>
        </w:tc>
        <w:tc>
          <w:tcPr>
            <w:tcW w:w="1270" w:type="dxa"/>
            <w:tcBorders>
              <w:top w:val="nil"/>
              <w:left w:val="nil"/>
              <w:bottom w:val="single" w:color="auto" w:sz="8" w:space="0"/>
              <w:right w:val="single" w:color="auto" w:sz="8" w:space="0"/>
            </w:tcBorders>
            <w:noWrap w:val="0"/>
            <w:vAlign w:val="center"/>
          </w:tcPr>
          <w:p w14:paraId="29B1BCE7">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1.28</w:t>
            </w:r>
          </w:p>
        </w:tc>
        <w:tc>
          <w:tcPr>
            <w:tcW w:w="1352" w:type="dxa"/>
            <w:tcBorders>
              <w:top w:val="nil"/>
              <w:left w:val="nil"/>
              <w:bottom w:val="single" w:color="auto" w:sz="8" w:space="0"/>
              <w:right w:val="single" w:color="auto" w:sz="8" w:space="0"/>
            </w:tcBorders>
            <w:noWrap w:val="0"/>
            <w:vAlign w:val="center"/>
          </w:tcPr>
          <w:p w14:paraId="7C1B52A3">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0.8</w:t>
            </w:r>
          </w:p>
        </w:tc>
        <w:tc>
          <w:tcPr>
            <w:tcW w:w="977" w:type="dxa"/>
            <w:vMerge w:val="continue"/>
            <w:tcBorders>
              <w:top w:val="nil"/>
              <w:left w:val="single" w:color="auto" w:sz="8" w:space="0"/>
              <w:bottom w:val="single" w:color="000000" w:sz="8" w:space="0"/>
              <w:right w:val="single" w:color="auto" w:sz="8" w:space="0"/>
            </w:tcBorders>
            <w:noWrap w:val="0"/>
            <w:vAlign w:val="center"/>
          </w:tcPr>
          <w:p w14:paraId="08DDF9B3">
            <w:pPr>
              <w:adjustRightInd/>
              <w:jc w:val="left"/>
              <w:rPr>
                <w:rFonts w:hint="eastAsia" w:ascii="宋体" w:hAnsi="宋体" w:eastAsia="宋体" w:cs="宋体"/>
                <w:color w:val="auto"/>
                <w:kern w:val="0"/>
                <w:sz w:val="21"/>
                <w:szCs w:val="21"/>
                <w:highlight w:val="none"/>
              </w:rPr>
            </w:pPr>
          </w:p>
        </w:tc>
        <w:tc>
          <w:tcPr>
            <w:tcW w:w="1363" w:type="dxa"/>
            <w:vMerge w:val="continue"/>
            <w:tcBorders>
              <w:top w:val="nil"/>
              <w:left w:val="single" w:color="auto" w:sz="8" w:space="0"/>
              <w:bottom w:val="single" w:color="000000" w:sz="8" w:space="0"/>
              <w:right w:val="single" w:color="auto" w:sz="8" w:space="0"/>
            </w:tcBorders>
            <w:noWrap w:val="0"/>
            <w:vAlign w:val="center"/>
          </w:tcPr>
          <w:p w14:paraId="41A4ECAA">
            <w:pPr>
              <w:adjustRightInd/>
              <w:jc w:val="left"/>
              <w:rPr>
                <w:rFonts w:hint="eastAsia" w:ascii="宋体" w:hAnsi="宋体" w:eastAsia="宋体" w:cs="宋体"/>
                <w:color w:val="auto"/>
                <w:kern w:val="0"/>
                <w:sz w:val="21"/>
                <w:szCs w:val="21"/>
                <w:highlight w:val="none"/>
              </w:rPr>
            </w:pPr>
          </w:p>
        </w:tc>
      </w:tr>
      <w:tr w14:paraId="03C66E44">
        <w:tblPrEx>
          <w:tblCellMar>
            <w:top w:w="0" w:type="dxa"/>
            <w:left w:w="108" w:type="dxa"/>
            <w:bottom w:w="0" w:type="dxa"/>
            <w:right w:w="108" w:type="dxa"/>
          </w:tblCellMar>
        </w:tblPrEx>
        <w:trPr>
          <w:trHeight w:val="300" w:hRule="atLeast"/>
          <w:jc w:val="center"/>
        </w:trPr>
        <w:tc>
          <w:tcPr>
            <w:tcW w:w="750" w:type="dxa"/>
            <w:vMerge w:val="restart"/>
            <w:tcBorders>
              <w:top w:val="nil"/>
              <w:left w:val="single" w:color="auto" w:sz="8" w:space="0"/>
              <w:bottom w:val="single" w:color="000000" w:sz="8" w:space="0"/>
              <w:right w:val="single" w:color="auto" w:sz="8" w:space="0"/>
            </w:tcBorders>
            <w:noWrap w:val="0"/>
            <w:vAlign w:val="center"/>
          </w:tcPr>
          <w:p w14:paraId="1FAD1206">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150</w:t>
            </w:r>
          </w:p>
        </w:tc>
        <w:tc>
          <w:tcPr>
            <w:tcW w:w="956" w:type="dxa"/>
            <w:tcBorders>
              <w:top w:val="nil"/>
              <w:left w:val="nil"/>
              <w:bottom w:val="single" w:color="auto" w:sz="8" w:space="0"/>
              <w:right w:val="single" w:color="auto" w:sz="8" w:space="0"/>
            </w:tcBorders>
            <w:noWrap w:val="0"/>
            <w:vAlign w:val="center"/>
          </w:tcPr>
          <w:p w14:paraId="1E923065">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125</w:t>
            </w:r>
          </w:p>
        </w:tc>
        <w:tc>
          <w:tcPr>
            <w:tcW w:w="1245" w:type="dxa"/>
            <w:vMerge w:val="restart"/>
            <w:tcBorders>
              <w:top w:val="nil"/>
              <w:left w:val="single" w:color="auto" w:sz="8" w:space="0"/>
              <w:bottom w:val="single" w:color="000000" w:sz="8" w:space="0"/>
              <w:right w:val="single" w:color="auto" w:sz="8" w:space="0"/>
            </w:tcBorders>
            <w:noWrap w:val="0"/>
            <w:vAlign w:val="center"/>
          </w:tcPr>
          <w:p w14:paraId="0E4D1A7B">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500</w:t>
            </w:r>
          </w:p>
        </w:tc>
        <w:tc>
          <w:tcPr>
            <w:tcW w:w="1255" w:type="dxa"/>
            <w:vMerge w:val="restart"/>
            <w:tcBorders>
              <w:top w:val="nil"/>
              <w:left w:val="single" w:color="auto" w:sz="8" w:space="0"/>
              <w:bottom w:val="single" w:color="000000" w:sz="8" w:space="0"/>
              <w:right w:val="single" w:color="auto" w:sz="8" w:space="0"/>
            </w:tcBorders>
            <w:noWrap w:val="0"/>
            <w:vAlign w:val="center"/>
          </w:tcPr>
          <w:p w14:paraId="082BBAC8">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w:t>
            </w:r>
          </w:p>
        </w:tc>
        <w:tc>
          <w:tcPr>
            <w:tcW w:w="1270" w:type="dxa"/>
            <w:tcBorders>
              <w:top w:val="nil"/>
              <w:left w:val="nil"/>
              <w:bottom w:val="single" w:color="auto" w:sz="8" w:space="0"/>
              <w:right w:val="single" w:color="auto" w:sz="8" w:space="0"/>
            </w:tcBorders>
            <w:noWrap w:val="0"/>
            <w:vAlign w:val="center"/>
          </w:tcPr>
          <w:p w14:paraId="3FD7F62C">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5.12</w:t>
            </w:r>
          </w:p>
        </w:tc>
        <w:tc>
          <w:tcPr>
            <w:tcW w:w="1352" w:type="dxa"/>
            <w:tcBorders>
              <w:top w:val="nil"/>
              <w:left w:val="nil"/>
              <w:bottom w:val="single" w:color="auto" w:sz="8" w:space="0"/>
              <w:right w:val="single" w:color="auto" w:sz="8" w:space="0"/>
            </w:tcBorders>
            <w:noWrap w:val="0"/>
            <w:vAlign w:val="center"/>
          </w:tcPr>
          <w:p w14:paraId="55C1DDB5">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w:t>
            </w:r>
          </w:p>
        </w:tc>
        <w:tc>
          <w:tcPr>
            <w:tcW w:w="977" w:type="dxa"/>
            <w:vMerge w:val="restart"/>
            <w:tcBorders>
              <w:top w:val="nil"/>
              <w:left w:val="single" w:color="auto" w:sz="8" w:space="0"/>
              <w:bottom w:val="single" w:color="000000" w:sz="8" w:space="0"/>
              <w:right w:val="single" w:color="auto" w:sz="8" w:space="0"/>
            </w:tcBorders>
            <w:noWrap w:val="0"/>
            <w:vAlign w:val="center"/>
          </w:tcPr>
          <w:p w14:paraId="42B28F8B">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0.005</w:t>
            </w:r>
          </w:p>
        </w:tc>
        <w:tc>
          <w:tcPr>
            <w:tcW w:w="1363" w:type="dxa"/>
            <w:vMerge w:val="restart"/>
            <w:tcBorders>
              <w:top w:val="nil"/>
              <w:left w:val="single" w:color="auto" w:sz="8" w:space="0"/>
              <w:bottom w:val="single" w:color="000000" w:sz="8" w:space="0"/>
              <w:right w:val="single" w:color="auto" w:sz="8" w:space="0"/>
            </w:tcBorders>
            <w:noWrap w:val="0"/>
            <w:vAlign w:val="center"/>
          </w:tcPr>
          <w:p w14:paraId="781B387E">
            <w:pPr>
              <w:adjustRightInd/>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9,999,999</w:t>
            </w:r>
          </w:p>
        </w:tc>
      </w:tr>
      <w:tr w14:paraId="7DF9E64F">
        <w:tblPrEx>
          <w:tblCellMar>
            <w:top w:w="0" w:type="dxa"/>
            <w:left w:w="108" w:type="dxa"/>
            <w:bottom w:w="0" w:type="dxa"/>
            <w:right w:w="108" w:type="dxa"/>
          </w:tblCellMar>
        </w:tblPrEx>
        <w:trPr>
          <w:trHeight w:val="300" w:hRule="atLeast"/>
          <w:jc w:val="center"/>
        </w:trPr>
        <w:tc>
          <w:tcPr>
            <w:tcW w:w="750" w:type="dxa"/>
            <w:vMerge w:val="continue"/>
            <w:tcBorders>
              <w:top w:val="nil"/>
              <w:left w:val="single" w:color="auto" w:sz="8" w:space="0"/>
              <w:bottom w:val="single" w:color="000000" w:sz="8" w:space="0"/>
              <w:right w:val="single" w:color="auto" w:sz="8" w:space="0"/>
            </w:tcBorders>
            <w:noWrap w:val="0"/>
            <w:vAlign w:val="center"/>
          </w:tcPr>
          <w:p w14:paraId="6C154172">
            <w:pPr>
              <w:adjustRightInd/>
              <w:jc w:val="left"/>
              <w:rPr>
                <w:rFonts w:hint="eastAsia" w:ascii="宋体" w:hAnsi="宋体" w:eastAsia="宋体" w:cs="宋体"/>
                <w:color w:val="auto"/>
                <w:kern w:val="0"/>
                <w:sz w:val="21"/>
                <w:szCs w:val="21"/>
                <w:highlight w:val="none"/>
              </w:rPr>
            </w:pPr>
          </w:p>
        </w:tc>
        <w:tc>
          <w:tcPr>
            <w:tcW w:w="956" w:type="dxa"/>
            <w:tcBorders>
              <w:top w:val="nil"/>
              <w:left w:val="nil"/>
              <w:bottom w:val="single" w:color="auto" w:sz="8" w:space="0"/>
              <w:right w:val="single" w:color="auto" w:sz="8" w:space="0"/>
            </w:tcBorders>
            <w:noWrap w:val="0"/>
            <w:vAlign w:val="center"/>
          </w:tcPr>
          <w:p w14:paraId="57BBD2E1">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160</w:t>
            </w:r>
          </w:p>
        </w:tc>
        <w:tc>
          <w:tcPr>
            <w:tcW w:w="1245" w:type="dxa"/>
            <w:vMerge w:val="continue"/>
            <w:tcBorders>
              <w:top w:val="nil"/>
              <w:left w:val="single" w:color="auto" w:sz="8" w:space="0"/>
              <w:bottom w:val="single" w:color="000000" w:sz="8" w:space="0"/>
              <w:right w:val="single" w:color="auto" w:sz="8" w:space="0"/>
            </w:tcBorders>
            <w:noWrap w:val="0"/>
            <w:vAlign w:val="center"/>
          </w:tcPr>
          <w:p w14:paraId="67B86EBF">
            <w:pPr>
              <w:adjustRightInd/>
              <w:jc w:val="left"/>
              <w:rPr>
                <w:rFonts w:hint="eastAsia" w:ascii="宋体" w:hAnsi="宋体" w:eastAsia="宋体" w:cs="宋体"/>
                <w:color w:val="auto"/>
                <w:kern w:val="0"/>
                <w:sz w:val="21"/>
                <w:szCs w:val="21"/>
                <w:highlight w:val="none"/>
              </w:rPr>
            </w:pPr>
          </w:p>
        </w:tc>
        <w:tc>
          <w:tcPr>
            <w:tcW w:w="1255" w:type="dxa"/>
            <w:vMerge w:val="continue"/>
            <w:tcBorders>
              <w:top w:val="nil"/>
              <w:left w:val="single" w:color="auto" w:sz="8" w:space="0"/>
              <w:bottom w:val="single" w:color="000000" w:sz="8" w:space="0"/>
              <w:right w:val="single" w:color="auto" w:sz="8" w:space="0"/>
            </w:tcBorders>
            <w:noWrap w:val="0"/>
            <w:vAlign w:val="center"/>
          </w:tcPr>
          <w:p w14:paraId="5DF19556">
            <w:pPr>
              <w:adjustRightInd/>
              <w:jc w:val="left"/>
              <w:rPr>
                <w:rFonts w:hint="eastAsia" w:ascii="宋体" w:hAnsi="宋体" w:eastAsia="宋体" w:cs="宋体"/>
                <w:color w:val="auto"/>
                <w:kern w:val="0"/>
                <w:sz w:val="21"/>
                <w:szCs w:val="21"/>
                <w:highlight w:val="none"/>
              </w:rPr>
            </w:pPr>
          </w:p>
        </w:tc>
        <w:tc>
          <w:tcPr>
            <w:tcW w:w="1270" w:type="dxa"/>
            <w:tcBorders>
              <w:top w:val="nil"/>
              <w:left w:val="nil"/>
              <w:bottom w:val="single" w:color="auto" w:sz="8" w:space="0"/>
              <w:right w:val="single" w:color="auto" w:sz="8" w:space="0"/>
            </w:tcBorders>
            <w:noWrap w:val="0"/>
            <w:vAlign w:val="center"/>
          </w:tcPr>
          <w:p w14:paraId="7E02D7E9">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352" w:type="dxa"/>
            <w:tcBorders>
              <w:top w:val="nil"/>
              <w:left w:val="nil"/>
              <w:bottom w:val="single" w:color="auto" w:sz="8" w:space="0"/>
              <w:right w:val="single" w:color="auto" w:sz="8" w:space="0"/>
            </w:tcBorders>
            <w:noWrap w:val="0"/>
            <w:vAlign w:val="center"/>
          </w:tcPr>
          <w:p w14:paraId="6B3F2FCB">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2.5</w:t>
            </w:r>
          </w:p>
        </w:tc>
        <w:tc>
          <w:tcPr>
            <w:tcW w:w="977" w:type="dxa"/>
            <w:vMerge w:val="continue"/>
            <w:tcBorders>
              <w:top w:val="nil"/>
              <w:left w:val="single" w:color="auto" w:sz="8" w:space="0"/>
              <w:bottom w:val="single" w:color="000000" w:sz="8" w:space="0"/>
              <w:right w:val="single" w:color="auto" w:sz="8" w:space="0"/>
            </w:tcBorders>
            <w:noWrap w:val="0"/>
            <w:vAlign w:val="center"/>
          </w:tcPr>
          <w:p w14:paraId="2F74FE2D">
            <w:pPr>
              <w:adjustRightInd/>
              <w:jc w:val="left"/>
              <w:rPr>
                <w:rFonts w:hint="eastAsia" w:ascii="宋体" w:hAnsi="宋体" w:eastAsia="宋体" w:cs="宋体"/>
                <w:color w:val="auto"/>
                <w:kern w:val="0"/>
                <w:sz w:val="21"/>
                <w:szCs w:val="21"/>
                <w:highlight w:val="none"/>
              </w:rPr>
            </w:pPr>
          </w:p>
        </w:tc>
        <w:tc>
          <w:tcPr>
            <w:tcW w:w="1363" w:type="dxa"/>
            <w:vMerge w:val="continue"/>
            <w:tcBorders>
              <w:top w:val="nil"/>
              <w:left w:val="single" w:color="auto" w:sz="8" w:space="0"/>
              <w:bottom w:val="single" w:color="000000" w:sz="8" w:space="0"/>
              <w:right w:val="single" w:color="auto" w:sz="8" w:space="0"/>
            </w:tcBorders>
            <w:noWrap w:val="0"/>
            <w:vAlign w:val="center"/>
          </w:tcPr>
          <w:p w14:paraId="1D58D3F3">
            <w:pPr>
              <w:adjustRightInd/>
              <w:jc w:val="left"/>
              <w:rPr>
                <w:rFonts w:hint="eastAsia" w:ascii="宋体" w:hAnsi="宋体" w:eastAsia="宋体" w:cs="宋体"/>
                <w:color w:val="auto"/>
                <w:kern w:val="0"/>
                <w:sz w:val="21"/>
                <w:szCs w:val="21"/>
                <w:highlight w:val="none"/>
              </w:rPr>
            </w:pPr>
          </w:p>
        </w:tc>
      </w:tr>
      <w:tr w14:paraId="0E5DBB01">
        <w:tblPrEx>
          <w:tblCellMar>
            <w:top w:w="0" w:type="dxa"/>
            <w:left w:w="108" w:type="dxa"/>
            <w:bottom w:w="0" w:type="dxa"/>
            <w:right w:w="108" w:type="dxa"/>
          </w:tblCellMar>
        </w:tblPrEx>
        <w:trPr>
          <w:trHeight w:val="300" w:hRule="atLeast"/>
          <w:jc w:val="center"/>
        </w:trPr>
        <w:tc>
          <w:tcPr>
            <w:tcW w:w="750" w:type="dxa"/>
            <w:vMerge w:val="continue"/>
            <w:tcBorders>
              <w:top w:val="nil"/>
              <w:left w:val="single" w:color="auto" w:sz="8" w:space="0"/>
              <w:bottom w:val="single" w:color="000000" w:sz="8" w:space="0"/>
              <w:right w:val="single" w:color="auto" w:sz="8" w:space="0"/>
            </w:tcBorders>
            <w:noWrap w:val="0"/>
            <w:vAlign w:val="center"/>
          </w:tcPr>
          <w:p w14:paraId="6506D54F">
            <w:pPr>
              <w:adjustRightInd/>
              <w:jc w:val="left"/>
              <w:rPr>
                <w:rFonts w:hint="eastAsia" w:ascii="宋体" w:hAnsi="宋体" w:eastAsia="宋体" w:cs="宋体"/>
                <w:color w:val="auto"/>
                <w:kern w:val="0"/>
                <w:sz w:val="21"/>
                <w:szCs w:val="21"/>
                <w:highlight w:val="none"/>
              </w:rPr>
            </w:pPr>
          </w:p>
        </w:tc>
        <w:tc>
          <w:tcPr>
            <w:tcW w:w="956" w:type="dxa"/>
            <w:tcBorders>
              <w:top w:val="nil"/>
              <w:left w:val="nil"/>
              <w:bottom w:val="single" w:color="auto" w:sz="8" w:space="0"/>
              <w:right w:val="single" w:color="auto" w:sz="8" w:space="0"/>
            </w:tcBorders>
            <w:noWrap w:val="0"/>
            <w:vAlign w:val="center"/>
          </w:tcPr>
          <w:p w14:paraId="08818863">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w:t>
            </w:r>
          </w:p>
        </w:tc>
        <w:tc>
          <w:tcPr>
            <w:tcW w:w="1245" w:type="dxa"/>
            <w:vMerge w:val="continue"/>
            <w:tcBorders>
              <w:top w:val="nil"/>
              <w:left w:val="single" w:color="auto" w:sz="8" w:space="0"/>
              <w:bottom w:val="single" w:color="000000" w:sz="8" w:space="0"/>
              <w:right w:val="single" w:color="auto" w:sz="8" w:space="0"/>
            </w:tcBorders>
            <w:noWrap w:val="0"/>
            <w:vAlign w:val="center"/>
          </w:tcPr>
          <w:p w14:paraId="637AE78E">
            <w:pPr>
              <w:adjustRightInd/>
              <w:jc w:val="left"/>
              <w:rPr>
                <w:rFonts w:hint="eastAsia" w:ascii="宋体" w:hAnsi="宋体" w:eastAsia="宋体" w:cs="宋体"/>
                <w:color w:val="auto"/>
                <w:kern w:val="0"/>
                <w:sz w:val="21"/>
                <w:szCs w:val="21"/>
                <w:highlight w:val="none"/>
              </w:rPr>
            </w:pPr>
          </w:p>
        </w:tc>
        <w:tc>
          <w:tcPr>
            <w:tcW w:w="1255" w:type="dxa"/>
            <w:vMerge w:val="continue"/>
            <w:tcBorders>
              <w:top w:val="nil"/>
              <w:left w:val="single" w:color="auto" w:sz="8" w:space="0"/>
              <w:bottom w:val="single" w:color="000000" w:sz="8" w:space="0"/>
              <w:right w:val="single" w:color="auto" w:sz="8" w:space="0"/>
            </w:tcBorders>
            <w:noWrap w:val="0"/>
            <w:vAlign w:val="center"/>
          </w:tcPr>
          <w:p w14:paraId="11891864">
            <w:pPr>
              <w:adjustRightInd/>
              <w:jc w:val="left"/>
              <w:rPr>
                <w:rFonts w:hint="eastAsia" w:ascii="宋体" w:hAnsi="宋体" w:eastAsia="宋体" w:cs="宋体"/>
                <w:color w:val="auto"/>
                <w:kern w:val="0"/>
                <w:sz w:val="21"/>
                <w:szCs w:val="21"/>
                <w:highlight w:val="none"/>
              </w:rPr>
            </w:pPr>
          </w:p>
        </w:tc>
        <w:tc>
          <w:tcPr>
            <w:tcW w:w="1270" w:type="dxa"/>
            <w:tcBorders>
              <w:top w:val="nil"/>
              <w:left w:val="nil"/>
              <w:bottom w:val="single" w:color="auto" w:sz="8" w:space="0"/>
              <w:right w:val="single" w:color="auto" w:sz="8" w:space="0"/>
            </w:tcBorders>
            <w:noWrap w:val="0"/>
            <w:vAlign w:val="center"/>
          </w:tcPr>
          <w:p w14:paraId="71558162">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w:t>
            </w:r>
          </w:p>
        </w:tc>
        <w:tc>
          <w:tcPr>
            <w:tcW w:w="1352" w:type="dxa"/>
            <w:tcBorders>
              <w:top w:val="nil"/>
              <w:left w:val="nil"/>
              <w:bottom w:val="single" w:color="auto" w:sz="8" w:space="0"/>
              <w:right w:val="single" w:color="auto" w:sz="8" w:space="0"/>
            </w:tcBorders>
            <w:noWrap w:val="0"/>
            <w:vAlign w:val="center"/>
          </w:tcPr>
          <w:p w14:paraId="787D8164">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977" w:type="dxa"/>
            <w:vMerge w:val="continue"/>
            <w:tcBorders>
              <w:top w:val="nil"/>
              <w:left w:val="single" w:color="auto" w:sz="8" w:space="0"/>
              <w:bottom w:val="single" w:color="000000" w:sz="8" w:space="0"/>
              <w:right w:val="single" w:color="auto" w:sz="8" w:space="0"/>
            </w:tcBorders>
            <w:noWrap w:val="0"/>
            <w:vAlign w:val="center"/>
          </w:tcPr>
          <w:p w14:paraId="7FF68AEB">
            <w:pPr>
              <w:adjustRightInd/>
              <w:jc w:val="left"/>
              <w:rPr>
                <w:rFonts w:hint="eastAsia" w:ascii="宋体" w:hAnsi="宋体" w:eastAsia="宋体" w:cs="宋体"/>
                <w:color w:val="auto"/>
                <w:kern w:val="0"/>
                <w:sz w:val="21"/>
                <w:szCs w:val="21"/>
                <w:highlight w:val="none"/>
              </w:rPr>
            </w:pPr>
          </w:p>
        </w:tc>
        <w:tc>
          <w:tcPr>
            <w:tcW w:w="1363" w:type="dxa"/>
            <w:vMerge w:val="continue"/>
            <w:tcBorders>
              <w:top w:val="nil"/>
              <w:left w:val="single" w:color="auto" w:sz="8" w:space="0"/>
              <w:bottom w:val="single" w:color="000000" w:sz="8" w:space="0"/>
              <w:right w:val="single" w:color="auto" w:sz="8" w:space="0"/>
            </w:tcBorders>
            <w:noWrap w:val="0"/>
            <w:vAlign w:val="center"/>
          </w:tcPr>
          <w:p w14:paraId="60777D4E">
            <w:pPr>
              <w:adjustRightInd/>
              <w:jc w:val="left"/>
              <w:rPr>
                <w:rFonts w:hint="eastAsia" w:ascii="宋体" w:hAnsi="宋体" w:eastAsia="宋体" w:cs="宋体"/>
                <w:color w:val="auto"/>
                <w:kern w:val="0"/>
                <w:sz w:val="21"/>
                <w:szCs w:val="21"/>
                <w:highlight w:val="none"/>
              </w:rPr>
            </w:pPr>
          </w:p>
        </w:tc>
      </w:tr>
      <w:tr w14:paraId="50D61F07">
        <w:tblPrEx>
          <w:tblCellMar>
            <w:top w:w="0" w:type="dxa"/>
            <w:left w:w="108" w:type="dxa"/>
            <w:bottom w:w="0" w:type="dxa"/>
            <w:right w:w="108" w:type="dxa"/>
          </w:tblCellMar>
        </w:tblPrEx>
        <w:trPr>
          <w:trHeight w:val="300" w:hRule="atLeast"/>
          <w:jc w:val="center"/>
        </w:trPr>
        <w:tc>
          <w:tcPr>
            <w:tcW w:w="750" w:type="dxa"/>
            <w:vMerge w:val="restart"/>
            <w:tcBorders>
              <w:top w:val="nil"/>
              <w:left w:val="single" w:color="auto" w:sz="8" w:space="0"/>
              <w:bottom w:val="single" w:color="000000" w:sz="8" w:space="0"/>
              <w:right w:val="single" w:color="auto" w:sz="8" w:space="0"/>
            </w:tcBorders>
            <w:noWrap w:val="0"/>
            <w:vAlign w:val="center"/>
          </w:tcPr>
          <w:p w14:paraId="18CCF2DE">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w:t>
            </w:r>
          </w:p>
        </w:tc>
        <w:tc>
          <w:tcPr>
            <w:tcW w:w="956" w:type="dxa"/>
            <w:tcBorders>
              <w:top w:val="nil"/>
              <w:left w:val="nil"/>
              <w:bottom w:val="single" w:color="auto" w:sz="8" w:space="0"/>
              <w:right w:val="single" w:color="auto" w:sz="8" w:space="0"/>
            </w:tcBorders>
            <w:noWrap w:val="0"/>
            <w:vAlign w:val="center"/>
          </w:tcPr>
          <w:p w14:paraId="479E831C">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125</w:t>
            </w:r>
          </w:p>
        </w:tc>
        <w:tc>
          <w:tcPr>
            <w:tcW w:w="1245" w:type="dxa"/>
            <w:vMerge w:val="restart"/>
            <w:tcBorders>
              <w:top w:val="nil"/>
              <w:left w:val="single" w:color="auto" w:sz="8" w:space="0"/>
              <w:bottom w:val="single" w:color="000000" w:sz="8" w:space="0"/>
              <w:right w:val="single" w:color="auto" w:sz="8" w:space="0"/>
            </w:tcBorders>
            <w:noWrap w:val="0"/>
            <w:vAlign w:val="center"/>
          </w:tcPr>
          <w:p w14:paraId="58CCE24A">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787.5</w:t>
            </w:r>
          </w:p>
        </w:tc>
        <w:tc>
          <w:tcPr>
            <w:tcW w:w="1255" w:type="dxa"/>
            <w:vMerge w:val="restart"/>
            <w:tcBorders>
              <w:top w:val="nil"/>
              <w:left w:val="single" w:color="auto" w:sz="8" w:space="0"/>
              <w:bottom w:val="single" w:color="000000" w:sz="8" w:space="0"/>
              <w:right w:val="single" w:color="auto" w:sz="8" w:space="0"/>
            </w:tcBorders>
            <w:noWrap w:val="0"/>
            <w:vAlign w:val="center"/>
          </w:tcPr>
          <w:p w14:paraId="3BFDAEC0">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630</w:t>
            </w:r>
          </w:p>
        </w:tc>
        <w:tc>
          <w:tcPr>
            <w:tcW w:w="1270" w:type="dxa"/>
            <w:tcBorders>
              <w:top w:val="nil"/>
              <w:left w:val="nil"/>
              <w:bottom w:val="single" w:color="auto" w:sz="8" w:space="0"/>
              <w:right w:val="single" w:color="auto" w:sz="8" w:space="0"/>
            </w:tcBorders>
            <w:noWrap w:val="0"/>
            <w:vAlign w:val="center"/>
          </w:tcPr>
          <w:p w14:paraId="78DFBD64">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1352" w:type="dxa"/>
            <w:tcBorders>
              <w:top w:val="nil"/>
              <w:left w:val="nil"/>
              <w:bottom w:val="single" w:color="auto" w:sz="8" w:space="0"/>
              <w:right w:val="single" w:color="auto" w:sz="8" w:space="0"/>
            </w:tcBorders>
            <w:noWrap w:val="0"/>
            <w:vAlign w:val="center"/>
          </w:tcPr>
          <w:p w14:paraId="3634D2D3">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5.04</w:t>
            </w:r>
          </w:p>
        </w:tc>
        <w:tc>
          <w:tcPr>
            <w:tcW w:w="977" w:type="dxa"/>
            <w:vMerge w:val="restart"/>
            <w:tcBorders>
              <w:top w:val="nil"/>
              <w:left w:val="single" w:color="auto" w:sz="8" w:space="0"/>
              <w:bottom w:val="single" w:color="000000" w:sz="8" w:space="0"/>
              <w:right w:val="single" w:color="auto" w:sz="8" w:space="0"/>
            </w:tcBorders>
            <w:noWrap w:val="0"/>
            <w:vAlign w:val="center"/>
          </w:tcPr>
          <w:p w14:paraId="3D141E04">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0.005</w:t>
            </w:r>
          </w:p>
        </w:tc>
        <w:tc>
          <w:tcPr>
            <w:tcW w:w="1363" w:type="dxa"/>
            <w:vMerge w:val="restart"/>
            <w:tcBorders>
              <w:top w:val="nil"/>
              <w:left w:val="single" w:color="auto" w:sz="8" w:space="0"/>
              <w:bottom w:val="single" w:color="000000" w:sz="8" w:space="0"/>
              <w:right w:val="single" w:color="auto" w:sz="8" w:space="0"/>
            </w:tcBorders>
            <w:noWrap w:val="0"/>
            <w:vAlign w:val="center"/>
          </w:tcPr>
          <w:p w14:paraId="7E88C253">
            <w:pPr>
              <w:adjustRightInd/>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9,999,999</w:t>
            </w:r>
          </w:p>
        </w:tc>
      </w:tr>
      <w:tr w14:paraId="26F3984D">
        <w:tblPrEx>
          <w:tblCellMar>
            <w:top w:w="0" w:type="dxa"/>
            <w:left w:w="108" w:type="dxa"/>
            <w:bottom w:w="0" w:type="dxa"/>
            <w:right w:w="108" w:type="dxa"/>
          </w:tblCellMar>
        </w:tblPrEx>
        <w:trPr>
          <w:trHeight w:val="300" w:hRule="atLeast"/>
          <w:jc w:val="center"/>
        </w:trPr>
        <w:tc>
          <w:tcPr>
            <w:tcW w:w="750" w:type="dxa"/>
            <w:vMerge w:val="continue"/>
            <w:tcBorders>
              <w:top w:val="nil"/>
              <w:left w:val="single" w:color="auto" w:sz="8" w:space="0"/>
              <w:bottom w:val="single" w:color="000000" w:sz="8" w:space="0"/>
              <w:right w:val="single" w:color="auto" w:sz="8" w:space="0"/>
            </w:tcBorders>
            <w:noWrap w:val="0"/>
            <w:vAlign w:val="center"/>
          </w:tcPr>
          <w:p w14:paraId="125C82EC">
            <w:pPr>
              <w:adjustRightInd/>
              <w:jc w:val="left"/>
              <w:rPr>
                <w:rFonts w:hint="eastAsia" w:ascii="宋体" w:hAnsi="宋体" w:eastAsia="宋体" w:cs="宋体"/>
                <w:color w:val="auto"/>
                <w:kern w:val="0"/>
                <w:sz w:val="21"/>
                <w:szCs w:val="21"/>
                <w:highlight w:val="none"/>
              </w:rPr>
            </w:pPr>
          </w:p>
        </w:tc>
        <w:tc>
          <w:tcPr>
            <w:tcW w:w="956" w:type="dxa"/>
            <w:tcBorders>
              <w:top w:val="nil"/>
              <w:left w:val="nil"/>
              <w:bottom w:val="single" w:color="auto" w:sz="8" w:space="0"/>
              <w:right w:val="single" w:color="auto" w:sz="8" w:space="0"/>
            </w:tcBorders>
            <w:noWrap w:val="0"/>
            <w:vAlign w:val="center"/>
          </w:tcPr>
          <w:p w14:paraId="2A3A241B">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160</w:t>
            </w:r>
          </w:p>
        </w:tc>
        <w:tc>
          <w:tcPr>
            <w:tcW w:w="1245" w:type="dxa"/>
            <w:vMerge w:val="continue"/>
            <w:tcBorders>
              <w:top w:val="nil"/>
              <w:left w:val="single" w:color="auto" w:sz="8" w:space="0"/>
              <w:bottom w:val="single" w:color="000000" w:sz="8" w:space="0"/>
              <w:right w:val="single" w:color="auto" w:sz="8" w:space="0"/>
            </w:tcBorders>
            <w:noWrap w:val="0"/>
            <w:vAlign w:val="center"/>
          </w:tcPr>
          <w:p w14:paraId="68F71D4D">
            <w:pPr>
              <w:adjustRightInd/>
              <w:jc w:val="left"/>
              <w:rPr>
                <w:rFonts w:hint="eastAsia" w:ascii="宋体" w:hAnsi="宋体" w:eastAsia="宋体" w:cs="宋体"/>
                <w:color w:val="auto"/>
                <w:kern w:val="0"/>
                <w:sz w:val="21"/>
                <w:szCs w:val="21"/>
                <w:highlight w:val="none"/>
              </w:rPr>
            </w:pPr>
          </w:p>
        </w:tc>
        <w:tc>
          <w:tcPr>
            <w:tcW w:w="1255" w:type="dxa"/>
            <w:vMerge w:val="continue"/>
            <w:tcBorders>
              <w:top w:val="nil"/>
              <w:left w:val="single" w:color="auto" w:sz="8" w:space="0"/>
              <w:bottom w:val="single" w:color="000000" w:sz="8" w:space="0"/>
              <w:right w:val="single" w:color="auto" w:sz="8" w:space="0"/>
            </w:tcBorders>
            <w:noWrap w:val="0"/>
            <w:vAlign w:val="center"/>
          </w:tcPr>
          <w:p w14:paraId="5E7C3A2E">
            <w:pPr>
              <w:adjustRightInd/>
              <w:jc w:val="left"/>
              <w:rPr>
                <w:rFonts w:hint="eastAsia" w:ascii="宋体" w:hAnsi="宋体" w:eastAsia="宋体" w:cs="宋体"/>
                <w:color w:val="auto"/>
                <w:kern w:val="0"/>
                <w:sz w:val="21"/>
                <w:szCs w:val="21"/>
                <w:highlight w:val="none"/>
              </w:rPr>
            </w:pPr>
          </w:p>
        </w:tc>
        <w:tc>
          <w:tcPr>
            <w:tcW w:w="1270" w:type="dxa"/>
            <w:tcBorders>
              <w:top w:val="nil"/>
              <w:left w:val="nil"/>
              <w:bottom w:val="single" w:color="auto" w:sz="8" w:space="0"/>
              <w:right w:val="single" w:color="auto" w:sz="8" w:space="0"/>
            </w:tcBorders>
            <w:noWrap w:val="0"/>
            <w:vAlign w:val="center"/>
          </w:tcPr>
          <w:p w14:paraId="6A398F82">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6.3</w:t>
            </w:r>
          </w:p>
        </w:tc>
        <w:tc>
          <w:tcPr>
            <w:tcW w:w="1352" w:type="dxa"/>
            <w:tcBorders>
              <w:top w:val="nil"/>
              <w:left w:val="nil"/>
              <w:bottom w:val="single" w:color="auto" w:sz="8" w:space="0"/>
              <w:right w:val="single" w:color="auto" w:sz="8" w:space="0"/>
            </w:tcBorders>
            <w:noWrap w:val="0"/>
            <w:vAlign w:val="center"/>
          </w:tcPr>
          <w:p w14:paraId="72BD0FEA">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977" w:type="dxa"/>
            <w:vMerge w:val="continue"/>
            <w:tcBorders>
              <w:top w:val="nil"/>
              <w:left w:val="single" w:color="auto" w:sz="8" w:space="0"/>
              <w:bottom w:val="single" w:color="000000" w:sz="8" w:space="0"/>
              <w:right w:val="single" w:color="auto" w:sz="8" w:space="0"/>
            </w:tcBorders>
            <w:noWrap w:val="0"/>
            <w:vAlign w:val="center"/>
          </w:tcPr>
          <w:p w14:paraId="1C6950A0">
            <w:pPr>
              <w:adjustRightInd/>
              <w:jc w:val="left"/>
              <w:rPr>
                <w:rFonts w:hint="eastAsia" w:ascii="宋体" w:hAnsi="宋体" w:eastAsia="宋体" w:cs="宋体"/>
                <w:color w:val="auto"/>
                <w:kern w:val="0"/>
                <w:sz w:val="21"/>
                <w:szCs w:val="21"/>
                <w:highlight w:val="none"/>
              </w:rPr>
            </w:pPr>
          </w:p>
        </w:tc>
        <w:tc>
          <w:tcPr>
            <w:tcW w:w="1363" w:type="dxa"/>
            <w:vMerge w:val="continue"/>
            <w:tcBorders>
              <w:top w:val="nil"/>
              <w:left w:val="single" w:color="auto" w:sz="8" w:space="0"/>
              <w:bottom w:val="single" w:color="000000" w:sz="8" w:space="0"/>
              <w:right w:val="single" w:color="auto" w:sz="8" w:space="0"/>
            </w:tcBorders>
            <w:noWrap w:val="0"/>
            <w:vAlign w:val="center"/>
          </w:tcPr>
          <w:p w14:paraId="29F25247">
            <w:pPr>
              <w:adjustRightInd/>
              <w:jc w:val="left"/>
              <w:rPr>
                <w:rFonts w:hint="eastAsia" w:ascii="宋体" w:hAnsi="宋体" w:eastAsia="宋体" w:cs="宋体"/>
                <w:color w:val="auto"/>
                <w:kern w:val="0"/>
                <w:sz w:val="21"/>
                <w:szCs w:val="21"/>
                <w:highlight w:val="none"/>
              </w:rPr>
            </w:pPr>
          </w:p>
        </w:tc>
      </w:tr>
      <w:tr w14:paraId="5EE923FD">
        <w:tblPrEx>
          <w:tblCellMar>
            <w:top w:w="0" w:type="dxa"/>
            <w:left w:w="108" w:type="dxa"/>
            <w:bottom w:w="0" w:type="dxa"/>
            <w:right w:w="108" w:type="dxa"/>
          </w:tblCellMar>
        </w:tblPrEx>
        <w:trPr>
          <w:trHeight w:val="300" w:hRule="atLeast"/>
          <w:jc w:val="center"/>
        </w:trPr>
        <w:tc>
          <w:tcPr>
            <w:tcW w:w="750" w:type="dxa"/>
            <w:vMerge w:val="continue"/>
            <w:tcBorders>
              <w:top w:val="nil"/>
              <w:left w:val="single" w:color="auto" w:sz="8" w:space="0"/>
              <w:bottom w:val="single" w:color="000000" w:sz="8" w:space="0"/>
              <w:right w:val="single" w:color="auto" w:sz="8" w:space="0"/>
            </w:tcBorders>
            <w:noWrap w:val="0"/>
            <w:vAlign w:val="center"/>
          </w:tcPr>
          <w:p w14:paraId="4C8C0F75">
            <w:pPr>
              <w:adjustRightInd/>
              <w:jc w:val="left"/>
              <w:rPr>
                <w:rFonts w:hint="eastAsia" w:ascii="宋体" w:hAnsi="宋体" w:eastAsia="宋体" w:cs="宋体"/>
                <w:color w:val="auto"/>
                <w:kern w:val="0"/>
                <w:sz w:val="21"/>
                <w:szCs w:val="21"/>
                <w:highlight w:val="none"/>
              </w:rPr>
            </w:pPr>
          </w:p>
        </w:tc>
        <w:tc>
          <w:tcPr>
            <w:tcW w:w="956" w:type="dxa"/>
            <w:tcBorders>
              <w:top w:val="nil"/>
              <w:left w:val="nil"/>
              <w:bottom w:val="single" w:color="auto" w:sz="8" w:space="0"/>
              <w:right w:val="single" w:color="auto" w:sz="8" w:space="0"/>
            </w:tcBorders>
            <w:noWrap w:val="0"/>
            <w:vAlign w:val="center"/>
          </w:tcPr>
          <w:p w14:paraId="52A19D84">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w:t>
            </w:r>
          </w:p>
        </w:tc>
        <w:tc>
          <w:tcPr>
            <w:tcW w:w="1245" w:type="dxa"/>
            <w:vMerge w:val="continue"/>
            <w:tcBorders>
              <w:top w:val="nil"/>
              <w:left w:val="single" w:color="auto" w:sz="8" w:space="0"/>
              <w:bottom w:val="single" w:color="000000" w:sz="8" w:space="0"/>
              <w:right w:val="single" w:color="auto" w:sz="8" w:space="0"/>
            </w:tcBorders>
            <w:noWrap w:val="0"/>
            <w:vAlign w:val="center"/>
          </w:tcPr>
          <w:p w14:paraId="5689DBB3">
            <w:pPr>
              <w:adjustRightInd/>
              <w:jc w:val="left"/>
              <w:rPr>
                <w:rFonts w:hint="eastAsia" w:ascii="宋体" w:hAnsi="宋体" w:eastAsia="宋体" w:cs="宋体"/>
                <w:color w:val="auto"/>
                <w:kern w:val="0"/>
                <w:sz w:val="21"/>
                <w:szCs w:val="21"/>
                <w:highlight w:val="none"/>
              </w:rPr>
            </w:pPr>
          </w:p>
        </w:tc>
        <w:tc>
          <w:tcPr>
            <w:tcW w:w="1255" w:type="dxa"/>
            <w:vMerge w:val="continue"/>
            <w:tcBorders>
              <w:top w:val="nil"/>
              <w:left w:val="single" w:color="auto" w:sz="8" w:space="0"/>
              <w:bottom w:val="single" w:color="000000" w:sz="8" w:space="0"/>
              <w:right w:val="single" w:color="auto" w:sz="8" w:space="0"/>
            </w:tcBorders>
            <w:noWrap w:val="0"/>
            <w:vAlign w:val="center"/>
          </w:tcPr>
          <w:p w14:paraId="077496FF">
            <w:pPr>
              <w:adjustRightInd/>
              <w:jc w:val="left"/>
              <w:rPr>
                <w:rFonts w:hint="eastAsia" w:ascii="宋体" w:hAnsi="宋体" w:eastAsia="宋体" w:cs="宋体"/>
                <w:color w:val="auto"/>
                <w:kern w:val="0"/>
                <w:sz w:val="21"/>
                <w:szCs w:val="21"/>
                <w:highlight w:val="none"/>
              </w:rPr>
            </w:pPr>
          </w:p>
        </w:tc>
        <w:tc>
          <w:tcPr>
            <w:tcW w:w="1270" w:type="dxa"/>
            <w:tcBorders>
              <w:top w:val="nil"/>
              <w:left w:val="nil"/>
              <w:bottom w:val="single" w:color="auto" w:sz="8" w:space="0"/>
              <w:right w:val="single" w:color="auto" w:sz="8" w:space="0"/>
            </w:tcBorders>
            <w:noWrap w:val="0"/>
            <w:vAlign w:val="center"/>
          </w:tcPr>
          <w:p w14:paraId="60F5E3EE">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1352" w:type="dxa"/>
            <w:tcBorders>
              <w:top w:val="nil"/>
              <w:left w:val="nil"/>
              <w:bottom w:val="single" w:color="auto" w:sz="8" w:space="0"/>
              <w:right w:val="single" w:color="auto" w:sz="8" w:space="0"/>
            </w:tcBorders>
            <w:noWrap w:val="0"/>
            <w:vAlign w:val="center"/>
          </w:tcPr>
          <w:p w14:paraId="2A029F3B">
            <w:pPr>
              <w:adjustRightInd/>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3.15</w:t>
            </w:r>
          </w:p>
        </w:tc>
        <w:tc>
          <w:tcPr>
            <w:tcW w:w="977" w:type="dxa"/>
            <w:vMerge w:val="continue"/>
            <w:tcBorders>
              <w:top w:val="nil"/>
              <w:left w:val="single" w:color="auto" w:sz="8" w:space="0"/>
              <w:bottom w:val="single" w:color="000000" w:sz="8" w:space="0"/>
              <w:right w:val="single" w:color="auto" w:sz="8" w:space="0"/>
            </w:tcBorders>
            <w:noWrap w:val="0"/>
            <w:vAlign w:val="center"/>
          </w:tcPr>
          <w:p w14:paraId="24F34E07">
            <w:pPr>
              <w:adjustRightInd/>
              <w:jc w:val="left"/>
              <w:rPr>
                <w:rFonts w:hint="eastAsia" w:ascii="宋体" w:hAnsi="宋体" w:eastAsia="宋体" w:cs="宋体"/>
                <w:color w:val="auto"/>
                <w:kern w:val="0"/>
                <w:sz w:val="21"/>
                <w:szCs w:val="21"/>
                <w:highlight w:val="none"/>
              </w:rPr>
            </w:pPr>
          </w:p>
        </w:tc>
        <w:tc>
          <w:tcPr>
            <w:tcW w:w="1363" w:type="dxa"/>
            <w:vMerge w:val="continue"/>
            <w:tcBorders>
              <w:top w:val="nil"/>
              <w:left w:val="single" w:color="auto" w:sz="8" w:space="0"/>
              <w:bottom w:val="single" w:color="000000" w:sz="8" w:space="0"/>
              <w:right w:val="single" w:color="auto" w:sz="8" w:space="0"/>
            </w:tcBorders>
            <w:noWrap w:val="0"/>
            <w:vAlign w:val="center"/>
          </w:tcPr>
          <w:p w14:paraId="0BA4C76B">
            <w:pPr>
              <w:adjustRightInd/>
              <w:jc w:val="left"/>
              <w:rPr>
                <w:rFonts w:hint="eastAsia" w:ascii="宋体" w:hAnsi="宋体" w:eastAsia="宋体" w:cs="宋体"/>
                <w:color w:val="auto"/>
                <w:kern w:val="0"/>
                <w:sz w:val="21"/>
                <w:szCs w:val="21"/>
                <w:highlight w:val="none"/>
              </w:rPr>
            </w:pPr>
          </w:p>
        </w:tc>
      </w:tr>
    </w:tbl>
    <w:p w14:paraId="68453205">
      <w:pPr>
        <w:autoSpaceDE w:val="0"/>
        <w:autoSpaceDN w:val="0"/>
        <w:adjustRightIn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（5）外观尺寸、参数、重量</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8"/>
        <w:gridCol w:w="1208"/>
        <w:gridCol w:w="1048"/>
        <w:gridCol w:w="1285"/>
        <w:gridCol w:w="1312"/>
        <w:gridCol w:w="1733"/>
        <w:gridCol w:w="1277"/>
      </w:tblGrid>
      <w:tr w14:paraId="0250F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1308" w:type="dxa"/>
            <w:noWrap w:val="0"/>
            <w:vAlign w:val="center"/>
          </w:tcPr>
          <w:p w14:paraId="31434711">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口径</w:t>
            </w:r>
          </w:p>
          <w:p w14:paraId="338E0229">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mm</w:t>
            </w:r>
          </w:p>
        </w:tc>
        <w:tc>
          <w:tcPr>
            <w:tcW w:w="1208" w:type="dxa"/>
            <w:noWrap w:val="0"/>
            <w:vAlign w:val="center"/>
          </w:tcPr>
          <w:p w14:paraId="6D831B47">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长L</w:t>
            </w:r>
          </w:p>
          <w:p w14:paraId="4A6A3720">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mm</w:t>
            </w:r>
          </w:p>
        </w:tc>
        <w:tc>
          <w:tcPr>
            <w:tcW w:w="1048" w:type="dxa"/>
            <w:noWrap w:val="0"/>
            <w:vAlign w:val="center"/>
          </w:tcPr>
          <w:p w14:paraId="68C8EA4E">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宽B</w:t>
            </w:r>
          </w:p>
          <w:p w14:paraId="2CAE248C">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mm</w:t>
            </w:r>
          </w:p>
        </w:tc>
        <w:tc>
          <w:tcPr>
            <w:tcW w:w="1285" w:type="dxa"/>
            <w:noWrap w:val="0"/>
            <w:vAlign w:val="center"/>
          </w:tcPr>
          <w:p w14:paraId="1C626EBA">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高H</w:t>
            </w:r>
          </w:p>
          <w:p w14:paraId="3C4F7C07">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mm</w:t>
            </w:r>
          </w:p>
        </w:tc>
        <w:tc>
          <w:tcPr>
            <w:tcW w:w="3045" w:type="dxa"/>
            <w:gridSpan w:val="2"/>
            <w:noWrap w:val="0"/>
            <w:vAlign w:val="center"/>
          </w:tcPr>
          <w:p w14:paraId="418EC96F">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连接螺纹</w:t>
            </w:r>
          </w:p>
          <w:p w14:paraId="0DB80A4A">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w:t>
            </w:r>
          </w:p>
        </w:tc>
        <w:tc>
          <w:tcPr>
            <w:tcW w:w="1277" w:type="dxa"/>
            <w:noWrap w:val="0"/>
            <w:vAlign w:val="center"/>
          </w:tcPr>
          <w:p w14:paraId="43B2DF7E">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重量</w:t>
            </w:r>
          </w:p>
          <w:p w14:paraId="75310E8D">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kg</w:t>
            </w:r>
          </w:p>
        </w:tc>
      </w:tr>
      <w:tr w14:paraId="7B1E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308" w:type="dxa"/>
            <w:noWrap w:val="0"/>
            <w:vAlign w:val="center"/>
          </w:tcPr>
          <w:p w14:paraId="55D6C07B">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w:t>
            </w:r>
          </w:p>
        </w:tc>
        <w:tc>
          <w:tcPr>
            <w:tcW w:w="1208" w:type="dxa"/>
            <w:noWrap w:val="0"/>
            <w:vAlign w:val="center"/>
          </w:tcPr>
          <w:p w14:paraId="17E7F37F">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245</w:t>
            </w:r>
          </w:p>
        </w:tc>
        <w:tc>
          <w:tcPr>
            <w:tcW w:w="1048" w:type="dxa"/>
            <w:noWrap w:val="0"/>
            <w:vAlign w:val="center"/>
          </w:tcPr>
          <w:p w14:paraId="32C93759">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159</w:t>
            </w:r>
          </w:p>
        </w:tc>
        <w:tc>
          <w:tcPr>
            <w:tcW w:w="1285" w:type="dxa"/>
            <w:noWrap w:val="0"/>
            <w:vAlign w:val="center"/>
          </w:tcPr>
          <w:p w14:paraId="312B3763">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170</w:t>
            </w:r>
          </w:p>
        </w:tc>
        <w:tc>
          <w:tcPr>
            <w:tcW w:w="1312" w:type="dxa"/>
            <w:noWrap w:val="0"/>
            <w:vAlign w:val="center"/>
          </w:tcPr>
          <w:p w14:paraId="059A81C5">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R11/2</w:t>
            </w:r>
          </w:p>
        </w:tc>
        <w:tc>
          <w:tcPr>
            <w:tcW w:w="1733" w:type="dxa"/>
            <w:noWrap w:val="0"/>
            <w:vAlign w:val="center"/>
          </w:tcPr>
          <w:p w14:paraId="24FF6679">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G2B</w:t>
            </w:r>
          </w:p>
        </w:tc>
        <w:tc>
          <w:tcPr>
            <w:tcW w:w="1277" w:type="dxa"/>
            <w:noWrap w:val="0"/>
            <w:vAlign w:val="center"/>
          </w:tcPr>
          <w:p w14:paraId="16F1E453">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w:t>
            </w:r>
          </w:p>
        </w:tc>
      </w:tr>
    </w:tbl>
    <w:p w14:paraId="1AF48F29">
      <w:pPr>
        <w:adjustRightInd/>
        <w:snapToGrid w:val="0"/>
        <w:spacing w:line="360" w:lineRule="auto"/>
        <w:ind w:firstLine="420" w:firstLineChars="200"/>
        <w:rPr>
          <w:rFonts w:hint="eastAsia" w:ascii="宋体" w:hAnsi="宋体" w:eastAsia="宋体" w:cs="宋体"/>
          <w:color w:val="auto"/>
          <w:kern w:val="0"/>
          <w:sz w:val="21"/>
          <w:szCs w:val="21"/>
          <w:highlight w:val="none"/>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855"/>
        <w:gridCol w:w="853"/>
        <w:gridCol w:w="855"/>
        <w:gridCol w:w="1009"/>
        <w:gridCol w:w="2028"/>
        <w:gridCol w:w="1795"/>
        <w:gridCol w:w="840"/>
      </w:tblGrid>
      <w:tr w14:paraId="087C3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936" w:type="dxa"/>
            <w:noWrap w:val="0"/>
            <w:vAlign w:val="center"/>
          </w:tcPr>
          <w:p w14:paraId="0891B1A3">
            <w:pPr>
              <w:adjustRightInd/>
              <w:snapToGrid w:val="0"/>
              <w:spacing w:line="24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口径DN</w:t>
            </w:r>
          </w:p>
        </w:tc>
        <w:tc>
          <w:tcPr>
            <w:tcW w:w="855" w:type="dxa"/>
            <w:noWrap w:val="0"/>
            <w:vAlign w:val="center"/>
          </w:tcPr>
          <w:p w14:paraId="650BAD76">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长L</w:t>
            </w:r>
          </w:p>
        </w:tc>
        <w:tc>
          <w:tcPr>
            <w:tcW w:w="853" w:type="dxa"/>
            <w:noWrap w:val="0"/>
            <w:vAlign w:val="center"/>
          </w:tcPr>
          <w:p w14:paraId="7A828355">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宽B</w:t>
            </w:r>
          </w:p>
        </w:tc>
        <w:tc>
          <w:tcPr>
            <w:tcW w:w="855" w:type="dxa"/>
            <w:noWrap w:val="0"/>
            <w:vAlign w:val="center"/>
          </w:tcPr>
          <w:p w14:paraId="12DD8B91">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高H</w:t>
            </w:r>
          </w:p>
        </w:tc>
        <w:tc>
          <w:tcPr>
            <w:tcW w:w="4832" w:type="dxa"/>
            <w:gridSpan w:val="3"/>
            <w:noWrap w:val="0"/>
            <w:vAlign w:val="center"/>
          </w:tcPr>
          <w:p w14:paraId="3E2328A9">
            <w:pPr>
              <w:adjustRightInd/>
              <w:snapToGrid w:val="0"/>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连接法兰</w:t>
            </w:r>
          </w:p>
        </w:tc>
        <w:tc>
          <w:tcPr>
            <w:tcW w:w="840" w:type="dxa"/>
            <w:vMerge w:val="restart"/>
            <w:noWrap w:val="0"/>
            <w:vAlign w:val="center"/>
          </w:tcPr>
          <w:p w14:paraId="2B1E64FD">
            <w:pPr>
              <w:adjustRightInd/>
              <w:snapToGrid w:val="0"/>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重量</w:t>
            </w:r>
          </w:p>
          <w:p w14:paraId="4994AB99">
            <w:pPr>
              <w:adjustRightInd/>
              <w:snapToGrid w:val="0"/>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kg</w:t>
            </w:r>
          </w:p>
        </w:tc>
      </w:tr>
      <w:tr w14:paraId="31397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 w:hRule="atLeast"/>
          <w:jc w:val="center"/>
        </w:trPr>
        <w:tc>
          <w:tcPr>
            <w:tcW w:w="3499" w:type="dxa"/>
            <w:gridSpan w:val="4"/>
            <w:noWrap w:val="0"/>
            <w:vAlign w:val="center"/>
          </w:tcPr>
          <w:p w14:paraId="6C630D8D">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mm</w:t>
            </w:r>
            <w:r>
              <w:rPr>
                <w:rFonts w:hint="eastAsia" w:ascii="宋体" w:hAnsi="宋体" w:eastAsia="宋体" w:cs="宋体"/>
                <w:color w:val="auto"/>
                <w:sz w:val="21"/>
                <w:szCs w:val="21"/>
                <w:highlight w:val="none"/>
                <w:lang w:eastAsia="zh-CN"/>
              </w:rPr>
              <w:t>)</w:t>
            </w:r>
          </w:p>
        </w:tc>
        <w:tc>
          <w:tcPr>
            <w:tcW w:w="1009" w:type="dxa"/>
            <w:noWrap w:val="0"/>
            <w:vAlign w:val="center"/>
          </w:tcPr>
          <w:p w14:paraId="55D48513">
            <w:pPr>
              <w:adjustRightInd/>
              <w:snapToGrid w:val="0"/>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外径D</w:t>
            </w:r>
          </w:p>
          <w:p w14:paraId="3236267C">
            <w:pPr>
              <w:adjustRightInd/>
              <w:snapToGrid w:val="0"/>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mm</w:t>
            </w:r>
            <w:r>
              <w:rPr>
                <w:rFonts w:hint="eastAsia" w:ascii="宋体" w:hAnsi="宋体" w:eastAsia="宋体" w:cs="宋体"/>
                <w:color w:val="auto"/>
                <w:sz w:val="21"/>
                <w:szCs w:val="21"/>
                <w:highlight w:val="none"/>
                <w:lang w:eastAsia="zh-CN"/>
              </w:rPr>
              <w:t>)</w:t>
            </w:r>
          </w:p>
        </w:tc>
        <w:tc>
          <w:tcPr>
            <w:tcW w:w="2028" w:type="dxa"/>
            <w:noWrap w:val="0"/>
            <w:vAlign w:val="center"/>
          </w:tcPr>
          <w:p w14:paraId="7F9FB062">
            <w:pPr>
              <w:adjustRightInd/>
              <w:snapToGrid w:val="0"/>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螺栓孔中心直径D1（mm）</w:t>
            </w:r>
          </w:p>
        </w:tc>
        <w:tc>
          <w:tcPr>
            <w:tcW w:w="1795" w:type="dxa"/>
            <w:noWrap w:val="0"/>
            <w:vAlign w:val="center"/>
          </w:tcPr>
          <w:p w14:paraId="25C6D9E9">
            <w:pPr>
              <w:adjustRightInd/>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连接螺栓</w:t>
            </w:r>
          </w:p>
          <w:p w14:paraId="0518419E">
            <w:pPr>
              <w:adjustRightInd/>
              <w:snapToGrid w:val="0"/>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数量（只）</w:t>
            </w:r>
          </w:p>
        </w:tc>
        <w:tc>
          <w:tcPr>
            <w:tcW w:w="840" w:type="dxa"/>
            <w:vMerge w:val="continue"/>
            <w:noWrap w:val="0"/>
            <w:vAlign w:val="center"/>
          </w:tcPr>
          <w:p w14:paraId="26B80ACC">
            <w:pPr>
              <w:adjustRightInd/>
              <w:snapToGrid w:val="0"/>
              <w:spacing w:line="280" w:lineRule="exact"/>
              <w:jc w:val="center"/>
              <w:rPr>
                <w:rFonts w:hint="eastAsia" w:ascii="宋体" w:hAnsi="宋体" w:eastAsia="宋体" w:cs="宋体"/>
                <w:color w:val="auto"/>
                <w:sz w:val="21"/>
                <w:szCs w:val="21"/>
                <w:highlight w:val="none"/>
              </w:rPr>
            </w:pPr>
          </w:p>
        </w:tc>
      </w:tr>
      <w:tr w14:paraId="55230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36" w:type="dxa"/>
            <w:noWrap w:val="0"/>
            <w:vAlign w:val="center"/>
          </w:tcPr>
          <w:p w14:paraId="0AD38D43">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w:t>
            </w:r>
          </w:p>
        </w:tc>
        <w:tc>
          <w:tcPr>
            <w:tcW w:w="855" w:type="dxa"/>
            <w:noWrap w:val="0"/>
            <w:vAlign w:val="center"/>
          </w:tcPr>
          <w:p w14:paraId="4778EE1F">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w:t>
            </w:r>
          </w:p>
        </w:tc>
        <w:tc>
          <w:tcPr>
            <w:tcW w:w="853" w:type="dxa"/>
            <w:noWrap w:val="0"/>
            <w:vAlign w:val="center"/>
          </w:tcPr>
          <w:p w14:paraId="6196DBF1">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195</w:t>
            </w:r>
          </w:p>
        </w:tc>
        <w:tc>
          <w:tcPr>
            <w:tcW w:w="855" w:type="dxa"/>
            <w:noWrap w:val="0"/>
            <w:vAlign w:val="center"/>
          </w:tcPr>
          <w:p w14:paraId="50537CA9">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w:t>
            </w:r>
          </w:p>
        </w:tc>
        <w:tc>
          <w:tcPr>
            <w:tcW w:w="1009" w:type="dxa"/>
            <w:noWrap w:val="0"/>
            <w:vAlign w:val="center"/>
          </w:tcPr>
          <w:p w14:paraId="76DF912B">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w:t>
            </w:r>
          </w:p>
        </w:tc>
        <w:tc>
          <w:tcPr>
            <w:tcW w:w="2028" w:type="dxa"/>
            <w:noWrap w:val="0"/>
            <w:vAlign w:val="center"/>
          </w:tcPr>
          <w:p w14:paraId="0182D425">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w:t>
            </w:r>
          </w:p>
        </w:tc>
        <w:tc>
          <w:tcPr>
            <w:tcW w:w="1795" w:type="dxa"/>
            <w:noWrap w:val="0"/>
            <w:vAlign w:val="center"/>
          </w:tcPr>
          <w:p w14:paraId="56367C7E">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4×M16</w:t>
            </w:r>
          </w:p>
        </w:tc>
        <w:tc>
          <w:tcPr>
            <w:tcW w:w="840" w:type="dxa"/>
            <w:noWrap w:val="0"/>
            <w:vAlign w:val="center"/>
          </w:tcPr>
          <w:p w14:paraId="2F7FD467">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r>
      <w:tr w14:paraId="45BE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36" w:type="dxa"/>
            <w:noWrap w:val="0"/>
            <w:vAlign w:val="center"/>
          </w:tcPr>
          <w:p w14:paraId="0A28E79C">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w:t>
            </w:r>
          </w:p>
        </w:tc>
        <w:tc>
          <w:tcPr>
            <w:tcW w:w="855" w:type="dxa"/>
            <w:noWrap w:val="0"/>
            <w:vAlign w:val="center"/>
          </w:tcPr>
          <w:p w14:paraId="03214D3A">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225</w:t>
            </w:r>
          </w:p>
        </w:tc>
        <w:tc>
          <w:tcPr>
            <w:tcW w:w="853" w:type="dxa"/>
            <w:noWrap w:val="0"/>
            <w:vAlign w:val="center"/>
          </w:tcPr>
          <w:p w14:paraId="64E13590">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245</w:t>
            </w:r>
          </w:p>
        </w:tc>
        <w:tc>
          <w:tcPr>
            <w:tcW w:w="855" w:type="dxa"/>
            <w:noWrap w:val="0"/>
            <w:vAlign w:val="center"/>
          </w:tcPr>
          <w:p w14:paraId="77577008">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270</w:t>
            </w:r>
          </w:p>
        </w:tc>
        <w:tc>
          <w:tcPr>
            <w:tcW w:w="1009" w:type="dxa"/>
            <w:noWrap w:val="0"/>
            <w:vAlign w:val="center"/>
          </w:tcPr>
          <w:p w14:paraId="55E025D4">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w:t>
            </w:r>
          </w:p>
        </w:tc>
        <w:tc>
          <w:tcPr>
            <w:tcW w:w="2028" w:type="dxa"/>
            <w:noWrap w:val="0"/>
            <w:vAlign w:val="center"/>
          </w:tcPr>
          <w:p w14:paraId="18BADE3D">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160</w:t>
            </w:r>
          </w:p>
        </w:tc>
        <w:tc>
          <w:tcPr>
            <w:tcW w:w="1795" w:type="dxa"/>
            <w:noWrap w:val="0"/>
            <w:vAlign w:val="center"/>
          </w:tcPr>
          <w:p w14:paraId="042C2775">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8×M16</w:t>
            </w:r>
          </w:p>
        </w:tc>
        <w:tc>
          <w:tcPr>
            <w:tcW w:w="840" w:type="dxa"/>
            <w:noWrap w:val="0"/>
            <w:vAlign w:val="center"/>
          </w:tcPr>
          <w:p w14:paraId="2DBE770B">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r>
      <w:tr w14:paraId="58F7F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36" w:type="dxa"/>
            <w:noWrap w:val="0"/>
            <w:vAlign w:val="center"/>
          </w:tcPr>
          <w:p w14:paraId="6E4E252F">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855" w:type="dxa"/>
            <w:noWrap w:val="0"/>
            <w:vAlign w:val="center"/>
          </w:tcPr>
          <w:p w14:paraId="667C9CB1">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w:t>
            </w:r>
          </w:p>
        </w:tc>
        <w:tc>
          <w:tcPr>
            <w:tcW w:w="853" w:type="dxa"/>
            <w:noWrap w:val="0"/>
            <w:vAlign w:val="center"/>
          </w:tcPr>
          <w:p w14:paraId="34D012D1">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255</w:t>
            </w:r>
          </w:p>
        </w:tc>
        <w:tc>
          <w:tcPr>
            <w:tcW w:w="855" w:type="dxa"/>
            <w:noWrap w:val="0"/>
            <w:vAlign w:val="center"/>
          </w:tcPr>
          <w:p w14:paraId="2DA45C9D">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270</w:t>
            </w:r>
          </w:p>
        </w:tc>
        <w:tc>
          <w:tcPr>
            <w:tcW w:w="1009" w:type="dxa"/>
            <w:noWrap w:val="0"/>
            <w:vAlign w:val="center"/>
          </w:tcPr>
          <w:p w14:paraId="6512399E">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220</w:t>
            </w:r>
          </w:p>
        </w:tc>
        <w:tc>
          <w:tcPr>
            <w:tcW w:w="2028" w:type="dxa"/>
            <w:noWrap w:val="0"/>
            <w:vAlign w:val="center"/>
          </w:tcPr>
          <w:p w14:paraId="60C83174">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180</w:t>
            </w:r>
          </w:p>
        </w:tc>
        <w:tc>
          <w:tcPr>
            <w:tcW w:w="1795" w:type="dxa"/>
            <w:noWrap w:val="0"/>
            <w:vAlign w:val="center"/>
          </w:tcPr>
          <w:p w14:paraId="3B7AD948">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8×M16</w:t>
            </w:r>
          </w:p>
        </w:tc>
        <w:tc>
          <w:tcPr>
            <w:tcW w:w="840" w:type="dxa"/>
            <w:noWrap w:val="0"/>
            <w:vAlign w:val="center"/>
          </w:tcPr>
          <w:p w14:paraId="7E291494">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r>
      <w:tr w14:paraId="1BF9E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36" w:type="dxa"/>
            <w:noWrap w:val="0"/>
            <w:vAlign w:val="center"/>
          </w:tcPr>
          <w:p w14:paraId="3AC80FD8">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150</w:t>
            </w:r>
          </w:p>
        </w:tc>
        <w:tc>
          <w:tcPr>
            <w:tcW w:w="855" w:type="dxa"/>
            <w:noWrap w:val="0"/>
            <w:vAlign w:val="center"/>
          </w:tcPr>
          <w:p w14:paraId="68D802F8">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w:t>
            </w:r>
          </w:p>
        </w:tc>
        <w:tc>
          <w:tcPr>
            <w:tcW w:w="853" w:type="dxa"/>
            <w:noWrap w:val="0"/>
            <w:vAlign w:val="center"/>
          </w:tcPr>
          <w:p w14:paraId="2239B853">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315</w:t>
            </w:r>
          </w:p>
        </w:tc>
        <w:tc>
          <w:tcPr>
            <w:tcW w:w="855" w:type="dxa"/>
            <w:noWrap w:val="0"/>
            <w:vAlign w:val="center"/>
          </w:tcPr>
          <w:p w14:paraId="1F5DC892">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360</w:t>
            </w:r>
          </w:p>
        </w:tc>
        <w:tc>
          <w:tcPr>
            <w:tcW w:w="1009" w:type="dxa"/>
            <w:noWrap w:val="0"/>
            <w:vAlign w:val="center"/>
          </w:tcPr>
          <w:p w14:paraId="7C31E7C7">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w:t>
            </w:r>
          </w:p>
        </w:tc>
        <w:tc>
          <w:tcPr>
            <w:tcW w:w="2028" w:type="dxa"/>
            <w:noWrap w:val="0"/>
            <w:vAlign w:val="center"/>
          </w:tcPr>
          <w:p w14:paraId="15ED4086">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240</w:t>
            </w:r>
          </w:p>
        </w:tc>
        <w:tc>
          <w:tcPr>
            <w:tcW w:w="1795" w:type="dxa"/>
            <w:noWrap w:val="0"/>
            <w:vAlign w:val="center"/>
          </w:tcPr>
          <w:p w14:paraId="2E0CF64F">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8×M20</w:t>
            </w:r>
          </w:p>
        </w:tc>
        <w:tc>
          <w:tcPr>
            <w:tcW w:w="840" w:type="dxa"/>
            <w:noWrap w:val="0"/>
            <w:vAlign w:val="center"/>
          </w:tcPr>
          <w:p w14:paraId="4A1ECC8F">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r>
      <w:tr w14:paraId="2CB1D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36" w:type="dxa"/>
            <w:noWrap w:val="0"/>
            <w:vAlign w:val="center"/>
          </w:tcPr>
          <w:p w14:paraId="1393A340">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w:t>
            </w:r>
          </w:p>
        </w:tc>
        <w:tc>
          <w:tcPr>
            <w:tcW w:w="855" w:type="dxa"/>
            <w:noWrap w:val="0"/>
            <w:vAlign w:val="center"/>
          </w:tcPr>
          <w:p w14:paraId="7B787D67">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350</w:t>
            </w:r>
          </w:p>
        </w:tc>
        <w:tc>
          <w:tcPr>
            <w:tcW w:w="853" w:type="dxa"/>
            <w:noWrap w:val="0"/>
            <w:vAlign w:val="center"/>
          </w:tcPr>
          <w:p w14:paraId="199D77B3">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370</w:t>
            </w:r>
          </w:p>
        </w:tc>
        <w:tc>
          <w:tcPr>
            <w:tcW w:w="855" w:type="dxa"/>
            <w:noWrap w:val="0"/>
            <w:vAlign w:val="center"/>
          </w:tcPr>
          <w:p w14:paraId="44B96A38">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450</w:t>
            </w:r>
          </w:p>
        </w:tc>
        <w:tc>
          <w:tcPr>
            <w:tcW w:w="1009" w:type="dxa"/>
            <w:noWrap w:val="0"/>
            <w:vAlign w:val="center"/>
          </w:tcPr>
          <w:p w14:paraId="421DE7B2">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340</w:t>
            </w:r>
          </w:p>
        </w:tc>
        <w:tc>
          <w:tcPr>
            <w:tcW w:w="2028" w:type="dxa"/>
            <w:noWrap w:val="0"/>
            <w:vAlign w:val="center"/>
          </w:tcPr>
          <w:p w14:paraId="29061BAC">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295</w:t>
            </w:r>
          </w:p>
        </w:tc>
        <w:tc>
          <w:tcPr>
            <w:tcW w:w="1795" w:type="dxa"/>
            <w:noWrap w:val="0"/>
            <w:vAlign w:val="center"/>
          </w:tcPr>
          <w:p w14:paraId="7577540A">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8×M20</w:t>
            </w:r>
          </w:p>
        </w:tc>
        <w:tc>
          <w:tcPr>
            <w:tcW w:w="840" w:type="dxa"/>
            <w:noWrap w:val="0"/>
            <w:vAlign w:val="center"/>
          </w:tcPr>
          <w:p w14:paraId="52F1A680">
            <w:pPr>
              <w:adjustRightInd/>
              <w:snapToGrid w:val="0"/>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w:t>
            </w:r>
          </w:p>
        </w:tc>
      </w:tr>
    </w:tbl>
    <w:p w14:paraId="59A460FE">
      <w:pPr>
        <w:adjustRightInd/>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注：上述两表为尺寸、连接方式及重量仅供参考；另外，法兰连接按GB/T17241.6-2008PN10整体铸铁法兰尺寸的规定，特殊规格订货时提出。</w:t>
      </w:r>
    </w:p>
    <w:p w14:paraId="29E7F2C9">
      <w:pPr>
        <w:autoSpaceDE w:val="0"/>
        <w:autoSpaceDN w:val="0"/>
        <w:adjustRightIn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（6）最大允许误差：</w:t>
      </w:r>
    </w:p>
    <w:p w14:paraId="3629F4C1">
      <w:pPr>
        <w:autoSpaceDE w:val="0"/>
        <w:autoSpaceDN w:val="0"/>
        <w:adjustRightIn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a）</w:t>
      </w:r>
      <w:r>
        <w:rPr>
          <w:rFonts w:hint="eastAsia" w:ascii="宋体" w:hAnsi="宋体" w:eastAsia="宋体" w:cs="宋体"/>
          <w:color w:val="auto"/>
          <w:sz w:val="21"/>
          <w:szCs w:val="21"/>
          <w:highlight w:val="none"/>
        </w:rPr>
        <w:t>低区（Q1≤Q＜Q2）的最大允许误差为</w:t>
      </w:r>
      <w:r>
        <w:rPr>
          <w:rFonts w:hint="eastAsia" w:ascii="宋体" w:hAnsi="宋体" w:eastAsia="宋体" w:cs="宋体"/>
          <w:color w:val="auto"/>
          <w:sz w:val="21"/>
          <w:szCs w:val="21"/>
          <w:highlight w:val="none"/>
        </w:rPr>
        <w:sym w:font="Symbol" w:char="F0B1"/>
      </w:r>
      <w:r>
        <w:rPr>
          <w:rFonts w:hint="eastAsia" w:ascii="宋体" w:hAnsi="宋体" w:eastAsia="宋体" w:cs="宋体"/>
          <w:color w:val="auto"/>
          <w:sz w:val="21"/>
          <w:szCs w:val="21"/>
          <w:highlight w:val="none"/>
        </w:rPr>
        <w:t>5%；</w:t>
      </w:r>
    </w:p>
    <w:p w14:paraId="4D0F3247">
      <w:pPr>
        <w:autoSpaceDE w:val="0"/>
        <w:autoSpaceDN w:val="0"/>
        <w:adjustRightIn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b）</w:t>
      </w:r>
      <w:r>
        <w:rPr>
          <w:rFonts w:hint="eastAsia" w:ascii="宋体" w:hAnsi="宋体" w:eastAsia="宋体" w:cs="宋体"/>
          <w:color w:val="auto"/>
          <w:sz w:val="21"/>
          <w:szCs w:val="21"/>
          <w:highlight w:val="none"/>
        </w:rPr>
        <w:t>高区（Q2≤Q≤Q4）的最大允许误差为</w:t>
      </w:r>
      <w:r>
        <w:rPr>
          <w:rFonts w:hint="eastAsia" w:ascii="宋体" w:hAnsi="宋体" w:eastAsia="宋体" w:cs="宋体"/>
          <w:color w:val="auto"/>
          <w:sz w:val="21"/>
          <w:szCs w:val="21"/>
          <w:highlight w:val="none"/>
        </w:rPr>
        <w:sym w:font="Symbol" w:char="F0B1"/>
      </w:r>
      <w:r>
        <w:rPr>
          <w:rFonts w:hint="eastAsia" w:ascii="宋体" w:hAnsi="宋体" w:eastAsia="宋体" w:cs="宋体"/>
          <w:color w:val="auto"/>
          <w:sz w:val="21"/>
          <w:szCs w:val="21"/>
          <w:highlight w:val="none"/>
        </w:rPr>
        <w:t>2%。</w:t>
      </w:r>
    </w:p>
    <w:p w14:paraId="5FE02FAE">
      <w:pPr>
        <w:adjustRightInd/>
        <w:snapToGrid w:val="0"/>
        <w:spacing w:line="440" w:lineRule="exact"/>
        <w:ind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.采购人依据国家检定规程JJG162-2019《饮用冷水水表》对采购的每批次水表进行检定</w:t>
      </w:r>
      <w:r>
        <w:rPr>
          <w:rFonts w:hint="eastAsia" w:ascii="宋体" w:hAnsi="宋体" w:eastAsia="宋体" w:cs="宋体"/>
          <w:color w:val="auto"/>
          <w:kern w:val="0"/>
          <w:sz w:val="21"/>
          <w:szCs w:val="21"/>
          <w:highlight w:val="none"/>
          <w:lang w:eastAsia="zh-CN"/>
        </w:rPr>
        <w:t>或校准</w:t>
      </w:r>
      <w:r>
        <w:rPr>
          <w:rFonts w:hint="eastAsia" w:ascii="宋体" w:hAnsi="宋体" w:eastAsia="宋体" w:cs="宋体"/>
          <w:color w:val="auto"/>
          <w:kern w:val="0"/>
          <w:sz w:val="21"/>
          <w:szCs w:val="21"/>
          <w:highlight w:val="none"/>
        </w:rPr>
        <w:t>，如发现所购水表首检合格率低于99.5%</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采购人有权停止后续采购，并终止采购合同；</w:t>
      </w:r>
    </w:p>
    <w:p w14:paraId="53D82CC1">
      <w:pPr>
        <w:pStyle w:val="117"/>
        <w:ind w:left="0" w:leftChars="0" w:firstLine="210" w:firstLineChars="100"/>
        <w:rPr>
          <w:rFonts w:hint="eastAsia" w:ascii="宋体" w:hAnsi="宋体" w:eastAsia="宋体" w:cs="宋体"/>
          <w:snapToGrid w:val="0"/>
          <w:color w:val="auto"/>
          <w:kern w:val="0"/>
          <w:sz w:val="21"/>
          <w:szCs w:val="21"/>
          <w:highlight w:val="none"/>
          <w:lang w:val="en-US" w:eastAsia="zh-CN" w:bidi="ar-SA"/>
        </w:rPr>
      </w:pPr>
      <w:r>
        <w:rPr>
          <w:rFonts w:hint="eastAsia" w:eastAsia="宋体" w:cs="宋体"/>
          <w:snapToGrid w:val="0"/>
          <w:color w:val="auto"/>
          <w:kern w:val="0"/>
          <w:sz w:val="21"/>
          <w:szCs w:val="21"/>
          <w:highlight w:val="none"/>
          <w:lang w:val="en-US" w:eastAsia="zh-CN" w:bidi="ar-SA"/>
        </w:rPr>
        <w:t>4</w:t>
      </w:r>
      <w:r>
        <w:rPr>
          <w:rFonts w:hint="eastAsia" w:ascii="宋体" w:hAnsi="宋体" w:eastAsia="宋体" w:cs="宋体"/>
          <w:snapToGrid w:val="0"/>
          <w:color w:val="auto"/>
          <w:kern w:val="0"/>
          <w:sz w:val="21"/>
          <w:szCs w:val="21"/>
          <w:highlight w:val="none"/>
          <w:lang w:val="en-US" w:eastAsia="zh-CN" w:bidi="ar-SA"/>
        </w:rPr>
        <w:t>.</w:t>
      </w:r>
      <w:r>
        <w:rPr>
          <w:rFonts w:hint="eastAsia" w:ascii="宋体" w:hAnsi="宋体" w:eastAsia="宋体" w:cs="宋体"/>
          <w:b/>
          <w:bCs/>
          <w:snapToGrid w:val="0"/>
          <w:color w:val="auto"/>
          <w:kern w:val="0"/>
          <w:sz w:val="21"/>
          <w:szCs w:val="21"/>
          <w:highlight w:val="none"/>
          <w:lang w:val="en-US" w:eastAsia="zh-CN" w:bidi="ar-SA"/>
        </w:rPr>
        <w:t>DN（40-50）螺翼式冷水水表</w:t>
      </w:r>
      <w:r>
        <w:rPr>
          <w:rFonts w:hint="eastAsia" w:eastAsia="宋体" w:cs="宋体"/>
          <w:b/>
          <w:bCs/>
          <w:snapToGrid w:val="0"/>
          <w:color w:val="auto"/>
          <w:kern w:val="0"/>
          <w:sz w:val="21"/>
          <w:szCs w:val="21"/>
          <w:highlight w:val="none"/>
          <w:lang w:val="en-US" w:eastAsia="zh-CN" w:bidi="ar-SA"/>
        </w:rPr>
        <w:t>基础质量保证期</w:t>
      </w:r>
      <w:r>
        <w:rPr>
          <w:rFonts w:hint="eastAsia" w:ascii="宋体" w:hAnsi="宋体" w:eastAsia="宋体" w:cs="宋体"/>
          <w:b/>
          <w:bCs/>
          <w:snapToGrid w:val="0"/>
          <w:color w:val="auto"/>
          <w:kern w:val="0"/>
          <w:sz w:val="21"/>
          <w:szCs w:val="21"/>
          <w:highlight w:val="none"/>
          <w:lang w:val="en-US" w:eastAsia="zh-CN" w:bidi="ar-SA"/>
        </w:rPr>
        <w:t>统一为4年</w:t>
      </w:r>
      <w:r>
        <w:rPr>
          <w:rFonts w:hint="eastAsia" w:eastAsia="宋体" w:cs="宋体"/>
          <w:b/>
          <w:bCs/>
          <w:snapToGrid w:val="0"/>
          <w:color w:val="auto"/>
          <w:kern w:val="0"/>
          <w:sz w:val="21"/>
          <w:szCs w:val="21"/>
          <w:highlight w:val="none"/>
          <w:lang w:val="en-US" w:eastAsia="zh-CN" w:bidi="ar-SA"/>
        </w:rPr>
        <w:t>；</w:t>
      </w:r>
      <w:r>
        <w:rPr>
          <w:rFonts w:hint="eastAsia" w:ascii="宋体" w:hAnsi="宋体" w:eastAsia="宋体" w:cs="宋体"/>
          <w:b/>
          <w:bCs/>
          <w:snapToGrid w:val="0"/>
          <w:color w:val="auto"/>
          <w:kern w:val="0"/>
          <w:sz w:val="21"/>
          <w:szCs w:val="21"/>
          <w:highlight w:val="none"/>
          <w:lang w:val="en-US" w:eastAsia="zh-CN" w:bidi="ar-SA"/>
        </w:rPr>
        <w:t>DN（80-200）螺翼式冷水水表</w:t>
      </w:r>
      <w:r>
        <w:rPr>
          <w:rFonts w:hint="eastAsia" w:eastAsia="宋体" w:cs="宋体"/>
          <w:b/>
          <w:bCs/>
          <w:snapToGrid w:val="0"/>
          <w:color w:val="auto"/>
          <w:kern w:val="0"/>
          <w:sz w:val="21"/>
          <w:szCs w:val="21"/>
          <w:highlight w:val="none"/>
          <w:lang w:val="en-US" w:eastAsia="zh-CN" w:bidi="ar-SA"/>
        </w:rPr>
        <w:t>质量保证期</w:t>
      </w:r>
      <w:r>
        <w:rPr>
          <w:rFonts w:hint="eastAsia" w:ascii="宋体" w:hAnsi="宋体" w:eastAsia="宋体" w:cs="宋体"/>
          <w:b/>
          <w:bCs/>
          <w:snapToGrid w:val="0"/>
          <w:color w:val="auto"/>
          <w:kern w:val="0"/>
          <w:sz w:val="21"/>
          <w:szCs w:val="21"/>
          <w:highlight w:val="none"/>
          <w:lang w:val="en-US" w:eastAsia="zh-CN" w:bidi="ar-SA"/>
        </w:rPr>
        <w:t>统一为2年</w:t>
      </w:r>
      <w:r>
        <w:rPr>
          <w:rFonts w:hint="eastAsia" w:ascii="宋体" w:hAnsi="宋体" w:eastAsia="宋体" w:cs="宋体"/>
          <w:snapToGrid w:val="0"/>
          <w:color w:val="auto"/>
          <w:kern w:val="0"/>
          <w:sz w:val="21"/>
          <w:szCs w:val="21"/>
          <w:highlight w:val="none"/>
          <w:lang w:val="en-US" w:eastAsia="zh-CN" w:bidi="ar-SA"/>
        </w:rPr>
        <w:t>。</w:t>
      </w:r>
    </w:p>
    <w:p w14:paraId="23161964">
      <w:pPr>
        <w:pStyle w:val="117"/>
        <w:ind w:left="0" w:leftChars="0" w:firstLine="0" w:firstLineChars="0"/>
        <w:rPr>
          <w:rFonts w:hint="eastAsia" w:eastAsia="宋体" w:cs="宋体"/>
          <w:b/>
          <w:bCs/>
          <w:color w:val="auto"/>
          <w:sz w:val="21"/>
          <w:szCs w:val="21"/>
          <w:highlight w:val="none"/>
          <w:lang w:eastAsia="zh-CN"/>
        </w:rPr>
      </w:pPr>
    </w:p>
    <w:p w14:paraId="0CF24A18">
      <w:pPr>
        <w:pStyle w:val="117"/>
        <w:ind w:left="0" w:leftChars="0" w:firstLine="0" w:firstLineChars="0"/>
        <w:rPr>
          <w:rFonts w:hint="eastAsia" w:ascii="宋体" w:hAnsi="宋体" w:eastAsia="宋体" w:cs="宋体"/>
          <w:b/>
          <w:bCs/>
          <w:color w:val="auto"/>
          <w:sz w:val="21"/>
          <w:szCs w:val="21"/>
          <w:highlight w:val="none"/>
        </w:rPr>
      </w:pPr>
      <w:r>
        <w:rPr>
          <w:rFonts w:hint="eastAsia"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DN15旋翼式无磁远传水表及配件</w:t>
      </w:r>
    </w:p>
    <w:p w14:paraId="7E18E91B">
      <w:pPr>
        <w:adjustRightInd w:val="0"/>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1.本次采购所涉及的所有产品须满足下列技术标准：</w:t>
      </w:r>
    </w:p>
    <w:p w14:paraId="4AFD2B88">
      <w:pPr>
        <w:adjustRightInd w:val="0"/>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（1）GB/T778《饮用冷水水表和热水水表》</w:t>
      </w:r>
    </w:p>
    <w:p w14:paraId="1AF45BA1">
      <w:pPr>
        <w:adjustRightInd w:val="0"/>
        <w:snapToGrid w:val="0"/>
        <w:spacing w:line="44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（2）CMA/WM778《小口径饮用水冷水表表壳技术规范》</w:t>
      </w:r>
    </w:p>
    <w:p w14:paraId="44EA7837">
      <w:pPr>
        <w:adjustRightInd w:val="0"/>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（3）JJG162《饮用冷水水表》</w:t>
      </w:r>
    </w:p>
    <w:p w14:paraId="3F014C6C">
      <w:pPr>
        <w:adjustRightInd w:val="0"/>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（4）CJ266《饮用水冷水水表安全规则》</w:t>
      </w:r>
    </w:p>
    <w:p w14:paraId="75D7943A">
      <w:pPr>
        <w:adjustRightInd w:val="0"/>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（5）GB/T17219《生活饮用水输配水设备及防护材料的安全性评价标准》</w:t>
      </w:r>
    </w:p>
    <w:p w14:paraId="7BBB85C8">
      <w:pPr>
        <w:adjustRightInd w:val="0"/>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（6）CJ/T224《电子远传水表》</w:t>
      </w:r>
    </w:p>
    <w:p w14:paraId="087863A6">
      <w:pPr>
        <w:adjustRightInd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（7）JG/T162《民用建筑远传抄表系统》</w:t>
      </w:r>
    </w:p>
    <w:p w14:paraId="078F86E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jc w:val="left"/>
        <w:textAlignment w:val="baseline"/>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（8）《户用计量仪表数据传输技术条件》（CJ/T188）；</w:t>
      </w:r>
      <w:r>
        <w:rPr>
          <w:rFonts w:hint="eastAsia" w:ascii="宋体" w:hAnsi="宋体" w:eastAsia="宋体" w:cs="宋体"/>
          <w:bCs/>
          <w:color w:val="auto"/>
          <w:sz w:val="21"/>
          <w:szCs w:val="21"/>
          <w:highlight w:val="none"/>
        </w:rPr>
        <w:t>以及采购人制定：数据传输协议、通讯规范，企业系统有关数据接口的规定。</w:t>
      </w:r>
    </w:p>
    <w:p w14:paraId="1ECD5BB7">
      <w:pPr>
        <w:pStyle w:val="18"/>
        <w:keepNext w:val="0"/>
        <w:keepLines w:val="0"/>
        <w:pageBreakBefore w:val="0"/>
        <w:widowControl/>
        <w:kinsoku w:val="0"/>
        <w:wordWrap/>
        <w:overflowPunct/>
        <w:topLinePunct w:val="0"/>
        <w:autoSpaceDE w:val="0"/>
        <w:autoSpaceDN w:val="0"/>
        <w:bidi w:val="0"/>
        <w:adjustRightInd w:val="0"/>
        <w:snapToGrid w:val="0"/>
        <w:spacing w:after="0"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以上标准均以最新版为准，要求不相同时，采用高要求。</w:t>
      </w:r>
    </w:p>
    <w:p w14:paraId="22810A8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水表要求</w:t>
      </w:r>
    </w:p>
    <w:p w14:paraId="5C6ECDC1">
      <w:pPr>
        <w:adjustRightInd w:val="0"/>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基表</w:t>
      </w:r>
    </w:p>
    <w:p w14:paraId="67F15EC7">
      <w:pPr>
        <w:adjustRightInd w:val="0"/>
        <w:snapToGrid w:val="0"/>
        <w:spacing w:line="440" w:lineRule="exact"/>
        <w:ind w:left="0" w:leftChars="0" w:firstLine="0" w:firstLineChars="0"/>
        <w:jc w:val="left"/>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水表类型：旋翼式多流束湿式冷水水表，为机械式水平式。</w:t>
      </w:r>
    </w:p>
    <w:p w14:paraId="0E04A096">
      <w:pPr>
        <w:numPr>
          <w:ilvl w:val="0"/>
          <w:numId w:val="12"/>
        </w:numPr>
        <w:adjustRightInd w:val="0"/>
        <w:snapToGrid w:val="0"/>
        <w:spacing w:line="440" w:lineRule="exact"/>
        <w:ind w:left="0" w:leftChars="0"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准确度等级：2级。</w:t>
      </w:r>
    </w:p>
    <w:p w14:paraId="5445E4C4">
      <w:pPr>
        <w:numPr>
          <w:ilvl w:val="0"/>
          <w:numId w:val="12"/>
        </w:numPr>
        <w:adjustRightInd w:val="0"/>
        <w:snapToGrid w:val="0"/>
        <w:spacing w:line="440" w:lineRule="exact"/>
        <w:ind w:left="0" w:leftChars="0"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机械字轮位数：水表指示到m³的位数为5位，即满行为99999m³。</w:t>
      </w:r>
    </w:p>
    <w:p w14:paraId="7A518858">
      <w:pPr>
        <w:numPr>
          <w:ilvl w:val="0"/>
          <w:numId w:val="12"/>
        </w:numPr>
        <w:adjustRightInd w:val="0"/>
        <w:snapToGrid w:val="0"/>
        <w:spacing w:line="440" w:lineRule="exact"/>
        <w:ind w:left="0" w:leftChars="0"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水表玻璃：水表玻璃须满足能抵抗－10℃低温不破裂的要求。</w:t>
      </w:r>
    </w:p>
    <w:p w14:paraId="7277D9DF">
      <w:pPr>
        <w:numPr>
          <w:ilvl w:val="0"/>
          <w:numId w:val="12"/>
        </w:numPr>
        <w:adjustRightInd w:val="0"/>
        <w:snapToGrid w:val="0"/>
        <w:spacing w:line="440" w:lineRule="exact"/>
        <w:ind w:left="0" w:leftChars="0"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压力等级：≤1.0MPa。</w:t>
      </w:r>
    </w:p>
    <w:p w14:paraId="0C67F6D1">
      <w:pPr>
        <w:numPr>
          <w:ilvl w:val="0"/>
          <w:numId w:val="12"/>
        </w:numPr>
        <w:adjustRightInd w:val="0"/>
        <w:snapToGrid w:val="0"/>
        <w:spacing w:line="440" w:lineRule="exact"/>
        <w:ind w:left="0" w:leftChars="0"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计数器：数字外观高度≥4mm，宽度≥2mm，度盘长期清晰。</w:t>
      </w:r>
    </w:p>
    <w:p w14:paraId="5157801E">
      <w:pPr>
        <w:numPr>
          <w:ilvl w:val="0"/>
          <w:numId w:val="12"/>
        </w:numPr>
        <w:adjustRightInd w:val="0"/>
        <w:snapToGrid w:val="0"/>
        <w:spacing w:line="440" w:lineRule="exact"/>
        <w:ind w:left="0" w:leftChars="0"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水表表壳材质：球墨铸铁，内外喷塑。</w:t>
      </w:r>
    </w:p>
    <w:p w14:paraId="59E181B0">
      <w:pPr>
        <w:adjustRightInd w:val="0"/>
        <w:snapToGrid w:val="0"/>
        <w:spacing w:line="440" w:lineRule="exact"/>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采购人有权根据实际情况对水表参数及其他技术要求进行合理调整。</w:t>
      </w:r>
    </w:p>
    <w:p w14:paraId="7747F7B2">
      <w:pPr>
        <w:adjustRightInd w:val="0"/>
        <w:snapToGrid w:val="0"/>
        <w:spacing w:line="440" w:lineRule="exact"/>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标志：应清楚、永久地在水表外壳、指示装置的度盘或铭牌、不可分离的水表表盖上，集中或分散标明以下信息：</w:t>
      </w:r>
    </w:p>
    <w:p w14:paraId="6526C9F9">
      <w:pPr>
        <w:adjustRightInd w:val="0"/>
        <w:snapToGri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①计量器具许可证标志和编号；</w:t>
      </w:r>
    </w:p>
    <w:p w14:paraId="75AD6F7D">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②制造商名称或商标；</w:t>
      </w:r>
    </w:p>
    <w:p w14:paraId="6D55560E">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③制造年月和编号（尽可能靠近指标装置）；</w:t>
      </w:r>
    </w:p>
    <w:p w14:paraId="7BDAC8B3">
      <w:pPr>
        <w:widowControl/>
        <w:adjustRightInd w:val="0"/>
        <w:snapToGrid w:val="0"/>
        <w:spacing w:line="360" w:lineRule="auto"/>
        <w:ind w:firstLine="210" w:firstLineChars="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④流向（在水表壳体两侧标志，或者如果在任何情况下都能很容易看到流动方向指示箭头，也可只标志在一侧）；</w:t>
      </w:r>
    </w:p>
    <w:p w14:paraId="64578CAB">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⑤常用流量和量程比；</w:t>
      </w:r>
    </w:p>
    <w:p w14:paraId="67D58178">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⑥最大允许压力；</w:t>
      </w:r>
    </w:p>
    <w:p w14:paraId="405AC714">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⑦水表准确度等级；</w:t>
      </w:r>
    </w:p>
    <w:p w14:paraId="131C83F3">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⑧温度等级；</w:t>
      </w:r>
    </w:p>
    <w:p w14:paraId="60168977">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⑨最大压力损失；</w:t>
      </w:r>
    </w:p>
    <w:p w14:paraId="2ECEB8F6">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⑩唯一性二维码编码（二维码</w:t>
      </w:r>
      <w:r>
        <w:rPr>
          <w:rFonts w:hint="eastAsia" w:ascii="宋体" w:hAnsi="宋体" w:eastAsia="宋体" w:cs="宋体"/>
          <w:color w:val="auto"/>
          <w:sz w:val="21"/>
          <w:szCs w:val="21"/>
          <w:highlight w:val="none"/>
          <w:lang w:eastAsia="zh-CN"/>
        </w:rPr>
        <w:t>包含</w:t>
      </w:r>
      <w:r>
        <w:rPr>
          <w:rFonts w:hint="eastAsia" w:ascii="宋体" w:hAnsi="宋体" w:eastAsia="宋体" w:cs="宋体"/>
          <w:color w:val="auto"/>
          <w:sz w:val="21"/>
          <w:szCs w:val="21"/>
          <w:highlight w:val="none"/>
        </w:rPr>
        <w:t>水表型号、口径、编号等信息）。</w:t>
      </w:r>
    </w:p>
    <w:p w14:paraId="20C211D0">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（10）</w:t>
      </w:r>
      <w:r>
        <w:rPr>
          <w:rFonts w:hint="eastAsia" w:ascii="宋体" w:hAnsi="宋体" w:eastAsia="宋体" w:cs="宋体"/>
          <w:color w:val="auto"/>
          <w:sz w:val="21"/>
          <w:szCs w:val="21"/>
          <w:highlight w:val="none"/>
        </w:rPr>
        <w:t>应附有产品使用说明书；</w:t>
      </w:r>
    </w:p>
    <w:p w14:paraId="57CDE886">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（11）</w:t>
      </w:r>
      <w:r>
        <w:rPr>
          <w:rFonts w:hint="eastAsia" w:ascii="宋体" w:hAnsi="宋体" w:eastAsia="宋体" w:cs="宋体"/>
          <w:color w:val="auto"/>
          <w:sz w:val="21"/>
          <w:szCs w:val="21"/>
          <w:highlight w:val="none"/>
        </w:rPr>
        <w:t>水表编号由采购人提供，由中标供应商制作在表身上，中标供应商设置二维码须包含水表编号信息。</w:t>
      </w:r>
    </w:p>
    <w:p w14:paraId="3940F373">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（12）</w:t>
      </w:r>
      <w:r>
        <w:rPr>
          <w:rFonts w:hint="eastAsia" w:ascii="宋体" w:hAnsi="宋体" w:eastAsia="宋体" w:cs="宋体"/>
          <w:color w:val="auto"/>
          <w:sz w:val="21"/>
          <w:szCs w:val="21"/>
          <w:highlight w:val="none"/>
        </w:rPr>
        <w:t>基表机芯零部件材料要求：应采用无毒、无污染、无生物活性的材料</w:t>
      </w:r>
    </w:p>
    <w:p w14:paraId="1046DEC1">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①机芯外观：水表机芯光洁度高，无毛刺，机件间配合紧凑、表盘标志必须符合国家相关要求，表盘标志清晰度高。</w:t>
      </w:r>
    </w:p>
    <w:p w14:paraId="77B90FB6">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②水表机芯（叶轮盒、齿轮盒、叶轮等）：ABS塑料或同等级及以上材质。</w:t>
      </w:r>
    </w:p>
    <w:p w14:paraId="40E98A6D">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③字轮、度盘：ABS白塑料或同等级及以上材质。</w:t>
      </w:r>
    </w:p>
    <w:p w14:paraId="7D24FCFC">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④齿轮：POM塑料或同档次以上。</w:t>
      </w:r>
    </w:p>
    <w:p w14:paraId="57A2C322">
      <w:pPr>
        <w:adjustRightInd w:val="0"/>
        <w:snapToGrid w:val="0"/>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⑤叶轮衬套：尼龙加二硫化钼自润滑剂合成塑料或同等级及以上材质。</w:t>
      </w:r>
    </w:p>
    <w:p w14:paraId="69F7F296">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水表技术要求</w:t>
      </w:r>
    </w:p>
    <w:p w14:paraId="55CB7E9C">
      <w:pPr>
        <w:widowControl/>
        <w:adjustRightInd w:val="0"/>
        <w:snapToGrid w:val="0"/>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示值最大允许误差：流量Q4和流量Q2之间，水温为0.1至30摄氏度之间最大允许误差在±2%以内，水温为30至50摄氏度（不包括30摄氏度）之间最大允许误差在±3%以内；在分界流量Q2和最小流量Q1之间（不包括Q2）最大允许误差为±5%；</w:t>
      </w:r>
    </w:p>
    <w:p w14:paraId="7D6CE6D8">
      <w:pPr>
        <w:widowControl/>
        <w:adjustRightInd w:val="0"/>
        <w:snapToGrid w:val="0"/>
        <w:spacing w:line="360" w:lineRule="auto"/>
        <w:ind w:firstLine="479"/>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量程比：DN1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kern w:val="0"/>
          <w:sz w:val="21"/>
          <w:szCs w:val="21"/>
          <w:highlight w:val="none"/>
        </w:rPr>
        <w:t>mm水表Q3/Q1的比值为不小于100倍；</w:t>
      </w:r>
    </w:p>
    <w:p w14:paraId="7B51A9B2">
      <w:pPr>
        <w:widowControl/>
        <w:adjustRightInd w:val="0"/>
        <w:snapToGrid w:val="0"/>
        <w:spacing w:line="360" w:lineRule="auto"/>
        <w:ind w:firstLine="47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具有可靠的封印防护装置；水表应成套供应；水表表盘明显位置上应清楚、永久地标志使用单位要求印制的文字、编号等内容。</w:t>
      </w:r>
    </w:p>
    <w:p w14:paraId="3C01FA1C">
      <w:pPr>
        <w:widowControl/>
        <w:numPr>
          <w:ilvl w:val="0"/>
          <w:numId w:val="13"/>
        </w:numPr>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流量技术参数、参考尺寸及连接方式</w:t>
      </w:r>
    </w:p>
    <w:tbl>
      <w:tblPr>
        <w:tblStyle w:val="31"/>
        <w:tblW w:w="4997" w:type="pct"/>
        <w:tblInd w:w="0" w:type="dxa"/>
        <w:tblLayout w:type="autofit"/>
        <w:tblCellMar>
          <w:top w:w="0" w:type="dxa"/>
          <w:left w:w="108" w:type="dxa"/>
          <w:bottom w:w="0" w:type="dxa"/>
          <w:right w:w="108" w:type="dxa"/>
        </w:tblCellMar>
      </w:tblPr>
      <w:tblGrid>
        <w:gridCol w:w="1110"/>
        <w:gridCol w:w="1236"/>
        <w:gridCol w:w="1123"/>
        <w:gridCol w:w="1116"/>
        <w:gridCol w:w="1111"/>
        <w:gridCol w:w="1129"/>
        <w:gridCol w:w="1131"/>
        <w:gridCol w:w="1129"/>
      </w:tblGrid>
      <w:tr w14:paraId="04A7BB1B">
        <w:tblPrEx>
          <w:tblCellMar>
            <w:top w:w="0" w:type="dxa"/>
            <w:left w:w="108" w:type="dxa"/>
            <w:bottom w:w="0" w:type="dxa"/>
            <w:right w:w="108" w:type="dxa"/>
          </w:tblCellMar>
        </w:tblPrEx>
        <w:trPr>
          <w:trHeight w:val="345" w:hRule="atLeast"/>
        </w:trPr>
        <w:tc>
          <w:tcPr>
            <w:tcW w:w="611" w:type="pct"/>
            <w:vMerge w:val="restart"/>
            <w:tcBorders>
              <w:top w:val="single" w:color="000000" w:sz="4" w:space="0"/>
              <w:left w:val="single" w:color="000000" w:sz="4" w:space="0"/>
              <w:bottom w:val="single" w:color="000000" w:sz="4" w:space="0"/>
              <w:right w:val="single" w:color="000000" w:sz="4" w:space="0"/>
            </w:tcBorders>
            <w:noWrap w:val="0"/>
            <w:vAlign w:val="center"/>
          </w:tcPr>
          <w:p w14:paraId="29DC7E1C">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口径DN</w:t>
            </w:r>
          </w:p>
        </w:tc>
        <w:tc>
          <w:tcPr>
            <w:tcW w:w="680" w:type="pct"/>
            <w:vMerge w:val="restart"/>
            <w:tcBorders>
              <w:top w:val="single" w:color="000000" w:sz="4" w:space="0"/>
              <w:left w:val="single" w:color="000000" w:sz="4" w:space="0"/>
              <w:bottom w:val="single" w:color="000000" w:sz="4" w:space="0"/>
              <w:right w:val="single" w:color="000000" w:sz="4" w:space="0"/>
            </w:tcBorders>
            <w:noWrap w:val="0"/>
            <w:vAlign w:val="center"/>
          </w:tcPr>
          <w:p w14:paraId="04E758BF">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量程比（Q</w:t>
            </w:r>
            <w:r>
              <w:rPr>
                <w:rFonts w:hint="eastAsia" w:ascii="宋体" w:hAnsi="宋体" w:eastAsia="宋体" w:cs="宋体"/>
                <w:color w:val="auto"/>
                <w:kern w:val="0"/>
                <w:sz w:val="21"/>
                <w:szCs w:val="21"/>
                <w:highlight w:val="none"/>
                <w:vertAlign w:val="subscript"/>
              </w:rPr>
              <w:t>3</w:t>
            </w:r>
            <w:r>
              <w:rPr>
                <w:rFonts w:hint="eastAsia" w:ascii="宋体" w:hAnsi="宋体" w:eastAsia="宋体" w:cs="宋体"/>
                <w:color w:val="auto"/>
                <w:kern w:val="0"/>
                <w:sz w:val="21"/>
                <w:szCs w:val="21"/>
                <w:highlight w:val="none"/>
              </w:rPr>
              <w:t>/Q</w:t>
            </w:r>
            <w:r>
              <w:rPr>
                <w:rFonts w:hint="eastAsia" w:ascii="宋体" w:hAnsi="宋体" w:eastAsia="宋体" w:cs="宋体"/>
                <w:color w:val="auto"/>
                <w:kern w:val="0"/>
                <w:sz w:val="21"/>
                <w:szCs w:val="21"/>
                <w:highlight w:val="none"/>
                <w:vertAlign w:val="subscript"/>
              </w:rPr>
              <w:t>1</w:t>
            </w:r>
            <w:r>
              <w:rPr>
                <w:rFonts w:hint="eastAsia" w:ascii="宋体" w:hAnsi="宋体" w:eastAsia="宋体" w:cs="宋体"/>
                <w:color w:val="auto"/>
                <w:kern w:val="0"/>
                <w:sz w:val="21"/>
                <w:szCs w:val="21"/>
                <w:highlight w:val="none"/>
              </w:rPr>
              <w:t>）</w:t>
            </w:r>
          </w:p>
        </w:tc>
        <w:tc>
          <w:tcPr>
            <w:tcW w:w="618" w:type="pct"/>
            <w:vMerge w:val="restart"/>
            <w:tcBorders>
              <w:top w:val="single" w:color="000000" w:sz="4" w:space="0"/>
              <w:left w:val="single" w:color="000000" w:sz="4" w:space="0"/>
              <w:bottom w:val="single" w:color="000000" w:sz="4" w:space="0"/>
              <w:right w:val="single" w:color="000000" w:sz="4" w:space="0"/>
            </w:tcBorders>
            <w:noWrap w:val="0"/>
            <w:vAlign w:val="center"/>
          </w:tcPr>
          <w:p w14:paraId="463E7A6C">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过载流量Q</w:t>
            </w:r>
            <w:r>
              <w:rPr>
                <w:rFonts w:hint="eastAsia" w:ascii="宋体" w:hAnsi="宋体" w:eastAsia="宋体" w:cs="宋体"/>
                <w:color w:val="auto"/>
                <w:kern w:val="0"/>
                <w:sz w:val="21"/>
                <w:szCs w:val="21"/>
                <w:highlight w:val="none"/>
                <w:u w:val="single"/>
                <w:vertAlign w:val="subscript"/>
              </w:rPr>
              <w:t>4</w:t>
            </w:r>
          </w:p>
        </w:tc>
        <w:tc>
          <w:tcPr>
            <w:tcW w:w="614" w:type="pct"/>
            <w:vMerge w:val="restart"/>
            <w:tcBorders>
              <w:top w:val="single" w:color="000000" w:sz="4" w:space="0"/>
              <w:left w:val="single" w:color="000000" w:sz="4" w:space="0"/>
              <w:bottom w:val="single" w:color="000000" w:sz="4" w:space="0"/>
              <w:right w:val="single" w:color="000000" w:sz="4" w:space="0"/>
            </w:tcBorders>
            <w:noWrap w:val="0"/>
            <w:vAlign w:val="center"/>
          </w:tcPr>
          <w:p w14:paraId="78E825F8">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常用流量Q</w:t>
            </w:r>
            <w:r>
              <w:rPr>
                <w:rFonts w:hint="eastAsia" w:ascii="宋体" w:hAnsi="宋体" w:eastAsia="宋体" w:cs="宋体"/>
                <w:color w:val="auto"/>
                <w:kern w:val="0"/>
                <w:sz w:val="21"/>
                <w:szCs w:val="21"/>
                <w:highlight w:val="none"/>
                <w:u w:val="single"/>
                <w:vertAlign w:val="subscript"/>
              </w:rPr>
              <w:t>3</w:t>
            </w:r>
          </w:p>
        </w:tc>
        <w:tc>
          <w:tcPr>
            <w:tcW w:w="611" w:type="pct"/>
            <w:vMerge w:val="restart"/>
            <w:tcBorders>
              <w:top w:val="single" w:color="000000" w:sz="4" w:space="0"/>
              <w:left w:val="single" w:color="000000" w:sz="4" w:space="0"/>
              <w:bottom w:val="single" w:color="000000" w:sz="4" w:space="0"/>
              <w:right w:val="single" w:color="000000" w:sz="4" w:space="0"/>
            </w:tcBorders>
            <w:noWrap w:val="0"/>
            <w:vAlign w:val="center"/>
          </w:tcPr>
          <w:p w14:paraId="324C46B0">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分界流量Q</w:t>
            </w:r>
            <w:r>
              <w:rPr>
                <w:rFonts w:hint="eastAsia" w:ascii="宋体" w:hAnsi="宋体" w:eastAsia="宋体" w:cs="宋体"/>
                <w:color w:val="auto"/>
                <w:kern w:val="0"/>
                <w:sz w:val="21"/>
                <w:szCs w:val="21"/>
                <w:highlight w:val="none"/>
                <w:u w:val="single"/>
                <w:vertAlign w:val="subscript"/>
              </w:rPr>
              <w:t>2</w:t>
            </w: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7E82BCF4">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最小流量Q</w:t>
            </w:r>
            <w:r>
              <w:rPr>
                <w:rFonts w:hint="eastAsia" w:ascii="宋体" w:hAnsi="宋体" w:eastAsia="宋体" w:cs="宋体"/>
                <w:color w:val="auto"/>
                <w:kern w:val="0"/>
                <w:sz w:val="21"/>
                <w:szCs w:val="21"/>
                <w:highlight w:val="none"/>
                <w:u w:val="single"/>
                <w:vertAlign w:val="subscript"/>
              </w:rPr>
              <w:t>1</w:t>
            </w:r>
          </w:p>
        </w:tc>
        <w:tc>
          <w:tcPr>
            <w:tcW w:w="622" w:type="pct"/>
            <w:vMerge w:val="restart"/>
            <w:tcBorders>
              <w:top w:val="single" w:color="000000" w:sz="4" w:space="0"/>
              <w:left w:val="single" w:color="000000" w:sz="4" w:space="0"/>
              <w:bottom w:val="single" w:color="000000" w:sz="4" w:space="0"/>
              <w:right w:val="single" w:color="000000" w:sz="4" w:space="0"/>
            </w:tcBorders>
            <w:noWrap w:val="0"/>
            <w:vAlign w:val="center"/>
          </w:tcPr>
          <w:p w14:paraId="0AA46FC1">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最小读数</w:t>
            </w: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121C5605">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最大读数</w:t>
            </w:r>
          </w:p>
        </w:tc>
      </w:tr>
      <w:tr w14:paraId="1441BCBF">
        <w:tblPrEx>
          <w:tblCellMar>
            <w:top w:w="0" w:type="dxa"/>
            <w:left w:w="108" w:type="dxa"/>
            <w:bottom w:w="0" w:type="dxa"/>
            <w:right w:w="108" w:type="dxa"/>
          </w:tblCellMar>
        </w:tblPrEx>
        <w:trPr>
          <w:trHeight w:val="311" w:hRule="atLeast"/>
        </w:trPr>
        <w:tc>
          <w:tcPr>
            <w:tcW w:w="611"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1787F7">
            <w:pPr>
              <w:adjustRightInd w:val="0"/>
              <w:jc w:val="center"/>
              <w:rPr>
                <w:rFonts w:hint="eastAsia" w:ascii="宋体" w:hAnsi="宋体" w:eastAsia="宋体" w:cs="宋体"/>
                <w:color w:val="auto"/>
                <w:sz w:val="21"/>
                <w:szCs w:val="21"/>
                <w:highlight w:val="none"/>
              </w:rPr>
            </w:pPr>
          </w:p>
        </w:tc>
        <w:tc>
          <w:tcPr>
            <w:tcW w:w="6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179204">
            <w:pPr>
              <w:adjustRightInd w:val="0"/>
              <w:jc w:val="center"/>
              <w:rPr>
                <w:rFonts w:hint="eastAsia" w:ascii="宋体" w:hAnsi="宋体" w:eastAsia="宋体" w:cs="宋体"/>
                <w:color w:val="auto"/>
                <w:sz w:val="21"/>
                <w:szCs w:val="21"/>
                <w:highlight w:val="none"/>
              </w:rPr>
            </w:pPr>
          </w:p>
        </w:tc>
        <w:tc>
          <w:tcPr>
            <w:tcW w:w="61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741F41">
            <w:pPr>
              <w:adjustRightInd w:val="0"/>
              <w:jc w:val="center"/>
              <w:rPr>
                <w:rFonts w:hint="eastAsia" w:ascii="宋体" w:hAnsi="宋体" w:eastAsia="宋体" w:cs="宋体"/>
                <w:color w:val="auto"/>
                <w:sz w:val="21"/>
                <w:szCs w:val="21"/>
                <w:highlight w:val="none"/>
              </w:rPr>
            </w:pPr>
          </w:p>
        </w:tc>
        <w:tc>
          <w:tcPr>
            <w:tcW w:w="61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FA9849">
            <w:pPr>
              <w:adjustRightInd w:val="0"/>
              <w:jc w:val="center"/>
              <w:rPr>
                <w:rFonts w:hint="eastAsia" w:ascii="宋体" w:hAnsi="宋体" w:eastAsia="宋体" w:cs="宋体"/>
                <w:color w:val="auto"/>
                <w:sz w:val="21"/>
                <w:szCs w:val="21"/>
                <w:highlight w:val="none"/>
              </w:rPr>
            </w:pPr>
          </w:p>
        </w:tc>
        <w:tc>
          <w:tcPr>
            <w:tcW w:w="61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02A547">
            <w:pPr>
              <w:adjustRightInd w:val="0"/>
              <w:jc w:val="center"/>
              <w:rPr>
                <w:rFonts w:hint="eastAsia" w:ascii="宋体" w:hAnsi="宋体" w:eastAsia="宋体" w:cs="宋体"/>
                <w:color w:val="auto"/>
                <w:sz w:val="21"/>
                <w:szCs w:val="21"/>
                <w:highlight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F85608">
            <w:pPr>
              <w:adjustRightInd w:val="0"/>
              <w:jc w:val="center"/>
              <w:rPr>
                <w:rFonts w:hint="eastAsia" w:ascii="宋体" w:hAnsi="宋体" w:eastAsia="宋体" w:cs="宋体"/>
                <w:color w:val="auto"/>
                <w:sz w:val="21"/>
                <w:szCs w:val="21"/>
                <w:highlight w:val="none"/>
              </w:rPr>
            </w:pPr>
          </w:p>
        </w:tc>
        <w:tc>
          <w:tcPr>
            <w:tcW w:w="62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FE1B49A">
            <w:pPr>
              <w:adjustRightInd w:val="0"/>
              <w:jc w:val="center"/>
              <w:rPr>
                <w:rFonts w:hint="eastAsia" w:ascii="宋体" w:hAnsi="宋体" w:eastAsia="宋体" w:cs="宋体"/>
                <w:color w:val="auto"/>
                <w:sz w:val="21"/>
                <w:szCs w:val="21"/>
                <w:highlight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2F1301">
            <w:pPr>
              <w:adjustRightInd w:val="0"/>
              <w:jc w:val="center"/>
              <w:rPr>
                <w:rFonts w:hint="eastAsia" w:ascii="宋体" w:hAnsi="宋体" w:eastAsia="宋体" w:cs="宋体"/>
                <w:color w:val="auto"/>
                <w:sz w:val="21"/>
                <w:szCs w:val="21"/>
                <w:highlight w:val="none"/>
              </w:rPr>
            </w:pPr>
          </w:p>
        </w:tc>
      </w:tr>
      <w:tr w14:paraId="04813501">
        <w:tblPrEx>
          <w:tblCellMar>
            <w:top w:w="0" w:type="dxa"/>
            <w:left w:w="108" w:type="dxa"/>
            <w:bottom w:w="0" w:type="dxa"/>
            <w:right w:w="108" w:type="dxa"/>
          </w:tblCellMar>
        </w:tblPrEx>
        <w:trPr>
          <w:trHeight w:val="300" w:hRule="atLeast"/>
        </w:trPr>
        <w:tc>
          <w:tcPr>
            <w:tcW w:w="611" w:type="pct"/>
            <w:tcBorders>
              <w:top w:val="single" w:color="000000" w:sz="4" w:space="0"/>
              <w:left w:val="single" w:color="000000" w:sz="4" w:space="0"/>
              <w:bottom w:val="single" w:color="000000" w:sz="4" w:space="0"/>
              <w:right w:val="single" w:color="000000" w:sz="4" w:space="0"/>
            </w:tcBorders>
            <w:noWrap w:val="0"/>
            <w:vAlign w:val="center"/>
          </w:tcPr>
          <w:p w14:paraId="09BCF747">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mm</w:t>
            </w:r>
          </w:p>
        </w:tc>
        <w:tc>
          <w:tcPr>
            <w:tcW w:w="6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61A679">
            <w:pPr>
              <w:adjustRightInd w:val="0"/>
              <w:jc w:val="center"/>
              <w:rPr>
                <w:rFonts w:hint="eastAsia" w:ascii="宋体" w:hAnsi="宋体" w:eastAsia="宋体" w:cs="宋体"/>
                <w:color w:val="auto"/>
                <w:sz w:val="21"/>
                <w:szCs w:val="21"/>
                <w:highlight w:val="none"/>
              </w:rPr>
            </w:pPr>
          </w:p>
        </w:tc>
        <w:tc>
          <w:tcPr>
            <w:tcW w:w="1232" w:type="pct"/>
            <w:gridSpan w:val="2"/>
            <w:tcBorders>
              <w:top w:val="single" w:color="000000" w:sz="4" w:space="0"/>
              <w:left w:val="single" w:color="000000" w:sz="4" w:space="0"/>
              <w:bottom w:val="single" w:color="000000" w:sz="4" w:space="0"/>
              <w:right w:val="single" w:color="000000" w:sz="4" w:space="0"/>
            </w:tcBorders>
            <w:noWrap w:val="0"/>
            <w:vAlign w:val="center"/>
          </w:tcPr>
          <w:p w14:paraId="33CF6708">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m</w:t>
            </w:r>
            <w:r>
              <w:rPr>
                <w:rFonts w:hint="eastAsia" w:ascii="宋体" w:hAnsi="宋体" w:eastAsia="宋体" w:cs="宋体"/>
                <w:color w:val="auto"/>
                <w:kern w:val="0"/>
                <w:sz w:val="21"/>
                <w:szCs w:val="21"/>
                <w:highlight w:val="none"/>
                <w:vertAlign w:val="superscript"/>
              </w:rPr>
              <w:t>3</w:t>
            </w:r>
            <w:r>
              <w:rPr>
                <w:rFonts w:hint="eastAsia" w:ascii="宋体" w:hAnsi="宋体" w:eastAsia="宋体" w:cs="宋体"/>
                <w:color w:val="auto"/>
                <w:kern w:val="0"/>
                <w:sz w:val="21"/>
                <w:szCs w:val="21"/>
                <w:highlight w:val="none"/>
              </w:rPr>
              <w:t>/h</w:t>
            </w:r>
          </w:p>
        </w:tc>
        <w:tc>
          <w:tcPr>
            <w:tcW w:w="1232" w:type="pct"/>
            <w:gridSpan w:val="2"/>
            <w:tcBorders>
              <w:top w:val="single" w:color="000000" w:sz="4" w:space="0"/>
              <w:left w:val="single" w:color="000000" w:sz="4" w:space="0"/>
              <w:bottom w:val="single" w:color="000000" w:sz="4" w:space="0"/>
              <w:right w:val="single" w:color="000000" w:sz="4" w:space="0"/>
            </w:tcBorders>
            <w:noWrap w:val="0"/>
            <w:vAlign w:val="center"/>
          </w:tcPr>
          <w:p w14:paraId="638F041B">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L/h</w:t>
            </w:r>
          </w:p>
        </w:tc>
        <w:tc>
          <w:tcPr>
            <w:tcW w:w="1243" w:type="pct"/>
            <w:gridSpan w:val="2"/>
            <w:tcBorders>
              <w:top w:val="single" w:color="000000" w:sz="4" w:space="0"/>
              <w:left w:val="single" w:color="000000" w:sz="4" w:space="0"/>
              <w:bottom w:val="single" w:color="000000" w:sz="4" w:space="0"/>
              <w:right w:val="single" w:color="000000" w:sz="4" w:space="0"/>
            </w:tcBorders>
            <w:noWrap w:val="0"/>
            <w:vAlign w:val="center"/>
          </w:tcPr>
          <w:p w14:paraId="6B9F6C13">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m</w:t>
            </w:r>
            <w:r>
              <w:rPr>
                <w:rFonts w:hint="eastAsia" w:ascii="宋体" w:hAnsi="宋体" w:eastAsia="宋体" w:cs="宋体"/>
                <w:color w:val="auto"/>
                <w:kern w:val="0"/>
                <w:sz w:val="21"/>
                <w:szCs w:val="21"/>
                <w:highlight w:val="none"/>
                <w:vertAlign w:val="superscript"/>
              </w:rPr>
              <w:t>3</w:t>
            </w:r>
          </w:p>
        </w:tc>
      </w:tr>
      <w:tr w14:paraId="686763F8">
        <w:tblPrEx>
          <w:tblCellMar>
            <w:top w:w="0" w:type="dxa"/>
            <w:left w:w="108" w:type="dxa"/>
            <w:bottom w:w="0" w:type="dxa"/>
            <w:right w:w="108" w:type="dxa"/>
          </w:tblCellMar>
        </w:tblPrEx>
        <w:trPr>
          <w:trHeight w:val="270" w:hRule="atLeast"/>
        </w:trPr>
        <w:tc>
          <w:tcPr>
            <w:tcW w:w="611" w:type="pct"/>
            <w:vMerge w:val="restart"/>
            <w:tcBorders>
              <w:top w:val="single" w:color="000000" w:sz="4" w:space="0"/>
              <w:left w:val="single" w:color="000000" w:sz="4" w:space="0"/>
              <w:bottom w:val="single" w:color="000000" w:sz="4" w:space="0"/>
              <w:right w:val="single" w:color="000000" w:sz="4" w:space="0"/>
            </w:tcBorders>
            <w:noWrap w:val="0"/>
            <w:vAlign w:val="center"/>
          </w:tcPr>
          <w:p w14:paraId="03A05EFF">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15</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14:paraId="528D874E">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100</w:t>
            </w:r>
          </w:p>
        </w:tc>
        <w:tc>
          <w:tcPr>
            <w:tcW w:w="618" w:type="pct"/>
            <w:vMerge w:val="restart"/>
            <w:tcBorders>
              <w:top w:val="single" w:color="000000" w:sz="4" w:space="0"/>
              <w:left w:val="single" w:color="000000" w:sz="4" w:space="0"/>
              <w:bottom w:val="single" w:color="000000" w:sz="4" w:space="0"/>
              <w:right w:val="single" w:color="000000" w:sz="4" w:space="0"/>
            </w:tcBorders>
            <w:noWrap w:val="0"/>
            <w:vAlign w:val="center"/>
          </w:tcPr>
          <w:p w14:paraId="56823D89">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3.125</w:t>
            </w:r>
          </w:p>
        </w:tc>
        <w:tc>
          <w:tcPr>
            <w:tcW w:w="614" w:type="pct"/>
            <w:vMerge w:val="restart"/>
            <w:tcBorders>
              <w:top w:val="single" w:color="000000" w:sz="4" w:space="0"/>
              <w:left w:val="single" w:color="000000" w:sz="4" w:space="0"/>
              <w:bottom w:val="single" w:color="000000" w:sz="4" w:space="0"/>
              <w:right w:val="single" w:color="000000" w:sz="4" w:space="0"/>
            </w:tcBorders>
            <w:noWrap w:val="0"/>
            <w:vAlign w:val="center"/>
          </w:tcPr>
          <w:p w14:paraId="192EFB56">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2.5</w:t>
            </w:r>
          </w:p>
        </w:tc>
        <w:tc>
          <w:tcPr>
            <w:tcW w:w="611" w:type="pct"/>
            <w:tcBorders>
              <w:top w:val="single" w:color="000000" w:sz="4" w:space="0"/>
              <w:left w:val="single" w:color="000000" w:sz="4" w:space="0"/>
              <w:bottom w:val="single" w:color="000000" w:sz="4" w:space="0"/>
              <w:right w:val="single" w:color="000000" w:sz="4" w:space="0"/>
            </w:tcBorders>
            <w:noWrap w:val="0"/>
            <w:vAlign w:val="center"/>
          </w:tcPr>
          <w:p w14:paraId="3A0E0C63">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40</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0FA5F26">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25</w:t>
            </w:r>
          </w:p>
        </w:tc>
        <w:tc>
          <w:tcPr>
            <w:tcW w:w="622" w:type="pct"/>
            <w:vMerge w:val="restart"/>
            <w:tcBorders>
              <w:top w:val="single" w:color="000000" w:sz="4" w:space="0"/>
              <w:left w:val="single" w:color="000000" w:sz="4" w:space="0"/>
              <w:bottom w:val="single" w:color="000000" w:sz="4" w:space="0"/>
              <w:right w:val="single" w:color="000000" w:sz="4" w:space="0"/>
            </w:tcBorders>
            <w:noWrap w:val="0"/>
            <w:vAlign w:val="center"/>
          </w:tcPr>
          <w:p w14:paraId="0932E65B">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0.00005</w:t>
            </w:r>
          </w:p>
        </w:tc>
        <w:tc>
          <w:tcPr>
            <w:tcW w:w="620" w:type="pct"/>
            <w:vMerge w:val="restart"/>
            <w:tcBorders>
              <w:top w:val="single" w:color="000000" w:sz="4" w:space="0"/>
              <w:left w:val="single" w:color="000000" w:sz="4" w:space="0"/>
              <w:bottom w:val="single" w:color="000000" w:sz="4" w:space="0"/>
              <w:right w:val="single" w:color="000000" w:sz="4" w:space="0"/>
            </w:tcBorders>
            <w:noWrap w:val="0"/>
            <w:vAlign w:val="center"/>
          </w:tcPr>
          <w:p w14:paraId="4FFBAABA">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99,999</w:t>
            </w:r>
          </w:p>
        </w:tc>
      </w:tr>
      <w:tr w14:paraId="4081A2C3">
        <w:tblPrEx>
          <w:tblCellMar>
            <w:top w:w="0" w:type="dxa"/>
            <w:left w:w="108" w:type="dxa"/>
            <w:bottom w:w="0" w:type="dxa"/>
            <w:right w:w="108" w:type="dxa"/>
          </w:tblCellMar>
        </w:tblPrEx>
        <w:trPr>
          <w:trHeight w:val="270" w:hRule="atLeast"/>
        </w:trPr>
        <w:tc>
          <w:tcPr>
            <w:tcW w:w="61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ECAFBD">
            <w:pPr>
              <w:adjustRightInd w:val="0"/>
              <w:jc w:val="center"/>
              <w:rPr>
                <w:rFonts w:hint="eastAsia" w:ascii="宋体" w:hAnsi="宋体" w:eastAsia="宋体" w:cs="宋体"/>
                <w:color w:val="auto"/>
                <w:sz w:val="21"/>
                <w:szCs w:val="21"/>
                <w:highlight w:val="none"/>
              </w:rPr>
            </w:pPr>
          </w:p>
        </w:tc>
        <w:tc>
          <w:tcPr>
            <w:tcW w:w="680" w:type="pct"/>
            <w:tcBorders>
              <w:top w:val="single" w:color="000000" w:sz="4" w:space="0"/>
              <w:left w:val="single" w:color="000000" w:sz="4" w:space="0"/>
              <w:bottom w:val="single" w:color="000000" w:sz="4" w:space="0"/>
              <w:right w:val="single" w:color="000000" w:sz="4" w:space="0"/>
            </w:tcBorders>
            <w:noWrap w:val="0"/>
            <w:vAlign w:val="center"/>
          </w:tcPr>
          <w:p w14:paraId="5A008674">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160</w:t>
            </w:r>
          </w:p>
        </w:tc>
        <w:tc>
          <w:tcPr>
            <w:tcW w:w="61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D6E850">
            <w:pPr>
              <w:adjustRightInd w:val="0"/>
              <w:jc w:val="center"/>
              <w:rPr>
                <w:rFonts w:hint="eastAsia" w:ascii="宋体" w:hAnsi="宋体" w:eastAsia="宋体" w:cs="宋体"/>
                <w:color w:val="auto"/>
                <w:sz w:val="21"/>
                <w:szCs w:val="21"/>
                <w:highlight w:val="none"/>
              </w:rPr>
            </w:pPr>
          </w:p>
        </w:tc>
        <w:tc>
          <w:tcPr>
            <w:tcW w:w="61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29DC58">
            <w:pPr>
              <w:adjustRightInd w:val="0"/>
              <w:jc w:val="center"/>
              <w:rPr>
                <w:rFonts w:hint="eastAsia" w:ascii="宋体" w:hAnsi="宋体" w:eastAsia="宋体" w:cs="宋体"/>
                <w:color w:val="auto"/>
                <w:sz w:val="21"/>
                <w:szCs w:val="21"/>
                <w:highlight w:val="none"/>
              </w:rPr>
            </w:pPr>
          </w:p>
        </w:tc>
        <w:tc>
          <w:tcPr>
            <w:tcW w:w="611" w:type="pct"/>
            <w:tcBorders>
              <w:top w:val="single" w:color="000000" w:sz="4" w:space="0"/>
              <w:left w:val="single" w:color="000000" w:sz="4" w:space="0"/>
              <w:bottom w:val="single" w:color="000000" w:sz="4" w:space="0"/>
              <w:right w:val="single" w:color="000000" w:sz="4" w:space="0"/>
            </w:tcBorders>
            <w:noWrap w:val="0"/>
            <w:vAlign w:val="center"/>
          </w:tcPr>
          <w:p w14:paraId="443CA534">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25</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28DE0DA2">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15.625</w:t>
            </w:r>
          </w:p>
        </w:tc>
        <w:tc>
          <w:tcPr>
            <w:tcW w:w="62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542484">
            <w:pPr>
              <w:adjustRightInd w:val="0"/>
              <w:jc w:val="center"/>
              <w:rPr>
                <w:rFonts w:hint="eastAsia" w:ascii="宋体" w:hAnsi="宋体" w:eastAsia="宋体" w:cs="宋体"/>
                <w:color w:val="auto"/>
                <w:sz w:val="21"/>
                <w:szCs w:val="21"/>
                <w:highlight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096863">
            <w:pPr>
              <w:adjustRightInd w:val="0"/>
              <w:jc w:val="center"/>
              <w:rPr>
                <w:rFonts w:hint="eastAsia" w:ascii="宋体" w:hAnsi="宋体" w:eastAsia="宋体" w:cs="宋体"/>
                <w:color w:val="auto"/>
                <w:sz w:val="21"/>
                <w:szCs w:val="21"/>
                <w:highlight w:val="none"/>
              </w:rPr>
            </w:pPr>
          </w:p>
        </w:tc>
      </w:tr>
      <w:tr w14:paraId="31C064C1">
        <w:tblPrEx>
          <w:tblCellMar>
            <w:top w:w="0" w:type="dxa"/>
            <w:left w:w="108" w:type="dxa"/>
            <w:bottom w:w="0" w:type="dxa"/>
            <w:right w:w="108" w:type="dxa"/>
          </w:tblCellMar>
        </w:tblPrEx>
        <w:trPr>
          <w:trHeight w:val="270" w:hRule="atLeast"/>
        </w:trPr>
        <w:tc>
          <w:tcPr>
            <w:tcW w:w="61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AE2DA4">
            <w:pPr>
              <w:adjustRightInd w:val="0"/>
              <w:jc w:val="center"/>
              <w:rPr>
                <w:rFonts w:hint="eastAsia" w:ascii="宋体" w:hAnsi="宋体" w:eastAsia="宋体" w:cs="宋体"/>
                <w:color w:val="auto"/>
                <w:sz w:val="21"/>
                <w:szCs w:val="21"/>
                <w:highlight w:val="none"/>
              </w:rPr>
            </w:pPr>
          </w:p>
        </w:tc>
        <w:tc>
          <w:tcPr>
            <w:tcW w:w="680" w:type="pct"/>
            <w:tcBorders>
              <w:top w:val="single" w:color="000000" w:sz="4" w:space="0"/>
              <w:left w:val="single" w:color="000000" w:sz="4" w:space="0"/>
              <w:bottom w:val="single" w:color="000000" w:sz="4" w:space="0"/>
              <w:right w:val="single" w:color="000000" w:sz="4" w:space="0"/>
            </w:tcBorders>
            <w:noWrap w:val="0"/>
            <w:vAlign w:val="center"/>
          </w:tcPr>
          <w:p w14:paraId="3DE9FF90">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200</w:t>
            </w:r>
          </w:p>
        </w:tc>
        <w:tc>
          <w:tcPr>
            <w:tcW w:w="618"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2547B9">
            <w:pPr>
              <w:adjustRightInd w:val="0"/>
              <w:jc w:val="center"/>
              <w:rPr>
                <w:rFonts w:hint="eastAsia" w:ascii="宋体" w:hAnsi="宋体" w:eastAsia="宋体" w:cs="宋体"/>
                <w:color w:val="auto"/>
                <w:sz w:val="21"/>
                <w:szCs w:val="21"/>
                <w:highlight w:val="none"/>
              </w:rPr>
            </w:pPr>
          </w:p>
        </w:tc>
        <w:tc>
          <w:tcPr>
            <w:tcW w:w="61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607F79">
            <w:pPr>
              <w:adjustRightInd w:val="0"/>
              <w:jc w:val="center"/>
              <w:rPr>
                <w:rFonts w:hint="eastAsia" w:ascii="宋体" w:hAnsi="宋体" w:eastAsia="宋体" w:cs="宋体"/>
                <w:color w:val="auto"/>
                <w:sz w:val="21"/>
                <w:szCs w:val="21"/>
                <w:highlight w:val="none"/>
              </w:rPr>
            </w:pPr>
          </w:p>
        </w:tc>
        <w:tc>
          <w:tcPr>
            <w:tcW w:w="611" w:type="pct"/>
            <w:tcBorders>
              <w:top w:val="single" w:color="000000" w:sz="4" w:space="0"/>
              <w:left w:val="single" w:color="000000" w:sz="4" w:space="0"/>
              <w:bottom w:val="single" w:color="000000" w:sz="4" w:space="0"/>
              <w:right w:val="single" w:color="000000" w:sz="4" w:space="0"/>
            </w:tcBorders>
            <w:noWrap w:val="0"/>
            <w:vAlign w:val="center"/>
          </w:tcPr>
          <w:p w14:paraId="41B3C5DB">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20</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3E8C7B6B">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12.5</w:t>
            </w:r>
          </w:p>
        </w:tc>
        <w:tc>
          <w:tcPr>
            <w:tcW w:w="62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12374F">
            <w:pPr>
              <w:adjustRightInd w:val="0"/>
              <w:jc w:val="center"/>
              <w:rPr>
                <w:rFonts w:hint="eastAsia" w:ascii="宋体" w:hAnsi="宋体" w:eastAsia="宋体" w:cs="宋体"/>
                <w:color w:val="auto"/>
                <w:sz w:val="21"/>
                <w:szCs w:val="21"/>
                <w:highlight w:val="none"/>
              </w:rPr>
            </w:pPr>
          </w:p>
        </w:tc>
        <w:tc>
          <w:tcPr>
            <w:tcW w:w="62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B8BA69">
            <w:pPr>
              <w:adjustRightInd w:val="0"/>
              <w:jc w:val="center"/>
              <w:rPr>
                <w:rFonts w:hint="eastAsia" w:ascii="宋体" w:hAnsi="宋体" w:eastAsia="宋体" w:cs="宋体"/>
                <w:color w:val="auto"/>
                <w:sz w:val="21"/>
                <w:szCs w:val="21"/>
                <w:highlight w:val="none"/>
              </w:rPr>
            </w:pPr>
          </w:p>
        </w:tc>
      </w:tr>
    </w:tbl>
    <w:p w14:paraId="6967260E">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注：上表为水表的参考流量数据等。</w:t>
      </w:r>
    </w:p>
    <w:tbl>
      <w:tblPr>
        <w:tblStyle w:val="31"/>
        <w:tblW w:w="4999" w:type="pct"/>
        <w:tblInd w:w="0" w:type="dxa"/>
        <w:tblLayout w:type="autofit"/>
        <w:tblCellMar>
          <w:top w:w="0" w:type="dxa"/>
          <w:left w:w="108" w:type="dxa"/>
          <w:bottom w:w="0" w:type="dxa"/>
          <w:right w:w="108" w:type="dxa"/>
        </w:tblCellMar>
      </w:tblPr>
      <w:tblGrid>
        <w:gridCol w:w="1816"/>
        <w:gridCol w:w="1818"/>
        <w:gridCol w:w="1818"/>
        <w:gridCol w:w="1818"/>
        <w:gridCol w:w="1818"/>
      </w:tblGrid>
      <w:tr w14:paraId="5B44FB41">
        <w:tblPrEx>
          <w:tblCellMar>
            <w:top w:w="0" w:type="dxa"/>
            <w:left w:w="108" w:type="dxa"/>
            <w:bottom w:w="0" w:type="dxa"/>
            <w:right w:w="108" w:type="dxa"/>
          </w:tblCellMar>
        </w:tblPrEx>
        <w:trPr>
          <w:trHeight w:val="270" w:hRule="atLeast"/>
        </w:trPr>
        <w:tc>
          <w:tcPr>
            <w:tcW w:w="999" w:type="pct"/>
            <w:tcBorders>
              <w:top w:val="single" w:color="000000" w:sz="4" w:space="0"/>
              <w:left w:val="single" w:color="000000" w:sz="4" w:space="0"/>
              <w:bottom w:val="single" w:color="000000" w:sz="4" w:space="0"/>
              <w:right w:val="single" w:color="000000" w:sz="4" w:space="0"/>
            </w:tcBorders>
            <w:noWrap w:val="0"/>
            <w:vAlign w:val="center"/>
          </w:tcPr>
          <w:p w14:paraId="357CCA45">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口径DN</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5B0F968A">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长</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10BFF56F">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宽</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2BFB2358">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高</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46B447DA">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连接</w:t>
            </w:r>
          </w:p>
        </w:tc>
      </w:tr>
      <w:tr w14:paraId="07593D2D">
        <w:tblPrEx>
          <w:tblCellMar>
            <w:top w:w="0" w:type="dxa"/>
            <w:left w:w="108" w:type="dxa"/>
            <w:bottom w:w="0" w:type="dxa"/>
            <w:right w:w="108" w:type="dxa"/>
          </w:tblCellMar>
        </w:tblPrEx>
        <w:trPr>
          <w:trHeight w:val="270" w:hRule="atLeast"/>
        </w:trPr>
        <w:tc>
          <w:tcPr>
            <w:tcW w:w="999" w:type="pct"/>
            <w:tcBorders>
              <w:top w:val="single" w:color="000000" w:sz="4" w:space="0"/>
              <w:left w:val="single" w:color="000000" w:sz="4" w:space="0"/>
              <w:bottom w:val="single" w:color="000000" w:sz="4" w:space="0"/>
              <w:right w:val="single" w:color="000000" w:sz="4" w:space="0"/>
            </w:tcBorders>
            <w:noWrap w:val="0"/>
            <w:vAlign w:val="center"/>
          </w:tcPr>
          <w:p w14:paraId="480D9369">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mm</w:t>
            </w:r>
          </w:p>
        </w:tc>
        <w:tc>
          <w:tcPr>
            <w:tcW w:w="3000" w:type="pct"/>
            <w:gridSpan w:val="3"/>
            <w:tcBorders>
              <w:top w:val="single" w:color="000000" w:sz="4" w:space="0"/>
              <w:left w:val="single" w:color="000000" w:sz="4" w:space="0"/>
              <w:bottom w:val="single" w:color="000000" w:sz="4" w:space="0"/>
              <w:right w:val="single" w:color="000000" w:sz="4" w:space="0"/>
            </w:tcBorders>
            <w:noWrap w:val="0"/>
            <w:vAlign w:val="center"/>
          </w:tcPr>
          <w:p w14:paraId="1F06456B">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mm</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2739EAF4">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螺纹</w:t>
            </w:r>
          </w:p>
        </w:tc>
      </w:tr>
      <w:tr w14:paraId="3F418828">
        <w:tblPrEx>
          <w:tblCellMar>
            <w:top w:w="0" w:type="dxa"/>
            <w:left w:w="108" w:type="dxa"/>
            <w:bottom w:w="0" w:type="dxa"/>
            <w:right w:w="108" w:type="dxa"/>
          </w:tblCellMar>
        </w:tblPrEx>
        <w:trPr>
          <w:trHeight w:val="270" w:hRule="atLeast"/>
        </w:trPr>
        <w:tc>
          <w:tcPr>
            <w:tcW w:w="999" w:type="pct"/>
            <w:tcBorders>
              <w:top w:val="single" w:color="000000" w:sz="4" w:space="0"/>
              <w:left w:val="single" w:color="000000" w:sz="4" w:space="0"/>
              <w:bottom w:val="single" w:color="000000" w:sz="4" w:space="0"/>
              <w:right w:val="single" w:color="000000" w:sz="4" w:space="0"/>
            </w:tcBorders>
            <w:noWrap w:val="0"/>
            <w:vAlign w:val="center"/>
          </w:tcPr>
          <w:p w14:paraId="091B7172">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15</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579FB4D3">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165</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7723C6B2">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100</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09C01FEE">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150</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3A96DEED">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G3/4</w:t>
            </w:r>
          </w:p>
        </w:tc>
      </w:tr>
    </w:tbl>
    <w:p w14:paraId="0A77C90C">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注：上表为水表（含电子模块）的参考尺寸、连接方式。</w:t>
      </w:r>
    </w:p>
    <w:p w14:paraId="08FB1B70">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主要部件采用材料见下表：</w:t>
      </w:r>
    </w:p>
    <w:tbl>
      <w:tblPr>
        <w:tblStyle w:val="3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3"/>
        <w:gridCol w:w="4168"/>
        <w:gridCol w:w="2785"/>
      </w:tblGrid>
      <w:tr w14:paraId="25368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1174" w:type="pct"/>
            <w:noWrap w:val="0"/>
            <w:vAlign w:val="center"/>
          </w:tcPr>
          <w:p w14:paraId="251FD9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440" w:lineRule="exact"/>
              <w:ind w:firstLine="287" w:firstLineChars="1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零件名称</w:t>
            </w:r>
          </w:p>
        </w:tc>
        <w:tc>
          <w:tcPr>
            <w:tcW w:w="2293" w:type="pct"/>
            <w:noWrap w:val="0"/>
            <w:vAlign w:val="center"/>
          </w:tcPr>
          <w:p w14:paraId="0879F87F">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材料名称</w:t>
            </w:r>
          </w:p>
        </w:tc>
        <w:tc>
          <w:tcPr>
            <w:tcW w:w="1532" w:type="pct"/>
            <w:noWrap w:val="0"/>
            <w:vAlign w:val="center"/>
          </w:tcPr>
          <w:p w14:paraId="01AFE066">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3E777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174" w:type="pct"/>
            <w:noWrap w:val="0"/>
            <w:vAlign w:val="center"/>
          </w:tcPr>
          <w:p w14:paraId="40D7C6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表壳</w:t>
            </w:r>
          </w:p>
        </w:tc>
        <w:tc>
          <w:tcPr>
            <w:tcW w:w="2293" w:type="pct"/>
            <w:noWrap w:val="0"/>
            <w:vAlign w:val="center"/>
          </w:tcPr>
          <w:p w14:paraId="7440E500">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球墨铸铁（球化率：≥四级）</w:t>
            </w:r>
          </w:p>
        </w:tc>
        <w:tc>
          <w:tcPr>
            <w:tcW w:w="1532" w:type="pct"/>
            <w:noWrap w:val="0"/>
            <w:vAlign w:val="center"/>
          </w:tcPr>
          <w:p w14:paraId="470C6476">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符合CJ266要求</w:t>
            </w:r>
          </w:p>
        </w:tc>
      </w:tr>
      <w:tr w14:paraId="08166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174" w:type="pct"/>
            <w:noWrap w:val="0"/>
            <w:vAlign w:val="center"/>
          </w:tcPr>
          <w:p w14:paraId="1C44CF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表芯主材</w:t>
            </w:r>
          </w:p>
        </w:tc>
        <w:tc>
          <w:tcPr>
            <w:tcW w:w="2293" w:type="pct"/>
            <w:noWrap w:val="0"/>
            <w:vAlign w:val="center"/>
          </w:tcPr>
          <w:p w14:paraId="356F394F">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高强度工程塑料</w:t>
            </w:r>
          </w:p>
        </w:tc>
        <w:tc>
          <w:tcPr>
            <w:tcW w:w="1532" w:type="pct"/>
            <w:noWrap w:val="0"/>
            <w:vAlign w:val="center"/>
          </w:tcPr>
          <w:p w14:paraId="56A48A77">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高强度工程塑料ABS</w:t>
            </w:r>
          </w:p>
        </w:tc>
      </w:tr>
      <w:tr w14:paraId="386A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74" w:type="pct"/>
            <w:noWrap w:val="0"/>
            <w:vAlign w:val="center"/>
          </w:tcPr>
          <w:p w14:paraId="714F47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叶轮主材</w:t>
            </w:r>
          </w:p>
        </w:tc>
        <w:tc>
          <w:tcPr>
            <w:tcW w:w="2293" w:type="pct"/>
            <w:noWrap w:val="0"/>
            <w:vAlign w:val="center"/>
          </w:tcPr>
          <w:p w14:paraId="102476CF">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高强度工程塑料</w:t>
            </w:r>
          </w:p>
        </w:tc>
        <w:tc>
          <w:tcPr>
            <w:tcW w:w="1532" w:type="pct"/>
            <w:noWrap w:val="0"/>
            <w:vAlign w:val="center"/>
          </w:tcPr>
          <w:p w14:paraId="487761AB">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高强度工程塑料ABS</w:t>
            </w:r>
          </w:p>
        </w:tc>
      </w:tr>
      <w:tr w14:paraId="364F4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74" w:type="pct"/>
            <w:noWrap w:val="0"/>
            <w:vAlign w:val="center"/>
          </w:tcPr>
          <w:p w14:paraId="0CFB0D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表罩</w:t>
            </w:r>
          </w:p>
        </w:tc>
        <w:tc>
          <w:tcPr>
            <w:tcW w:w="2293" w:type="pct"/>
            <w:noWrap w:val="0"/>
            <w:vAlign w:val="center"/>
          </w:tcPr>
          <w:p w14:paraId="76A54F3E">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铸造铅黄铜（ZCuZn40Pb）</w:t>
            </w:r>
          </w:p>
        </w:tc>
        <w:tc>
          <w:tcPr>
            <w:tcW w:w="1532" w:type="pct"/>
            <w:noWrap w:val="0"/>
            <w:vAlign w:val="center"/>
          </w:tcPr>
          <w:p w14:paraId="69B1CB12">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符合CJ266要求</w:t>
            </w:r>
          </w:p>
        </w:tc>
      </w:tr>
      <w:tr w14:paraId="56AE0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74" w:type="pct"/>
            <w:noWrap w:val="0"/>
            <w:vAlign w:val="center"/>
          </w:tcPr>
          <w:p w14:paraId="179DB9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接管、螺母</w:t>
            </w:r>
          </w:p>
        </w:tc>
        <w:tc>
          <w:tcPr>
            <w:tcW w:w="2293" w:type="pct"/>
            <w:noWrap w:val="0"/>
            <w:vAlign w:val="center"/>
          </w:tcPr>
          <w:p w14:paraId="3B791E8A">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铸造铅黄铜（ZCuZn40Pb）（红冲）</w:t>
            </w:r>
          </w:p>
        </w:tc>
        <w:tc>
          <w:tcPr>
            <w:tcW w:w="1532" w:type="pct"/>
            <w:noWrap w:val="0"/>
            <w:vAlign w:val="center"/>
          </w:tcPr>
          <w:p w14:paraId="2B9EAD9F">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符合CJ266要求</w:t>
            </w:r>
          </w:p>
        </w:tc>
      </w:tr>
      <w:tr w14:paraId="0C60A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174" w:type="pct"/>
            <w:noWrap w:val="0"/>
            <w:vAlign w:val="center"/>
          </w:tcPr>
          <w:p w14:paraId="1FE68A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w:t>
            </w:r>
          </w:p>
        </w:tc>
        <w:tc>
          <w:tcPr>
            <w:tcW w:w="2293" w:type="pct"/>
            <w:noWrap w:val="0"/>
            <w:vAlign w:val="center"/>
          </w:tcPr>
          <w:p w14:paraId="3019D16C">
            <w:pPr>
              <w:adjustRightIn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铜、不锈钢、硬质合金</w:t>
            </w:r>
          </w:p>
        </w:tc>
        <w:tc>
          <w:tcPr>
            <w:tcW w:w="1532" w:type="pct"/>
            <w:noWrap w:val="0"/>
            <w:vAlign w:val="center"/>
          </w:tcPr>
          <w:p w14:paraId="3F200F49">
            <w:pPr>
              <w:adjustRightInd w:val="0"/>
              <w:jc w:val="center"/>
              <w:rPr>
                <w:rFonts w:hint="eastAsia" w:ascii="宋体" w:hAnsi="宋体" w:eastAsia="宋体" w:cs="宋体"/>
                <w:color w:val="auto"/>
                <w:sz w:val="21"/>
                <w:szCs w:val="21"/>
                <w:highlight w:val="none"/>
              </w:rPr>
            </w:pPr>
          </w:p>
        </w:tc>
      </w:tr>
    </w:tbl>
    <w:p w14:paraId="06F60D16">
      <w:pPr>
        <w:widowControl/>
        <w:adjustRightInd w:val="0"/>
        <w:spacing w:after="0" w:line="360" w:lineRule="auto"/>
        <w:ind w:left="0" w:leftChars="0" w:firstLine="210" w:firstLineChars="100"/>
        <w:jc w:val="left"/>
        <w:rPr>
          <w:rFonts w:hint="eastAsia" w:ascii="宋体" w:hAnsi="宋体" w:eastAsia="宋体" w:cs="宋体"/>
          <w:color w:val="auto"/>
          <w:kern w:val="2"/>
          <w:sz w:val="21"/>
          <w:szCs w:val="21"/>
          <w:highlight w:val="none"/>
          <w:lang w:val="en-US" w:eastAsia="zh-CN" w:bidi="ar-SA"/>
        </w:rPr>
      </w:pPr>
    </w:p>
    <w:p w14:paraId="5F8F1B9B">
      <w:pPr>
        <w:widowControl/>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2.3电子模块</w:t>
      </w:r>
    </w:p>
    <w:p w14:paraId="64D48B2A">
      <w:pPr>
        <w:widowControl/>
        <w:numPr>
          <w:ilvl w:val="0"/>
          <w:numId w:val="0"/>
        </w:numPr>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水表机电转换方式：无磁脉冲。</w:t>
      </w:r>
    </w:p>
    <w:p w14:paraId="625CEE66">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电子模块与水表机械指示装置之间为可分离结构，拆除电子模块应不影响水表固有的计量性能。</w:t>
      </w:r>
    </w:p>
    <w:p w14:paraId="085BE367">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防护等级：电子模块防护等级IP68（供应商应在投标文件中提供省级及以上计量院出具的检测报告）。</w:t>
      </w:r>
    </w:p>
    <w:p w14:paraId="23427EB2">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电池：锂电池为内置式且可独立更换，在上报频次为1次/日的条件下，电池使用寿命要保证超过7年（提供电池测试报告或提供承诺函，电池寿命不足免费更换，格式自拟）。</w:t>
      </w:r>
    </w:p>
    <w:p w14:paraId="0AF3D78C">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通讯费用：自安装验收合格之日起，中标供应商保证6年以上通讯费已支付。（提供承诺函，格式自拟）</w:t>
      </w:r>
    </w:p>
    <w:p w14:paraId="05164C9A">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电磁环境等级：E2级。</w:t>
      </w:r>
    </w:p>
    <w:p w14:paraId="5931DA54">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环境等级：B级或O级。</w:t>
      </w:r>
    </w:p>
    <w:p w14:paraId="6FCE38EC">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数据存储：水表数据保存频率为30分钟/次，可存储量≥60天数据。当存满存储介质时，新采集的数据自动覆盖最早数据（供应商应在投标文件中</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第三方检测报告）。</w:t>
      </w:r>
    </w:p>
    <w:p w14:paraId="7541F453">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水表电子设备不得破坏基表结构，不得影响人工抄读到L位和自动检定到0.1L位。</w:t>
      </w:r>
    </w:p>
    <w:p w14:paraId="5656331A">
      <w:pPr>
        <w:widowControl/>
        <w:adjustRightInd w:val="0"/>
        <w:snapToGrid w:val="0"/>
        <w:spacing w:line="360" w:lineRule="auto"/>
        <w:ind w:firstLine="210" w:firstLineChars="100"/>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（10）</w:t>
      </w:r>
      <w:r>
        <w:rPr>
          <w:rFonts w:hint="eastAsia" w:ascii="宋体" w:hAnsi="宋体" w:eastAsia="宋体" w:cs="宋体"/>
          <w:strike w:val="0"/>
          <w:dstrike w:val="0"/>
          <w:color w:val="auto"/>
          <w:sz w:val="21"/>
          <w:szCs w:val="21"/>
          <w:highlight w:val="none"/>
        </w:rPr>
        <w:t>通讯</w:t>
      </w:r>
      <w:r>
        <w:rPr>
          <w:rFonts w:hint="eastAsia" w:ascii="宋体" w:hAnsi="宋体" w:eastAsia="宋体" w:cs="宋体"/>
          <w:strike w:val="0"/>
          <w:dstrike w:val="0"/>
          <w:color w:val="auto"/>
          <w:sz w:val="21"/>
          <w:szCs w:val="21"/>
          <w:highlight w:val="none"/>
          <w:lang w:val="en-US" w:eastAsia="zh-CN"/>
        </w:rPr>
        <w:t>服务</w:t>
      </w:r>
      <w:r>
        <w:rPr>
          <w:rFonts w:hint="eastAsia" w:ascii="宋体" w:hAnsi="宋体" w:eastAsia="宋体" w:cs="宋体"/>
          <w:strike w:val="0"/>
          <w:dstrike w:val="0"/>
          <w:color w:val="auto"/>
          <w:sz w:val="21"/>
          <w:szCs w:val="21"/>
          <w:highlight w:val="none"/>
        </w:rPr>
        <w:t>：提供属地化日常通信运维服务。</w:t>
      </w:r>
    </w:p>
    <w:p w14:paraId="6AC245A7">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w:t>
      </w:r>
      <w:r>
        <w:rPr>
          <w:rFonts w:hint="eastAsia" w:ascii="宋体" w:hAnsi="宋体" w:eastAsia="宋体" w:cs="宋体"/>
          <w:color w:val="auto"/>
          <w:sz w:val="21"/>
          <w:szCs w:val="21"/>
          <w:highlight w:val="none"/>
          <w:lang w:val="en-US" w:eastAsia="zh-CN"/>
        </w:rPr>
        <w:t>远传</w:t>
      </w:r>
      <w:r>
        <w:rPr>
          <w:rFonts w:hint="eastAsia" w:ascii="宋体" w:hAnsi="宋体" w:eastAsia="宋体" w:cs="宋体"/>
          <w:color w:val="auto"/>
          <w:sz w:val="21"/>
          <w:szCs w:val="21"/>
          <w:highlight w:val="none"/>
        </w:rPr>
        <w:t>功能要求</w:t>
      </w:r>
    </w:p>
    <w:p w14:paraId="6923DBDF">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具备一定的物联协议开发能力，根据绍兴水务物联网平台标准物联协议格式，发送物联标准化数据。设备数据需按照绍兴水务标准物联感知协议格式接入物联网平台，不允许第三方平台中转，平台接入需提供完整接入点位清单及相关配置信息。设备正式投入使用后，数据不允许私自接入第三方平台（含水表厂商平台）。（提供承诺函，格式自拟）</w:t>
      </w:r>
    </w:p>
    <w:p w14:paraId="0FDFFB17">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补包功能：如发生本次数据上报不成功，则在下一个上报周期时数据自动补包，在数据有效保存期内的数据都可以补包（供应商应在投标文件中</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第三方检测报告）。</w:t>
      </w:r>
    </w:p>
    <w:p w14:paraId="6480025B">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数据上传成功率：≥99.9%（供应商应在投标文件中提供承诺书，格式自拟，承诺函中应包含对上传失败水表提供解决方案，承诺免费整改，直至正常上传；发生数据上传率不达标时，根据一个自然月内发生该类情况的水表总数，按如下约定支付违约金：上传失败水表数在水表总数的 0.1%及以内的无违约金，上传失败水表数在水表总数的 0.1%至 1%之间（含 1%）的每只水表支付 100 元，上传失败水表数</w:t>
      </w:r>
      <w:r>
        <w:rPr>
          <w:rFonts w:hint="eastAsia" w:ascii="宋体" w:hAnsi="宋体" w:eastAsia="宋体" w:cs="宋体"/>
          <w:color w:val="auto"/>
          <w:sz w:val="21"/>
          <w:szCs w:val="21"/>
          <w:highlight w:val="none"/>
          <w:lang w:eastAsia="zh-CN"/>
        </w:rPr>
        <w:t>在</w:t>
      </w:r>
      <w:r>
        <w:rPr>
          <w:rFonts w:hint="eastAsia" w:ascii="宋体" w:hAnsi="宋体" w:eastAsia="宋体" w:cs="宋体"/>
          <w:color w:val="auto"/>
          <w:sz w:val="21"/>
          <w:szCs w:val="21"/>
          <w:highlight w:val="none"/>
        </w:rPr>
        <w:t>水表总数的 1%以上的每只水表支付 200 元。）。</w:t>
      </w:r>
    </w:p>
    <w:p w14:paraId="006C6DA7">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抄读准确率：≥99.9%（供应商应在投标文件中提供承诺书，格式自拟，承诺函应包含因水表抄读错误对采购人产生损失和不良影响的情况，供应商需承诺承担错计水量的水费（含阶梯水费）；发生数据准确率不达标时，根据一个自然年内发生该类情况的水表总数，按如下约定支付违约金：错计水表在水表总数的0.1%及以内的无违约金，错计水表数量在水表总数的 0.1%至 1%之间（含 1%）的每只水表支付 100 元，错计水表数量在水表总数的 1%以上的每只水表支付 200元。）。</w:t>
      </w:r>
    </w:p>
    <w:p w14:paraId="55B6771A">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年故障率≤1%（供应商应在投标文件中提供承诺书，格式自拟）。</w:t>
      </w:r>
    </w:p>
    <w:p w14:paraId="407DA3A2">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数据上报：默认每日周期上报，上报前一天24小时的数据记录。</w:t>
      </w:r>
    </w:p>
    <w:p w14:paraId="32A60C32">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数据上报消息：数据上报消息要求在一个完整的消息报文中上送，上报应用平台的水量数据分辨力应为1L，即满行度99999.999m³。</w:t>
      </w:r>
    </w:p>
    <w:p w14:paraId="1C7D7C59">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上报重发机制设置：如发生上报不成功，水表数据应进行重发。</w:t>
      </w:r>
    </w:p>
    <w:p w14:paraId="40E3143E">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时间校对：</w:t>
      </w:r>
      <w:r>
        <w:rPr>
          <w:rFonts w:hint="eastAsia" w:ascii="宋体" w:hAnsi="宋体" w:eastAsia="宋体" w:cs="宋体"/>
          <w:color w:val="auto"/>
          <w:sz w:val="21"/>
          <w:szCs w:val="21"/>
          <w:highlight w:val="none"/>
          <w:lang w:val="en-US" w:eastAsia="zh-CN"/>
        </w:rPr>
        <w:t>在</w:t>
      </w:r>
      <w:r>
        <w:rPr>
          <w:rFonts w:hint="eastAsia" w:ascii="宋体" w:hAnsi="宋体" w:eastAsia="宋体" w:cs="宋体"/>
          <w:color w:val="auto"/>
          <w:sz w:val="21"/>
          <w:szCs w:val="21"/>
          <w:highlight w:val="none"/>
        </w:rPr>
        <w:t>数据周期上报时，</w:t>
      </w:r>
      <w:r>
        <w:rPr>
          <w:rFonts w:hint="eastAsia" w:ascii="宋体" w:hAnsi="宋体" w:eastAsia="宋体" w:cs="宋体"/>
          <w:color w:val="auto"/>
          <w:sz w:val="21"/>
          <w:szCs w:val="21"/>
          <w:highlight w:val="none"/>
          <w:lang w:val="en-US" w:eastAsia="zh-CN"/>
        </w:rPr>
        <w:t>对模块</w:t>
      </w:r>
      <w:r>
        <w:rPr>
          <w:rFonts w:hint="eastAsia" w:ascii="宋体" w:hAnsi="宋体" w:eastAsia="宋体" w:cs="宋体"/>
          <w:color w:val="auto"/>
          <w:sz w:val="21"/>
          <w:szCs w:val="21"/>
          <w:highlight w:val="none"/>
        </w:rPr>
        <w:t>进行</w:t>
      </w:r>
      <w:r>
        <w:rPr>
          <w:rFonts w:hint="eastAsia" w:ascii="宋体" w:hAnsi="宋体" w:eastAsia="宋体" w:cs="宋体"/>
          <w:color w:val="auto"/>
          <w:sz w:val="21"/>
          <w:szCs w:val="21"/>
          <w:highlight w:val="none"/>
          <w:lang w:val="en-US" w:eastAsia="zh-CN"/>
        </w:rPr>
        <w:t>时间</w:t>
      </w:r>
      <w:r>
        <w:rPr>
          <w:rFonts w:hint="eastAsia" w:ascii="宋体" w:hAnsi="宋体" w:eastAsia="宋体" w:cs="宋体"/>
          <w:color w:val="auto"/>
          <w:sz w:val="21"/>
          <w:szCs w:val="21"/>
          <w:highlight w:val="none"/>
        </w:rPr>
        <w:t>校对。</w:t>
      </w:r>
    </w:p>
    <w:p w14:paraId="03AF6451">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（10）</w:t>
      </w:r>
      <w:r>
        <w:rPr>
          <w:rFonts w:hint="eastAsia" w:ascii="宋体" w:hAnsi="宋体" w:eastAsia="宋体" w:cs="宋体"/>
          <w:color w:val="auto"/>
          <w:sz w:val="21"/>
          <w:szCs w:val="21"/>
          <w:highlight w:val="none"/>
        </w:rPr>
        <w:t>设置功能：可通过</w:t>
      </w:r>
      <w:r>
        <w:rPr>
          <w:rFonts w:hint="eastAsia" w:ascii="宋体" w:hAnsi="宋体" w:eastAsia="宋体" w:cs="宋体"/>
          <w:color w:val="auto"/>
          <w:kern w:val="0"/>
          <w:sz w:val="21"/>
          <w:szCs w:val="21"/>
          <w:highlight w:val="none"/>
        </w:rPr>
        <w:t>采购人</w:t>
      </w:r>
      <w:r>
        <w:rPr>
          <w:rFonts w:hint="eastAsia" w:ascii="宋体" w:hAnsi="宋体" w:eastAsia="宋体" w:cs="宋体"/>
          <w:color w:val="auto"/>
          <w:sz w:val="21"/>
          <w:szCs w:val="21"/>
          <w:highlight w:val="none"/>
        </w:rPr>
        <w:t>应用平台或红外手持设备进行设置。</w:t>
      </w:r>
    </w:p>
    <w:p w14:paraId="16DBC76C">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（11）</w:t>
      </w:r>
      <w:r>
        <w:rPr>
          <w:rFonts w:hint="eastAsia" w:ascii="宋体" w:hAnsi="宋体" w:eastAsia="宋体" w:cs="宋体"/>
          <w:color w:val="auto"/>
          <w:sz w:val="21"/>
          <w:szCs w:val="21"/>
          <w:highlight w:val="none"/>
        </w:rPr>
        <w:t>高频率周期上报设置：通过</w:t>
      </w:r>
      <w:r>
        <w:rPr>
          <w:rFonts w:hint="eastAsia" w:ascii="宋体" w:hAnsi="宋体" w:eastAsia="宋体" w:cs="宋体"/>
          <w:color w:val="auto"/>
          <w:kern w:val="0"/>
          <w:sz w:val="21"/>
          <w:szCs w:val="21"/>
          <w:highlight w:val="none"/>
        </w:rPr>
        <w:t>采购人</w:t>
      </w:r>
      <w:r>
        <w:rPr>
          <w:rFonts w:hint="eastAsia" w:ascii="宋体" w:hAnsi="宋体" w:eastAsia="宋体" w:cs="宋体"/>
          <w:color w:val="auto"/>
          <w:sz w:val="21"/>
          <w:szCs w:val="21"/>
          <w:highlight w:val="none"/>
        </w:rPr>
        <w:t>应用平台进行高频率上报周期设置，最小做到1小时周期上报。</w:t>
      </w:r>
    </w:p>
    <w:p w14:paraId="2C66F46B">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（12）</w:t>
      </w:r>
      <w:r>
        <w:rPr>
          <w:rFonts w:hint="eastAsia" w:ascii="宋体" w:hAnsi="宋体" w:eastAsia="宋体" w:cs="宋体"/>
          <w:color w:val="auto"/>
          <w:sz w:val="21"/>
          <w:szCs w:val="21"/>
          <w:highlight w:val="none"/>
        </w:rPr>
        <w:t>周期上报离散设置：通过</w:t>
      </w:r>
      <w:r>
        <w:rPr>
          <w:rFonts w:hint="eastAsia" w:ascii="宋体" w:hAnsi="宋体" w:eastAsia="宋体" w:cs="宋体"/>
          <w:color w:val="auto"/>
          <w:kern w:val="0"/>
          <w:sz w:val="21"/>
          <w:szCs w:val="21"/>
          <w:highlight w:val="none"/>
        </w:rPr>
        <w:t>采购人</w:t>
      </w:r>
      <w:r>
        <w:rPr>
          <w:rFonts w:hint="eastAsia" w:ascii="宋体" w:hAnsi="宋体" w:eastAsia="宋体" w:cs="宋体"/>
          <w:color w:val="auto"/>
          <w:sz w:val="21"/>
          <w:szCs w:val="21"/>
          <w:highlight w:val="none"/>
        </w:rPr>
        <w:t>应用平台按电子地址号进行周期上报随机离散设置，把上报的时间点离散。</w:t>
      </w:r>
    </w:p>
    <w:p w14:paraId="4A714791">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（13）</w:t>
      </w:r>
      <w:r>
        <w:rPr>
          <w:rFonts w:hint="eastAsia" w:ascii="宋体" w:hAnsi="宋体" w:eastAsia="宋体" w:cs="宋体"/>
          <w:color w:val="auto"/>
          <w:sz w:val="21"/>
          <w:szCs w:val="21"/>
          <w:highlight w:val="none"/>
        </w:rPr>
        <w:t>水表底数设置：通过近端手持终端设备进行水表底数设置，保证电子读数与水表机械读数同步，手持终端设备与电子装置之间通过红外端口进行通信。</w:t>
      </w:r>
    </w:p>
    <w:p w14:paraId="6F5B70B3">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（13）</w:t>
      </w:r>
      <w:r>
        <w:rPr>
          <w:rFonts w:hint="eastAsia" w:ascii="宋体" w:hAnsi="宋体" w:eastAsia="宋体" w:cs="宋体"/>
          <w:color w:val="auto"/>
          <w:sz w:val="21"/>
          <w:szCs w:val="21"/>
          <w:highlight w:val="none"/>
        </w:rPr>
        <w:t>告警功能：可对低电压、过流流量、逆向</w:t>
      </w:r>
      <w:r>
        <w:rPr>
          <w:rFonts w:hint="eastAsia" w:ascii="宋体" w:hAnsi="宋体" w:eastAsia="宋体" w:cs="宋体"/>
          <w:color w:val="auto"/>
          <w:sz w:val="21"/>
          <w:szCs w:val="21"/>
          <w:highlight w:val="none"/>
          <w:lang w:eastAsia="zh-CN"/>
        </w:rPr>
        <w:t>流量</w:t>
      </w:r>
      <w:r>
        <w:rPr>
          <w:rFonts w:hint="eastAsia" w:ascii="宋体" w:hAnsi="宋体" w:eastAsia="宋体" w:cs="宋体"/>
          <w:color w:val="auto"/>
          <w:sz w:val="21"/>
          <w:szCs w:val="21"/>
          <w:highlight w:val="none"/>
        </w:rPr>
        <w:t>进行告警。</w:t>
      </w:r>
    </w:p>
    <w:p w14:paraId="2D527B90">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①低电压告警：电子装置电池低电压时，应默认随周期上报数据进行低电压事件告警，支持上报当前电池电压。</w:t>
      </w:r>
    </w:p>
    <w:p w14:paraId="56AF92DC">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过流流量告警：当电子装置监测到（默认30分钟）持续流量大于过流告警阈值（如默认Q4）时，应默认随周期上报数据进行过流流量事件告警。当开启立即告警时，每日仅在首次发生时立即唤醒水表主动上报一次，并且随周期上报数据一起上报，过流量持续时间、过流告警阈值、周期告警、立即告警等参数和功能应可设置。</w:t>
      </w:r>
    </w:p>
    <w:p w14:paraId="3EC2D218">
      <w:pPr>
        <w:adjustRightIn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3.</w:t>
      </w:r>
      <w:r>
        <w:rPr>
          <w:rFonts w:hint="eastAsia" w:ascii="宋体" w:hAnsi="宋体" w:eastAsia="宋体" w:cs="宋体"/>
          <w:b/>
          <w:color w:val="auto"/>
          <w:sz w:val="21"/>
          <w:szCs w:val="21"/>
          <w:highlight w:val="none"/>
        </w:rPr>
        <w:t>投标样品</w:t>
      </w:r>
    </w:p>
    <w:tbl>
      <w:tblPr>
        <w:tblStyle w:val="31"/>
        <w:tblW w:w="4997" w:type="pct"/>
        <w:tblInd w:w="0" w:type="dxa"/>
        <w:tblLayout w:type="autofit"/>
        <w:tblCellMar>
          <w:top w:w="0" w:type="dxa"/>
          <w:left w:w="108" w:type="dxa"/>
          <w:bottom w:w="0" w:type="dxa"/>
          <w:right w:w="108" w:type="dxa"/>
        </w:tblCellMar>
      </w:tblPr>
      <w:tblGrid>
        <w:gridCol w:w="658"/>
        <w:gridCol w:w="2236"/>
        <w:gridCol w:w="1078"/>
        <w:gridCol w:w="5113"/>
      </w:tblGrid>
      <w:tr w14:paraId="7DB89F04">
        <w:tblPrEx>
          <w:tblCellMar>
            <w:top w:w="0" w:type="dxa"/>
            <w:left w:w="108" w:type="dxa"/>
            <w:bottom w:w="0" w:type="dxa"/>
            <w:right w:w="108" w:type="dxa"/>
          </w:tblCellMar>
        </w:tblPrEx>
        <w:trPr>
          <w:trHeight w:val="675" w:hRule="atLeast"/>
        </w:trPr>
        <w:tc>
          <w:tcPr>
            <w:tcW w:w="362" w:type="pct"/>
            <w:tcBorders>
              <w:top w:val="single" w:color="000000" w:sz="4" w:space="0"/>
              <w:left w:val="single" w:color="000000" w:sz="4" w:space="0"/>
              <w:bottom w:val="single" w:color="000000" w:sz="4" w:space="0"/>
              <w:right w:val="single" w:color="000000" w:sz="4" w:space="0"/>
            </w:tcBorders>
            <w:noWrap w:val="0"/>
            <w:vAlign w:val="center"/>
          </w:tcPr>
          <w:p w14:paraId="05968771">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序号</w:t>
            </w:r>
          </w:p>
        </w:tc>
        <w:tc>
          <w:tcPr>
            <w:tcW w:w="1230" w:type="pct"/>
            <w:tcBorders>
              <w:top w:val="single" w:color="000000" w:sz="4" w:space="0"/>
              <w:left w:val="single" w:color="000000" w:sz="4" w:space="0"/>
              <w:bottom w:val="single" w:color="000000" w:sz="4" w:space="0"/>
              <w:right w:val="single" w:color="000000" w:sz="4" w:space="0"/>
            </w:tcBorders>
            <w:noWrap w:val="0"/>
            <w:vAlign w:val="center"/>
          </w:tcPr>
          <w:p w14:paraId="5282B0C3">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名称/规格</w:t>
            </w:r>
          </w:p>
        </w:tc>
        <w:tc>
          <w:tcPr>
            <w:tcW w:w="593" w:type="pct"/>
            <w:tcBorders>
              <w:top w:val="single" w:color="000000" w:sz="4" w:space="0"/>
              <w:left w:val="single" w:color="000000" w:sz="4" w:space="0"/>
              <w:bottom w:val="single" w:color="000000" w:sz="4" w:space="0"/>
              <w:right w:val="single" w:color="000000" w:sz="4" w:space="0"/>
            </w:tcBorders>
            <w:noWrap w:val="0"/>
            <w:vAlign w:val="center"/>
          </w:tcPr>
          <w:p w14:paraId="681CDB5A">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数量</w:t>
            </w:r>
          </w:p>
        </w:tc>
        <w:tc>
          <w:tcPr>
            <w:tcW w:w="2813" w:type="pct"/>
            <w:tcBorders>
              <w:top w:val="single" w:color="000000" w:sz="4" w:space="0"/>
              <w:left w:val="single" w:color="000000" w:sz="4" w:space="0"/>
              <w:bottom w:val="single" w:color="000000" w:sz="4" w:space="0"/>
              <w:right w:val="single" w:color="000000" w:sz="4" w:space="0"/>
            </w:tcBorders>
            <w:noWrap w:val="0"/>
            <w:vAlign w:val="center"/>
          </w:tcPr>
          <w:p w14:paraId="193785BA">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说明</w:t>
            </w:r>
          </w:p>
        </w:tc>
      </w:tr>
      <w:tr w14:paraId="795920E9">
        <w:tblPrEx>
          <w:tblCellMar>
            <w:top w:w="0" w:type="dxa"/>
            <w:left w:w="108" w:type="dxa"/>
            <w:bottom w:w="0" w:type="dxa"/>
            <w:right w:w="108" w:type="dxa"/>
          </w:tblCellMar>
        </w:tblPrEx>
        <w:trPr>
          <w:trHeight w:val="793" w:hRule="atLeast"/>
        </w:trPr>
        <w:tc>
          <w:tcPr>
            <w:tcW w:w="362" w:type="pct"/>
            <w:tcBorders>
              <w:top w:val="single" w:color="000000" w:sz="4" w:space="0"/>
              <w:left w:val="single" w:color="000000" w:sz="4" w:space="0"/>
              <w:bottom w:val="single" w:color="000000" w:sz="4" w:space="0"/>
              <w:right w:val="single" w:color="000000" w:sz="4" w:space="0"/>
            </w:tcBorders>
            <w:noWrap w:val="0"/>
            <w:vAlign w:val="center"/>
          </w:tcPr>
          <w:p w14:paraId="6864285E">
            <w:pPr>
              <w:widowControl/>
              <w:adjustRightInd w:val="0"/>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rPr>
              <w:t>1</w:t>
            </w:r>
          </w:p>
        </w:tc>
        <w:tc>
          <w:tcPr>
            <w:tcW w:w="1230" w:type="pct"/>
            <w:tcBorders>
              <w:top w:val="single" w:color="000000" w:sz="4" w:space="0"/>
              <w:left w:val="single" w:color="000000" w:sz="4" w:space="0"/>
              <w:bottom w:val="single" w:color="000000" w:sz="4" w:space="0"/>
              <w:right w:val="single" w:color="000000" w:sz="4" w:space="0"/>
            </w:tcBorders>
            <w:noWrap w:val="0"/>
            <w:vAlign w:val="center"/>
          </w:tcPr>
          <w:p w14:paraId="6EE46FF0">
            <w:pPr>
              <w:widowControl/>
              <w:adjustRightInd w:val="0"/>
              <w:jc w:val="left"/>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rPr>
              <w:t>旋翼式</w:t>
            </w:r>
            <w:r>
              <w:rPr>
                <w:rFonts w:hint="eastAsia" w:ascii="宋体" w:hAnsi="宋体" w:eastAsia="宋体" w:cs="宋体"/>
                <w:color w:val="auto"/>
                <w:kern w:val="0"/>
                <w:sz w:val="21"/>
                <w:szCs w:val="21"/>
                <w:highlight w:val="none"/>
                <w:lang w:eastAsia="zh-CN"/>
              </w:rPr>
              <w:t>无磁远传水表</w:t>
            </w:r>
          </w:p>
        </w:tc>
        <w:tc>
          <w:tcPr>
            <w:tcW w:w="593" w:type="pct"/>
            <w:tcBorders>
              <w:top w:val="single" w:color="000000" w:sz="4" w:space="0"/>
              <w:left w:val="single" w:color="000000" w:sz="4" w:space="0"/>
              <w:bottom w:val="single" w:color="000000" w:sz="4" w:space="0"/>
              <w:right w:val="single" w:color="000000" w:sz="4" w:space="0"/>
            </w:tcBorders>
            <w:noWrap w:val="0"/>
            <w:vAlign w:val="center"/>
          </w:tcPr>
          <w:p w14:paraId="1703D7F8">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只</w:t>
            </w:r>
          </w:p>
        </w:tc>
        <w:tc>
          <w:tcPr>
            <w:tcW w:w="2813" w:type="pct"/>
            <w:tcBorders>
              <w:top w:val="single" w:color="000000" w:sz="4" w:space="0"/>
              <w:left w:val="single" w:color="000000" w:sz="4" w:space="0"/>
              <w:bottom w:val="single" w:color="000000" w:sz="4" w:space="0"/>
              <w:right w:val="single" w:color="000000" w:sz="4" w:space="0"/>
            </w:tcBorders>
            <w:noWrap w:val="0"/>
            <w:vAlign w:val="center"/>
          </w:tcPr>
          <w:p w14:paraId="4C83426C">
            <w:pPr>
              <w:widowControl/>
              <w:adjustRightInd w:val="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样品为</w:t>
            </w:r>
            <w:r>
              <w:rPr>
                <w:rFonts w:hint="eastAsia" w:ascii="宋体" w:hAnsi="宋体" w:eastAsia="宋体" w:cs="宋体"/>
                <w:color w:val="auto"/>
                <w:kern w:val="0"/>
                <w:sz w:val="21"/>
                <w:szCs w:val="21"/>
                <w:highlight w:val="none"/>
                <w:lang w:val="en-US" w:eastAsia="zh-CN"/>
              </w:rPr>
              <w:t>包含电子模块的</w:t>
            </w:r>
            <w:r>
              <w:rPr>
                <w:rFonts w:hint="eastAsia" w:ascii="宋体" w:hAnsi="宋体" w:eastAsia="宋体" w:cs="宋体"/>
                <w:color w:val="auto"/>
                <w:kern w:val="0"/>
                <w:sz w:val="21"/>
                <w:szCs w:val="21"/>
                <w:highlight w:val="none"/>
              </w:rPr>
              <w:t>完整水表。</w:t>
            </w:r>
          </w:p>
        </w:tc>
      </w:tr>
    </w:tbl>
    <w:p w14:paraId="4C4027EC">
      <w:pPr>
        <w:widowControl w:val="0"/>
        <w:adjustRightInd/>
        <w:spacing w:after="120" w:line="240" w:lineRule="auto"/>
        <w:ind w:left="0" w:leftChars="0" w:firstLine="0" w:firstLineChars="0"/>
        <w:jc w:val="both"/>
        <w:rPr>
          <w:rFonts w:hint="eastAsia" w:ascii="宋体" w:hAnsi="宋体" w:eastAsia="宋体" w:cs="宋体"/>
          <w:color w:val="auto"/>
          <w:kern w:val="2"/>
          <w:sz w:val="21"/>
          <w:szCs w:val="21"/>
          <w:highlight w:val="none"/>
          <w:lang w:val="en-US" w:eastAsia="zh-CN" w:bidi="ar-SA"/>
        </w:rPr>
      </w:pPr>
    </w:p>
    <w:p w14:paraId="2B6A6ABF">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（1）投标样品上不得标注供应商名称，投标样品同投标文件一并在投标文件提交截止时间前向</w:t>
      </w:r>
      <w:r>
        <w:rPr>
          <w:rFonts w:hint="eastAsia" w:ascii="宋体" w:hAnsi="宋体" w:eastAsia="宋体" w:cs="宋体"/>
          <w:color w:val="auto"/>
          <w:kern w:val="0"/>
          <w:sz w:val="21"/>
          <w:szCs w:val="21"/>
          <w:highlight w:val="none"/>
        </w:rPr>
        <w:t>采购人</w:t>
      </w:r>
      <w:r>
        <w:rPr>
          <w:rFonts w:hint="eastAsia" w:ascii="宋体" w:hAnsi="宋体" w:eastAsia="宋体" w:cs="宋体"/>
          <w:color w:val="auto"/>
          <w:sz w:val="21"/>
          <w:szCs w:val="21"/>
          <w:highlight w:val="none"/>
        </w:rPr>
        <w:t>提交，并按提交顺序在投标样品外包装上标注提交顺序编号；</w:t>
      </w:r>
    </w:p>
    <w:p w14:paraId="0636DDA4">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未提供投标样品或未按采购文件要求提供投标样品，样品一栏不得分；</w:t>
      </w:r>
    </w:p>
    <w:p w14:paraId="57C80B38">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评标委员会可能对其进行破坏性试验，供应商自行承担样品费用。中标样品由</w:t>
      </w:r>
      <w:r>
        <w:rPr>
          <w:rFonts w:hint="eastAsia" w:ascii="宋体" w:hAnsi="宋体" w:eastAsia="宋体" w:cs="宋体"/>
          <w:color w:val="auto"/>
          <w:kern w:val="0"/>
          <w:sz w:val="21"/>
          <w:szCs w:val="21"/>
          <w:highlight w:val="none"/>
        </w:rPr>
        <w:t>采购人</w:t>
      </w:r>
      <w:r>
        <w:rPr>
          <w:rFonts w:hint="eastAsia" w:ascii="宋体" w:hAnsi="宋体" w:eastAsia="宋体" w:cs="宋体"/>
          <w:color w:val="auto"/>
          <w:sz w:val="21"/>
          <w:szCs w:val="21"/>
          <w:highlight w:val="none"/>
        </w:rPr>
        <w:t>封存，并作为验收标准；未中标样品在评标结束后退还。</w:t>
      </w:r>
    </w:p>
    <w:p w14:paraId="7A67CBB3">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中标供应商候选人的实物样品送</w:t>
      </w:r>
      <w:r>
        <w:rPr>
          <w:rFonts w:hint="eastAsia" w:ascii="宋体" w:hAnsi="宋体" w:eastAsia="宋体" w:cs="宋体"/>
          <w:color w:val="auto"/>
          <w:kern w:val="0"/>
          <w:sz w:val="21"/>
          <w:szCs w:val="21"/>
          <w:highlight w:val="none"/>
        </w:rPr>
        <w:t>采购人</w:t>
      </w:r>
      <w:r>
        <w:rPr>
          <w:rFonts w:hint="eastAsia" w:ascii="宋体" w:hAnsi="宋体" w:eastAsia="宋体" w:cs="宋体"/>
          <w:color w:val="auto"/>
          <w:sz w:val="21"/>
          <w:szCs w:val="21"/>
          <w:highlight w:val="none"/>
        </w:rPr>
        <w:t>处保存，确定中标供应商后，中标供应商须保证供货产品质量与投标样品一致。如不一致或低于样品质量和采购文件质量要求，实际需求人有权要求退货，调换合格的产品至实际需求人满意为止，所产生的一切费用由中标供应商自行承担。</w:t>
      </w:r>
    </w:p>
    <w:p w14:paraId="2AFF530C">
      <w:pPr>
        <w:widowControl w:val="0"/>
        <w:kinsoku/>
        <w:overflowPunct/>
        <w:bidi w:val="0"/>
        <w:adjustRightInd/>
        <w:snapToGrid w:val="0"/>
        <w:spacing w:line="360" w:lineRule="auto"/>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bCs/>
          <w:snapToGrid w:val="0"/>
          <w:color w:val="auto"/>
          <w:kern w:val="0"/>
          <w:sz w:val="21"/>
          <w:szCs w:val="21"/>
          <w:highlight w:val="none"/>
          <w:lang w:val="en-US" w:eastAsia="zh-CN" w:bidi="ar-SA"/>
        </w:rPr>
        <w:t>4. DN15旋翼式无磁远传水表</w:t>
      </w:r>
      <w:r>
        <w:rPr>
          <w:rFonts w:hint="eastAsia" w:eastAsia="宋体" w:cs="宋体"/>
          <w:b/>
          <w:bCs/>
          <w:snapToGrid w:val="0"/>
          <w:color w:val="auto"/>
          <w:kern w:val="0"/>
          <w:sz w:val="21"/>
          <w:szCs w:val="21"/>
          <w:highlight w:val="none"/>
          <w:lang w:val="en-US" w:eastAsia="zh-CN" w:bidi="ar-SA"/>
        </w:rPr>
        <w:t>质量保证期</w:t>
      </w:r>
      <w:r>
        <w:rPr>
          <w:rFonts w:hint="eastAsia" w:ascii="宋体" w:hAnsi="宋体" w:eastAsia="宋体" w:cs="宋体"/>
          <w:b/>
          <w:bCs/>
          <w:snapToGrid w:val="0"/>
          <w:color w:val="auto"/>
          <w:kern w:val="0"/>
          <w:sz w:val="21"/>
          <w:szCs w:val="21"/>
          <w:highlight w:val="none"/>
          <w:lang w:val="en-US" w:eastAsia="zh-CN" w:bidi="ar-SA"/>
        </w:rPr>
        <w:t>统一为6年</w:t>
      </w:r>
      <w:r>
        <w:rPr>
          <w:rFonts w:hint="eastAsia" w:ascii="宋体" w:hAnsi="宋体" w:eastAsia="宋体" w:cs="宋体"/>
          <w:snapToGrid w:val="0"/>
          <w:color w:val="auto"/>
          <w:kern w:val="0"/>
          <w:sz w:val="21"/>
          <w:szCs w:val="21"/>
          <w:highlight w:val="none"/>
          <w:lang w:val="en-US" w:eastAsia="zh-CN" w:bidi="ar-SA"/>
        </w:rPr>
        <w:t>。</w:t>
      </w:r>
    </w:p>
    <w:p w14:paraId="5D45E0B9">
      <w:pPr>
        <w:widowControl/>
        <w:adjustRightInd w:val="0"/>
        <w:snapToGrid w:val="0"/>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DN15旋翼式</w:t>
      </w:r>
      <w:r>
        <w:rPr>
          <w:rFonts w:hint="eastAsia" w:ascii="宋体" w:hAnsi="宋体" w:eastAsia="宋体" w:cs="宋体"/>
          <w:color w:val="000000" w:themeColor="text1"/>
          <w:sz w:val="21"/>
          <w:szCs w:val="21"/>
          <w:highlight w:val="none"/>
          <w:lang w:eastAsia="zh-CN"/>
          <w14:textFill>
            <w14:solidFill>
              <w14:schemeClr w14:val="tx1"/>
            </w14:solidFill>
          </w14:textFill>
        </w:rPr>
        <w:t>无磁远传</w:t>
      </w:r>
      <w:r>
        <w:rPr>
          <w:rFonts w:hint="eastAsia" w:ascii="宋体" w:hAnsi="宋体" w:eastAsia="宋体" w:cs="宋体"/>
          <w:color w:val="000000" w:themeColor="text1"/>
          <w:sz w:val="21"/>
          <w:szCs w:val="21"/>
          <w:highlight w:val="none"/>
          <w14:textFill>
            <w14:solidFill>
              <w14:schemeClr w14:val="tx1"/>
            </w14:solidFill>
          </w14:textFill>
        </w:rPr>
        <w:t>水表供货前须完成首次强制检定（后称“首检”）。供应商不具备首检能力的，可委托具备资质的第三方机构完成首检后方可供货，并保证首检数据的真实有效。</w:t>
      </w:r>
      <w:r>
        <w:rPr>
          <w:rFonts w:hint="eastAsia" w:ascii="宋体" w:hAnsi="宋体" w:eastAsia="宋体" w:cs="宋体"/>
          <w:color w:val="000000" w:themeColor="text1"/>
          <w:kern w:val="0"/>
          <w:sz w:val="21"/>
          <w:szCs w:val="21"/>
          <w:highlight w:val="none"/>
          <w14:textFill>
            <w14:solidFill>
              <w14:schemeClr w14:val="tx1"/>
            </w14:solidFill>
          </w14:textFill>
        </w:rPr>
        <w:t>（需提供承诺函</w:t>
      </w:r>
      <w:r>
        <w:rPr>
          <w:rFonts w:hint="eastAsia" w:ascii="宋体" w:hAnsi="宋体" w:eastAsia="宋体" w:cs="宋体"/>
          <w:color w:val="000000" w:themeColor="text1"/>
          <w:kern w:val="0"/>
          <w:sz w:val="21"/>
          <w:szCs w:val="21"/>
          <w:highlight w:val="none"/>
          <w:lang w:eastAsia="zh-CN"/>
          <w14:textFill>
            <w14:solidFill>
              <w14:schemeClr w14:val="tx1"/>
            </w14:solidFill>
          </w14:textFill>
        </w:rPr>
        <w:t>并加盖公章</w:t>
      </w:r>
      <w:r>
        <w:rPr>
          <w:rFonts w:hint="eastAsia" w:ascii="宋体" w:hAnsi="宋体" w:eastAsia="宋体" w:cs="宋体"/>
          <w:color w:val="000000" w:themeColor="text1"/>
          <w:kern w:val="0"/>
          <w:sz w:val="21"/>
          <w:szCs w:val="21"/>
          <w:highlight w:val="none"/>
          <w14:textFill>
            <w14:solidFill>
              <w14:schemeClr w14:val="tx1"/>
            </w14:solidFill>
          </w14:textFill>
        </w:rPr>
        <w:t>，承诺所供水表均依规完成首检，检定数据</w:t>
      </w:r>
      <w:r>
        <w:rPr>
          <w:rFonts w:hint="eastAsia" w:ascii="宋体" w:hAnsi="宋体" w:eastAsia="宋体" w:cs="宋体"/>
          <w:color w:val="000000" w:themeColor="text1"/>
          <w:kern w:val="0"/>
          <w:sz w:val="21"/>
          <w:szCs w:val="21"/>
          <w:highlight w:val="none"/>
          <w:lang w:eastAsia="zh-CN"/>
          <w14:textFill>
            <w14:solidFill>
              <w14:schemeClr w14:val="tx1"/>
            </w14:solidFill>
          </w14:textFill>
        </w:rPr>
        <w:t>能满足浙江省市场监管部门的核查要求</w:t>
      </w:r>
      <w:r>
        <w:rPr>
          <w:rFonts w:hint="eastAsia" w:ascii="宋体" w:hAnsi="宋体" w:eastAsia="宋体" w:cs="宋体"/>
          <w:color w:val="000000" w:themeColor="text1"/>
          <w:kern w:val="0"/>
          <w:sz w:val="21"/>
          <w:szCs w:val="21"/>
          <w:highlight w:val="none"/>
          <w14:textFill>
            <w14:solidFill>
              <w14:schemeClr w14:val="tx1"/>
            </w14:solidFill>
          </w14:textFill>
        </w:rPr>
        <w:t>）</w:t>
      </w:r>
    </w:p>
    <w:p w14:paraId="754676FB">
      <w:pPr>
        <w:widowControl w:val="0"/>
        <w:kinsoku/>
        <w:overflowPunct/>
        <w:bidi w:val="0"/>
        <w:adjustRightInd/>
        <w:snapToGrid w:val="0"/>
        <w:spacing w:line="44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采购人依据国家检定规程JJG162-2019《饮用冷水水表》对采购的每批次水表进行检定，如发现所购水表首检合格率低于99.5%</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采购人有权停止后续采购，并终止采购合同；</w:t>
      </w:r>
    </w:p>
    <w:p w14:paraId="29CB9F5C">
      <w:pPr>
        <w:widowControl w:val="0"/>
        <w:kinsoku/>
        <w:overflowPunct/>
        <w:bidi w:val="0"/>
        <w:adjustRightInd/>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供应商所投的水表产品具有在有效期内的质量技术监督部门出具的《中华人民共和国计量器具型式批准证书》（证书中需包含水平旋翼式湿式冷水水表）。</w:t>
      </w:r>
    </w:p>
    <w:p w14:paraId="13877418">
      <w:pPr>
        <w:widowControl w:val="0"/>
        <w:kinsoku/>
        <w:overflowPunct/>
        <w:bidi w:val="0"/>
        <w:adjustRightInd/>
        <w:spacing w:line="44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8.质量保证期内如因技术迭代、网络环境改变等因素导致数据无法正常上传，供应商免费提供改造服务。</w:t>
      </w:r>
    </w:p>
    <w:p w14:paraId="46159165">
      <w:pPr>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9.供应商免费提供用于机电误差检定的配件和技术支持，保证水表能在绍兴市法定机构正常检定。</w:t>
      </w:r>
    </w:p>
    <w:p w14:paraId="3BF8FD3C">
      <w:pPr>
        <w:pStyle w:val="116"/>
        <w:spacing w:line="360" w:lineRule="auto"/>
        <w:rPr>
          <w:rFonts w:hint="eastAsia" w:ascii="宋体" w:hAnsi="宋体" w:eastAsia="宋体" w:cs="宋体"/>
          <w:b/>
          <w:bCs/>
          <w:color w:val="auto"/>
          <w:sz w:val="21"/>
          <w:szCs w:val="21"/>
          <w:highlight w:val="none"/>
          <w:lang w:eastAsia="zh-CN"/>
        </w:rPr>
      </w:pPr>
    </w:p>
    <w:p w14:paraId="3F5D3897">
      <w:pPr>
        <w:pStyle w:val="11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四、</w:t>
      </w:r>
      <w:r>
        <w:rPr>
          <w:rFonts w:hint="eastAsia" w:hAnsi="宋体" w:cs="宋体"/>
          <w:b/>
          <w:bCs/>
          <w:color w:val="auto"/>
          <w:sz w:val="21"/>
          <w:szCs w:val="21"/>
          <w:highlight w:val="none"/>
          <w:lang w:val="en-US" w:eastAsia="zh-CN"/>
        </w:rPr>
        <w:t>DN15</w:t>
      </w:r>
      <w:r>
        <w:rPr>
          <w:rFonts w:hint="eastAsia" w:ascii="宋体" w:hAnsi="宋体" w:eastAsia="宋体" w:cs="宋体"/>
          <w:b/>
          <w:bCs/>
          <w:color w:val="auto"/>
          <w:sz w:val="21"/>
          <w:szCs w:val="21"/>
          <w:highlight w:val="none"/>
        </w:rPr>
        <w:t>超声波水表</w:t>
      </w:r>
    </w:p>
    <w:p w14:paraId="0EA0DA82">
      <w:pPr>
        <w:numPr>
          <w:ilvl w:val="0"/>
          <w:numId w:val="14"/>
        </w:numPr>
        <w:adjustRightInd w:val="0"/>
        <w:spacing w:line="400" w:lineRule="exact"/>
        <w:ind w:left="384" w:hanging="38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技术标准</w:t>
      </w:r>
    </w:p>
    <w:p w14:paraId="3F09E3CD">
      <w:pPr>
        <w:adjustRightInd w:val="0"/>
        <w:spacing w:line="40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产品所有指标应符合以下国家或行业标准</w:t>
      </w:r>
    </w:p>
    <w:p w14:paraId="487CA563">
      <w:pPr>
        <w:pStyle w:val="138"/>
        <w:spacing w:line="360" w:lineRule="auto"/>
        <w:ind w:left="735" w:leftChars="200" w:hanging="315" w:hangingChars="1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1）《饮用冷水水表和热水水表》GB/T778</w:t>
      </w:r>
      <w:r>
        <w:rPr>
          <w:rFonts w:hint="eastAsia" w:ascii="宋体" w:hAnsi="宋体" w:eastAsia="宋体" w:cs="宋体"/>
          <w:color w:val="auto"/>
          <w:sz w:val="21"/>
          <w:szCs w:val="21"/>
          <w:highlight w:val="none"/>
          <w:lang w:val="en-US" w:eastAsia="zh-CN"/>
        </w:rPr>
        <w:t>-2018</w:t>
      </w:r>
    </w:p>
    <w:p w14:paraId="18B7A4A3">
      <w:pPr>
        <w:pStyle w:val="138"/>
        <w:spacing w:line="360" w:lineRule="auto"/>
        <w:ind w:left="735" w:leftChars="200" w:hanging="315" w:hanging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饮用</w:t>
      </w:r>
      <w:r>
        <w:rPr>
          <w:rFonts w:hint="eastAsia" w:ascii="宋体" w:hAnsi="宋体" w:eastAsia="宋体" w:cs="宋体"/>
          <w:color w:val="auto"/>
          <w:sz w:val="21"/>
          <w:szCs w:val="21"/>
          <w:highlight w:val="none"/>
        </w:rPr>
        <w:t>冷水水表</w:t>
      </w:r>
      <w:r>
        <w:rPr>
          <w:rFonts w:hint="eastAsia" w:ascii="宋体" w:hAnsi="宋体" w:eastAsia="宋体" w:cs="宋体"/>
          <w:color w:val="auto"/>
          <w:sz w:val="21"/>
          <w:szCs w:val="21"/>
          <w:highlight w:val="none"/>
          <w:lang w:val="en-US" w:eastAsia="zh-CN"/>
        </w:rPr>
        <w:t>检定规程</w:t>
      </w:r>
      <w:r>
        <w:rPr>
          <w:rFonts w:hint="eastAsia" w:ascii="宋体" w:hAnsi="宋体" w:eastAsia="宋体" w:cs="宋体"/>
          <w:color w:val="auto"/>
          <w:sz w:val="21"/>
          <w:szCs w:val="21"/>
          <w:highlight w:val="none"/>
        </w:rPr>
        <w:t>》JJG162-20</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9</w:t>
      </w:r>
    </w:p>
    <w:p w14:paraId="4CE5CDEA">
      <w:pPr>
        <w:pStyle w:val="138"/>
        <w:spacing w:line="360" w:lineRule="auto"/>
        <w:ind w:left="735" w:leftChars="200" w:hanging="315" w:hanging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3）《户用计量仪表数据传输技术条件》CJ/T188-2018</w:t>
      </w:r>
    </w:p>
    <w:p w14:paraId="6DED7339">
      <w:pPr>
        <w:pStyle w:val="138"/>
        <w:spacing w:line="360" w:lineRule="auto"/>
        <w:ind w:left="735" w:leftChars="200" w:hanging="315" w:hangingChars="15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4）</w:t>
      </w:r>
      <w:r>
        <w:rPr>
          <w:rFonts w:hint="eastAsia" w:ascii="宋体" w:hAnsi="宋体" w:eastAsia="宋体" w:cs="宋体"/>
          <w:color w:val="auto"/>
          <w:sz w:val="21"/>
          <w:szCs w:val="21"/>
          <w:highlight w:val="none"/>
        </w:rPr>
        <w:t>《超声波水表》CJ/T343-2013</w:t>
      </w:r>
    </w:p>
    <w:p w14:paraId="4E590D91">
      <w:pPr>
        <w:pStyle w:val="138"/>
        <w:spacing w:line="360" w:lineRule="auto"/>
        <w:ind w:left="735" w:leftChars="200" w:hanging="315" w:hangingChars="1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）《外壳防护等级</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IP代码</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》GB</w:t>
      </w:r>
      <w:r>
        <w:rPr>
          <w:rFonts w:hint="eastAsia" w:ascii="宋体" w:hAnsi="宋体" w:eastAsia="宋体" w:cs="宋体"/>
          <w:color w:val="auto"/>
          <w:sz w:val="21"/>
          <w:szCs w:val="21"/>
          <w:highlight w:val="none"/>
          <w:lang w:val="en-US" w:eastAsia="zh-CN"/>
        </w:rPr>
        <w:t>/T</w:t>
      </w:r>
      <w:r>
        <w:rPr>
          <w:rFonts w:hint="eastAsia" w:ascii="宋体" w:hAnsi="宋体" w:eastAsia="宋体" w:cs="宋体"/>
          <w:color w:val="auto"/>
          <w:sz w:val="21"/>
          <w:szCs w:val="21"/>
          <w:highlight w:val="none"/>
        </w:rPr>
        <w:t>4208-20</w:t>
      </w:r>
      <w:r>
        <w:rPr>
          <w:rFonts w:hint="eastAsia" w:ascii="宋体" w:hAnsi="宋体" w:eastAsia="宋体" w:cs="宋体"/>
          <w:color w:val="auto"/>
          <w:sz w:val="21"/>
          <w:szCs w:val="21"/>
          <w:highlight w:val="none"/>
          <w:lang w:val="en-US" w:eastAsia="zh-CN"/>
        </w:rPr>
        <w:t>17</w:t>
      </w:r>
    </w:p>
    <w:p w14:paraId="66AC9ED2">
      <w:pPr>
        <w:pStyle w:val="138"/>
        <w:spacing w:line="360" w:lineRule="auto"/>
        <w:ind w:left="735" w:leftChars="200" w:hanging="315" w:hangingChars="15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《电子远传水表》CJ/T224-2012</w:t>
      </w:r>
    </w:p>
    <w:p w14:paraId="30EA1499">
      <w:pPr>
        <w:pStyle w:val="138"/>
        <w:spacing w:line="360" w:lineRule="auto"/>
        <w:ind w:left="735" w:leftChars="200" w:hanging="315" w:hanging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）《民用建筑远传抄表系统》JG/T162-2017</w:t>
      </w:r>
    </w:p>
    <w:p w14:paraId="5B3F8D77">
      <w:pPr>
        <w:pStyle w:val="138"/>
        <w:spacing w:line="360" w:lineRule="auto"/>
        <w:ind w:left="735" w:leftChars="200" w:hanging="315" w:hanging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）《饮用水冷水水表安全规则》CJ266-2008</w:t>
      </w:r>
    </w:p>
    <w:p w14:paraId="0AB27BA9">
      <w:pPr>
        <w:numPr>
          <w:ilvl w:val="0"/>
          <w:numId w:val="14"/>
        </w:numPr>
        <w:adjustRightInd w:val="0"/>
        <w:spacing w:line="400" w:lineRule="exact"/>
        <w:ind w:left="384" w:hanging="38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水表要求：</w:t>
      </w:r>
    </w:p>
    <w:p w14:paraId="75A8488A">
      <w:pPr>
        <w:numPr>
          <w:ilvl w:val="-1"/>
          <w:numId w:val="0"/>
        </w:numPr>
        <w:adjustRightInd w:val="0"/>
        <w:spacing w:line="400" w:lineRule="exact"/>
        <w:ind w:left="0" w:firstLine="0"/>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2.1 基表</w:t>
      </w:r>
    </w:p>
    <w:p w14:paraId="074E2B22">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流量技术参数、参考尺寸及连接方式</w:t>
      </w:r>
    </w:p>
    <w:tbl>
      <w:tblPr>
        <w:tblStyle w:val="31"/>
        <w:tblW w:w="4993" w:type="pct"/>
        <w:jc w:val="center"/>
        <w:tblLayout w:type="autofit"/>
        <w:tblCellMar>
          <w:top w:w="0" w:type="dxa"/>
          <w:left w:w="0" w:type="dxa"/>
          <w:bottom w:w="0" w:type="dxa"/>
          <w:right w:w="0" w:type="dxa"/>
        </w:tblCellMar>
      </w:tblPr>
      <w:tblGrid>
        <w:gridCol w:w="2253"/>
        <w:gridCol w:w="2292"/>
        <w:gridCol w:w="2264"/>
        <w:gridCol w:w="2268"/>
      </w:tblGrid>
      <w:tr w14:paraId="053B9218">
        <w:trPr>
          <w:trHeight w:val="163" w:hRule="atLeast"/>
          <w:jc w:val="center"/>
        </w:trPr>
        <w:tc>
          <w:tcPr>
            <w:tcW w:w="1241"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09C8DB8">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口径</w:t>
            </w:r>
          </w:p>
        </w:tc>
        <w:tc>
          <w:tcPr>
            <w:tcW w:w="1262"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3012646">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Q3(m3/h)</w:t>
            </w:r>
          </w:p>
        </w:tc>
        <w:tc>
          <w:tcPr>
            <w:tcW w:w="1247"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77AC93A">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Q3/Q1</w:t>
            </w:r>
          </w:p>
        </w:tc>
        <w:tc>
          <w:tcPr>
            <w:tcW w:w="124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2438569">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Q2/Q1</w:t>
            </w:r>
          </w:p>
        </w:tc>
      </w:tr>
      <w:tr w14:paraId="60AD4827">
        <w:tblPrEx>
          <w:tblCellMar>
            <w:top w:w="0" w:type="dxa"/>
            <w:left w:w="0" w:type="dxa"/>
            <w:bottom w:w="0" w:type="dxa"/>
            <w:right w:w="0" w:type="dxa"/>
          </w:tblCellMar>
        </w:tblPrEx>
        <w:trPr>
          <w:trHeight w:val="163" w:hRule="atLeast"/>
          <w:jc w:val="center"/>
        </w:trPr>
        <w:tc>
          <w:tcPr>
            <w:tcW w:w="1241"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267830C">
            <w:pPr>
              <w:widowControl/>
              <w:adjustRightIn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DN</w:t>
            </w:r>
            <w:r>
              <w:rPr>
                <w:rFonts w:hint="eastAsia" w:ascii="宋体" w:hAnsi="宋体" w:eastAsia="宋体" w:cs="宋体"/>
                <w:color w:val="auto"/>
                <w:kern w:val="0"/>
                <w:sz w:val="21"/>
                <w:szCs w:val="21"/>
                <w:highlight w:val="none"/>
                <w:lang w:val="en-US" w:eastAsia="zh-CN"/>
              </w:rPr>
              <w:t>15</w:t>
            </w:r>
          </w:p>
        </w:tc>
        <w:tc>
          <w:tcPr>
            <w:tcW w:w="1262"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A4B57D0">
            <w:pPr>
              <w:widowControl/>
              <w:adjustRightIn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2.5</w:t>
            </w:r>
          </w:p>
        </w:tc>
        <w:tc>
          <w:tcPr>
            <w:tcW w:w="1247"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27B0B27">
            <w:pPr>
              <w:widowControl/>
              <w:adjustRightIn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25</w:t>
            </w:r>
            <w:r>
              <w:rPr>
                <w:rFonts w:hint="eastAsia" w:ascii="宋体" w:hAnsi="宋体" w:eastAsia="宋体" w:cs="宋体"/>
                <w:color w:val="auto"/>
                <w:kern w:val="0"/>
                <w:sz w:val="21"/>
                <w:szCs w:val="21"/>
                <w:highlight w:val="none"/>
              </w:rPr>
              <w:t>0</w:t>
            </w:r>
          </w:p>
        </w:tc>
        <w:tc>
          <w:tcPr>
            <w:tcW w:w="1249" w:type="pc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419C233">
            <w:pPr>
              <w:widowControl/>
              <w:adjustRightIn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1.6</w:t>
            </w:r>
          </w:p>
        </w:tc>
      </w:tr>
    </w:tbl>
    <w:p w14:paraId="34A92902">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注：上表为水表的参考流量数据等。</w:t>
      </w:r>
    </w:p>
    <w:tbl>
      <w:tblPr>
        <w:tblStyle w:val="31"/>
        <w:tblW w:w="4999" w:type="pct"/>
        <w:tblInd w:w="0" w:type="dxa"/>
        <w:tblLayout w:type="autofit"/>
        <w:tblCellMar>
          <w:top w:w="0" w:type="dxa"/>
          <w:left w:w="108" w:type="dxa"/>
          <w:bottom w:w="0" w:type="dxa"/>
          <w:right w:w="108" w:type="dxa"/>
        </w:tblCellMar>
      </w:tblPr>
      <w:tblGrid>
        <w:gridCol w:w="1816"/>
        <w:gridCol w:w="1818"/>
        <w:gridCol w:w="1818"/>
        <w:gridCol w:w="1818"/>
        <w:gridCol w:w="1818"/>
      </w:tblGrid>
      <w:tr w14:paraId="564A02EA">
        <w:tblPrEx>
          <w:tblCellMar>
            <w:top w:w="0" w:type="dxa"/>
            <w:left w:w="108" w:type="dxa"/>
            <w:bottom w:w="0" w:type="dxa"/>
            <w:right w:w="108" w:type="dxa"/>
          </w:tblCellMar>
        </w:tblPrEx>
        <w:trPr>
          <w:trHeight w:val="270" w:hRule="atLeast"/>
        </w:trPr>
        <w:tc>
          <w:tcPr>
            <w:tcW w:w="999" w:type="pct"/>
            <w:tcBorders>
              <w:top w:val="single" w:color="000000" w:sz="4" w:space="0"/>
              <w:left w:val="single" w:color="000000" w:sz="4" w:space="0"/>
              <w:bottom w:val="single" w:color="000000" w:sz="4" w:space="0"/>
              <w:right w:val="single" w:color="000000" w:sz="4" w:space="0"/>
            </w:tcBorders>
            <w:noWrap w:val="0"/>
            <w:vAlign w:val="center"/>
          </w:tcPr>
          <w:p w14:paraId="426432B4">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口径DN</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28C60988">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长</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346F119E">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宽</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0BF3FD7F">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高</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4EE47D49">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连接</w:t>
            </w:r>
          </w:p>
        </w:tc>
      </w:tr>
      <w:tr w14:paraId="608BA39C">
        <w:tblPrEx>
          <w:tblCellMar>
            <w:top w:w="0" w:type="dxa"/>
            <w:left w:w="108" w:type="dxa"/>
            <w:bottom w:w="0" w:type="dxa"/>
            <w:right w:w="108" w:type="dxa"/>
          </w:tblCellMar>
        </w:tblPrEx>
        <w:trPr>
          <w:trHeight w:val="270" w:hRule="atLeast"/>
        </w:trPr>
        <w:tc>
          <w:tcPr>
            <w:tcW w:w="999" w:type="pct"/>
            <w:tcBorders>
              <w:top w:val="single" w:color="000000" w:sz="4" w:space="0"/>
              <w:left w:val="single" w:color="000000" w:sz="4" w:space="0"/>
              <w:bottom w:val="single" w:color="000000" w:sz="4" w:space="0"/>
              <w:right w:val="single" w:color="000000" w:sz="4" w:space="0"/>
            </w:tcBorders>
            <w:noWrap w:val="0"/>
            <w:vAlign w:val="center"/>
          </w:tcPr>
          <w:p w14:paraId="209C6D82">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mm</w:t>
            </w:r>
          </w:p>
        </w:tc>
        <w:tc>
          <w:tcPr>
            <w:tcW w:w="3000" w:type="pct"/>
            <w:gridSpan w:val="3"/>
            <w:tcBorders>
              <w:top w:val="single" w:color="000000" w:sz="4" w:space="0"/>
              <w:left w:val="single" w:color="000000" w:sz="4" w:space="0"/>
              <w:bottom w:val="single" w:color="000000" w:sz="4" w:space="0"/>
              <w:right w:val="single" w:color="000000" w:sz="4" w:space="0"/>
            </w:tcBorders>
            <w:noWrap w:val="0"/>
            <w:vAlign w:val="center"/>
          </w:tcPr>
          <w:p w14:paraId="5C5B27E0">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mm</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152AA80C">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螺纹</w:t>
            </w:r>
          </w:p>
        </w:tc>
      </w:tr>
      <w:tr w14:paraId="37C9CF29">
        <w:tblPrEx>
          <w:tblCellMar>
            <w:top w:w="0" w:type="dxa"/>
            <w:left w:w="108" w:type="dxa"/>
            <w:bottom w:w="0" w:type="dxa"/>
            <w:right w:w="108" w:type="dxa"/>
          </w:tblCellMar>
        </w:tblPrEx>
        <w:trPr>
          <w:trHeight w:val="270" w:hRule="atLeast"/>
        </w:trPr>
        <w:tc>
          <w:tcPr>
            <w:tcW w:w="999" w:type="pct"/>
            <w:tcBorders>
              <w:top w:val="single" w:color="000000" w:sz="4" w:space="0"/>
              <w:left w:val="single" w:color="000000" w:sz="4" w:space="0"/>
              <w:bottom w:val="single" w:color="000000" w:sz="4" w:space="0"/>
              <w:right w:val="single" w:color="000000" w:sz="4" w:space="0"/>
            </w:tcBorders>
            <w:noWrap w:val="0"/>
            <w:vAlign w:val="center"/>
          </w:tcPr>
          <w:p w14:paraId="69578306">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15</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4F40054F">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165</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63D772AC">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100</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2AD6D545">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150</w:t>
            </w:r>
          </w:p>
        </w:tc>
        <w:tc>
          <w:tcPr>
            <w:tcW w:w="1000" w:type="pct"/>
            <w:tcBorders>
              <w:top w:val="single" w:color="000000" w:sz="4" w:space="0"/>
              <w:left w:val="single" w:color="000000" w:sz="4" w:space="0"/>
              <w:bottom w:val="single" w:color="000000" w:sz="4" w:space="0"/>
              <w:right w:val="single" w:color="000000" w:sz="4" w:space="0"/>
            </w:tcBorders>
            <w:noWrap w:val="0"/>
            <w:vAlign w:val="center"/>
          </w:tcPr>
          <w:p w14:paraId="27F94B55">
            <w:pPr>
              <w:widowControl/>
              <w:adjustRightInd w:val="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G3/4</w:t>
            </w:r>
          </w:p>
        </w:tc>
      </w:tr>
    </w:tbl>
    <w:p w14:paraId="352CBCE7">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注：上表为水表的参考尺寸、连接方式。</w:t>
      </w:r>
    </w:p>
    <w:p w14:paraId="40051BE4">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kern w:val="0"/>
          <w:sz w:val="21"/>
          <w:szCs w:val="21"/>
          <w:highlight w:val="none"/>
        </w:rPr>
        <w:t>测量方式：超声波计量；</w:t>
      </w:r>
      <w:r>
        <w:rPr>
          <w:rFonts w:hint="eastAsia" w:ascii="宋体" w:hAnsi="宋体" w:eastAsia="宋体" w:cs="宋体"/>
          <w:color w:val="auto"/>
          <w:kern w:val="0"/>
          <w:sz w:val="21"/>
          <w:szCs w:val="21"/>
          <w:highlight w:val="none"/>
          <w:lang w:val="en-US" w:eastAsia="zh-CN"/>
        </w:rPr>
        <w:t>采用单声道测量。</w:t>
      </w:r>
      <w:r>
        <w:rPr>
          <w:rFonts w:hint="eastAsia" w:ascii="宋体" w:hAnsi="宋体" w:eastAsia="宋体" w:cs="宋体"/>
          <w:color w:val="auto"/>
          <w:kern w:val="0"/>
          <w:sz w:val="21"/>
          <w:szCs w:val="21"/>
          <w:highlight w:val="none"/>
        </w:rPr>
        <w:cr/>
      </w:r>
      <w:r>
        <w:rPr>
          <w:rFonts w:hint="eastAsia" w:ascii="宋体" w:hAnsi="宋体" w:eastAsia="宋体" w:cs="宋体"/>
          <w:color w:val="auto"/>
          <w:kern w:val="0"/>
          <w:sz w:val="21"/>
          <w:szCs w:val="21"/>
          <w:highlight w:val="none"/>
          <w:lang w:eastAsia="zh-CN"/>
        </w:rPr>
        <w:t>（3）</w:t>
      </w:r>
      <w:r>
        <w:rPr>
          <w:rFonts w:hint="eastAsia" w:ascii="宋体" w:hAnsi="宋体" w:eastAsia="宋体" w:cs="宋体"/>
          <w:color w:val="auto"/>
          <w:kern w:val="0"/>
          <w:sz w:val="21"/>
          <w:szCs w:val="21"/>
          <w:highlight w:val="none"/>
        </w:rPr>
        <w:t>超声水表</w:t>
      </w:r>
      <w:r>
        <w:rPr>
          <w:rFonts w:hint="eastAsia" w:ascii="宋体" w:hAnsi="宋体" w:eastAsia="宋体" w:cs="宋体"/>
          <w:color w:val="auto"/>
          <w:kern w:val="0"/>
          <w:sz w:val="21"/>
          <w:szCs w:val="21"/>
          <w:highlight w:val="none"/>
          <w:lang w:val="en-US" w:eastAsia="zh-CN"/>
        </w:rPr>
        <w:t>管段</w:t>
      </w:r>
      <w:r>
        <w:rPr>
          <w:rFonts w:hint="eastAsia" w:ascii="宋体" w:hAnsi="宋体" w:eastAsia="宋体" w:cs="宋体"/>
          <w:color w:val="auto"/>
          <w:kern w:val="0"/>
          <w:sz w:val="21"/>
          <w:szCs w:val="21"/>
          <w:highlight w:val="none"/>
        </w:rPr>
        <w:t>材质为</w:t>
      </w:r>
      <w:r>
        <w:rPr>
          <w:rFonts w:hint="eastAsia" w:ascii="宋体" w:hAnsi="宋体" w:eastAsia="宋体" w:cs="宋体"/>
          <w:color w:val="auto"/>
          <w:kern w:val="0"/>
          <w:sz w:val="21"/>
          <w:szCs w:val="21"/>
          <w:highlight w:val="none"/>
          <w:lang w:val="en-US" w:eastAsia="zh-CN"/>
        </w:rPr>
        <w:t>HPb59-1铜。</w:t>
      </w:r>
      <w:r>
        <w:rPr>
          <w:rFonts w:hint="eastAsia" w:ascii="宋体" w:hAnsi="宋体" w:eastAsia="宋体" w:cs="宋体"/>
          <w:color w:val="auto"/>
          <w:kern w:val="0"/>
          <w:sz w:val="21"/>
          <w:szCs w:val="21"/>
          <w:highlight w:val="none"/>
        </w:rPr>
        <w:cr/>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kern w:val="0"/>
          <w:sz w:val="21"/>
          <w:szCs w:val="21"/>
          <w:highlight w:val="none"/>
        </w:rPr>
        <w:t>准确度等级</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2级；</w:t>
      </w:r>
      <w:r>
        <w:rPr>
          <w:rFonts w:hint="eastAsia" w:ascii="宋体" w:hAnsi="宋体" w:eastAsia="宋体" w:cs="宋体"/>
          <w:color w:val="auto"/>
          <w:kern w:val="0"/>
          <w:sz w:val="21"/>
          <w:szCs w:val="21"/>
          <w:highlight w:val="none"/>
        </w:rPr>
        <w:cr/>
      </w:r>
      <w:r>
        <w:rPr>
          <w:rFonts w:hint="eastAsia" w:ascii="宋体" w:hAnsi="宋体" w:eastAsia="宋体" w:cs="宋体"/>
          <w:color w:val="auto"/>
          <w:kern w:val="0"/>
          <w:sz w:val="21"/>
          <w:szCs w:val="21"/>
          <w:highlight w:val="none"/>
          <w:lang w:eastAsia="zh-CN"/>
        </w:rPr>
        <w:t>（5）</w:t>
      </w:r>
      <w:r>
        <w:rPr>
          <w:rFonts w:hint="eastAsia" w:ascii="宋体" w:hAnsi="宋体" w:eastAsia="宋体" w:cs="宋体"/>
          <w:color w:val="auto"/>
          <w:kern w:val="0"/>
          <w:sz w:val="21"/>
          <w:szCs w:val="21"/>
          <w:highlight w:val="none"/>
        </w:rPr>
        <w:t>最大允许工作压力</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1.6MPa，压力损失等级优于或等于△P</w:t>
      </w:r>
      <w:r>
        <w:rPr>
          <w:rFonts w:hint="eastAsia" w:ascii="宋体" w:hAnsi="宋体" w:eastAsia="宋体" w:cs="宋体"/>
          <w:color w:val="auto"/>
          <w:kern w:val="0"/>
          <w:sz w:val="21"/>
          <w:szCs w:val="21"/>
          <w:highlight w:val="none"/>
          <w:lang w:val="en-US" w:eastAsia="zh-CN"/>
        </w:rPr>
        <w:t>25</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rPr>
        <w:cr/>
      </w:r>
      <w:r>
        <w:rPr>
          <w:rFonts w:hint="eastAsia" w:ascii="宋体" w:hAnsi="宋体" w:eastAsia="宋体" w:cs="宋体"/>
          <w:color w:val="auto"/>
          <w:kern w:val="0"/>
          <w:sz w:val="21"/>
          <w:szCs w:val="21"/>
          <w:highlight w:val="none"/>
          <w:lang w:eastAsia="zh-CN"/>
        </w:rPr>
        <w:t>（6）</w:t>
      </w:r>
      <w:r>
        <w:rPr>
          <w:rFonts w:hint="eastAsia" w:ascii="宋体" w:hAnsi="宋体" w:eastAsia="宋体" w:cs="宋体"/>
          <w:color w:val="auto"/>
          <w:kern w:val="0"/>
          <w:sz w:val="21"/>
          <w:szCs w:val="21"/>
          <w:highlight w:val="none"/>
        </w:rPr>
        <w:t>防护等级：IP68；</w:t>
      </w:r>
      <w:r>
        <w:rPr>
          <w:rFonts w:hint="eastAsia" w:ascii="宋体" w:hAnsi="宋体" w:eastAsia="宋体" w:cs="宋体"/>
          <w:color w:val="auto"/>
          <w:kern w:val="0"/>
          <w:sz w:val="21"/>
          <w:szCs w:val="21"/>
          <w:highlight w:val="none"/>
        </w:rPr>
        <w:cr/>
      </w:r>
      <w:r>
        <w:rPr>
          <w:rFonts w:hint="eastAsia" w:ascii="宋体" w:hAnsi="宋体" w:eastAsia="宋体" w:cs="宋体"/>
          <w:color w:val="auto"/>
          <w:kern w:val="0"/>
          <w:sz w:val="21"/>
          <w:szCs w:val="21"/>
          <w:highlight w:val="none"/>
          <w:lang w:eastAsia="zh-CN"/>
        </w:rPr>
        <w:t>（7）</w:t>
      </w:r>
      <w:r>
        <w:rPr>
          <w:rFonts w:hint="eastAsia" w:ascii="宋体" w:hAnsi="宋体" w:eastAsia="宋体" w:cs="宋体"/>
          <w:color w:val="auto"/>
          <w:kern w:val="0"/>
          <w:sz w:val="21"/>
          <w:szCs w:val="21"/>
          <w:highlight w:val="none"/>
        </w:rPr>
        <w:t>显示内容</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累积流量（</w:t>
      </w:r>
      <w:r>
        <w:rPr>
          <w:rFonts w:hint="eastAsia" w:ascii="宋体" w:hAnsi="宋体" w:eastAsia="宋体" w:cs="宋体"/>
          <w:color w:val="auto"/>
          <w:kern w:val="0"/>
          <w:sz w:val="21"/>
          <w:szCs w:val="21"/>
          <w:highlight w:val="none"/>
          <w:lang w:val="en-US" w:eastAsia="zh-CN"/>
        </w:rPr>
        <w:t>m³</w:t>
      </w:r>
      <w:r>
        <w:rPr>
          <w:rFonts w:hint="eastAsia" w:ascii="宋体" w:hAnsi="宋体" w:eastAsia="宋体" w:cs="宋体"/>
          <w:color w:val="auto"/>
          <w:kern w:val="0"/>
          <w:sz w:val="21"/>
          <w:szCs w:val="21"/>
          <w:highlight w:val="none"/>
        </w:rPr>
        <w:t>）、瞬时流量（</w:t>
      </w:r>
      <w:r>
        <w:rPr>
          <w:rFonts w:hint="eastAsia" w:ascii="宋体" w:hAnsi="宋体" w:eastAsia="宋体" w:cs="宋体"/>
          <w:color w:val="auto"/>
          <w:kern w:val="0"/>
          <w:sz w:val="21"/>
          <w:szCs w:val="21"/>
          <w:highlight w:val="none"/>
          <w:lang w:val="en-US" w:eastAsia="zh-CN"/>
        </w:rPr>
        <w:t>m³</w:t>
      </w:r>
      <w:r>
        <w:rPr>
          <w:rFonts w:hint="eastAsia" w:ascii="宋体" w:hAnsi="宋体" w:eastAsia="宋体" w:cs="宋体"/>
          <w:color w:val="auto"/>
          <w:kern w:val="0"/>
          <w:sz w:val="21"/>
          <w:szCs w:val="21"/>
          <w:highlight w:val="none"/>
        </w:rPr>
        <w:t>/h）、累积有效运行时间（h）、日期（年/月/日）、时钟（时/分/秒）；</w:t>
      </w:r>
      <w:r>
        <w:rPr>
          <w:rFonts w:hint="eastAsia" w:ascii="宋体" w:hAnsi="宋体" w:eastAsia="宋体" w:cs="宋体"/>
          <w:color w:val="auto"/>
          <w:kern w:val="0"/>
          <w:sz w:val="21"/>
          <w:szCs w:val="21"/>
          <w:highlight w:val="none"/>
        </w:rPr>
        <w:cr/>
      </w:r>
      <w:r>
        <w:rPr>
          <w:rFonts w:hint="eastAsia" w:ascii="宋体" w:hAnsi="宋体" w:eastAsia="宋体" w:cs="宋体"/>
          <w:color w:val="auto"/>
          <w:kern w:val="0"/>
          <w:sz w:val="21"/>
          <w:szCs w:val="21"/>
          <w:highlight w:val="none"/>
          <w:lang w:eastAsia="zh-CN"/>
        </w:rPr>
        <w:t>（8）</w:t>
      </w:r>
      <w:r>
        <w:rPr>
          <w:rFonts w:hint="eastAsia" w:ascii="宋体" w:hAnsi="宋体" w:eastAsia="宋体" w:cs="宋体"/>
          <w:color w:val="auto"/>
          <w:kern w:val="0"/>
          <w:sz w:val="21"/>
          <w:szCs w:val="21"/>
          <w:highlight w:val="none"/>
        </w:rPr>
        <w:t>累积流量显示分辨力</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累积流量0.001</w:t>
      </w:r>
      <w:r>
        <w:rPr>
          <w:rFonts w:hint="eastAsia" w:ascii="宋体" w:hAnsi="宋体" w:eastAsia="宋体" w:cs="宋体"/>
          <w:color w:val="auto"/>
          <w:kern w:val="0"/>
          <w:sz w:val="21"/>
          <w:szCs w:val="21"/>
          <w:highlight w:val="none"/>
          <w:lang w:val="en-US" w:eastAsia="zh-CN"/>
        </w:rPr>
        <w:t>m³</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rPr>
        <w:cr/>
      </w:r>
      <w:r>
        <w:rPr>
          <w:rFonts w:hint="eastAsia" w:ascii="宋体" w:hAnsi="宋体" w:eastAsia="宋体" w:cs="宋体"/>
          <w:color w:val="auto"/>
          <w:kern w:val="0"/>
          <w:sz w:val="21"/>
          <w:szCs w:val="21"/>
          <w:highlight w:val="none"/>
          <w:lang w:eastAsia="zh-CN"/>
        </w:rPr>
        <w:t>（9）</w:t>
      </w:r>
      <w:r>
        <w:rPr>
          <w:rFonts w:hint="eastAsia" w:ascii="宋体" w:hAnsi="宋体" w:eastAsia="宋体" w:cs="宋体"/>
          <w:color w:val="auto"/>
          <w:kern w:val="0"/>
          <w:sz w:val="21"/>
          <w:szCs w:val="21"/>
          <w:highlight w:val="none"/>
        </w:rPr>
        <w:t>显示范围</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累积流量：0</w:t>
      </w:r>
      <w:r>
        <w:rPr>
          <w:rFonts w:hint="eastAsia" w:ascii="宋体" w:hAnsi="宋体" w:eastAsia="宋体" w:cs="宋体"/>
          <w:color w:val="auto"/>
          <w:kern w:val="0"/>
          <w:sz w:val="21"/>
          <w:szCs w:val="21"/>
          <w:highlight w:val="none"/>
          <w:lang w:val="en-US" w:eastAsia="zh-CN"/>
        </w:rPr>
        <w:t>m³</w:t>
      </w:r>
      <w:r>
        <w:rPr>
          <w:rFonts w:hint="eastAsia" w:ascii="宋体" w:hAnsi="宋体" w:eastAsia="宋体" w:cs="宋体"/>
          <w:color w:val="auto"/>
          <w:kern w:val="0"/>
          <w:sz w:val="21"/>
          <w:szCs w:val="21"/>
          <w:highlight w:val="none"/>
        </w:rPr>
        <w:t>—999999.999</w:t>
      </w:r>
      <w:r>
        <w:rPr>
          <w:rFonts w:hint="eastAsia" w:ascii="宋体" w:hAnsi="宋体" w:eastAsia="宋体" w:cs="宋体"/>
          <w:color w:val="auto"/>
          <w:kern w:val="0"/>
          <w:sz w:val="21"/>
          <w:szCs w:val="21"/>
          <w:highlight w:val="none"/>
          <w:lang w:val="en-US" w:eastAsia="zh-CN"/>
        </w:rPr>
        <w:t>m³</w:t>
      </w:r>
      <w:r>
        <w:rPr>
          <w:rFonts w:hint="eastAsia" w:ascii="宋体" w:hAnsi="宋体" w:eastAsia="宋体" w:cs="宋体"/>
          <w:color w:val="auto"/>
          <w:kern w:val="0"/>
          <w:sz w:val="21"/>
          <w:szCs w:val="21"/>
          <w:highlight w:val="none"/>
        </w:rPr>
        <w:t>；</w:t>
      </w:r>
    </w:p>
    <w:p w14:paraId="0C39A00C">
      <w:pPr>
        <w:widowControl/>
        <w:adjustRightInd w:val="0"/>
        <w:spacing w:line="360"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lang w:eastAsia="zh-CN"/>
        </w:rPr>
        <w:t>（10）</w:t>
      </w:r>
      <w:r>
        <w:rPr>
          <w:rFonts w:hint="eastAsia" w:ascii="宋体" w:hAnsi="宋体" w:eastAsia="宋体" w:cs="宋体"/>
          <w:color w:val="auto"/>
          <w:kern w:val="0"/>
          <w:sz w:val="21"/>
          <w:szCs w:val="21"/>
          <w:highlight w:val="none"/>
        </w:rPr>
        <w:t>具有水温测量，显示分辨率为0.1℃；</w:t>
      </w:r>
      <w:r>
        <w:rPr>
          <w:rFonts w:hint="eastAsia" w:ascii="宋体" w:hAnsi="宋体" w:eastAsia="宋体" w:cs="宋体"/>
          <w:color w:val="auto"/>
          <w:kern w:val="0"/>
          <w:sz w:val="21"/>
          <w:szCs w:val="21"/>
          <w:highlight w:val="none"/>
          <w:lang w:val="en-US" w:eastAsia="zh-CN"/>
        </w:rPr>
        <w:t>内置压力传感器，具有压力传感功能，精度达到±1%。</w:t>
      </w:r>
    </w:p>
    <w:p w14:paraId="0AE7D4EC">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（11）</w:t>
      </w:r>
      <w:r>
        <w:rPr>
          <w:rFonts w:hint="eastAsia" w:ascii="宋体" w:hAnsi="宋体" w:eastAsia="宋体" w:cs="宋体"/>
          <w:color w:val="auto"/>
          <w:kern w:val="0"/>
          <w:sz w:val="21"/>
          <w:szCs w:val="21"/>
          <w:highlight w:val="none"/>
        </w:rPr>
        <w:t>红外脉冲输出，输出频率可设置；</w:t>
      </w:r>
    </w:p>
    <w:p w14:paraId="027F18DB">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（12）</w:t>
      </w:r>
      <w:r>
        <w:rPr>
          <w:rFonts w:hint="eastAsia" w:ascii="宋体" w:hAnsi="宋体" w:eastAsia="宋体" w:cs="宋体"/>
          <w:color w:val="auto"/>
          <w:kern w:val="0"/>
          <w:sz w:val="21"/>
          <w:szCs w:val="21"/>
          <w:highlight w:val="none"/>
        </w:rPr>
        <w:t>数据通讯</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通讯具有光学接口（如红外）；</w:t>
      </w:r>
      <w:r>
        <w:rPr>
          <w:rFonts w:hint="eastAsia" w:ascii="宋体" w:hAnsi="宋体" w:eastAsia="宋体" w:cs="宋体"/>
          <w:color w:val="auto"/>
          <w:kern w:val="0"/>
          <w:sz w:val="21"/>
          <w:szCs w:val="21"/>
          <w:highlight w:val="none"/>
        </w:rPr>
        <w:cr/>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kern w:val="0"/>
          <w:sz w:val="21"/>
          <w:szCs w:val="21"/>
          <w:highlight w:val="none"/>
        </w:rPr>
        <w:t>工作环境</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-25℃—+55℃；</w:t>
      </w:r>
      <w:r>
        <w:rPr>
          <w:rFonts w:hint="eastAsia" w:ascii="宋体" w:hAnsi="宋体" w:eastAsia="宋体" w:cs="宋体"/>
          <w:color w:val="auto"/>
          <w:kern w:val="0"/>
          <w:sz w:val="21"/>
          <w:szCs w:val="21"/>
          <w:highlight w:val="none"/>
        </w:rPr>
        <w:cr/>
      </w:r>
      <w:r>
        <w:rPr>
          <w:rFonts w:hint="eastAsia" w:ascii="宋体" w:hAnsi="宋体" w:eastAsia="宋体" w:cs="宋体"/>
          <w:color w:val="auto"/>
          <w:kern w:val="0"/>
          <w:sz w:val="21"/>
          <w:szCs w:val="21"/>
          <w:highlight w:val="none"/>
          <w:lang w:eastAsia="zh-CN"/>
        </w:rPr>
        <w:t>（14）</w:t>
      </w:r>
      <w:r>
        <w:rPr>
          <w:rFonts w:hint="eastAsia" w:ascii="宋体" w:hAnsi="宋体" w:eastAsia="宋体" w:cs="宋体"/>
          <w:color w:val="auto"/>
          <w:kern w:val="0"/>
          <w:sz w:val="21"/>
          <w:szCs w:val="21"/>
          <w:highlight w:val="none"/>
        </w:rPr>
        <w:t>数据存储：断电后数据可保存20年以上，可自动存储最近24个月的数据；</w:t>
      </w:r>
      <w:r>
        <w:rPr>
          <w:rFonts w:hint="eastAsia" w:ascii="宋体" w:hAnsi="宋体" w:eastAsia="宋体" w:cs="宋体"/>
          <w:color w:val="auto"/>
          <w:kern w:val="0"/>
          <w:sz w:val="21"/>
          <w:szCs w:val="21"/>
          <w:highlight w:val="none"/>
        </w:rPr>
        <w:cr/>
      </w:r>
      <w:r>
        <w:rPr>
          <w:rFonts w:hint="eastAsia" w:ascii="宋体" w:hAnsi="宋体" w:eastAsia="宋体" w:cs="宋体"/>
          <w:color w:val="auto"/>
          <w:kern w:val="0"/>
          <w:sz w:val="21"/>
          <w:szCs w:val="21"/>
          <w:highlight w:val="none"/>
          <w:lang w:eastAsia="zh-CN"/>
        </w:rPr>
        <w:t>（15）</w:t>
      </w:r>
      <w:r>
        <w:rPr>
          <w:rFonts w:hint="eastAsia" w:ascii="宋体" w:hAnsi="宋体" w:eastAsia="宋体" w:cs="宋体"/>
          <w:color w:val="auto"/>
          <w:kern w:val="0"/>
          <w:sz w:val="21"/>
          <w:szCs w:val="21"/>
          <w:highlight w:val="none"/>
        </w:rPr>
        <w:t>工作电源：电池供电DC3.6V</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电池可充电</w:t>
      </w:r>
      <w:r>
        <w:rPr>
          <w:rFonts w:hint="eastAsia" w:ascii="宋体" w:hAnsi="宋体" w:eastAsia="宋体" w:cs="宋体"/>
          <w:color w:val="auto"/>
          <w:kern w:val="0"/>
          <w:sz w:val="21"/>
          <w:szCs w:val="21"/>
          <w:highlight w:val="none"/>
        </w:rPr>
        <w:t>；</w:t>
      </w:r>
    </w:p>
    <w:p w14:paraId="72A651D5">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（16）</w:t>
      </w:r>
      <w:r>
        <w:rPr>
          <w:rFonts w:hint="eastAsia" w:ascii="宋体" w:hAnsi="宋体" w:eastAsia="宋体" w:cs="宋体"/>
          <w:color w:val="auto"/>
          <w:kern w:val="0"/>
          <w:sz w:val="21"/>
          <w:szCs w:val="21"/>
          <w:highlight w:val="none"/>
        </w:rPr>
        <w:t>温度等级：T</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0；</w:t>
      </w:r>
      <w:r>
        <w:rPr>
          <w:rFonts w:hint="eastAsia" w:ascii="宋体" w:hAnsi="宋体" w:eastAsia="宋体" w:cs="宋体"/>
          <w:color w:val="auto"/>
          <w:kern w:val="0"/>
          <w:sz w:val="21"/>
          <w:szCs w:val="21"/>
          <w:highlight w:val="none"/>
        </w:rPr>
        <w:cr/>
      </w:r>
      <w:r>
        <w:rPr>
          <w:rFonts w:hint="eastAsia" w:ascii="宋体" w:hAnsi="宋体" w:eastAsia="宋体" w:cs="宋体"/>
          <w:color w:val="auto"/>
          <w:kern w:val="0"/>
          <w:sz w:val="21"/>
          <w:szCs w:val="21"/>
          <w:highlight w:val="none"/>
          <w:lang w:eastAsia="zh-CN"/>
        </w:rPr>
        <w:t>（17）</w:t>
      </w:r>
      <w:r>
        <w:rPr>
          <w:rFonts w:hint="eastAsia" w:ascii="宋体" w:hAnsi="宋体" w:eastAsia="宋体" w:cs="宋体"/>
          <w:color w:val="auto"/>
          <w:kern w:val="0"/>
          <w:sz w:val="21"/>
          <w:szCs w:val="21"/>
          <w:highlight w:val="none"/>
        </w:rPr>
        <w:t>安装方式：螺纹连接；水表上、下游流场敏感度等级（直管段要求）</w:t>
      </w:r>
      <w:r>
        <w:rPr>
          <w:rFonts w:hint="eastAsia" w:ascii="宋体" w:hAnsi="宋体" w:eastAsia="宋体" w:cs="宋体"/>
          <w:color w:val="auto"/>
          <w:kern w:val="0"/>
          <w:sz w:val="21"/>
          <w:szCs w:val="21"/>
          <w:highlight w:val="none"/>
          <w:lang w:val="en-US" w:eastAsia="zh-CN"/>
        </w:rPr>
        <w:t>达到</w:t>
      </w:r>
      <w:r>
        <w:rPr>
          <w:rFonts w:hint="eastAsia" w:ascii="宋体" w:hAnsi="宋体" w:eastAsia="宋体" w:cs="宋体"/>
          <w:color w:val="auto"/>
          <w:kern w:val="0"/>
          <w:sz w:val="21"/>
          <w:szCs w:val="21"/>
          <w:highlight w:val="none"/>
        </w:rPr>
        <w:t>U</w:t>
      </w:r>
      <w:r>
        <w:rPr>
          <w:rFonts w:hint="eastAsia" w:ascii="宋体" w:hAnsi="宋体" w:eastAsia="宋体" w:cs="宋体"/>
          <w:color w:val="auto"/>
          <w:kern w:val="0"/>
          <w:sz w:val="21"/>
          <w:szCs w:val="21"/>
          <w:highlight w:val="none"/>
          <w:lang w:val="en-US" w:eastAsia="zh-CN"/>
        </w:rPr>
        <w:t>0</w:t>
      </w:r>
      <w:r>
        <w:rPr>
          <w:rFonts w:hint="eastAsia" w:ascii="宋体" w:hAnsi="宋体" w:eastAsia="宋体" w:cs="宋体"/>
          <w:color w:val="auto"/>
          <w:kern w:val="0"/>
          <w:sz w:val="21"/>
          <w:szCs w:val="21"/>
          <w:highlight w:val="none"/>
        </w:rPr>
        <w:t>、D</w:t>
      </w:r>
      <w:r>
        <w:rPr>
          <w:rFonts w:hint="eastAsia" w:ascii="宋体" w:hAnsi="宋体" w:eastAsia="宋体" w:cs="宋体"/>
          <w:color w:val="auto"/>
          <w:kern w:val="0"/>
          <w:sz w:val="21"/>
          <w:szCs w:val="21"/>
          <w:highlight w:val="none"/>
          <w:lang w:val="en-US" w:eastAsia="zh-CN"/>
        </w:rPr>
        <w:t>0</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rPr>
        <w:cr/>
      </w:r>
      <w:r>
        <w:rPr>
          <w:rFonts w:hint="eastAsia" w:ascii="宋体" w:hAnsi="宋体" w:eastAsia="宋体" w:cs="宋体"/>
          <w:color w:val="auto"/>
          <w:kern w:val="0"/>
          <w:sz w:val="21"/>
          <w:szCs w:val="21"/>
          <w:highlight w:val="none"/>
          <w:lang w:eastAsia="zh-CN"/>
        </w:rPr>
        <w:t>（18）</w:t>
      </w:r>
      <w:r>
        <w:rPr>
          <w:rFonts w:hint="eastAsia" w:ascii="宋体" w:hAnsi="宋体" w:eastAsia="宋体" w:cs="宋体"/>
          <w:color w:val="auto"/>
          <w:kern w:val="0"/>
          <w:sz w:val="21"/>
          <w:szCs w:val="21"/>
          <w:highlight w:val="none"/>
        </w:rPr>
        <w:t>环境等级：O级；</w:t>
      </w:r>
      <w:r>
        <w:rPr>
          <w:rFonts w:hint="eastAsia" w:ascii="宋体" w:hAnsi="宋体" w:eastAsia="宋体" w:cs="宋体"/>
          <w:color w:val="auto"/>
          <w:kern w:val="0"/>
          <w:sz w:val="21"/>
          <w:szCs w:val="21"/>
          <w:highlight w:val="none"/>
        </w:rPr>
        <w:cr/>
      </w:r>
      <w:r>
        <w:rPr>
          <w:rFonts w:hint="eastAsia" w:ascii="宋体" w:hAnsi="宋体" w:eastAsia="宋体" w:cs="宋体"/>
          <w:color w:val="auto"/>
          <w:kern w:val="0"/>
          <w:sz w:val="21"/>
          <w:szCs w:val="21"/>
          <w:highlight w:val="none"/>
          <w:lang w:eastAsia="zh-CN"/>
        </w:rPr>
        <w:t>（19）</w:t>
      </w:r>
      <w:r>
        <w:rPr>
          <w:rFonts w:hint="eastAsia" w:ascii="宋体" w:hAnsi="宋体" w:eastAsia="宋体" w:cs="宋体"/>
          <w:color w:val="auto"/>
          <w:kern w:val="0"/>
          <w:sz w:val="21"/>
          <w:szCs w:val="21"/>
          <w:highlight w:val="none"/>
        </w:rPr>
        <w:t>电磁环境等级：E2；</w:t>
      </w:r>
    </w:p>
    <w:p w14:paraId="02FE899E">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2.2</w:t>
      </w:r>
      <w:r>
        <w:rPr>
          <w:rFonts w:hint="eastAsia" w:ascii="宋体" w:hAnsi="宋体" w:eastAsia="宋体" w:cs="宋体"/>
          <w:color w:val="auto"/>
          <w:kern w:val="0"/>
          <w:sz w:val="21"/>
          <w:szCs w:val="21"/>
          <w:highlight w:val="none"/>
        </w:rPr>
        <w:t>.</w:t>
      </w:r>
      <w:r>
        <w:rPr>
          <w:rFonts w:hint="eastAsia" w:ascii="宋体" w:hAnsi="宋体" w:eastAsia="宋体" w:cs="宋体"/>
          <w:b/>
          <w:bCs/>
          <w:color w:val="auto"/>
          <w:kern w:val="0"/>
          <w:sz w:val="21"/>
          <w:szCs w:val="21"/>
          <w:highlight w:val="none"/>
        </w:rPr>
        <w:t>远传功能要求</w:t>
      </w:r>
    </w:p>
    <w:p w14:paraId="4FD78A61">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通讯费用：自安装验收合格之日起，中标供应商保证6年以上通讯费已支付。（提供承诺函，格式自拟）</w:t>
      </w:r>
    </w:p>
    <w:p w14:paraId="25B357AC">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（2）通讯服务</w:t>
      </w:r>
      <w:r>
        <w:rPr>
          <w:rFonts w:hint="eastAsia" w:ascii="宋体" w:hAnsi="宋体" w:eastAsia="宋体" w:cs="宋体"/>
          <w:color w:val="auto"/>
          <w:sz w:val="21"/>
          <w:szCs w:val="21"/>
          <w:highlight w:val="none"/>
        </w:rPr>
        <w:t>：提供属地化日常通信运维服务。</w:t>
      </w:r>
    </w:p>
    <w:p w14:paraId="2CDA2500">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供应商具备一定的物联协议开发能力，根据绍兴水务物联网平台标准物联协议格式，发送物联标准化数据。设备数据需按照绍兴水务标准物联感知协议格式接入物联网平台，不允许第三方平台中转，平台接入需提供完整接入点位清单及相关配置信息。设备正式投入使用后，数据不允许私自接入第三方平台（含水表厂商平台）。（提供承诺函，格式自拟）</w:t>
      </w:r>
    </w:p>
    <w:p w14:paraId="0C7E31B4">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补包功能：如发生本次数据上报不成功，则在下一个上报周期时数据自动补包，在数据有效保存期内的数据都可以补包（供应商应在投标文件中</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第三方检测报告）。</w:t>
      </w:r>
    </w:p>
    <w:p w14:paraId="440429C8">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数据上传成功率：≥99.9%（供应商应在投标文件中提供承诺书，格式自拟，承诺函中应包含对上传失败水表提供解决方案，承诺免费整改，直至正常上传；发生数据上传率不达标时，根据一个自然月内发生该类情况的水表总数，按如下约定支付违约金：上传失败水表数在水表总数的 0.1%及以内的无违约金，上传失败水表数在水表总数的 0.1%至 1%之间（含 1%）的每只水表支付 100 元，上传失败水表数</w:t>
      </w:r>
      <w:r>
        <w:rPr>
          <w:rFonts w:hint="eastAsia" w:ascii="宋体" w:hAnsi="宋体" w:eastAsia="宋体" w:cs="宋体"/>
          <w:color w:val="auto"/>
          <w:sz w:val="21"/>
          <w:szCs w:val="21"/>
          <w:highlight w:val="none"/>
          <w:lang w:eastAsia="zh-CN"/>
        </w:rPr>
        <w:t>在</w:t>
      </w:r>
      <w:r>
        <w:rPr>
          <w:rFonts w:hint="eastAsia" w:ascii="宋体" w:hAnsi="宋体" w:eastAsia="宋体" w:cs="宋体"/>
          <w:color w:val="auto"/>
          <w:sz w:val="21"/>
          <w:szCs w:val="21"/>
          <w:highlight w:val="none"/>
        </w:rPr>
        <w:t>水表总数的 1%以上的每只水表支付 200 元。）。</w:t>
      </w:r>
    </w:p>
    <w:p w14:paraId="008D4DE3">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抄读准确率：≥99.9%（供应商应在投标文件中提供承诺书，格式自拟，承诺函应包含因水表抄读错误对采购人产生损失和不良影响的情况，供应商需承诺承担错计水量的水费（含阶梯水费）；发生数据准确率不达标时，根据一个自然年内发生该类情况的水表总数，按如下约定支付违约金：错计水表在水表总数的0.1%及以内的无违约金，错计水表数量在水表总数的 0.1%至 1%之间（含 1%）的每只水表支付 100 元，错计水表数量在水表总数的 1%以上的每只水表支付 200元。）。</w:t>
      </w:r>
    </w:p>
    <w:p w14:paraId="6A2C0879">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年故障率≤1%（供应商应在投标文件中提供承诺书，格式自拟）。</w:t>
      </w:r>
    </w:p>
    <w:p w14:paraId="2FF74730">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数据上报：默认每日周期上报，</w:t>
      </w:r>
      <w:r>
        <w:rPr>
          <w:rFonts w:hint="eastAsia" w:ascii="宋体" w:hAnsi="宋体" w:eastAsia="宋体" w:cs="宋体"/>
          <w:color w:val="auto"/>
          <w:kern w:val="0"/>
          <w:sz w:val="21"/>
          <w:szCs w:val="21"/>
          <w:highlight w:val="none"/>
        </w:rPr>
        <w:t>上报前一天24小时数据，数据包含每30分钟记录一次的数据，共48个记录信息等</w:t>
      </w:r>
      <w:r>
        <w:rPr>
          <w:rFonts w:hint="eastAsia" w:ascii="宋体" w:hAnsi="宋体" w:eastAsia="宋体" w:cs="宋体"/>
          <w:color w:val="auto"/>
          <w:sz w:val="21"/>
          <w:szCs w:val="21"/>
          <w:highlight w:val="none"/>
        </w:rPr>
        <w:t>。</w:t>
      </w:r>
    </w:p>
    <w:p w14:paraId="611E5047">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数据上报消息：数据上报消息要求在一个完整的消息报文中上送，上报应用平台的水量数据分辨力应为1L，即满行度99999.999m³。</w:t>
      </w:r>
    </w:p>
    <w:p w14:paraId="75FB8B83">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（10）</w:t>
      </w:r>
      <w:r>
        <w:rPr>
          <w:rFonts w:hint="eastAsia" w:ascii="宋体" w:hAnsi="宋体" w:eastAsia="宋体" w:cs="宋体"/>
          <w:color w:val="auto"/>
          <w:sz w:val="21"/>
          <w:szCs w:val="21"/>
          <w:highlight w:val="none"/>
        </w:rPr>
        <w:t>上报重发机制设置：如发生上报不成功，水表数据应进行重发。</w:t>
      </w:r>
    </w:p>
    <w:p w14:paraId="3174212E">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（11）</w:t>
      </w:r>
      <w:r>
        <w:rPr>
          <w:rFonts w:hint="eastAsia" w:ascii="宋体" w:hAnsi="宋体" w:eastAsia="宋体" w:cs="宋体"/>
          <w:color w:val="auto"/>
          <w:sz w:val="21"/>
          <w:szCs w:val="21"/>
          <w:highlight w:val="none"/>
        </w:rPr>
        <w:t>时间校对：</w:t>
      </w:r>
      <w:r>
        <w:rPr>
          <w:rFonts w:hint="eastAsia" w:ascii="宋体" w:hAnsi="宋体" w:eastAsia="宋体" w:cs="宋体"/>
          <w:color w:val="auto"/>
          <w:sz w:val="21"/>
          <w:szCs w:val="21"/>
          <w:highlight w:val="none"/>
          <w:lang w:val="en-US" w:eastAsia="zh-CN"/>
        </w:rPr>
        <w:t>在</w:t>
      </w:r>
      <w:r>
        <w:rPr>
          <w:rFonts w:hint="eastAsia" w:ascii="宋体" w:hAnsi="宋体" w:eastAsia="宋体" w:cs="宋体"/>
          <w:color w:val="auto"/>
          <w:sz w:val="21"/>
          <w:szCs w:val="21"/>
          <w:highlight w:val="none"/>
        </w:rPr>
        <w:t>数据周期上报时，</w:t>
      </w:r>
      <w:r>
        <w:rPr>
          <w:rFonts w:hint="eastAsia" w:ascii="宋体" w:hAnsi="宋体" w:eastAsia="宋体" w:cs="宋体"/>
          <w:color w:val="auto"/>
          <w:sz w:val="21"/>
          <w:szCs w:val="21"/>
          <w:highlight w:val="none"/>
          <w:lang w:val="en-US" w:eastAsia="zh-CN"/>
        </w:rPr>
        <w:t>对水表</w:t>
      </w:r>
      <w:r>
        <w:rPr>
          <w:rFonts w:hint="eastAsia" w:ascii="宋体" w:hAnsi="宋体" w:eastAsia="宋体" w:cs="宋体"/>
          <w:color w:val="auto"/>
          <w:sz w:val="21"/>
          <w:szCs w:val="21"/>
          <w:highlight w:val="none"/>
        </w:rPr>
        <w:t>进行</w:t>
      </w:r>
      <w:r>
        <w:rPr>
          <w:rFonts w:hint="eastAsia" w:ascii="宋体" w:hAnsi="宋体" w:eastAsia="宋体" w:cs="宋体"/>
          <w:color w:val="auto"/>
          <w:sz w:val="21"/>
          <w:szCs w:val="21"/>
          <w:highlight w:val="none"/>
          <w:lang w:val="en-US" w:eastAsia="zh-CN"/>
        </w:rPr>
        <w:t>时间</w:t>
      </w:r>
      <w:r>
        <w:rPr>
          <w:rFonts w:hint="eastAsia" w:ascii="宋体" w:hAnsi="宋体" w:eastAsia="宋体" w:cs="宋体"/>
          <w:color w:val="auto"/>
          <w:sz w:val="21"/>
          <w:szCs w:val="21"/>
          <w:highlight w:val="none"/>
        </w:rPr>
        <w:t>校对。</w:t>
      </w:r>
    </w:p>
    <w:p w14:paraId="69858F1E">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（12）</w:t>
      </w:r>
      <w:r>
        <w:rPr>
          <w:rFonts w:hint="eastAsia" w:ascii="宋体" w:hAnsi="宋体" w:eastAsia="宋体" w:cs="宋体"/>
          <w:color w:val="auto"/>
          <w:sz w:val="21"/>
          <w:szCs w:val="21"/>
          <w:highlight w:val="none"/>
        </w:rPr>
        <w:t>设置功能：可通过</w:t>
      </w:r>
      <w:r>
        <w:rPr>
          <w:rFonts w:hint="eastAsia" w:ascii="宋体" w:hAnsi="宋体" w:eastAsia="宋体" w:cs="宋体"/>
          <w:color w:val="auto"/>
          <w:kern w:val="0"/>
          <w:sz w:val="21"/>
          <w:szCs w:val="21"/>
          <w:highlight w:val="none"/>
        </w:rPr>
        <w:t>采购人</w:t>
      </w:r>
      <w:r>
        <w:rPr>
          <w:rFonts w:hint="eastAsia" w:ascii="宋体" w:hAnsi="宋体" w:eastAsia="宋体" w:cs="宋体"/>
          <w:color w:val="auto"/>
          <w:sz w:val="21"/>
          <w:szCs w:val="21"/>
          <w:highlight w:val="none"/>
        </w:rPr>
        <w:t>应用平台或红外手持设备进行设置。</w:t>
      </w:r>
    </w:p>
    <w:p w14:paraId="3F26DEB4">
      <w:pPr>
        <w:widowControl/>
        <w:adjustRightIn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（13）</w:t>
      </w:r>
      <w:r>
        <w:rPr>
          <w:rFonts w:hint="eastAsia" w:ascii="宋体" w:hAnsi="宋体" w:eastAsia="宋体" w:cs="宋体"/>
          <w:color w:val="auto"/>
          <w:sz w:val="21"/>
          <w:szCs w:val="21"/>
          <w:highlight w:val="none"/>
        </w:rPr>
        <w:t>高频率周期上报设置：通过</w:t>
      </w:r>
      <w:r>
        <w:rPr>
          <w:rFonts w:hint="eastAsia" w:ascii="宋体" w:hAnsi="宋体" w:eastAsia="宋体" w:cs="宋体"/>
          <w:color w:val="auto"/>
          <w:kern w:val="0"/>
          <w:sz w:val="21"/>
          <w:szCs w:val="21"/>
          <w:highlight w:val="none"/>
        </w:rPr>
        <w:t>采购人</w:t>
      </w:r>
      <w:r>
        <w:rPr>
          <w:rFonts w:hint="eastAsia" w:ascii="宋体" w:hAnsi="宋体" w:eastAsia="宋体" w:cs="宋体"/>
          <w:color w:val="auto"/>
          <w:sz w:val="21"/>
          <w:szCs w:val="21"/>
          <w:highlight w:val="none"/>
        </w:rPr>
        <w:t>应用平台进行高频率上报周期设置，最小做到1小时周期上报。</w:t>
      </w:r>
      <w:r>
        <w:rPr>
          <w:rFonts w:hint="eastAsia" w:ascii="宋体" w:hAnsi="宋体" w:eastAsia="宋体" w:cs="宋体"/>
          <w:color w:val="auto"/>
          <w:sz w:val="21"/>
          <w:szCs w:val="21"/>
          <w:highlight w:val="none"/>
          <w:lang w:val="en-US" w:eastAsia="zh-CN"/>
        </w:rPr>
        <w:t>可实现</w:t>
      </w:r>
      <w:r>
        <w:rPr>
          <w:rFonts w:hint="eastAsia" w:ascii="宋体" w:hAnsi="宋体" w:eastAsia="宋体" w:cs="宋体"/>
          <w:color w:val="auto"/>
          <w:kern w:val="0"/>
          <w:sz w:val="21"/>
          <w:szCs w:val="21"/>
          <w:highlight w:val="none"/>
        </w:rPr>
        <w:t>密集数据采集：从设置的起始时间算起4个小时，每5分钟一个点，共48个点累计流量。</w:t>
      </w:r>
    </w:p>
    <w:p w14:paraId="5AF0C8FE">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（14）</w:t>
      </w:r>
      <w:r>
        <w:rPr>
          <w:rFonts w:hint="eastAsia" w:ascii="宋体" w:hAnsi="宋体" w:eastAsia="宋体" w:cs="宋体"/>
          <w:color w:val="auto"/>
          <w:sz w:val="21"/>
          <w:szCs w:val="21"/>
          <w:highlight w:val="none"/>
        </w:rPr>
        <w:t>周期上报离散设置：通过</w:t>
      </w:r>
      <w:r>
        <w:rPr>
          <w:rFonts w:hint="eastAsia" w:ascii="宋体" w:hAnsi="宋体" w:eastAsia="宋体" w:cs="宋体"/>
          <w:color w:val="auto"/>
          <w:kern w:val="0"/>
          <w:sz w:val="21"/>
          <w:szCs w:val="21"/>
          <w:highlight w:val="none"/>
        </w:rPr>
        <w:t>采购人</w:t>
      </w:r>
      <w:r>
        <w:rPr>
          <w:rFonts w:hint="eastAsia" w:ascii="宋体" w:hAnsi="宋体" w:eastAsia="宋体" w:cs="宋体"/>
          <w:color w:val="auto"/>
          <w:sz w:val="21"/>
          <w:szCs w:val="21"/>
          <w:highlight w:val="none"/>
        </w:rPr>
        <w:t>应用平台按电子地址号进行周期上报随机离散设置，把上报的时间点离散。</w:t>
      </w:r>
    </w:p>
    <w:p w14:paraId="31B9777C">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（15）</w:t>
      </w:r>
      <w:r>
        <w:rPr>
          <w:rFonts w:hint="eastAsia" w:ascii="宋体" w:hAnsi="宋体" w:eastAsia="宋体" w:cs="宋体"/>
          <w:color w:val="auto"/>
          <w:sz w:val="21"/>
          <w:szCs w:val="21"/>
          <w:highlight w:val="none"/>
        </w:rPr>
        <w:t>水表底数设置：通过近端手持终端设备进行水表底数设置，保证电子读数与水表机械读数同步，手持终端设备与电子装置之间通过红外端口进行通信。</w:t>
      </w:r>
    </w:p>
    <w:p w14:paraId="00E7872B">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（16）</w:t>
      </w:r>
      <w:r>
        <w:rPr>
          <w:rFonts w:hint="eastAsia" w:ascii="宋体" w:hAnsi="宋体" w:eastAsia="宋体" w:cs="宋体"/>
          <w:color w:val="auto"/>
          <w:sz w:val="21"/>
          <w:szCs w:val="21"/>
          <w:highlight w:val="none"/>
        </w:rPr>
        <w:t>告警功能：可对低电压、过流流量、逆向</w:t>
      </w:r>
      <w:r>
        <w:rPr>
          <w:rFonts w:hint="eastAsia" w:ascii="宋体" w:hAnsi="宋体" w:eastAsia="宋体" w:cs="宋体"/>
          <w:color w:val="auto"/>
          <w:sz w:val="21"/>
          <w:szCs w:val="21"/>
          <w:highlight w:val="none"/>
          <w:lang w:eastAsia="zh-CN"/>
        </w:rPr>
        <w:t>流量</w:t>
      </w:r>
      <w:r>
        <w:rPr>
          <w:rFonts w:hint="eastAsia" w:ascii="宋体" w:hAnsi="宋体" w:eastAsia="宋体" w:cs="宋体"/>
          <w:color w:val="auto"/>
          <w:sz w:val="21"/>
          <w:szCs w:val="21"/>
          <w:highlight w:val="none"/>
        </w:rPr>
        <w:t>进行告警。</w:t>
      </w:r>
    </w:p>
    <w:p w14:paraId="59600FE0">
      <w:pPr>
        <w:widowControl/>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①低电压告警：电子装置电池低电压时，应默认随周期上报数据进行低电压事件告警，支持上报当前电池电压。</w:t>
      </w:r>
    </w:p>
    <w:p w14:paraId="1D410198">
      <w:pPr>
        <w:widowControl/>
        <w:adjustRightInd w:val="0"/>
        <w:snapToGrid w:val="0"/>
        <w:spacing w:line="360" w:lineRule="auto"/>
        <w:ind w:firstLine="210" w:firstLineChars="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②过流流量告警：</w:t>
      </w:r>
    </w:p>
    <w:p w14:paraId="6083A525">
      <w:pPr>
        <w:widowControl/>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电子装置监测到（默认30分钟）持续流量大于过流告警阈值（如默认Q4）时，应默认随周期上报数据进行过流流量事件告警。当开启立即告警时，每日仅在首次发生时立即唤醒水表主动上报一次，并且随周期上报数据一起上报，过流量持续时间、过流告警阈值、周期告警、立即告警等参数和功能应可设置。</w:t>
      </w:r>
    </w:p>
    <w:p w14:paraId="782CC511">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eastAsia="zh-CN"/>
        </w:rPr>
        <w:t>（17）</w:t>
      </w:r>
      <w:r>
        <w:rPr>
          <w:rFonts w:hint="eastAsia" w:ascii="宋体" w:hAnsi="宋体" w:eastAsia="宋体" w:cs="宋体"/>
          <w:color w:val="auto"/>
          <w:kern w:val="0"/>
          <w:sz w:val="21"/>
          <w:szCs w:val="21"/>
          <w:highlight w:val="none"/>
        </w:rPr>
        <w:t>数据加密：采用128位高级加密标准，AES-128加密、解密算法。</w:t>
      </w:r>
    </w:p>
    <w:p w14:paraId="5FAD73FE">
      <w:pPr>
        <w:widowControl/>
        <w:adjustRightInd w:val="0"/>
        <w:snapToGrid w:val="0"/>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b/>
          <w:bCs/>
          <w:snapToGrid w:val="0"/>
          <w:color w:val="auto"/>
          <w:kern w:val="0"/>
          <w:sz w:val="21"/>
          <w:szCs w:val="21"/>
          <w:highlight w:val="none"/>
          <w:lang w:val="en-US" w:eastAsia="zh-CN" w:bidi="ar-SA"/>
        </w:rPr>
        <w:t>超声波水表</w:t>
      </w:r>
      <w:r>
        <w:rPr>
          <w:rFonts w:hint="eastAsia" w:eastAsia="宋体" w:cs="宋体"/>
          <w:b/>
          <w:bCs/>
          <w:snapToGrid w:val="0"/>
          <w:color w:val="auto"/>
          <w:kern w:val="0"/>
          <w:sz w:val="21"/>
          <w:szCs w:val="21"/>
          <w:highlight w:val="none"/>
          <w:lang w:val="en-US" w:eastAsia="zh-CN" w:bidi="ar-SA"/>
        </w:rPr>
        <w:t>质量保证期</w:t>
      </w:r>
      <w:r>
        <w:rPr>
          <w:rFonts w:hint="eastAsia" w:ascii="宋体" w:hAnsi="宋体" w:eastAsia="宋体" w:cs="宋体"/>
          <w:b/>
          <w:bCs/>
          <w:snapToGrid w:val="0"/>
          <w:color w:val="auto"/>
          <w:kern w:val="0"/>
          <w:sz w:val="21"/>
          <w:szCs w:val="21"/>
          <w:highlight w:val="none"/>
          <w:lang w:val="en-US" w:eastAsia="zh-CN" w:bidi="ar-SA"/>
        </w:rPr>
        <w:t>统一为6年。</w:t>
      </w:r>
    </w:p>
    <w:p w14:paraId="08529218">
      <w:pPr>
        <w:widowControl w:val="0"/>
        <w:kinsoku/>
        <w:overflowPunct/>
        <w:bidi w:val="0"/>
        <w:adjustRightInd/>
        <w:snapToGrid w:val="0"/>
        <w:spacing w:line="440" w:lineRule="exact"/>
        <w:ind w:firstLine="420" w:firstLineChars="2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14:textFill>
            <w14:solidFill>
              <w14:schemeClr w14:val="tx1"/>
            </w14:solidFill>
          </w14:textFill>
        </w:rPr>
        <w:t>DN15</w:t>
      </w:r>
      <w:r>
        <w:rPr>
          <w:rFonts w:hint="eastAsia" w:ascii="宋体" w:hAnsi="宋体" w:eastAsia="宋体" w:cs="宋体"/>
          <w:color w:val="000000" w:themeColor="text1"/>
          <w:kern w:val="0"/>
          <w:sz w:val="21"/>
          <w:szCs w:val="21"/>
          <w:highlight w:val="none"/>
          <w:lang w:eastAsia="zh-CN"/>
          <w14:textFill>
            <w14:solidFill>
              <w14:schemeClr w14:val="tx1"/>
            </w14:solidFill>
          </w14:textFill>
        </w:rPr>
        <w:t>超声波</w:t>
      </w:r>
      <w:r>
        <w:rPr>
          <w:rFonts w:hint="eastAsia" w:ascii="宋体" w:hAnsi="宋体" w:eastAsia="宋体" w:cs="宋体"/>
          <w:color w:val="000000" w:themeColor="text1"/>
          <w:kern w:val="0"/>
          <w:sz w:val="21"/>
          <w:szCs w:val="21"/>
          <w:highlight w:val="none"/>
          <w14:textFill>
            <w14:solidFill>
              <w14:schemeClr w14:val="tx1"/>
            </w14:solidFill>
          </w14:textFill>
        </w:rPr>
        <w:t>水表供货前须完成首次强制检定（后称“首检”）。供应商不具备首检能力的，可委托具备资质的第三方机构完成首检后方可供货，并保证首检数据的真实有效。（需提供承诺函</w:t>
      </w:r>
      <w:r>
        <w:rPr>
          <w:rFonts w:hint="eastAsia" w:ascii="宋体" w:hAnsi="宋体" w:eastAsia="宋体" w:cs="宋体"/>
          <w:color w:val="000000" w:themeColor="text1"/>
          <w:kern w:val="0"/>
          <w:sz w:val="21"/>
          <w:szCs w:val="21"/>
          <w:highlight w:val="none"/>
          <w:lang w:eastAsia="zh-CN"/>
          <w14:textFill>
            <w14:solidFill>
              <w14:schemeClr w14:val="tx1"/>
            </w14:solidFill>
          </w14:textFill>
        </w:rPr>
        <w:t>并加盖公章</w:t>
      </w:r>
      <w:r>
        <w:rPr>
          <w:rFonts w:hint="eastAsia" w:ascii="宋体" w:hAnsi="宋体" w:eastAsia="宋体" w:cs="宋体"/>
          <w:color w:val="000000" w:themeColor="text1"/>
          <w:kern w:val="0"/>
          <w:sz w:val="21"/>
          <w:szCs w:val="21"/>
          <w:highlight w:val="none"/>
          <w14:textFill>
            <w14:solidFill>
              <w14:schemeClr w14:val="tx1"/>
            </w14:solidFill>
          </w14:textFill>
        </w:rPr>
        <w:t>，承诺所供水表均依规完成首检，检定数据</w:t>
      </w:r>
      <w:r>
        <w:rPr>
          <w:rFonts w:hint="eastAsia" w:ascii="宋体" w:hAnsi="宋体" w:eastAsia="宋体" w:cs="宋体"/>
          <w:color w:val="000000" w:themeColor="text1"/>
          <w:kern w:val="0"/>
          <w:sz w:val="21"/>
          <w:szCs w:val="21"/>
          <w:highlight w:val="none"/>
          <w:lang w:eastAsia="zh-CN"/>
          <w14:textFill>
            <w14:solidFill>
              <w14:schemeClr w14:val="tx1"/>
            </w14:solidFill>
          </w14:textFill>
        </w:rPr>
        <w:t>能满足浙江省市场监管部门的核查要求</w:t>
      </w:r>
      <w:r>
        <w:rPr>
          <w:rFonts w:hint="eastAsia" w:ascii="宋体" w:hAnsi="宋体" w:eastAsia="宋体" w:cs="宋体"/>
          <w:color w:val="000000" w:themeColor="text1"/>
          <w:kern w:val="0"/>
          <w:sz w:val="21"/>
          <w:szCs w:val="21"/>
          <w:highlight w:val="none"/>
          <w14:textFill>
            <w14:solidFill>
              <w14:schemeClr w14:val="tx1"/>
            </w14:solidFill>
          </w14:textFill>
        </w:rPr>
        <w:t>）</w:t>
      </w:r>
    </w:p>
    <w:p w14:paraId="2A806307">
      <w:pPr>
        <w:widowControl w:val="0"/>
        <w:kinsoku/>
        <w:overflowPunct/>
        <w:bidi w:val="0"/>
        <w:adjustRightInd/>
        <w:snapToGrid w:val="0"/>
        <w:spacing w:line="44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采购人依据国家检定规程JJG162-2019《饮用冷水水表》对采购的每批次水表进行检定，如发现所购水表首检合格率低于99.5%</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采购人有权停止后续采购，并终止采购合同；</w:t>
      </w:r>
    </w:p>
    <w:p w14:paraId="68EEF5BC">
      <w:pPr>
        <w:widowControl w:val="0"/>
        <w:kinsoku/>
        <w:overflowPunct/>
        <w:bidi w:val="0"/>
        <w:adjustRightInd/>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供应商所投的水表产品具有在有效期内的质量技术监督部门出具的《中华人民共和国计量器具型式批准证书》。</w:t>
      </w:r>
    </w:p>
    <w:p w14:paraId="6CC874C7">
      <w:pPr>
        <w:widowControl/>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7.质量保证期内如因技术迭代、网络环境改变等因素导致数据无法正常上传，供应商免费提供技术改造。</w:t>
      </w:r>
    </w:p>
    <w:p w14:paraId="5832CD49">
      <w:pPr>
        <w:widowControl w:val="0"/>
        <w:autoSpaceDE w:val="0"/>
        <w:autoSpaceDN w:val="0"/>
        <w:adjustRightInd w:val="0"/>
        <w:ind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▲8.供应商免费提供用于机电误差检定的配件和技术支持，保证水表能在绍兴市法定机构正常检定。</w:t>
      </w:r>
    </w:p>
    <w:p w14:paraId="6377B88C">
      <w:pPr>
        <w:widowControl w:val="0"/>
        <w:autoSpaceDE w:val="0"/>
        <w:autoSpaceDN w:val="0"/>
        <w:adjustRightInd w:val="0"/>
        <w:rPr>
          <w:rFonts w:hint="eastAsia" w:ascii="宋体" w:hAnsi="宋体" w:eastAsia="宋体" w:cs="宋体"/>
          <w:b/>
          <w:bCs/>
          <w:color w:val="auto"/>
          <w:sz w:val="21"/>
          <w:szCs w:val="21"/>
          <w:highlight w:val="none"/>
          <w:lang w:eastAsia="zh-CN"/>
        </w:rPr>
      </w:pPr>
    </w:p>
    <w:p w14:paraId="1F831B65">
      <w:pPr>
        <w:widowControl w:val="0"/>
        <w:autoSpaceDE w:val="0"/>
        <w:autoSpaceDN w:val="0"/>
        <w:adjustRightInd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五、</w:t>
      </w:r>
      <w:r>
        <w:rPr>
          <w:rFonts w:hint="eastAsia" w:ascii="宋体" w:hAnsi="宋体" w:eastAsia="宋体" w:cs="宋体"/>
          <w:b/>
          <w:bCs/>
          <w:color w:val="auto"/>
          <w:sz w:val="21"/>
          <w:szCs w:val="21"/>
          <w:highlight w:val="none"/>
        </w:rPr>
        <w:t>外夹式超声波流量计</w:t>
      </w:r>
    </w:p>
    <w:p w14:paraId="0E20FD73">
      <w:pPr>
        <w:keepNext w:val="0"/>
        <w:keepLines w:val="0"/>
        <w:pageBreakBefore w:val="0"/>
        <w:numPr>
          <w:ilvl w:val="0"/>
          <w:numId w:val="0"/>
        </w:numPr>
        <w:kinsoku/>
        <w:wordWrap/>
        <w:overflowPunct/>
        <w:topLinePunct w:val="0"/>
        <w:autoSpaceDE/>
        <w:autoSpaceDN/>
        <w:bidi w:val="0"/>
        <w:adjustRightInd w:val="0"/>
        <w:snapToGrid w:val="0"/>
        <w:spacing w:line="440" w:lineRule="exact"/>
        <w:ind w:left="0" w:lef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本次采购所涉及的所有产品须满足下列技术标准：</w:t>
      </w:r>
    </w:p>
    <w:p w14:paraId="36734BA8">
      <w:pPr>
        <w:keepNext w:val="0"/>
        <w:keepLines w:val="0"/>
        <w:pageBreakBefore w:val="0"/>
        <w:widowControl/>
        <w:kinsoku/>
        <w:wordWrap/>
        <w:overflowPunct/>
        <w:topLinePunct w:val="0"/>
        <w:autoSpaceDE/>
        <w:autoSpaceDN/>
        <w:bidi w:val="0"/>
        <w:adjustRightInd w:val="0"/>
        <w:snapToGrid w:val="0"/>
        <w:spacing w:line="440" w:lineRule="exact"/>
        <w:ind w:left="0" w:firstLine="630" w:firstLineChars="300"/>
        <w:jc w:val="left"/>
        <w:textAlignment w:val="auto"/>
        <w:rPr>
          <w:rFonts w:hint="eastAsia" w:ascii="宋体" w:hAnsi="宋体" w:eastAsia="宋体" w:cs="宋体"/>
          <w:color w:val="auto"/>
          <w:kern w:val="0"/>
          <w:sz w:val="21"/>
          <w:szCs w:val="21"/>
          <w:highlight w:val="none"/>
          <w:lang w:bidi="en-US"/>
        </w:rPr>
      </w:pPr>
      <w:r>
        <w:rPr>
          <w:rFonts w:hint="eastAsia" w:ascii="宋体" w:hAnsi="宋体" w:eastAsia="宋体" w:cs="宋体"/>
          <w:color w:val="auto"/>
          <w:kern w:val="0"/>
          <w:sz w:val="21"/>
          <w:szCs w:val="21"/>
          <w:highlight w:val="none"/>
          <w:lang w:val="en-US" w:eastAsia="zh-CN" w:bidi="en-US"/>
        </w:rPr>
        <w:t xml:space="preserve">1.1 </w:t>
      </w:r>
      <w:r>
        <w:rPr>
          <w:rFonts w:hint="eastAsia" w:ascii="宋体" w:hAnsi="宋体" w:eastAsia="宋体" w:cs="宋体"/>
          <w:color w:val="auto"/>
          <w:kern w:val="0"/>
          <w:sz w:val="21"/>
          <w:szCs w:val="21"/>
          <w:highlight w:val="none"/>
          <w:lang w:bidi="en-US"/>
        </w:rPr>
        <w:t>JJG 1030-2007 超声流量计检定规程</w:t>
      </w:r>
    </w:p>
    <w:p w14:paraId="54A8366A">
      <w:pPr>
        <w:keepNext w:val="0"/>
        <w:keepLines w:val="0"/>
        <w:pageBreakBefore w:val="0"/>
        <w:widowControl/>
        <w:kinsoku/>
        <w:wordWrap/>
        <w:overflowPunct/>
        <w:topLinePunct w:val="0"/>
        <w:autoSpaceDE/>
        <w:autoSpaceDN/>
        <w:bidi w:val="0"/>
        <w:adjustRightInd w:val="0"/>
        <w:snapToGrid w:val="0"/>
        <w:spacing w:line="440" w:lineRule="exact"/>
        <w:ind w:left="0" w:firstLine="630" w:firstLineChars="300"/>
        <w:jc w:val="left"/>
        <w:textAlignment w:val="auto"/>
        <w:rPr>
          <w:rFonts w:hint="eastAsia" w:ascii="宋体" w:hAnsi="宋体" w:eastAsia="宋体" w:cs="宋体"/>
          <w:color w:val="auto"/>
          <w:kern w:val="0"/>
          <w:sz w:val="21"/>
          <w:szCs w:val="21"/>
          <w:highlight w:val="none"/>
          <w:lang w:bidi="en-US"/>
        </w:rPr>
      </w:pPr>
      <w:r>
        <w:rPr>
          <w:rFonts w:hint="eastAsia" w:ascii="宋体" w:hAnsi="宋体" w:eastAsia="宋体" w:cs="宋体"/>
          <w:color w:val="auto"/>
          <w:kern w:val="0"/>
          <w:sz w:val="21"/>
          <w:szCs w:val="21"/>
          <w:highlight w:val="none"/>
          <w:lang w:val="en-US" w:eastAsia="zh-CN" w:bidi="en-US"/>
        </w:rPr>
        <w:t xml:space="preserve">1.2 </w:t>
      </w:r>
      <w:r>
        <w:rPr>
          <w:rFonts w:hint="eastAsia" w:ascii="宋体" w:hAnsi="宋体" w:eastAsia="宋体" w:cs="宋体"/>
          <w:color w:val="auto"/>
          <w:kern w:val="0"/>
          <w:sz w:val="21"/>
          <w:szCs w:val="21"/>
          <w:highlight w:val="none"/>
          <w:lang w:bidi="en-US"/>
        </w:rPr>
        <w:t>JJF 1015-2002计量器具型式评价和型式批准通用规范</w:t>
      </w:r>
    </w:p>
    <w:p w14:paraId="59FCB240">
      <w:pPr>
        <w:keepNext w:val="0"/>
        <w:keepLines w:val="0"/>
        <w:pageBreakBefore w:val="0"/>
        <w:widowControl/>
        <w:kinsoku/>
        <w:wordWrap/>
        <w:overflowPunct/>
        <w:topLinePunct w:val="0"/>
        <w:autoSpaceDE/>
        <w:autoSpaceDN/>
        <w:bidi w:val="0"/>
        <w:adjustRightInd w:val="0"/>
        <w:snapToGrid w:val="0"/>
        <w:spacing w:line="440" w:lineRule="exact"/>
        <w:ind w:left="0" w:firstLine="630" w:firstLineChars="300"/>
        <w:jc w:val="left"/>
        <w:textAlignment w:val="auto"/>
        <w:rPr>
          <w:rFonts w:hint="eastAsia" w:ascii="宋体" w:hAnsi="宋体" w:eastAsia="宋体" w:cs="宋体"/>
          <w:color w:val="auto"/>
          <w:kern w:val="0"/>
          <w:sz w:val="21"/>
          <w:szCs w:val="21"/>
          <w:highlight w:val="none"/>
          <w:lang w:bidi="en-US"/>
        </w:rPr>
      </w:pPr>
      <w:r>
        <w:rPr>
          <w:rFonts w:hint="eastAsia" w:ascii="宋体" w:hAnsi="宋体" w:eastAsia="宋体" w:cs="宋体"/>
          <w:color w:val="auto"/>
          <w:kern w:val="0"/>
          <w:sz w:val="21"/>
          <w:szCs w:val="21"/>
          <w:highlight w:val="none"/>
          <w:lang w:val="en-US" w:eastAsia="zh-CN" w:bidi="en-US"/>
        </w:rPr>
        <w:t xml:space="preserve">1.3 </w:t>
      </w:r>
      <w:r>
        <w:rPr>
          <w:rFonts w:hint="eastAsia" w:ascii="宋体" w:hAnsi="宋体" w:eastAsia="宋体" w:cs="宋体"/>
          <w:color w:val="auto"/>
          <w:kern w:val="0"/>
          <w:sz w:val="21"/>
          <w:szCs w:val="21"/>
          <w:highlight w:val="none"/>
          <w:lang w:bidi="en-US"/>
        </w:rPr>
        <w:t>GB/T 17611-1998封闭管道中流体流量的测量</w:t>
      </w:r>
    </w:p>
    <w:p w14:paraId="43F4E7B9">
      <w:pPr>
        <w:keepNext w:val="0"/>
        <w:keepLines w:val="0"/>
        <w:pageBreakBefore w:val="0"/>
        <w:widowControl/>
        <w:kinsoku/>
        <w:wordWrap/>
        <w:overflowPunct/>
        <w:topLinePunct w:val="0"/>
        <w:autoSpaceDE/>
        <w:autoSpaceDN/>
        <w:bidi w:val="0"/>
        <w:adjustRightInd w:val="0"/>
        <w:snapToGrid w:val="0"/>
        <w:spacing w:line="440" w:lineRule="exact"/>
        <w:jc w:val="left"/>
        <w:textAlignment w:val="auto"/>
        <w:rPr>
          <w:rFonts w:hint="eastAsia" w:ascii="宋体" w:hAnsi="宋体" w:eastAsia="宋体" w:cs="宋体"/>
          <w:bCs/>
          <w:color w:val="auto"/>
          <w:kern w:val="0"/>
          <w:sz w:val="21"/>
          <w:szCs w:val="21"/>
          <w:highlight w:val="none"/>
          <w:lang w:bidi="en-US"/>
        </w:rPr>
      </w:pPr>
      <w:r>
        <w:rPr>
          <w:rFonts w:hint="eastAsia" w:ascii="宋体" w:hAnsi="宋体" w:eastAsia="宋体" w:cs="宋体"/>
          <w:bCs/>
          <w:color w:val="auto"/>
          <w:kern w:val="0"/>
          <w:sz w:val="21"/>
          <w:szCs w:val="21"/>
          <w:highlight w:val="none"/>
          <w:lang w:val="en-US" w:eastAsia="zh-CN" w:bidi="en-US"/>
        </w:rPr>
        <w:t>2.</w:t>
      </w:r>
      <w:r>
        <w:rPr>
          <w:rFonts w:hint="eastAsia" w:ascii="宋体" w:hAnsi="宋体" w:eastAsia="宋体" w:cs="宋体"/>
          <w:bCs/>
          <w:color w:val="auto"/>
          <w:kern w:val="0"/>
          <w:sz w:val="21"/>
          <w:szCs w:val="21"/>
          <w:highlight w:val="none"/>
          <w:lang w:bidi="en-US"/>
        </w:rPr>
        <w:t>技术要求：</w:t>
      </w:r>
    </w:p>
    <w:p w14:paraId="695ACFAD">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2.1测量介质：</w:t>
      </w:r>
      <w:r>
        <w:rPr>
          <w:rFonts w:hint="eastAsia" w:ascii="宋体" w:hAnsi="宋体" w:eastAsia="宋体" w:cs="宋体"/>
          <w:color w:val="auto"/>
          <w:kern w:val="2"/>
          <w:sz w:val="21"/>
          <w:szCs w:val="21"/>
          <w:highlight w:val="none"/>
          <w:lang w:val="en-US" w:eastAsia="zh-CN" w:bidi="ar-SA"/>
        </w:rPr>
        <w:t>自来水、</w:t>
      </w:r>
      <w:r>
        <w:rPr>
          <w:rFonts w:hint="eastAsia" w:ascii="宋体" w:hAnsi="宋体" w:eastAsia="宋体" w:cs="宋体"/>
          <w:bCs/>
          <w:color w:val="auto"/>
          <w:kern w:val="0"/>
          <w:sz w:val="21"/>
          <w:szCs w:val="21"/>
          <w:highlight w:val="none"/>
          <w:lang w:val="en-US" w:eastAsia="zh-CN" w:bidi="ar-SA"/>
        </w:rPr>
        <w:t xml:space="preserve">污水。 </w:t>
      </w:r>
    </w:p>
    <w:p w14:paraId="7E7C2B7E">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★2.2测量原理：超声波时差法。</w:t>
      </w:r>
    </w:p>
    <w:p w14:paraId="1DBA2697">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2.3口径：可测量DN200-DN1600管道，具体以现场实际为准。</w:t>
      </w:r>
    </w:p>
    <w:p w14:paraId="77E0E1E0">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★2.4准确度等级：等于或优于1级。</w:t>
      </w:r>
    </w:p>
    <w:p w14:paraId="1042A9CE">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★2.5结构与安装：分体式结构（主要由传感器（探头）和主机构成，传感器采用外夹式贴合安装于现有管道外壁上，主机（带显示仪表）固定安装于机柜内。</w:t>
      </w:r>
    </w:p>
    <w:p w14:paraId="6F128725">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▲2.6管道材质：支持不锈钢、铸铁、铝、PVC管材等均匀致密的管道。</w:t>
      </w:r>
    </w:p>
    <w:p w14:paraId="18F4A1A7">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▲2.7管道衬里：支持无衬里或橡胶、环氧沥青、聚四氯乙烯、聚苯乙烯等衬里的管道。</w:t>
      </w:r>
    </w:p>
    <w:p w14:paraId="30476B48">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▲2.8测量流速：双向测量，流速范围不低于0.02～10m/s。</w:t>
      </w:r>
    </w:p>
    <w:p w14:paraId="0D1C3447">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▲2.9介质气泡量：介质内含有气泡时能保持正常测量，参考值12Vol%及以下（口径DN50，水，流速1m/s时）。</w:t>
      </w:r>
    </w:p>
    <w:p w14:paraId="13C01A23">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★2.10信号输出1：RS485/Modbus。</w:t>
      </w:r>
    </w:p>
    <w:p w14:paraId="7C2754CE">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2.11信号输出2：脉冲频率输出和4～20mA电流输出。</w:t>
      </w:r>
    </w:p>
    <w:p w14:paraId="5BFBA0A3">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 xml:space="preserve">2.12设备功耗： 不高于30W。 </w:t>
      </w:r>
    </w:p>
    <w:p w14:paraId="4E4C70CA">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▲2.13传感器防护等级：IP68。</w:t>
      </w:r>
    </w:p>
    <w:p w14:paraId="312F2D7F">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▲2.14主机防护等级：IP65。</w:t>
      </w:r>
    </w:p>
    <w:p w14:paraId="4A30461C">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▲2.15保证精度流速范围：0.5m/s～5m/s。</w:t>
      </w:r>
    </w:p>
    <w:p w14:paraId="15FACCCC">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2.16环境温度要求： -20℃～+55℃。</w:t>
      </w:r>
    </w:p>
    <w:p w14:paraId="0BA83F3F">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2.17介质温度要求：0℃～+100℃。</w:t>
      </w:r>
    </w:p>
    <w:p w14:paraId="00DBDF47">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2.18供电方式：提供DC 24V和AC 220V供选择。</w:t>
      </w:r>
    </w:p>
    <w:p w14:paraId="6422760D">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▲2.19信号线缆长度：可按现场实际情况指定长度（不超过100米）。</w:t>
      </w:r>
    </w:p>
    <w:p w14:paraId="1AA02C24">
      <w:pPr>
        <w:keepNext w:val="0"/>
        <w:keepLines w:val="0"/>
        <w:pageBreakBefore w:val="0"/>
        <w:widowControl w:val="0"/>
        <w:kinsoku/>
        <w:wordWrap/>
        <w:overflowPunct/>
        <w:topLinePunct w:val="0"/>
        <w:autoSpaceDE/>
        <w:autoSpaceDN/>
        <w:bidi w:val="0"/>
        <w:adjustRightInd w:val="0"/>
        <w:spacing w:line="440" w:lineRule="exact"/>
        <w:ind w:left="0" w:firstLine="420" w:firstLineChars="200"/>
        <w:jc w:val="both"/>
        <w:textAlignment w:val="auto"/>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2.20显示功能：同一页面可同时显示瞬时流量和累积流量。支持显示仪表自检信息、故障报警、各声道工作状态，运行时间等。</w:t>
      </w:r>
    </w:p>
    <w:p w14:paraId="338C36C5">
      <w:pPr>
        <w:widowControl w:val="0"/>
        <w:numPr>
          <w:ilvl w:val="0"/>
          <w:numId w:val="15"/>
        </w:numPr>
        <w:autoSpaceDE w:val="0"/>
        <w:autoSpaceDN w:val="0"/>
        <w:adjustRightInd w:val="0"/>
        <w:ind w:firstLine="0" w:firstLineChars="0"/>
        <w:rPr>
          <w:rFonts w:hint="eastAsia" w:ascii="宋体" w:hAnsi="宋体" w:eastAsia="宋体" w:cs="宋体"/>
          <w:b/>
          <w:bCs/>
          <w:snapToGrid w:val="0"/>
          <w:color w:val="auto"/>
          <w:kern w:val="0"/>
          <w:sz w:val="21"/>
          <w:szCs w:val="21"/>
          <w:highlight w:val="none"/>
          <w:lang w:val="en-US" w:eastAsia="zh-CN" w:bidi="ar-SA"/>
        </w:rPr>
      </w:pPr>
      <w:r>
        <w:rPr>
          <w:rFonts w:hint="eastAsia" w:ascii="Arial" w:hAnsi="Arial" w:eastAsia="宋体" w:cs="宋体"/>
          <w:b/>
          <w:bCs/>
          <w:color w:val="auto"/>
          <w:kern w:val="0"/>
          <w:sz w:val="21"/>
          <w:szCs w:val="21"/>
          <w:highlight w:val="none"/>
          <w:lang w:val="en-US" w:eastAsia="zh-CN"/>
        </w:rPr>
        <w:t>超声波流量计</w:t>
      </w:r>
      <w:r>
        <w:rPr>
          <w:rFonts w:hint="eastAsia" w:eastAsia="宋体" w:cs="宋体"/>
          <w:b/>
          <w:bCs/>
          <w:color w:val="auto"/>
          <w:kern w:val="0"/>
          <w:sz w:val="21"/>
          <w:szCs w:val="21"/>
          <w:highlight w:val="none"/>
          <w:lang w:val="en-US" w:eastAsia="zh-CN"/>
        </w:rPr>
        <w:t>基础</w:t>
      </w:r>
      <w:r>
        <w:rPr>
          <w:rFonts w:hint="eastAsia" w:eastAsia="宋体" w:cs="宋体"/>
          <w:b/>
          <w:bCs/>
          <w:snapToGrid w:val="0"/>
          <w:color w:val="auto"/>
          <w:kern w:val="0"/>
          <w:sz w:val="21"/>
          <w:szCs w:val="21"/>
          <w:highlight w:val="none"/>
          <w:lang w:val="en-US" w:eastAsia="zh-CN" w:bidi="ar-SA"/>
        </w:rPr>
        <w:t>质量保证期</w:t>
      </w:r>
      <w:r>
        <w:rPr>
          <w:rFonts w:hint="eastAsia" w:ascii="宋体" w:hAnsi="宋体" w:eastAsia="宋体" w:cs="宋体"/>
          <w:b/>
          <w:bCs/>
          <w:snapToGrid w:val="0"/>
          <w:color w:val="auto"/>
          <w:kern w:val="0"/>
          <w:sz w:val="21"/>
          <w:szCs w:val="21"/>
          <w:highlight w:val="none"/>
          <w:lang w:val="en-US" w:eastAsia="zh-CN" w:bidi="ar-SA"/>
        </w:rPr>
        <w:t>统一为2年。</w:t>
      </w:r>
    </w:p>
    <w:p w14:paraId="2E65D53C">
      <w:pPr>
        <w:widowControl w:val="0"/>
        <w:numPr>
          <w:ilvl w:val="0"/>
          <w:numId w:val="0"/>
        </w:numPr>
        <w:autoSpaceDE w:val="0"/>
        <w:autoSpaceDN w:val="0"/>
        <w:adjustRightInd w:val="0"/>
        <w:rPr>
          <w:rFonts w:hint="eastAsia" w:ascii="宋体" w:hAnsi="宋体" w:eastAsia="宋体" w:cs="宋体"/>
          <w:b/>
          <w:bCs/>
          <w:color w:val="auto"/>
          <w:sz w:val="21"/>
          <w:szCs w:val="21"/>
          <w:highlight w:val="none"/>
          <w:lang w:eastAsia="zh-CN"/>
        </w:rPr>
      </w:pPr>
    </w:p>
    <w:p w14:paraId="173B13FE">
      <w:pPr>
        <w:widowControl w:val="0"/>
        <w:numPr>
          <w:ilvl w:val="0"/>
          <w:numId w:val="0"/>
        </w:numPr>
        <w:autoSpaceDE w:val="0"/>
        <w:autoSpaceDN w:val="0"/>
        <w:adjustRightInd w:val="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六、</w:t>
      </w:r>
      <w:r>
        <w:rPr>
          <w:rFonts w:hint="eastAsia" w:ascii="宋体" w:hAnsi="宋体" w:eastAsia="宋体" w:cs="宋体"/>
          <w:b/>
          <w:bCs/>
          <w:color w:val="auto"/>
          <w:sz w:val="21"/>
          <w:szCs w:val="21"/>
          <w:highlight w:val="none"/>
        </w:rPr>
        <w:t>管道式电磁流量计及配件</w:t>
      </w:r>
    </w:p>
    <w:p w14:paraId="0D0509C2">
      <w:pPr>
        <w:keepNext w:val="0"/>
        <w:keepLines w:val="0"/>
        <w:pageBreakBefore w:val="0"/>
        <w:widowControl w:val="0"/>
        <w:kinsoku/>
        <w:wordWrap/>
        <w:overflowPunct/>
        <w:topLinePunct w:val="0"/>
        <w:autoSpaceDE/>
        <w:autoSpaceDN/>
        <w:bidi w:val="0"/>
        <w:adjustRightInd/>
        <w:snapToGrid w:val="0"/>
        <w:spacing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1.本次采购所涉及的所有产品须满足下列技术标准：</w:t>
      </w:r>
    </w:p>
    <w:p w14:paraId="623626DA">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JJG1033电磁流量计；</w:t>
      </w:r>
    </w:p>
    <w:p w14:paraId="7F3FD48B">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JB∕T 9248 电磁流量计；</w:t>
      </w:r>
    </w:p>
    <w:p w14:paraId="733B8590">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GB/T 18659 封闭管道中导电液体流量的测量电磁流量计的性能评定方法；</w:t>
      </w:r>
    </w:p>
    <w:p w14:paraId="61CFBCC7">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GB/T 18660 封闭管道中导电液体流量的测量电磁流量计的使用方法；</w:t>
      </w:r>
    </w:p>
    <w:p w14:paraId="4648157F">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CJ/T 364  管道式电磁流量计在线校准。</w:t>
      </w:r>
    </w:p>
    <w:p w14:paraId="1379B8DB">
      <w:pPr>
        <w:keepNext w:val="0"/>
        <w:keepLines w:val="0"/>
        <w:pageBreakBefore w:val="0"/>
        <w:widowControl w:val="0"/>
        <w:kinsoku/>
        <w:wordWrap/>
        <w:overflowPunct/>
        <w:topLinePunct w:val="0"/>
        <w:autoSpaceDE/>
        <w:autoSpaceDN/>
        <w:bidi w:val="0"/>
        <w:adjustRightInd w:val="0"/>
        <w:spacing w:after="0" w:line="440" w:lineRule="exact"/>
        <w:ind w:left="0" w:leftChars="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注：以上标准以最新版本为准；若标准中要求不相同时，采用高要求。</w:t>
      </w:r>
    </w:p>
    <w:p w14:paraId="3689F018">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2.技术要求：产品用于测量自来水、污水流量。产品应符合以下要求：</w:t>
      </w:r>
    </w:p>
    <w:p w14:paraId="506CEBD2">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2.1测量介质：自来水、污水。</w:t>
      </w:r>
    </w:p>
    <w:p w14:paraId="2B3C83B3">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2.2准确度等级：等于或优于0.5级。</w:t>
      </w:r>
    </w:p>
    <w:p w14:paraId="53480574">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2.3结构与安装：为分体式结构（主要分为传感器和转换器两部分）。传感器与配管之间均采用法兰连接，法兰连接尺寸应符合GB11988的规定，传感器长度</w:t>
      </w:r>
      <w:r>
        <w:rPr>
          <w:rFonts w:hint="eastAsia" w:ascii="宋体" w:hAnsi="宋体" w:eastAsia="宋体" w:cs="宋体"/>
          <w:color w:val="auto"/>
          <w:sz w:val="21"/>
          <w:szCs w:val="21"/>
          <w:highlight w:val="none"/>
          <w:lang w:val="en-US" w:eastAsia="zh-CN"/>
        </w:rPr>
        <w:t>可根据管道上原有流量计尺寸定制</w:t>
      </w:r>
      <w:r>
        <w:rPr>
          <w:rFonts w:hint="eastAsia" w:ascii="宋体" w:hAnsi="宋体" w:eastAsia="宋体" w:cs="宋体"/>
          <w:color w:val="auto"/>
          <w:sz w:val="21"/>
          <w:szCs w:val="21"/>
          <w:highlight w:val="none"/>
        </w:rPr>
        <w:t>；转换器固定安装于指定设备箱内。</w:t>
      </w:r>
    </w:p>
    <w:p w14:paraId="3D81C1C9">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lang w:val="en-US" w:eastAsia="zh-CN"/>
        </w:rPr>
        <w:t xml:space="preserve">2.4 </w:t>
      </w:r>
      <w:r>
        <w:rPr>
          <w:rFonts w:hint="eastAsia" w:ascii="宋体" w:hAnsi="宋体" w:eastAsia="宋体" w:cs="宋体"/>
          <w:color w:val="auto"/>
          <w:sz w:val="21"/>
          <w:szCs w:val="21"/>
          <w:highlight w:val="none"/>
        </w:rPr>
        <w:t>传感器防护等级：IP68，要求在浸泡在水里的环境下正常计量（需提供省级及以上计量检测机构出具的检测报告）。</w:t>
      </w:r>
    </w:p>
    <w:p w14:paraId="12F66C32">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lang w:val="en-US" w:eastAsia="zh-CN"/>
        </w:rPr>
        <w:t xml:space="preserve">2.5 </w:t>
      </w:r>
      <w:r>
        <w:rPr>
          <w:rFonts w:hint="eastAsia" w:ascii="宋体" w:hAnsi="宋体" w:eastAsia="宋体" w:cs="宋体"/>
          <w:color w:val="auto"/>
          <w:sz w:val="21"/>
          <w:szCs w:val="21"/>
          <w:highlight w:val="none"/>
        </w:rPr>
        <w:t>信号输出1：RS485/Modbus。</w:t>
      </w:r>
    </w:p>
    <w:p w14:paraId="31843B99">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lang w:val="en-US" w:eastAsia="zh-CN"/>
        </w:rPr>
        <w:t xml:space="preserve">2.6 </w:t>
      </w:r>
      <w:r>
        <w:rPr>
          <w:rFonts w:hint="eastAsia" w:ascii="宋体" w:hAnsi="宋体" w:eastAsia="宋体" w:cs="宋体"/>
          <w:color w:val="auto"/>
          <w:sz w:val="21"/>
          <w:szCs w:val="21"/>
          <w:highlight w:val="none"/>
        </w:rPr>
        <w:t>信号输出2：脉冲频率输出和4～20mA电流输出。</w:t>
      </w:r>
    </w:p>
    <w:p w14:paraId="4F7FFEA5">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 </w:t>
      </w:r>
      <w:r>
        <w:rPr>
          <w:rFonts w:hint="eastAsia" w:ascii="宋体" w:hAnsi="宋体" w:eastAsia="宋体" w:cs="宋体"/>
          <w:color w:val="auto"/>
          <w:sz w:val="21"/>
          <w:szCs w:val="21"/>
          <w:highlight w:val="none"/>
        </w:rPr>
        <w:t>接地：配置接地环。</w:t>
      </w:r>
    </w:p>
    <w:p w14:paraId="5650E013">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 </w:t>
      </w:r>
      <w:r>
        <w:rPr>
          <w:rFonts w:hint="eastAsia" w:ascii="宋体" w:hAnsi="宋体" w:eastAsia="宋体" w:cs="宋体"/>
          <w:color w:val="auto"/>
          <w:sz w:val="21"/>
          <w:szCs w:val="21"/>
          <w:highlight w:val="none"/>
        </w:rPr>
        <w:t>抗电磁干扰：具有良好的抗干扰性能，需提供专业的认证机构出具的认证证书。</w:t>
      </w:r>
    </w:p>
    <w:p w14:paraId="06E8305C">
      <w:pPr>
        <w:pStyle w:val="140"/>
        <w:keepNext w:val="0"/>
        <w:keepLines w:val="0"/>
        <w:pageBreakBefore w:val="0"/>
        <w:widowControl w:val="0"/>
        <w:kinsoku/>
        <w:wordWrap/>
        <w:overflowPunct/>
        <w:topLinePunct w:val="0"/>
        <w:autoSpaceDE/>
        <w:autoSpaceDN/>
        <w:bidi w:val="0"/>
        <w:spacing w:after="0"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2.9 </w:t>
      </w:r>
      <w:r>
        <w:rPr>
          <w:rFonts w:hint="eastAsia" w:ascii="宋体" w:hAnsi="宋体" w:eastAsia="宋体" w:cs="宋体"/>
          <w:color w:val="auto"/>
          <w:sz w:val="21"/>
          <w:szCs w:val="21"/>
          <w:highlight w:val="none"/>
        </w:rPr>
        <w:t>出厂检定：每台仪表在出厂前都经过标准容器法或静态质量法进行实流标定。</w:t>
      </w:r>
    </w:p>
    <w:p w14:paraId="36EEE301">
      <w:pPr>
        <w:pStyle w:val="140"/>
        <w:keepNext w:val="0"/>
        <w:keepLines w:val="0"/>
        <w:pageBreakBefore w:val="0"/>
        <w:widowControl w:val="0"/>
        <w:kinsoku/>
        <w:wordWrap/>
        <w:overflowPunct/>
        <w:topLinePunct w:val="0"/>
        <w:autoSpaceDE/>
        <w:autoSpaceDN/>
        <w:bidi w:val="0"/>
        <w:spacing w:after="0"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rPr>
        <w:t>▲</w:t>
      </w:r>
      <w:r>
        <w:rPr>
          <w:rFonts w:hint="eastAsia" w:ascii="宋体" w:hAnsi="宋体" w:cs="宋体"/>
          <w:color w:val="auto"/>
          <w:sz w:val="21"/>
          <w:szCs w:val="21"/>
          <w:highlight w:val="none"/>
          <w:lang w:val="en-US" w:eastAsia="zh-CN"/>
        </w:rPr>
        <w:t xml:space="preserve">2.10 </w:t>
      </w:r>
      <w:r>
        <w:rPr>
          <w:rFonts w:hint="eastAsia" w:ascii="宋体" w:hAnsi="宋体" w:eastAsia="宋体" w:cs="宋体"/>
          <w:color w:val="auto"/>
          <w:sz w:val="21"/>
          <w:szCs w:val="21"/>
          <w:highlight w:val="none"/>
        </w:rPr>
        <w:t>保证精度流速范围要求：0.5m/s～5m/s。</w:t>
      </w:r>
    </w:p>
    <w:p w14:paraId="737F6019">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重复性误差：重复性不大于0.1％。</w:t>
      </w:r>
    </w:p>
    <w:p w14:paraId="0248FBA8">
      <w:pPr>
        <w:pStyle w:val="140"/>
        <w:keepNext w:val="0"/>
        <w:keepLines w:val="0"/>
        <w:pageBreakBefore w:val="0"/>
        <w:widowControl w:val="0"/>
        <w:kinsoku/>
        <w:wordWrap/>
        <w:overflowPunct/>
        <w:topLinePunct w:val="0"/>
        <w:autoSpaceDE/>
        <w:autoSpaceDN/>
        <w:bidi w:val="0"/>
        <w:spacing w:after="0"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测量流速：-10m/s～10m/s。</w:t>
      </w:r>
    </w:p>
    <w:p w14:paraId="3931BCA8">
      <w:pPr>
        <w:pStyle w:val="140"/>
        <w:keepNext w:val="0"/>
        <w:keepLines w:val="0"/>
        <w:pageBreakBefore w:val="0"/>
        <w:widowControl w:val="0"/>
        <w:kinsoku/>
        <w:wordWrap/>
        <w:overflowPunct/>
        <w:topLinePunct w:val="0"/>
        <w:autoSpaceDE/>
        <w:autoSpaceDN/>
        <w:bidi w:val="0"/>
        <w:spacing w:after="0" w:line="44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转换器工作环境温度要求： -20℃～+60℃</w:t>
      </w:r>
    </w:p>
    <w:p w14:paraId="79435E2D">
      <w:pPr>
        <w:pStyle w:val="140"/>
        <w:keepNext w:val="0"/>
        <w:keepLines w:val="0"/>
        <w:pageBreakBefore w:val="0"/>
        <w:widowControl w:val="0"/>
        <w:kinsoku/>
        <w:wordWrap/>
        <w:overflowPunct/>
        <w:topLinePunct w:val="0"/>
        <w:autoSpaceDE/>
        <w:autoSpaceDN/>
        <w:bidi w:val="0"/>
        <w:spacing w:after="0" w:line="44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传感器工作环境温度要求： -20℃～+60℃。 </w:t>
      </w:r>
    </w:p>
    <w:p w14:paraId="76579CCB">
      <w:pPr>
        <w:pStyle w:val="140"/>
        <w:keepNext w:val="0"/>
        <w:keepLines w:val="0"/>
        <w:pageBreakBefore w:val="0"/>
        <w:widowControl w:val="0"/>
        <w:kinsoku/>
        <w:wordWrap/>
        <w:overflowPunct/>
        <w:topLinePunct w:val="0"/>
        <w:autoSpaceDE/>
        <w:autoSpaceDN/>
        <w:bidi w:val="0"/>
        <w:spacing w:after="0" w:line="44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介质温度：0℃～+100℃。</w:t>
      </w:r>
    </w:p>
    <w:p w14:paraId="09CB5EBF">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传感器工作压力：1.0Mpa或1.6Mpa。</w:t>
      </w:r>
    </w:p>
    <w:p w14:paraId="4E7E94AF">
      <w:pPr>
        <w:pStyle w:val="140"/>
        <w:keepNext w:val="0"/>
        <w:keepLines w:val="0"/>
        <w:pageBreakBefore w:val="0"/>
        <w:widowControl w:val="0"/>
        <w:kinsoku/>
        <w:wordWrap/>
        <w:overflowPunct/>
        <w:topLinePunct w:val="0"/>
        <w:autoSpaceDE/>
        <w:autoSpaceDN/>
        <w:bidi w:val="0"/>
        <w:spacing w:after="0" w:line="44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供电方式：DC 24V和AC 220V可选。</w:t>
      </w:r>
    </w:p>
    <w:p w14:paraId="3D736227">
      <w:pPr>
        <w:pStyle w:val="140"/>
        <w:keepNext w:val="0"/>
        <w:keepLines w:val="0"/>
        <w:pageBreakBefore w:val="0"/>
        <w:widowControl w:val="0"/>
        <w:kinsoku/>
        <w:wordWrap/>
        <w:overflowPunct/>
        <w:topLinePunct w:val="0"/>
        <w:autoSpaceDE/>
        <w:autoSpaceDN/>
        <w:bidi w:val="0"/>
        <w:spacing w:after="0" w:line="44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功耗：不高于20W。</w:t>
      </w:r>
    </w:p>
    <w:p w14:paraId="37F72653">
      <w:pPr>
        <w:pStyle w:val="140"/>
        <w:keepNext w:val="0"/>
        <w:keepLines w:val="0"/>
        <w:pageBreakBefore w:val="0"/>
        <w:widowControl w:val="0"/>
        <w:kinsoku/>
        <w:wordWrap/>
        <w:overflowPunct/>
        <w:topLinePunct w:val="0"/>
        <w:autoSpaceDE/>
        <w:autoSpaceDN/>
        <w:bidi w:val="0"/>
        <w:spacing w:after="0" w:line="44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信号线缆长度：采购人按实际情况指定长度（范围：30</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100米）。</w:t>
      </w:r>
    </w:p>
    <w:p w14:paraId="55DF32A3">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2.20</w:t>
      </w:r>
      <w:r>
        <w:rPr>
          <w:rFonts w:hint="eastAsia" w:ascii="宋体" w:hAnsi="宋体" w:eastAsia="宋体" w:cs="宋体"/>
          <w:color w:val="auto"/>
          <w:sz w:val="21"/>
          <w:szCs w:val="21"/>
          <w:highlight w:val="none"/>
        </w:rPr>
        <w:t>转换器功能：提供双向流量瞬时、累积功能及流速显示，同一页面可同时显示瞬时流量和累积流量；具有自检及自诊断功能，根据故障情况反馈相应报警提示反馈（支持检测电流回路短路，空管指示、介质电导率、电极电阻、气泡或非满管）；具有多级密码设置。</w:t>
      </w:r>
    </w:p>
    <w:p w14:paraId="41C42A74">
      <w:pPr>
        <w:keepNext w:val="0"/>
        <w:keepLines w:val="0"/>
        <w:pageBreakBefore w:val="0"/>
        <w:widowControl w:val="0"/>
        <w:kinsoku/>
        <w:wordWrap/>
        <w:overflowPunct/>
        <w:topLinePunct w:val="0"/>
        <w:autoSpaceDE/>
        <w:autoSpaceDN/>
        <w:bidi w:val="0"/>
        <w:adjustRightInd w:val="0"/>
        <w:snapToGrid w:val="0"/>
        <w:spacing w:afterLines="0" w:line="440" w:lineRule="exact"/>
        <w:ind w:left="0" w:leftChars="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2.21电磁流量模拟信号校准器功能：支持量程范围内至少3个流速／流量点的测量。</w:t>
      </w:r>
    </w:p>
    <w:p w14:paraId="751630BA">
      <w:pPr>
        <w:widowControl w:val="0"/>
        <w:kinsoku/>
        <w:autoSpaceDE/>
        <w:autoSpaceDN/>
        <w:adjustRightInd/>
        <w:spacing w:line="440" w:lineRule="exact"/>
        <w:ind w:firstLine="210" w:firstLineChars="1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w:t>
      </w:r>
      <w:r>
        <w:rPr>
          <w:rFonts w:hint="eastAsia" w:ascii="Arial" w:hAnsi="Arial" w:eastAsia="宋体" w:cs="宋体"/>
          <w:b/>
          <w:bCs/>
          <w:color w:val="auto"/>
          <w:sz w:val="21"/>
          <w:szCs w:val="21"/>
          <w:highlight w:val="none"/>
          <w:lang w:val="en-US" w:eastAsia="zh-CN"/>
        </w:rPr>
        <w:t>管道式电磁流量计</w:t>
      </w:r>
      <w:r>
        <w:rPr>
          <w:rFonts w:hint="eastAsia" w:eastAsia="宋体" w:cs="宋体"/>
          <w:b/>
          <w:bCs/>
          <w:color w:val="auto"/>
          <w:sz w:val="21"/>
          <w:szCs w:val="21"/>
          <w:highlight w:val="none"/>
          <w:lang w:val="en-US" w:eastAsia="zh-CN"/>
        </w:rPr>
        <w:t>基础</w:t>
      </w:r>
      <w:r>
        <w:rPr>
          <w:rFonts w:hint="eastAsia" w:eastAsia="宋体" w:cs="宋体"/>
          <w:b/>
          <w:bCs/>
          <w:snapToGrid w:val="0"/>
          <w:color w:val="auto"/>
          <w:kern w:val="0"/>
          <w:sz w:val="21"/>
          <w:szCs w:val="21"/>
          <w:highlight w:val="none"/>
          <w:lang w:val="en-US" w:eastAsia="zh-CN" w:bidi="ar-SA"/>
        </w:rPr>
        <w:t>质量保证期</w:t>
      </w:r>
      <w:r>
        <w:rPr>
          <w:rFonts w:hint="eastAsia" w:ascii="宋体" w:hAnsi="宋体" w:eastAsia="宋体" w:cs="宋体"/>
          <w:b/>
          <w:bCs/>
          <w:snapToGrid w:val="0"/>
          <w:color w:val="auto"/>
          <w:kern w:val="0"/>
          <w:sz w:val="21"/>
          <w:szCs w:val="21"/>
          <w:highlight w:val="none"/>
          <w:lang w:val="en-US" w:eastAsia="zh-CN" w:bidi="ar-SA"/>
        </w:rPr>
        <w:t>统一为2年。</w:t>
      </w:r>
    </w:p>
    <w:p w14:paraId="0BD5CF91">
      <w:pPr>
        <w:rPr>
          <w:rFonts w:hint="eastAsia" w:eastAsia="宋体"/>
          <w:b/>
          <w:bCs/>
          <w:color w:val="auto"/>
          <w:sz w:val="32"/>
          <w:szCs w:val="32"/>
          <w:highlight w:val="none"/>
          <w:lang w:eastAsia="zh-CN"/>
        </w:rPr>
      </w:pPr>
    </w:p>
    <w:p w14:paraId="0AA0532A">
      <w:pPr>
        <w:widowControl w:val="0"/>
        <w:kinsoku/>
        <w:autoSpaceDE/>
        <w:autoSpaceDN/>
        <w:spacing w:line="440" w:lineRule="exact"/>
        <w:ind w:firstLine="420" w:firstLineChars="200"/>
        <w:textAlignment w:val="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七</w:t>
      </w:r>
      <w:r>
        <w:rPr>
          <w:rFonts w:hint="eastAsia" w:ascii="宋体" w:hAnsi="宋体" w:eastAsia="宋体" w:cs="宋体"/>
          <w:b w:val="0"/>
          <w:bCs w:val="0"/>
          <w:color w:val="auto"/>
          <w:sz w:val="21"/>
          <w:szCs w:val="21"/>
          <w:highlight w:val="none"/>
          <w:u w:val="none"/>
          <w:lang w:eastAsia="zh-CN"/>
        </w:rPr>
        <w:t>、</w:t>
      </w:r>
      <w:r>
        <w:rPr>
          <w:rFonts w:hint="eastAsia" w:ascii="宋体" w:hAnsi="宋体" w:eastAsia="宋体" w:cs="宋体"/>
          <w:b w:val="0"/>
          <w:bCs w:val="0"/>
          <w:color w:val="auto"/>
          <w:sz w:val="21"/>
          <w:szCs w:val="21"/>
          <w:highlight w:val="none"/>
          <w:u w:val="none"/>
          <w:lang w:val="en-US" w:eastAsia="zh-CN"/>
        </w:rPr>
        <w:t>综合要求</w:t>
      </w:r>
    </w:p>
    <w:p w14:paraId="21D0BB73">
      <w:pPr>
        <w:widowControl w:val="0"/>
        <w:kinsoku/>
        <w:autoSpaceDE/>
        <w:autoSpaceDN/>
        <w:spacing w:line="440" w:lineRule="exact"/>
        <w:ind w:firstLine="420" w:firstLineChars="200"/>
        <w:textAlignment w:val="auto"/>
        <w:rPr>
          <w:rFonts w:hint="eastAsia" w:ascii="宋体" w:hAnsi="宋体" w:eastAsia="宋体" w:cs="宋体"/>
          <w:strike w:val="0"/>
          <w:dstrike w:val="0"/>
          <w:color w:val="auto"/>
          <w:kern w:val="0"/>
          <w:sz w:val="21"/>
          <w:szCs w:val="21"/>
          <w:highlight w:val="none"/>
          <w:u w:val="none"/>
        </w:rPr>
      </w:pPr>
      <w:r>
        <w:rPr>
          <w:rFonts w:hint="eastAsia" w:ascii="宋体" w:hAnsi="宋体" w:eastAsia="宋体" w:cs="宋体"/>
          <w:strike w:val="0"/>
          <w:dstrike w:val="0"/>
          <w:color w:val="auto"/>
          <w:kern w:val="0"/>
          <w:sz w:val="21"/>
          <w:szCs w:val="21"/>
          <w:highlight w:val="none"/>
          <w:u w:val="none"/>
          <w:lang w:val="en-US" w:eastAsia="zh-CN"/>
        </w:rPr>
        <w:t>1.</w:t>
      </w:r>
      <w:r>
        <w:rPr>
          <w:rFonts w:hint="eastAsia" w:ascii="宋体" w:hAnsi="宋体" w:eastAsia="宋体" w:cs="宋体"/>
          <w:strike w:val="0"/>
          <w:dstrike w:val="0"/>
          <w:color w:val="auto"/>
          <w:kern w:val="0"/>
          <w:sz w:val="21"/>
          <w:szCs w:val="21"/>
          <w:highlight w:val="none"/>
          <w:u w:val="none"/>
        </w:rPr>
        <w:t>本招标文件中的技术要求不得被认为是详尽无遗的，无论规定与否，投标人提供采购人没有规定但投标人认为完成本项目操作和使用，产品必要或必须符合国家有关标准和规范。</w:t>
      </w:r>
    </w:p>
    <w:p w14:paraId="1BDDB0EA">
      <w:pPr>
        <w:widowControl w:val="0"/>
        <w:kinsoku/>
        <w:autoSpaceDE/>
        <w:autoSpaceDN/>
        <w:spacing w:line="440" w:lineRule="exact"/>
        <w:ind w:firstLine="420" w:firstLineChars="200"/>
        <w:textAlignment w:val="auto"/>
        <w:rPr>
          <w:rFonts w:hint="eastAsia" w:ascii="宋体" w:hAnsi="宋体" w:eastAsia="宋体" w:cs="宋体"/>
          <w:b w:val="0"/>
          <w:bCs w:val="0"/>
          <w:color w:val="auto"/>
          <w:sz w:val="21"/>
          <w:szCs w:val="21"/>
          <w:highlight w:val="none"/>
          <w:u w:val="none"/>
          <w:lang w:eastAsia="zh-CN"/>
        </w:rPr>
      </w:pPr>
      <w:r>
        <w:rPr>
          <w:rFonts w:hint="eastAsia" w:ascii="宋体" w:hAnsi="宋体" w:eastAsia="宋体" w:cs="宋体"/>
          <w:strike w:val="0"/>
          <w:dstrike w:val="0"/>
          <w:color w:val="auto"/>
          <w:kern w:val="0"/>
          <w:sz w:val="21"/>
          <w:szCs w:val="21"/>
          <w:highlight w:val="none"/>
          <w:u w:val="none"/>
          <w:lang w:val="en-US" w:eastAsia="zh-CN"/>
        </w:rPr>
        <w:t>2.</w:t>
      </w:r>
      <w:r>
        <w:rPr>
          <w:rFonts w:hint="eastAsia" w:ascii="宋体" w:hAnsi="宋体" w:eastAsia="宋体" w:cs="宋体"/>
          <w:strike w:val="0"/>
          <w:dstrike w:val="0"/>
          <w:color w:val="auto"/>
          <w:kern w:val="0"/>
          <w:sz w:val="21"/>
          <w:szCs w:val="21"/>
          <w:highlight w:val="none"/>
          <w:u w:val="none"/>
        </w:rPr>
        <w:t>投标人应对清单中所列材料进行报价，不允许只对其中部分材料或内容进行报价。</w:t>
      </w:r>
    </w:p>
    <w:p w14:paraId="02B7DF17">
      <w:pPr>
        <w:widowControl w:val="0"/>
        <w:kinsoku/>
        <w:autoSpaceDE/>
        <w:autoSpaceDN/>
        <w:adjustRightInd w:val="0"/>
        <w:snapToGrid w:val="0"/>
        <w:spacing w:line="440" w:lineRule="exact"/>
        <w:ind w:firstLine="420" w:firstLineChars="200"/>
        <w:jc w:val="left"/>
        <w:textAlignment w:val="auto"/>
        <w:rPr>
          <w:rFonts w:hint="eastAsia" w:ascii="宋体" w:hAnsi="宋体" w:eastAsia="宋体" w:cs="宋体"/>
          <w:strike w:val="0"/>
          <w:dstrike w:val="0"/>
          <w:color w:val="auto"/>
          <w:kern w:val="0"/>
          <w:sz w:val="21"/>
          <w:szCs w:val="21"/>
          <w:highlight w:val="none"/>
          <w:u w:val="none"/>
        </w:rPr>
      </w:pPr>
      <w:r>
        <w:rPr>
          <w:rFonts w:hint="eastAsia" w:ascii="宋体" w:hAnsi="宋体" w:eastAsia="宋体" w:cs="宋体"/>
          <w:strike w:val="0"/>
          <w:dstrike w:val="0"/>
          <w:color w:val="auto"/>
          <w:kern w:val="0"/>
          <w:sz w:val="21"/>
          <w:szCs w:val="21"/>
          <w:highlight w:val="none"/>
          <w:u w:val="none"/>
        </w:rPr>
        <w:t>3</w:t>
      </w:r>
      <w:r>
        <w:rPr>
          <w:rFonts w:hint="eastAsia" w:ascii="宋体" w:hAnsi="宋体" w:eastAsia="宋体" w:cs="宋体"/>
          <w:strike w:val="0"/>
          <w:dstrike w:val="0"/>
          <w:color w:val="auto"/>
          <w:kern w:val="0"/>
          <w:sz w:val="21"/>
          <w:szCs w:val="21"/>
          <w:highlight w:val="none"/>
          <w:u w:val="none"/>
          <w:lang w:eastAsia="zh-CN"/>
        </w:rPr>
        <w:t>.</w:t>
      </w:r>
      <w:r>
        <w:rPr>
          <w:rFonts w:hint="eastAsia" w:ascii="宋体" w:hAnsi="宋体" w:eastAsia="宋体" w:cs="宋体"/>
          <w:color w:val="auto"/>
          <w:kern w:val="0"/>
          <w:sz w:val="21"/>
          <w:szCs w:val="21"/>
          <w:highlight w:val="none"/>
          <w:u w:val="none"/>
        </w:rPr>
        <w:t>投标人根据采购人要求分期分批供货，每批次供货必须提供</w:t>
      </w:r>
      <w:r>
        <w:rPr>
          <w:rFonts w:hint="eastAsia" w:ascii="宋体" w:hAnsi="宋体" w:eastAsia="宋体" w:cs="宋体"/>
          <w:color w:val="auto"/>
          <w:kern w:val="0"/>
          <w:sz w:val="21"/>
          <w:szCs w:val="21"/>
          <w:highlight w:val="none"/>
          <w:u w:val="none"/>
          <w:lang w:val="en-US" w:eastAsia="zh-CN"/>
        </w:rPr>
        <w:t>供货</w:t>
      </w:r>
      <w:r>
        <w:rPr>
          <w:rFonts w:hint="eastAsia" w:ascii="宋体" w:hAnsi="宋体" w:eastAsia="宋体" w:cs="宋体"/>
          <w:color w:val="auto"/>
          <w:kern w:val="0"/>
          <w:sz w:val="21"/>
          <w:szCs w:val="21"/>
          <w:highlight w:val="none"/>
          <w:u w:val="none"/>
        </w:rPr>
        <w:t>单；投标人</w:t>
      </w:r>
      <w:r>
        <w:rPr>
          <w:rFonts w:hint="eastAsia" w:ascii="宋体" w:hAnsi="宋体" w:eastAsia="宋体" w:cs="宋体"/>
          <w:color w:val="auto"/>
          <w:kern w:val="0"/>
          <w:sz w:val="21"/>
          <w:szCs w:val="21"/>
          <w:highlight w:val="none"/>
          <w:u w:val="none"/>
          <w:lang w:val="en-US" w:eastAsia="zh-CN"/>
        </w:rPr>
        <w:t>负责</w:t>
      </w:r>
      <w:r>
        <w:rPr>
          <w:rFonts w:hint="eastAsia" w:ascii="宋体" w:hAnsi="宋体" w:eastAsia="宋体" w:cs="宋体"/>
          <w:color w:val="auto"/>
          <w:kern w:val="0"/>
          <w:sz w:val="21"/>
          <w:szCs w:val="21"/>
          <w:highlight w:val="none"/>
          <w:u w:val="none"/>
        </w:rPr>
        <w:t>货物的运输安全。</w:t>
      </w:r>
    </w:p>
    <w:p w14:paraId="11DBDE3A">
      <w:pPr>
        <w:widowControl w:val="0"/>
        <w:kinsoku/>
        <w:autoSpaceDE/>
        <w:autoSpaceDN/>
        <w:spacing w:line="440" w:lineRule="exact"/>
        <w:ind w:firstLine="420" w:firstLineChars="200"/>
        <w:textAlignment w:val="auto"/>
        <w:rPr>
          <w:rFonts w:hint="eastAsia" w:ascii="宋体" w:hAnsi="宋体" w:eastAsia="宋体" w:cs="宋体"/>
          <w:color w:val="auto"/>
          <w:kern w:val="0"/>
          <w:sz w:val="21"/>
          <w:szCs w:val="21"/>
          <w:highlight w:val="none"/>
          <w:u w:val="none"/>
        </w:rPr>
      </w:pPr>
      <w:r>
        <w:rPr>
          <w:rFonts w:hint="eastAsia" w:ascii="宋体" w:hAnsi="宋体" w:eastAsia="宋体" w:cs="宋体"/>
          <w:color w:val="auto"/>
          <w:kern w:val="0"/>
          <w:sz w:val="21"/>
          <w:szCs w:val="21"/>
          <w:highlight w:val="none"/>
          <w:u w:val="none"/>
          <w:lang w:val="en-US" w:eastAsia="zh-CN"/>
        </w:rPr>
        <w:t>4.</w:t>
      </w:r>
      <w:r>
        <w:rPr>
          <w:rFonts w:hint="eastAsia" w:ascii="宋体" w:hAnsi="宋体" w:eastAsia="宋体" w:cs="宋体"/>
          <w:color w:val="auto"/>
          <w:sz w:val="21"/>
          <w:szCs w:val="21"/>
          <w:highlight w:val="none"/>
          <w:u w:val="none"/>
        </w:rPr>
        <w:t>在</w:t>
      </w:r>
      <w:r>
        <w:rPr>
          <w:rFonts w:hint="eastAsia" w:ascii="宋体" w:hAnsi="宋体" w:eastAsia="宋体" w:cs="宋体"/>
          <w:color w:val="auto"/>
          <w:sz w:val="21"/>
          <w:szCs w:val="21"/>
          <w:highlight w:val="none"/>
          <w:u w:val="none"/>
          <w:lang w:eastAsia="zh-CN"/>
        </w:rPr>
        <w:t>质量保证期</w:t>
      </w:r>
      <w:r>
        <w:rPr>
          <w:rFonts w:hint="eastAsia" w:ascii="宋体" w:hAnsi="宋体" w:eastAsia="宋体" w:cs="宋体"/>
          <w:color w:val="auto"/>
          <w:sz w:val="21"/>
          <w:szCs w:val="21"/>
          <w:highlight w:val="none"/>
          <w:u w:val="none"/>
        </w:rPr>
        <w:t>内如发现货物有其它潜在缺陷及</w:t>
      </w:r>
      <w:r>
        <w:rPr>
          <w:rFonts w:hint="eastAsia" w:ascii="宋体" w:hAnsi="宋体" w:eastAsia="宋体" w:cs="宋体"/>
          <w:color w:val="auto"/>
          <w:kern w:val="0"/>
          <w:sz w:val="21"/>
          <w:szCs w:val="21"/>
          <w:highlight w:val="none"/>
          <w:u w:val="none"/>
        </w:rPr>
        <w:t>采购人</w:t>
      </w:r>
      <w:r>
        <w:rPr>
          <w:rFonts w:hint="eastAsia" w:ascii="宋体" w:hAnsi="宋体" w:eastAsia="宋体" w:cs="宋体"/>
          <w:color w:val="auto"/>
          <w:sz w:val="21"/>
          <w:szCs w:val="21"/>
          <w:highlight w:val="none"/>
          <w:u w:val="none"/>
        </w:rPr>
        <w:t>使用后发现存在不符合投标书承诺的标准的，</w:t>
      </w:r>
      <w:r>
        <w:rPr>
          <w:rFonts w:hint="eastAsia" w:ascii="宋体" w:hAnsi="宋体" w:eastAsia="宋体" w:cs="宋体"/>
          <w:color w:val="auto"/>
          <w:sz w:val="21"/>
          <w:szCs w:val="21"/>
          <w:highlight w:val="none"/>
          <w:u w:val="none"/>
          <w:lang w:eastAsia="zh-CN"/>
        </w:rPr>
        <w:t>采购人</w:t>
      </w:r>
      <w:r>
        <w:rPr>
          <w:rFonts w:hint="eastAsia" w:ascii="宋体" w:hAnsi="宋体" w:eastAsia="宋体" w:cs="宋体"/>
          <w:color w:val="auto"/>
          <w:sz w:val="21"/>
          <w:szCs w:val="21"/>
          <w:highlight w:val="none"/>
          <w:u w:val="none"/>
        </w:rPr>
        <w:t>有权退货或向供应商索赔。如果是有故障</w:t>
      </w:r>
      <w:r>
        <w:rPr>
          <w:rFonts w:hint="eastAsia" w:ascii="宋体" w:hAnsi="宋体" w:eastAsia="宋体" w:cs="宋体"/>
          <w:color w:val="auto"/>
          <w:sz w:val="21"/>
          <w:szCs w:val="21"/>
          <w:highlight w:val="none"/>
          <w:u w:val="none"/>
          <w:lang w:eastAsia="zh-CN"/>
        </w:rPr>
        <w:t>且</w:t>
      </w:r>
      <w:r>
        <w:rPr>
          <w:rFonts w:hint="eastAsia" w:ascii="宋体" w:hAnsi="宋体" w:eastAsia="宋体" w:cs="宋体"/>
          <w:color w:val="auto"/>
          <w:sz w:val="21"/>
          <w:szCs w:val="21"/>
          <w:highlight w:val="none"/>
          <w:u w:val="none"/>
        </w:rPr>
        <w:t>无法排除而换货，则</w:t>
      </w:r>
      <w:r>
        <w:rPr>
          <w:rFonts w:hint="eastAsia" w:ascii="宋体" w:hAnsi="宋体" w:eastAsia="宋体" w:cs="宋体"/>
          <w:color w:val="auto"/>
          <w:sz w:val="21"/>
          <w:szCs w:val="21"/>
          <w:highlight w:val="none"/>
          <w:u w:val="none"/>
          <w:lang w:eastAsia="zh-CN"/>
        </w:rPr>
        <w:t>质量保证期</w:t>
      </w:r>
      <w:r>
        <w:rPr>
          <w:rFonts w:hint="eastAsia" w:ascii="宋体" w:hAnsi="宋体" w:eastAsia="宋体" w:cs="宋体"/>
          <w:color w:val="auto"/>
          <w:sz w:val="21"/>
          <w:szCs w:val="21"/>
          <w:highlight w:val="none"/>
          <w:u w:val="none"/>
        </w:rPr>
        <w:t>应当追加一年。</w:t>
      </w:r>
      <w:r>
        <w:rPr>
          <w:rFonts w:hint="eastAsia" w:ascii="宋体" w:hAnsi="宋体" w:eastAsia="宋体" w:cs="宋体"/>
          <w:color w:val="auto"/>
          <w:sz w:val="21"/>
          <w:szCs w:val="21"/>
          <w:highlight w:val="none"/>
          <w:u w:val="none"/>
          <w:lang w:eastAsia="zh-CN"/>
        </w:rPr>
        <w:t>质量保证期</w:t>
      </w:r>
      <w:r>
        <w:rPr>
          <w:rFonts w:hint="eastAsia" w:ascii="宋体" w:hAnsi="宋体" w:eastAsia="宋体" w:cs="宋体"/>
          <w:color w:val="auto"/>
          <w:sz w:val="21"/>
          <w:szCs w:val="21"/>
          <w:highlight w:val="none"/>
          <w:u w:val="none"/>
        </w:rPr>
        <w:t>内因货物本身缺陷造成各种故障应由供应商免费予以更换。</w:t>
      </w:r>
    </w:p>
    <w:p w14:paraId="3335D0AD">
      <w:pPr>
        <w:widowControl w:val="0"/>
        <w:kinsoku/>
        <w:autoSpaceDE/>
        <w:autoSpaceDN/>
        <w:spacing w:beforeLines="50" w:line="440" w:lineRule="exact"/>
        <w:ind w:firstLine="420" w:firstLineChars="200"/>
        <w:textAlignment w:val="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rPr>
        <w:t>供应商必须有可靠的售后服务保障包括但不限于在</w:t>
      </w:r>
      <w:r>
        <w:rPr>
          <w:rFonts w:hint="eastAsia" w:ascii="宋体" w:hAnsi="宋体" w:eastAsia="宋体" w:cs="宋体"/>
          <w:b w:val="0"/>
          <w:color w:val="auto"/>
          <w:sz w:val="21"/>
          <w:szCs w:val="21"/>
          <w:highlight w:val="none"/>
          <w:u w:val="none"/>
        </w:rPr>
        <w:t>绍兴范围内</w:t>
      </w:r>
      <w:r>
        <w:rPr>
          <w:rFonts w:hint="eastAsia" w:ascii="宋体" w:hAnsi="宋体" w:eastAsia="宋体" w:cs="宋体"/>
          <w:color w:val="auto"/>
          <w:sz w:val="21"/>
          <w:szCs w:val="21"/>
          <w:highlight w:val="none"/>
          <w:u w:val="none"/>
        </w:rPr>
        <w:t>有固定的维修服务点，能提供正常的技术、备品备件服务。</w:t>
      </w:r>
      <w:r>
        <w:rPr>
          <w:rFonts w:hint="eastAsia" w:ascii="宋体" w:hAnsi="宋体" w:eastAsia="宋体" w:cs="宋体"/>
          <w:color w:val="auto"/>
          <w:sz w:val="21"/>
          <w:szCs w:val="21"/>
          <w:highlight w:val="none"/>
          <w:u w:val="none"/>
          <w:lang w:eastAsia="zh-CN"/>
        </w:rPr>
        <w:t>质量保证期</w:t>
      </w:r>
      <w:r>
        <w:rPr>
          <w:rFonts w:hint="eastAsia" w:ascii="宋体" w:hAnsi="宋体" w:eastAsia="宋体" w:cs="宋体"/>
          <w:color w:val="auto"/>
          <w:sz w:val="21"/>
          <w:szCs w:val="21"/>
          <w:highlight w:val="none"/>
          <w:u w:val="none"/>
        </w:rPr>
        <w:t>内供应商在接到采购人通知后，24小时内派人赴现场处理设备质量问题。24小时内不能修复的，则无偿提供备机或备用零件供采购人使用。</w:t>
      </w:r>
    </w:p>
    <w:p w14:paraId="74D42CDB">
      <w:pPr>
        <w:widowControl w:val="0"/>
        <w:kinsoku/>
        <w:autoSpaceDE/>
        <w:autoSpaceDN/>
        <w:spacing w:beforeLines="-2147483648" w:line="440" w:lineRule="exact"/>
        <w:ind w:firstLine="420"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6.除管道式电磁流量计外，其他产品均包含安装施工，且施工队伍要经过采购人培训、考核，认定合格才可开展工作，同时具备承担安装后相关赔偿及问题处置的能力。</w:t>
      </w:r>
    </w:p>
    <w:p w14:paraId="53EDE29E">
      <w:pPr>
        <w:widowControl w:val="0"/>
        <w:kinsoku/>
        <w:autoSpaceDE/>
        <w:autoSpaceDN/>
        <w:spacing w:beforeLines="-2147483648" w:line="440" w:lineRule="exact"/>
        <w:ind w:firstLine="420"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7.本项目须提供完整工程资料，具体资料清单及内容根据工程实际情况确定。</w:t>
      </w:r>
    </w:p>
    <w:p w14:paraId="193FB69B">
      <w:pPr>
        <w:widowControl w:val="0"/>
        <w:kinsoku/>
        <w:autoSpaceDE/>
        <w:autoSpaceDN/>
        <w:spacing w:beforeLines="-2147483648" w:line="440" w:lineRule="exact"/>
        <w:ind w:firstLine="420" w:firstLineChars="200"/>
        <w:textAlignment w:val="auto"/>
        <w:rPr>
          <w:rFonts w:hint="default"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8.因投标产品的质量问题或计量问题，给采购人造成水费等损失的，中标人要承担相应赔偿。</w:t>
      </w:r>
    </w:p>
    <w:p w14:paraId="37110CE4">
      <w:pPr>
        <w:widowControl w:val="0"/>
        <w:kinsoku/>
        <w:autoSpaceDE/>
        <w:autoSpaceDN/>
        <w:adjustRightInd w:val="0"/>
        <w:snapToGrid w:val="0"/>
        <w:spacing w:beforeLines="-2147483648" w:line="440" w:lineRule="exact"/>
        <w:ind w:firstLine="420" w:firstLineChars="200"/>
        <w:textAlignment w:val="auto"/>
        <w:rPr>
          <w:rFonts w:hint="eastAsia" w:ascii="宋体" w:hAnsi="宋体" w:eastAsia="宋体" w:cs="宋体"/>
          <w:color w:val="auto"/>
          <w:sz w:val="21"/>
          <w:szCs w:val="21"/>
          <w:highlight w:val="none"/>
          <w:u w:val="none"/>
        </w:rPr>
      </w:pPr>
    </w:p>
    <w:p w14:paraId="6B138222">
      <w:pPr>
        <w:rPr>
          <w:rFonts w:hint="eastAsia" w:ascii="宋体" w:hAnsi="宋体" w:eastAsia="宋体" w:cs="宋体"/>
          <w:color w:val="auto"/>
          <w:kern w:val="0"/>
          <w:sz w:val="21"/>
          <w:szCs w:val="21"/>
          <w:highlight w:val="none"/>
          <w:lang w:eastAsia="zh-CN"/>
        </w:rPr>
      </w:pPr>
    </w:p>
    <w:p w14:paraId="4B415009">
      <w:pPr>
        <w:rPr>
          <w:rFonts w:hint="eastAsia" w:eastAsia="宋体"/>
          <w:b/>
          <w:bCs/>
          <w:color w:val="auto"/>
          <w:sz w:val="32"/>
          <w:szCs w:val="32"/>
          <w:highlight w:val="none"/>
          <w:lang w:eastAsia="zh-CN"/>
        </w:rPr>
      </w:pPr>
    </w:p>
    <w:p w14:paraId="7B198983">
      <w:pPr>
        <w:rPr>
          <w:rFonts w:hint="eastAsia" w:eastAsia="宋体"/>
          <w:b/>
          <w:bCs/>
          <w:color w:val="auto"/>
          <w:sz w:val="32"/>
          <w:szCs w:val="32"/>
          <w:highlight w:val="none"/>
          <w:lang w:eastAsia="zh-CN"/>
        </w:rPr>
      </w:pPr>
    </w:p>
    <w:p w14:paraId="38EBF0F5">
      <w:pPr>
        <w:rPr>
          <w:rFonts w:hint="eastAsia" w:eastAsia="宋体"/>
          <w:b/>
          <w:bCs/>
          <w:color w:val="auto"/>
          <w:sz w:val="32"/>
          <w:szCs w:val="32"/>
          <w:highlight w:val="none"/>
          <w:lang w:eastAsia="zh-CN"/>
        </w:rPr>
      </w:pPr>
    </w:p>
    <w:p w14:paraId="736CB9E5">
      <w:pPr>
        <w:rPr>
          <w:rFonts w:hint="eastAsia" w:eastAsia="宋体"/>
          <w:b/>
          <w:bCs/>
          <w:color w:val="auto"/>
          <w:sz w:val="32"/>
          <w:szCs w:val="32"/>
          <w:highlight w:val="none"/>
          <w:lang w:eastAsia="zh-CN"/>
        </w:rPr>
      </w:pPr>
    </w:p>
    <w:p w14:paraId="64E73411">
      <w:pPr>
        <w:rPr>
          <w:rFonts w:hint="eastAsia" w:eastAsia="宋体"/>
          <w:b/>
          <w:bCs/>
          <w:color w:val="auto"/>
          <w:sz w:val="32"/>
          <w:szCs w:val="32"/>
          <w:highlight w:val="none"/>
          <w:lang w:eastAsia="zh-CN"/>
        </w:rPr>
      </w:pPr>
    </w:p>
    <w:p w14:paraId="1E1FFC80">
      <w:pPr>
        <w:rPr>
          <w:rFonts w:hint="eastAsia" w:eastAsia="宋体"/>
          <w:b/>
          <w:bCs/>
          <w:color w:val="auto"/>
          <w:sz w:val="32"/>
          <w:szCs w:val="32"/>
          <w:highlight w:val="none"/>
          <w:lang w:eastAsia="zh-CN"/>
        </w:rPr>
      </w:pPr>
    </w:p>
    <w:p w14:paraId="765437ED">
      <w:pPr>
        <w:rPr>
          <w:rFonts w:hint="eastAsia" w:eastAsia="宋体"/>
          <w:b/>
          <w:bCs/>
          <w:color w:val="auto"/>
          <w:sz w:val="32"/>
          <w:szCs w:val="32"/>
          <w:highlight w:val="none"/>
          <w:lang w:eastAsia="zh-CN"/>
        </w:rPr>
      </w:pPr>
    </w:p>
    <w:p w14:paraId="705138B7">
      <w:pPr>
        <w:rPr>
          <w:rFonts w:hint="eastAsia" w:eastAsia="宋体"/>
          <w:b/>
          <w:bCs/>
          <w:color w:val="auto"/>
          <w:sz w:val="32"/>
          <w:szCs w:val="32"/>
          <w:highlight w:val="none"/>
          <w:lang w:eastAsia="zh-CN"/>
        </w:rPr>
      </w:pPr>
    </w:p>
    <w:p w14:paraId="186ED072">
      <w:pPr>
        <w:rPr>
          <w:rFonts w:hint="eastAsia" w:eastAsia="宋体"/>
          <w:b/>
          <w:bCs/>
          <w:color w:val="auto"/>
          <w:sz w:val="32"/>
          <w:szCs w:val="32"/>
          <w:highlight w:val="none"/>
          <w:lang w:eastAsia="zh-CN"/>
        </w:rPr>
      </w:pPr>
    </w:p>
    <w:p w14:paraId="4952FC3D">
      <w:pPr>
        <w:rPr>
          <w:rFonts w:hint="eastAsia" w:eastAsia="宋体"/>
          <w:b/>
          <w:bCs/>
          <w:color w:val="auto"/>
          <w:sz w:val="32"/>
          <w:szCs w:val="32"/>
          <w:highlight w:val="none"/>
          <w:lang w:eastAsia="zh-CN"/>
        </w:rPr>
      </w:pPr>
      <w:r>
        <w:rPr>
          <w:rFonts w:hint="eastAsia" w:eastAsia="宋体"/>
          <w:b/>
          <w:bCs/>
          <w:color w:val="auto"/>
          <w:sz w:val="32"/>
          <w:szCs w:val="32"/>
          <w:highlight w:val="none"/>
          <w:lang w:eastAsia="zh-CN"/>
        </w:rPr>
        <w:br w:type="page"/>
      </w:r>
    </w:p>
    <w:bookmarkEnd w:id="225"/>
    <w:bookmarkEnd w:id="226"/>
    <w:p w14:paraId="263AD983">
      <w:pPr>
        <w:spacing w:before="0" w:line="440" w:lineRule="exact"/>
        <w:ind w:left="0"/>
        <w:jc w:val="center"/>
        <w:outlineLvl w:val="0"/>
        <w:rPr>
          <w:rFonts w:ascii="宋体" w:eastAsia="宋体" w:cs="宋体"/>
          <w:color w:val="auto"/>
          <w:sz w:val="36"/>
          <w:szCs w:val="36"/>
          <w:highlight w:val="none"/>
        </w:rPr>
      </w:pPr>
      <w:bookmarkStart w:id="228" w:name="_Toc31814"/>
      <w:bookmarkStart w:id="229" w:name="_Toc4024"/>
      <w:r>
        <w:rPr>
          <w:rFonts w:ascii="宋体" w:eastAsia="宋体" w:cs="宋体"/>
          <w:color w:val="auto"/>
          <w:sz w:val="36"/>
          <w:szCs w:val="36"/>
          <w:highlight w:val="none"/>
        </w:rPr>
        <w:t>第六章</w:t>
      </w:r>
      <w:r>
        <w:rPr>
          <w:rFonts w:hint="eastAsia" w:ascii="宋体" w:eastAsia="宋体" w:cs="宋体"/>
          <w:color w:val="auto"/>
          <w:sz w:val="36"/>
          <w:szCs w:val="36"/>
          <w:highlight w:val="none"/>
        </w:rPr>
        <w:t xml:space="preserve"> </w:t>
      </w:r>
      <w:r>
        <w:rPr>
          <w:rFonts w:ascii="宋体" w:eastAsia="宋体" w:cs="宋体"/>
          <w:color w:val="auto"/>
          <w:sz w:val="36"/>
          <w:szCs w:val="36"/>
          <w:highlight w:val="none"/>
        </w:rPr>
        <w:t>投标文件格式</w:t>
      </w:r>
      <w:bookmarkEnd w:id="228"/>
      <w:bookmarkEnd w:id="229"/>
    </w:p>
    <w:p w14:paraId="7A9CF705">
      <w:pPr>
        <w:rPr>
          <w:rFonts w:hint="eastAsia" w:eastAsia="宋体"/>
          <w:color w:val="auto"/>
          <w:highlight w:val="none"/>
          <w:lang w:val="en-US" w:eastAsia="zh-CN"/>
        </w:rPr>
      </w:pPr>
    </w:p>
    <w:p w14:paraId="1F7AA308">
      <w:pPr>
        <w:shd w:val="clear"/>
        <w:spacing w:before="91" w:line="222" w:lineRule="auto"/>
        <w:ind w:left="4576"/>
        <w:jc w:val="both"/>
        <w:rPr>
          <w:rFonts w:ascii="黑体" w:hAnsi="黑体" w:eastAsia="黑体" w:cs="黑体"/>
          <w:color w:val="auto"/>
          <w:sz w:val="28"/>
          <w:szCs w:val="28"/>
          <w:highlight w:val="none"/>
        </w:rPr>
      </w:pPr>
      <w:r>
        <w:rPr>
          <w:rFonts w:ascii="黑体" w:hAnsi="黑体" w:eastAsia="黑体" w:cs="黑体"/>
          <w:color w:val="auto"/>
          <w:sz w:val="28"/>
          <w:szCs w:val="28"/>
          <w:highlight w:val="none"/>
        </w:rPr>
        <w:t>目  录</w:t>
      </w:r>
    </w:p>
    <w:p w14:paraId="7D03A1D2">
      <w:pPr>
        <w:shd w:val="clear"/>
        <w:spacing w:before="207" w:line="221" w:lineRule="auto"/>
        <w:ind w:left="-2" w:leftChars="-1" w:firstLine="283" w:firstLineChars="118"/>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一、投标函</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格式一</w:t>
      </w:r>
      <w:r>
        <w:rPr>
          <w:rFonts w:hint="eastAsia" w:ascii="宋体" w:hAnsi="宋体" w:eastAsia="宋体" w:cs="宋体"/>
          <w:color w:val="auto"/>
          <w:sz w:val="24"/>
          <w:szCs w:val="24"/>
          <w:highlight w:val="none"/>
        </w:rPr>
        <w:t>）</w:t>
      </w:r>
    </w:p>
    <w:p w14:paraId="714F5421">
      <w:pPr>
        <w:shd w:val="clear"/>
        <w:spacing w:before="209" w:line="221" w:lineRule="auto"/>
        <w:ind w:left="-2" w:leftChars="-1" w:firstLine="283" w:firstLineChars="118"/>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二、法定代表人身份证明</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格式二</w:t>
      </w:r>
      <w:r>
        <w:rPr>
          <w:rFonts w:hint="eastAsia" w:ascii="宋体" w:hAnsi="宋体" w:eastAsia="宋体" w:cs="宋体"/>
          <w:color w:val="auto"/>
          <w:sz w:val="24"/>
          <w:szCs w:val="24"/>
          <w:highlight w:val="none"/>
        </w:rPr>
        <w:t>）</w:t>
      </w:r>
    </w:p>
    <w:p w14:paraId="42C6E5B2">
      <w:pPr>
        <w:shd w:val="clear"/>
        <w:spacing w:before="209" w:line="221" w:lineRule="auto"/>
        <w:ind w:left="-2" w:leftChars="-1" w:firstLine="283" w:firstLineChars="118"/>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三、法定代表人授权委托书</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格式三</w:t>
      </w:r>
      <w:r>
        <w:rPr>
          <w:rFonts w:hint="eastAsia" w:ascii="宋体" w:hAnsi="宋体" w:eastAsia="宋体" w:cs="宋体"/>
          <w:color w:val="auto"/>
          <w:sz w:val="24"/>
          <w:szCs w:val="24"/>
          <w:highlight w:val="none"/>
        </w:rPr>
        <w:t>）</w:t>
      </w:r>
    </w:p>
    <w:p w14:paraId="7D37BBF6">
      <w:pPr>
        <w:shd w:val="clear"/>
        <w:spacing w:before="210" w:line="221" w:lineRule="auto"/>
        <w:ind w:left="-2" w:leftChars="-1" w:firstLine="283" w:firstLineChars="118"/>
        <w:jc w:val="both"/>
        <w:outlineLvl w:val="1"/>
        <w:rPr>
          <w:rFonts w:ascii="宋体" w:hAnsi="宋体" w:eastAsia="宋体" w:cs="宋体"/>
          <w:color w:val="auto"/>
          <w:sz w:val="24"/>
          <w:szCs w:val="24"/>
          <w:highlight w:val="none"/>
        </w:rPr>
      </w:pPr>
      <w:r>
        <w:rPr>
          <w:rFonts w:ascii="宋体" w:hAnsi="宋体" w:eastAsia="宋体" w:cs="宋体"/>
          <w:color w:val="auto"/>
          <w:sz w:val="24"/>
          <w:szCs w:val="24"/>
          <w:highlight w:val="none"/>
        </w:rPr>
        <w:t>四、投标保证金缴纳证明材料</w:t>
      </w:r>
    </w:p>
    <w:p w14:paraId="73F7D509">
      <w:pPr>
        <w:shd w:val="clear"/>
        <w:spacing w:before="210" w:line="221" w:lineRule="auto"/>
        <w:ind w:left="-2" w:leftChars="-1" w:firstLine="283" w:firstLineChars="118"/>
        <w:jc w:val="both"/>
        <w:outlineLvl w:val="1"/>
        <w:rPr>
          <w:rFonts w:ascii="宋体" w:hAnsi="宋体" w:eastAsia="宋体" w:cs="宋体"/>
          <w:color w:val="auto"/>
          <w:sz w:val="24"/>
          <w:szCs w:val="24"/>
          <w:highlight w:val="none"/>
        </w:rPr>
      </w:pPr>
      <w:r>
        <w:rPr>
          <w:rFonts w:ascii="宋体" w:hAnsi="宋体" w:eastAsia="宋体" w:cs="宋体"/>
          <w:color w:val="auto"/>
          <w:sz w:val="24"/>
          <w:szCs w:val="24"/>
          <w:highlight w:val="none"/>
        </w:rPr>
        <w:t>五、投标报价表</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格式四</w:t>
      </w:r>
      <w:r>
        <w:rPr>
          <w:rFonts w:hint="eastAsia" w:ascii="宋体" w:hAnsi="宋体" w:eastAsia="宋体" w:cs="宋体"/>
          <w:color w:val="auto"/>
          <w:sz w:val="24"/>
          <w:szCs w:val="24"/>
          <w:highlight w:val="none"/>
        </w:rPr>
        <w:t>）</w:t>
      </w:r>
    </w:p>
    <w:p w14:paraId="1A179934">
      <w:pPr>
        <w:shd w:val="clear"/>
        <w:spacing w:before="210" w:line="221" w:lineRule="auto"/>
        <w:ind w:left="-2" w:leftChars="-1" w:firstLine="283" w:firstLineChars="118"/>
        <w:jc w:val="both"/>
        <w:outlineLvl w:val="1"/>
        <w:rPr>
          <w:rFonts w:ascii="宋体" w:hAnsi="宋体" w:eastAsia="宋体" w:cs="宋体"/>
          <w:color w:val="auto"/>
          <w:sz w:val="24"/>
          <w:szCs w:val="24"/>
          <w:highlight w:val="none"/>
        </w:rPr>
      </w:pPr>
      <w:r>
        <w:rPr>
          <w:rFonts w:ascii="宋体" w:hAnsi="宋体" w:eastAsia="宋体" w:cs="宋体"/>
          <w:color w:val="auto"/>
          <w:sz w:val="24"/>
          <w:szCs w:val="24"/>
          <w:highlight w:val="none"/>
        </w:rPr>
        <w:t>六、实质性响应招标文件及评审打分的资料及格式</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见格式五、格式六</w:t>
      </w:r>
      <w:r>
        <w:rPr>
          <w:rFonts w:hint="eastAsia" w:ascii="宋体" w:hAnsi="宋体" w:eastAsia="宋体" w:cs="宋体"/>
          <w:color w:val="auto"/>
          <w:sz w:val="24"/>
          <w:szCs w:val="24"/>
          <w:highlight w:val="none"/>
        </w:rPr>
        <w:t>）</w:t>
      </w:r>
    </w:p>
    <w:p w14:paraId="25D17228">
      <w:pPr>
        <w:shd w:val="clear"/>
        <w:spacing w:before="210" w:line="221" w:lineRule="auto"/>
        <w:ind w:left="-2" w:leftChars="-1" w:firstLine="283" w:firstLineChars="118"/>
        <w:jc w:val="both"/>
        <w:outlineLvl w:val="1"/>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七、</w:t>
      </w:r>
      <w:r>
        <w:rPr>
          <w:rFonts w:hint="eastAsia" w:ascii="宋体" w:hAnsi="宋体" w:eastAsia="宋体" w:cs="宋体"/>
          <w:color w:val="auto"/>
          <w:sz w:val="24"/>
          <w:szCs w:val="24"/>
          <w:highlight w:val="none"/>
        </w:rPr>
        <w:t>投标人基本情况表</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见格式</w:t>
      </w:r>
      <w:r>
        <w:rPr>
          <w:rFonts w:hint="eastAsia" w:ascii="宋体" w:hAnsi="宋体" w:eastAsia="宋体" w:cs="宋体"/>
          <w:color w:val="auto"/>
          <w:sz w:val="24"/>
          <w:szCs w:val="24"/>
          <w:highlight w:val="none"/>
        </w:rPr>
        <w:t>七）</w:t>
      </w:r>
    </w:p>
    <w:p w14:paraId="5DF2DAFB">
      <w:pPr>
        <w:shd w:val="clear"/>
        <w:spacing w:before="210" w:line="221" w:lineRule="auto"/>
        <w:ind w:left="-2" w:leftChars="-1" w:firstLine="283" w:firstLineChars="118"/>
        <w:jc w:val="both"/>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八、技术偏离表（</w:t>
      </w:r>
      <w:r>
        <w:rPr>
          <w:rFonts w:hint="eastAsia" w:ascii="宋体" w:hAnsi="宋体" w:eastAsia="宋体" w:cs="宋体"/>
          <w:color w:val="auto"/>
          <w:sz w:val="24"/>
          <w:szCs w:val="24"/>
          <w:highlight w:val="none"/>
        </w:rPr>
        <w:t>见格式八</w:t>
      </w:r>
      <w:r>
        <w:rPr>
          <w:rFonts w:hint="eastAsia" w:ascii="宋体" w:hAnsi="宋体" w:eastAsia="宋体" w:cs="宋体"/>
          <w:color w:val="auto"/>
          <w:sz w:val="24"/>
          <w:szCs w:val="24"/>
          <w:highlight w:val="none"/>
          <w:lang w:eastAsia="zh-CN"/>
        </w:rPr>
        <w:t>）</w:t>
      </w:r>
    </w:p>
    <w:p w14:paraId="1D027865">
      <w:pPr>
        <w:shd w:val="clear"/>
        <w:spacing w:before="210" w:line="221" w:lineRule="auto"/>
        <w:ind w:left="-2" w:leftChars="-1" w:firstLine="283" w:firstLineChars="118"/>
        <w:jc w:val="both"/>
        <w:outlineLvl w:val="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九</w:t>
      </w:r>
      <w:r>
        <w:rPr>
          <w:rFonts w:hint="eastAsia" w:ascii="宋体" w:hAnsi="宋体" w:eastAsia="宋体" w:cs="宋体"/>
          <w:color w:val="auto"/>
          <w:sz w:val="24"/>
          <w:szCs w:val="24"/>
          <w:highlight w:val="none"/>
        </w:rPr>
        <w:t>、投标品牌偏离表（见格式</w:t>
      </w:r>
      <w:r>
        <w:rPr>
          <w:rFonts w:hint="eastAsia" w:ascii="宋体" w:hAnsi="宋体" w:eastAsia="宋体" w:cs="宋体"/>
          <w:color w:val="auto"/>
          <w:sz w:val="24"/>
          <w:szCs w:val="24"/>
          <w:highlight w:val="none"/>
          <w:lang w:eastAsia="zh-CN"/>
        </w:rPr>
        <w:t>九</w:t>
      </w:r>
      <w:r>
        <w:rPr>
          <w:rFonts w:hint="eastAsia" w:ascii="宋体" w:hAnsi="宋体" w:eastAsia="宋体" w:cs="宋体"/>
          <w:color w:val="auto"/>
          <w:sz w:val="24"/>
          <w:szCs w:val="24"/>
          <w:highlight w:val="none"/>
        </w:rPr>
        <w:t>）</w:t>
      </w:r>
    </w:p>
    <w:p w14:paraId="0962AD9D">
      <w:pPr>
        <w:shd w:val="clear"/>
        <w:spacing w:before="210" w:line="221" w:lineRule="auto"/>
        <w:ind w:left="-2" w:leftChars="-1" w:firstLine="283" w:firstLineChars="118"/>
        <w:jc w:val="both"/>
        <w:outlineLvl w:val="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十</w:t>
      </w:r>
      <w:r>
        <w:rPr>
          <w:rFonts w:ascii="宋体" w:hAnsi="宋体" w:eastAsia="宋体" w:cs="宋体"/>
          <w:color w:val="auto"/>
          <w:sz w:val="24"/>
          <w:szCs w:val="24"/>
          <w:highlight w:val="none"/>
        </w:rPr>
        <w:t>、投标人须知前附表规定的构成投标文件的其他材料</w:t>
      </w:r>
    </w:p>
    <w:p w14:paraId="07EBBC91">
      <w:pPr>
        <w:shd w:val="clear"/>
        <w:jc w:val="both"/>
        <w:rPr>
          <w:color w:val="auto"/>
          <w:highlight w:val="none"/>
        </w:rPr>
        <w:sectPr>
          <w:pgSz w:w="11907" w:h="16840"/>
          <w:pgMar w:top="1418" w:right="1559" w:bottom="1418" w:left="1474" w:header="0" w:footer="723" w:gutter="0"/>
          <w:pgBorders>
            <w:top w:val="none" w:sz="0" w:space="0"/>
            <w:left w:val="none" w:sz="0" w:space="0"/>
            <w:bottom w:val="none" w:sz="0" w:space="0"/>
            <w:right w:val="none" w:sz="0" w:space="0"/>
          </w:pgBorders>
          <w:cols w:space="720" w:num="1"/>
        </w:sectPr>
      </w:pPr>
    </w:p>
    <w:p w14:paraId="0B1890D1">
      <w:pPr>
        <w:shd w:val="clear"/>
        <w:spacing w:before="310" w:line="221" w:lineRule="auto"/>
        <w:ind w:left="281"/>
        <w:jc w:val="both"/>
        <w:rPr>
          <w:rFonts w:ascii="宋体" w:hAnsi="宋体" w:eastAsia="宋体" w:cs="宋体"/>
          <w:color w:val="auto"/>
          <w:sz w:val="28"/>
          <w:szCs w:val="28"/>
          <w:highlight w:val="none"/>
        </w:rPr>
      </w:pPr>
      <w:bookmarkStart w:id="230" w:name="_bookmark15"/>
      <w:bookmarkEnd w:id="230"/>
      <w:r>
        <w:rPr>
          <w:rFonts w:ascii="宋体" w:hAnsi="宋体" w:eastAsia="宋体" w:cs="宋体"/>
          <w:color w:val="auto"/>
          <w:sz w:val="28"/>
          <w:szCs w:val="28"/>
          <w:highlight w:val="none"/>
        </w:rPr>
        <w:t>格式一：投标函</w:t>
      </w:r>
    </w:p>
    <w:p w14:paraId="35536FF6">
      <w:pPr>
        <w:shd w:val="clear"/>
        <w:tabs>
          <w:tab w:val="left" w:pos="3955"/>
        </w:tabs>
        <w:spacing w:before="298" w:line="337" w:lineRule="auto"/>
        <w:ind w:left="2375"/>
        <w:jc w:val="both"/>
        <w:rPr>
          <w:rFonts w:ascii="宋体" w:hAnsi="宋体" w:eastAsia="宋体" w:cs="宋体"/>
          <w:color w:val="auto"/>
          <w:sz w:val="23"/>
          <w:szCs w:val="23"/>
          <w:highlight w:val="none"/>
        </w:rPr>
      </w:pPr>
      <w:r>
        <w:rPr>
          <w:rFonts w:ascii="宋体" w:hAnsi="宋体" w:eastAsia="宋体" w:cs="宋体"/>
          <w:color w:val="auto"/>
          <w:sz w:val="23"/>
          <w:szCs w:val="23"/>
          <w:highlight w:val="none"/>
          <w:u w:val="single"/>
        </w:rPr>
        <w:tab/>
      </w:r>
      <w:r>
        <w:rPr>
          <w:rFonts w:ascii="宋体" w:hAnsi="宋体" w:eastAsia="宋体" w:cs="宋体"/>
          <w:color w:val="auto"/>
          <w:sz w:val="23"/>
          <w:szCs w:val="23"/>
          <w:highlight w:val="none"/>
        </w:rPr>
        <w:t>建设项目货物投标函</w:t>
      </w:r>
    </w:p>
    <w:p w14:paraId="25269788">
      <w:pPr>
        <w:shd w:val="clear"/>
        <w:spacing w:line="372" w:lineRule="auto"/>
        <w:jc w:val="both"/>
        <w:rPr>
          <w:color w:val="auto"/>
          <w:highlight w:val="none"/>
        </w:rPr>
      </w:pPr>
    </w:p>
    <w:p w14:paraId="6B59898B">
      <w:pPr>
        <w:shd w:val="clear"/>
        <w:tabs>
          <w:tab w:val="left" w:pos="2775"/>
        </w:tabs>
        <w:spacing w:before="74" w:line="229" w:lineRule="auto"/>
        <w:ind w:left="231"/>
        <w:jc w:val="both"/>
        <w:rPr>
          <w:rFonts w:ascii="宋体" w:hAnsi="宋体" w:eastAsia="宋体" w:cs="宋体"/>
          <w:color w:val="auto"/>
          <w:sz w:val="23"/>
          <w:szCs w:val="23"/>
          <w:highlight w:val="none"/>
        </w:rPr>
      </w:pPr>
      <w:r>
        <w:rPr>
          <w:rFonts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u w:val="single"/>
          <w:lang w:eastAsia="zh-CN"/>
        </w:rPr>
        <w:t>（</w:t>
      </w:r>
      <w:r>
        <w:rPr>
          <w:rFonts w:ascii="宋体" w:hAnsi="宋体" w:eastAsia="宋体" w:cs="宋体"/>
          <w:color w:val="auto"/>
          <w:sz w:val="23"/>
          <w:szCs w:val="23"/>
          <w:highlight w:val="none"/>
        </w:rPr>
        <w:t>招标人</w:t>
      </w:r>
      <w:r>
        <w:rPr>
          <w:rFonts w:hint="eastAsia" w:ascii="宋体" w:hAnsi="宋体" w:eastAsia="宋体" w:cs="宋体"/>
          <w:color w:val="auto"/>
          <w:sz w:val="23"/>
          <w:szCs w:val="23"/>
          <w:highlight w:val="none"/>
        </w:rPr>
        <w:t>）</w:t>
      </w:r>
      <w:r>
        <w:rPr>
          <w:rFonts w:ascii="宋体" w:hAnsi="宋体" w:eastAsia="宋体" w:cs="宋体"/>
          <w:color w:val="auto"/>
          <w:sz w:val="23"/>
          <w:szCs w:val="23"/>
          <w:highlight w:val="none"/>
        </w:rPr>
        <w:t>：</w:t>
      </w:r>
    </w:p>
    <w:p w14:paraId="63B5AFDE">
      <w:pPr>
        <w:shd w:val="clear"/>
        <w:spacing w:before="185" w:line="369" w:lineRule="auto"/>
        <w:ind w:firstLine="483"/>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我方已全面阅读和研究了建设项目招标文件和招标补充文件，并经过对施工现场的踏勘，澄清疑问，已充分理解并掌握了本项目招标的全部有关情况。同意接受招标文件的全部内容和条件，并按此确定本项目投标的要约内容，以本投标函向你方发包的建设项目全部内容进行投标。</w:t>
      </w:r>
      <w:r>
        <w:rPr>
          <w:rFonts w:hint="eastAsia" w:ascii="宋体" w:hAnsi="宋体" w:eastAsia="宋体" w:cs="宋体"/>
          <w:color w:val="auto"/>
          <w:sz w:val="23"/>
          <w:szCs w:val="23"/>
          <w:highlight w:val="none"/>
        </w:rPr>
        <w:t>最终报价为人民币</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大写</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元，品牌</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，产地</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工</w:t>
      </w:r>
      <w:r>
        <w:rPr>
          <w:rFonts w:hint="eastAsia" w:ascii="宋体" w:hAnsi="宋体" w:eastAsia="宋体" w:cs="宋体"/>
          <w:color w:val="auto"/>
          <w:sz w:val="23"/>
          <w:szCs w:val="23"/>
          <w:highlight w:val="none"/>
        </w:rPr>
        <w:t>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eastAsia="zh-CN"/>
        </w:rPr>
        <w:t>（</w:t>
      </w:r>
      <w:r>
        <w:rPr>
          <w:rFonts w:hint="eastAsia" w:ascii="宋体" w:hAnsi="宋体" w:eastAsia="宋体" w:cs="宋体"/>
          <w:color w:val="auto"/>
          <w:sz w:val="23"/>
          <w:szCs w:val="23"/>
          <w:highlight w:val="none"/>
        </w:rPr>
        <w:t>日历天</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，质量标准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，税率：</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0C1D8E02">
      <w:pPr>
        <w:shd w:val="clear"/>
        <w:spacing w:before="3" w:line="374" w:lineRule="auto"/>
        <w:ind w:right="63" w:firstLine="482"/>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宋体"/>
          <w:color w:val="auto"/>
          <w:sz w:val="23"/>
          <w:szCs w:val="23"/>
          <w:highlight w:val="none"/>
          <w:u w:val="single"/>
        </w:rPr>
        <w:t xml:space="preserve"> 30  </w:t>
      </w:r>
      <w:r>
        <w:rPr>
          <w:rFonts w:ascii="宋体" w:hAnsi="宋体" w:eastAsia="宋体" w:cs="宋体"/>
          <w:color w:val="auto"/>
          <w:sz w:val="23"/>
          <w:szCs w:val="23"/>
          <w:highlight w:val="none"/>
        </w:rPr>
        <w:t>天内递交委托合同价</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的履约保证金，并按中标通知书、招标文件和本投标函的约定与你方签订委托合同，履行规定的一切责任和义务。</w:t>
      </w:r>
    </w:p>
    <w:p w14:paraId="7C097DBB">
      <w:pPr>
        <w:shd w:val="clear"/>
        <w:spacing w:before="1" w:line="375" w:lineRule="auto"/>
        <w:ind w:left="5" w:right="63" w:firstLine="545"/>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我们同意从投标之日起在天的有效期内恪守本招标文件，在此期限期满之前的任何时间，本投标函全部条款内容对我方具有约束力。</w:t>
      </w:r>
    </w:p>
    <w:p w14:paraId="04522BE3">
      <w:pPr>
        <w:shd w:val="clear"/>
        <w:spacing w:before="2" w:line="374" w:lineRule="auto"/>
        <w:ind w:left="1" w:right="63" w:firstLine="546"/>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在合同协议书正式签署生效之前，本投标函连同你方的中标通知书将构成我们双方之间共同遵守的文件，对双方具有约束力。</w:t>
      </w:r>
    </w:p>
    <w:p w14:paraId="6CB1DF95">
      <w:pPr>
        <w:shd w:val="clear"/>
        <w:spacing w:before="1" w:line="373" w:lineRule="auto"/>
        <w:ind w:left="3334" w:right="84" w:firstLine="1321"/>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投标单位：</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盖章</w:t>
      </w:r>
      <w:r>
        <w:rPr>
          <w:rFonts w:hint="eastAsia" w:ascii="宋体" w:hAnsi="宋体" w:eastAsia="宋体" w:cs="宋体"/>
          <w:color w:val="auto"/>
          <w:sz w:val="23"/>
          <w:szCs w:val="23"/>
          <w:highlight w:val="none"/>
          <w:lang w:eastAsia="zh-CN"/>
        </w:rPr>
        <w:t>）</w:t>
      </w:r>
    </w:p>
    <w:p w14:paraId="0F1204CF">
      <w:pPr>
        <w:shd w:val="clear"/>
        <w:spacing w:before="1" w:line="373" w:lineRule="auto"/>
        <w:ind w:left="3334" w:right="84" w:firstLine="1321"/>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法定代表</w:t>
      </w:r>
      <w:r>
        <w:rPr>
          <w:rFonts w:hint="eastAsia" w:ascii="宋体" w:hAnsi="宋体" w:eastAsia="宋体" w:cs="宋体"/>
          <w:color w:val="auto"/>
          <w:sz w:val="23"/>
          <w:szCs w:val="23"/>
          <w:highlight w:val="none"/>
          <w:lang w:eastAsia="zh-CN"/>
        </w:rPr>
        <w:t>人</w:t>
      </w:r>
      <w:r>
        <w:rPr>
          <w:rFonts w:ascii="宋体" w:hAnsi="宋体" w:eastAsia="宋体" w:cs="宋体"/>
          <w:color w:val="auto"/>
          <w:sz w:val="23"/>
          <w:szCs w:val="23"/>
          <w:highlight w:val="none"/>
        </w:rPr>
        <w:t>或委托代理人：</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签字或盖章</w:t>
      </w:r>
      <w:r>
        <w:rPr>
          <w:rFonts w:hint="eastAsia" w:ascii="宋体" w:hAnsi="宋体" w:eastAsia="宋体" w:cs="宋体"/>
          <w:color w:val="auto"/>
          <w:sz w:val="23"/>
          <w:szCs w:val="23"/>
          <w:highlight w:val="none"/>
          <w:lang w:eastAsia="zh-CN"/>
        </w:rPr>
        <w:t>）</w:t>
      </w:r>
    </w:p>
    <w:p w14:paraId="563FFA7F">
      <w:pPr>
        <w:shd w:val="clear"/>
        <w:spacing w:before="1" w:line="230" w:lineRule="auto"/>
        <w:ind w:firstLine="4715" w:firstLineChars="2050"/>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联系人：</w:t>
      </w:r>
      <w:r>
        <w:rPr>
          <w:rFonts w:ascii="宋体" w:hAnsi="宋体" w:eastAsia="宋体" w:cs="宋体"/>
          <w:color w:val="auto"/>
          <w:sz w:val="23"/>
          <w:szCs w:val="23"/>
          <w:highlight w:val="none"/>
          <w:u w:val="single"/>
        </w:rPr>
        <w:t xml:space="preserve">               </w:t>
      </w:r>
    </w:p>
    <w:p w14:paraId="2C0A7664">
      <w:pPr>
        <w:shd w:val="clear"/>
        <w:spacing w:before="181" w:line="230" w:lineRule="auto"/>
        <w:ind w:firstLine="4715" w:firstLineChars="2050"/>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联系地址：</w:t>
      </w:r>
      <w:r>
        <w:rPr>
          <w:rFonts w:ascii="宋体" w:hAnsi="宋体" w:eastAsia="宋体" w:cs="宋体"/>
          <w:color w:val="auto"/>
          <w:sz w:val="23"/>
          <w:szCs w:val="23"/>
          <w:highlight w:val="none"/>
          <w:u w:val="single"/>
        </w:rPr>
        <w:t xml:space="preserve">              </w:t>
      </w:r>
    </w:p>
    <w:p w14:paraId="6C4C3D68">
      <w:pPr>
        <w:shd w:val="clear"/>
        <w:spacing w:before="182" w:line="230" w:lineRule="auto"/>
        <w:ind w:firstLine="4715" w:firstLineChars="2050"/>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电话：</w:t>
      </w:r>
      <w:r>
        <w:rPr>
          <w:rFonts w:ascii="宋体" w:hAnsi="宋体" w:eastAsia="宋体" w:cs="宋体"/>
          <w:color w:val="auto"/>
          <w:sz w:val="23"/>
          <w:szCs w:val="23"/>
          <w:highlight w:val="none"/>
          <w:u w:val="single"/>
        </w:rPr>
        <w:t xml:space="preserve">               </w:t>
      </w:r>
    </w:p>
    <w:p w14:paraId="089CF0F3">
      <w:pPr>
        <w:shd w:val="clear"/>
        <w:tabs>
          <w:tab w:val="left" w:pos="6005"/>
        </w:tabs>
        <w:spacing w:before="178" w:line="384" w:lineRule="auto"/>
        <w:ind w:right="63" w:firstLine="4715" w:firstLineChars="2050"/>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邮编：</w:t>
      </w:r>
      <w:r>
        <w:rPr>
          <w:rFonts w:ascii="宋体" w:hAnsi="宋体" w:eastAsia="宋体" w:cs="宋体"/>
          <w:color w:val="auto"/>
          <w:sz w:val="23"/>
          <w:szCs w:val="23"/>
          <w:highlight w:val="none"/>
          <w:u w:val="single"/>
        </w:rPr>
        <w:t xml:space="preserve">               </w:t>
      </w:r>
    </w:p>
    <w:p w14:paraId="03DBA451">
      <w:pPr>
        <w:shd w:val="clear"/>
        <w:tabs>
          <w:tab w:val="left" w:pos="6005"/>
        </w:tabs>
        <w:spacing w:before="178" w:line="384" w:lineRule="auto"/>
        <w:ind w:left="5271" w:right="63" w:hanging="593"/>
        <w:jc w:val="both"/>
        <w:rPr>
          <w:rFonts w:ascii="宋体" w:hAnsi="宋体" w:eastAsia="宋体" w:cs="宋体"/>
          <w:color w:val="auto"/>
          <w:sz w:val="23"/>
          <w:szCs w:val="23"/>
          <w:highlight w:val="none"/>
        </w:rPr>
      </w:pPr>
      <w:r>
        <w:rPr>
          <w:rFonts w:ascii="宋体" w:hAnsi="宋体" w:eastAsia="宋体" w:cs="宋体"/>
          <w:color w:val="auto"/>
          <w:sz w:val="23"/>
          <w:szCs w:val="23"/>
          <w:highlight w:val="none"/>
          <w:u w:val="single"/>
        </w:rPr>
        <w:tab/>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5D920F75">
      <w:pPr>
        <w:shd w:val="clear"/>
        <w:tabs>
          <w:tab w:val="left" w:pos="6005"/>
        </w:tabs>
        <w:spacing w:before="178" w:line="384" w:lineRule="auto"/>
        <w:ind w:left="5271" w:right="63" w:hanging="593"/>
        <w:jc w:val="both"/>
        <w:rPr>
          <w:rFonts w:ascii="宋体" w:hAnsi="宋体" w:eastAsia="宋体" w:cs="宋体"/>
          <w:color w:val="auto"/>
          <w:sz w:val="23"/>
          <w:szCs w:val="23"/>
          <w:highlight w:val="none"/>
        </w:rPr>
      </w:pPr>
    </w:p>
    <w:p w14:paraId="5376F0B2">
      <w:pPr>
        <w:shd w:val="clear"/>
        <w:jc w:val="both"/>
        <w:rPr>
          <w:rFonts w:eastAsiaTheme="minorEastAsia"/>
          <w:color w:val="auto"/>
          <w:highlight w:val="none"/>
        </w:rPr>
        <w:sectPr>
          <w:footerReference r:id="rId18" w:type="default"/>
          <w:pgSz w:w="11907" w:h="16840"/>
          <w:pgMar w:top="1418" w:right="1559" w:bottom="1418" w:left="1474" w:header="0" w:footer="723" w:gutter="0"/>
          <w:pgBorders>
            <w:top w:val="none" w:sz="0" w:space="0"/>
            <w:left w:val="none" w:sz="0" w:space="0"/>
            <w:bottom w:val="none" w:sz="0" w:space="0"/>
            <w:right w:val="none" w:sz="0" w:space="0"/>
          </w:pgBorders>
          <w:cols w:space="720" w:num="1"/>
        </w:sectPr>
      </w:pPr>
    </w:p>
    <w:p w14:paraId="5AE02550">
      <w:pPr>
        <w:shd w:val="clear"/>
        <w:spacing w:before="310" w:line="221" w:lineRule="auto"/>
        <w:ind w:left="92"/>
        <w:jc w:val="both"/>
        <w:outlineLvl w:val="1"/>
        <w:rPr>
          <w:rFonts w:ascii="宋体" w:hAnsi="宋体" w:eastAsia="宋体" w:cs="宋体"/>
          <w:color w:val="auto"/>
          <w:sz w:val="28"/>
          <w:szCs w:val="28"/>
          <w:highlight w:val="none"/>
        </w:rPr>
      </w:pPr>
      <w:bookmarkStart w:id="231" w:name="_bookmark16"/>
      <w:bookmarkEnd w:id="231"/>
      <w:r>
        <w:rPr>
          <w:rFonts w:ascii="宋体" w:hAnsi="宋体" w:eastAsia="宋体" w:cs="宋体"/>
          <w:color w:val="auto"/>
          <w:sz w:val="28"/>
          <w:szCs w:val="28"/>
          <w:highlight w:val="none"/>
        </w:rPr>
        <w:t>格式二：法定代表人身份证明</w:t>
      </w:r>
    </w:p>
    <w:p w14:paraId="01D6D85C">
      <w:pPr>
        <w:shd w:val="clear"/>
        <w:spacing w:line="337" w:lineRule="auto"/>
        <w:jc w:val="both"/>
        <w:rPr>
          <w:color w:val="auto"/>
          <w:highlight w:val="none"/>
        </w:rPr>
      </w:pPr>
    </w:p>
    <w:p w14:paraId="42ECEE1E">
      <w:pPr>
        <w:shd w:val="clear"/>
        <w:spacing w:line="338" w:lineRule="auto"/>
        <w:jc w:val="both"/>
        <w:rPr>
          <w:color w:val="auto"/>
          <w:highlight w:val="none"/>
        </w:rPr>
      </w:pPr>
    </w:p>
    <w:p w14:paraId="356428A1">
      <w:pPr>
        <w:shd w:val="clear"/>
        <w:spacing w:before="75" w:line="228" w:lineRule="auto"/>
        <w:ind w:left="3216"/>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法定代表人身份证明</w:t>
      </w:r>
    </w:p>
    <w:p w14:paraId="361AA4C0">
      <w:pPr>
        <w:shd w:val="clear"/>
        <w:spacing w:line="290" w:lineRule="auto"/>
        <w:jc w:val="both"/>
        <w:rPr>
          <w:color w:val="auto"/>
          <w:highlight w:val="none"/>
        </w:rPr>
      </w:pPr>
    </w:p>
    <w:p w14:paraId="56E7EF04">
      <w:pPr>
        <w:shd w:val="clear"/>
        <w:spacing w:line="290" w:lineRule="auto"/>
        <w:jc w:val="both"/>
        <w:rPr>
          <w:color w:val="auto"/>
          <w:highlight w:val="none"/>
        </w:rPr>
      </w:pPr>
    </w:p>
    <w:p w14:paraId="53144470">
      <w:pPr>
        <w:shd w:val="clear"/>
        <w:spacing w:line="291" w:lineRule="auto"/>
        <w:jc w:val="both"/>
        <w:rPr>
          <w:color w:val="auto"/>
          <w:highlight w:val="none"/>
        </w:rPr>
      </w:pPr>
    </w:p>
    <w:p w14:paraId="2287C1BA">
      <w:pPr>
        <w:shd w:val="clear"/>
        <w:spacing w:line="440" w:lineRule="exact"/>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投标人名称：</w:t>
      </w:r>
      <w:r>
        <w:rPr>
          <w:rFonts w:ascii="宋体" w:hAnsi="宋体" w:eastAsia="宋体" w:cs="宋体"/>
          <w:color w:val="auto"/>
          <w:sz w:val="23"/>
          <w:szCs w:val="23"/>
          <w:highlight w:val="none"/>
          <w:u w:val="single"/>
        </w:rPr>
        <w:t xml:space="preserve">                                         </w:t>
      </w:r>
    </w:p>
    <w:p w14:paraId="624F2CE4">
      <w:pPr>
        <w:shd w:val="clear"/>
        <w:spacing w:line="440" w:lineRule="exact"/>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单位性质：</w:t>
      </w:r>
      <w:r>
        <w:rPr>
          <w:rFonts w:ascii="宋体" w:hAnsi="宋体" w:eastAsia="宋体" w:cs="宋体"/>
          <w:color w:val="auto"/>
          <w:sz w:val="23"/>
          <w:szCs w:val="23"/>
          <w:highlight w:val="none"/>
          <w:u w:val="single"/>
        </w:rPr>
        <w:t xml:space="preserve">                                         </w:t>
      </w:r>
    </w:p>
    <w:p w14:paraId="4DAC1392">
      <w:pPr>
        <w:shd w:val="clear"/>
        <w:spacing w:line="440" w:lineRule="exact"/>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地址：</w:t>
      </w:r>
      <w:r>
        <w:rPr>
          <w:rFonts w:ascii="宋体" w:hAnsi="宋体" w:eastAsia="宋体" w:cs="宋体"/>
          <w:color w:val="auto"/>
          <w:sz w:val="23"/>
          <w:szCs w:val="23"/>
          <w:highlight w:val="none"/>
          <w:u w:val="single"/>
        </w:rPr>
        <w:t xml:space="preserve">                                         </w:t>
      </w:r>
    </w:p>
    <w:p w14:paraId="395DACB5">
      <w:pPr>
        <w:shd w:val="clear"/>
        <w:spacing w:line="440" w:lineRule="exact"/>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成立时间：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17099B2C">
      <w:pPr>
        <w:shd w:val="clear"/>
        <w:spacing w:line="440" w:lineRule="exact"/>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经营期限：</w:t>
      </w:r>
      <w:r>
        <w:rPr>
          <w:rFonts w:ascii="宋体" w:hAnsi="宋体" w:eastAsia="宋体" w:cs="宋体"/>
          <w:color w:val="auto"/>
          <w:sz w:val="23"/>
          <w:szCs w:val="23"/>
          <w:highlight w:val="none"/>
          <w:u w:val="single"/>
        </w:rPr>
        <w:t xml:space="preserve">                                         </w:t>
      </w:r>
    </w:p>
    <w:p w14:paraId="39677E42">
      <w:pPr>
        <w:shd w:val="clear"/>
        <w:spacing w:line="440" w:lineRule="exact"/>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姓名：</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性别：</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年龄：</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职务：</w:t>
      </w:r>
      <w:r>
        <w:rPr>
          <w:rFonts w:ascii="宋体" w:hAnsi="宋体" w:eastAsia="宋体" w:cs="宋体"/>
          <w:color w:val="auto"/>
          <w:sz w:val="23"/>
          <w:szCs w:val="23"/>
          <w:highlight w:val="none"/>
          <w:u w:val="single"/>
        </w:rPr>
        <w:t xml:space="preserve">   </w:t>
      </w:r>
    </w:p>
    <w:p w14:paraId="463FD996">
      <w:pPr>
        <w:shd w:val="clear"/>
        <w:spacing w:line="440" w:lineRule="exact"/>
        <w:ind w:left="105" w:leftChars="50"/>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系</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的法定代表人。特此证明。</w:t>
      </w:r>
    </w:p>
    <w:p w14:paraId="1B0A9637">
      <w:pPr>
        <w:shd w:val="clear"/>
        <w:spacing w:line="259" w:lineRule="auto"/>
        <w:jc w:val="both"/>
        <w:rPr>
          <w:color w:val="auto"/>
          <w:highlight w:val="none"/>
        </w:rPr>
      </w:pPr>
    </w:p>
    <w:p w14:paraId="4414255D">
      <w:pPr>
        <w:shd w:val="clear"/>
        <w:spacing w:line="259" w:lineRule="auto"/>
        <w:jc w:val="both"/>
        <w:rPr>
          <w:color w:val="auto"/>
          <w:highlight w:val="none"/>
        </w:rPr>
      </w:pPr>
    </w:p>
    <w:p w14:paraId="44CB52D4">
      <w:pPr>
        <w:shd w:val="clear"/>
        <w:spacing w:line="260" w:lineRule="auto"/>
        <w:jc w:val="both"/>
        <w:rPr>
          <w:color w:val="auto"/>
          <w:highlight w:val="none"/>
        </w:rPr>
      </w:pPr>
    </w:p>
    <w:p w14:paraId="59DBFE6F">
      <w:pPr>
        <w:shd w:val="clear"/>
        <w:tabs>
          <w:tab w:val="left" w:pos="7132"/>
        </w:tabs>
        <w:spacing w:before="75" w:line="384" w:lineRule="auto"/>
        <w:ind w:left="6162" w:right="203" w:hanging="1187"/>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盖章</w:t>
      </w:r>
      <w:r>
        <w:rPr>
          <w:rFonts w:hint="eastAsia" w:ascii="宋体" w:hAnsi="宋体" w:eastAsia="宋体" w:cs="宋体"/>
          <w:color w:val="auto"/>
          <w:sz w:val="23"/>
          <w:szCs w:val="23"/>
          <w:highlight w:val="none"/>
          <w:lang w:eastAsia="zh-CN"/>
        </w:rPr>
        <w:t>）</w:t>
      </w:r>
    </w:p>
    <w:p w14:paraId="708F6DD2">
      <w:pPr>
        <w:shd w:val="clear"/>
        <w:tabs>
          <w:tab w:val="left" w:pos="7132"/>
        </w:tabs>
        <w:spacing w:before="75" w:line="384" w:lineRule="auto"/>
        <w:ind w:left="6162" w:right="203" w:hanging="1187"/>
        <w:jc w:val="both"/>
        <w:rPr>
          <w:rFonts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058B01AD">
      <w:pPr>
        <w:shd w:val="clear"/>
        <w:tabs>
          <w:tab w:val="left" w:pos="6144"/>
        </w:tabs>
        <w:spacing w:before="75" w:line="384" w:lineRule="auto"/>
        <w:ind w:left="5053" w:hanging="467"/>
        <w:jc w:val="both"/>
        <w:rPr>
          <w:rFonts w:ascii="宋体" w:hAnsi="宋体" w:eastAsia="宋体" w:cs="宋体"/>
          <w:color w:val="auto"/>
          <w:sz w:val="23"/>
          <w:szCs w:val="23"/>
          <w:highlight w:val="none"/>
        </w:rPr>
      </w:pPr>
    </w:p>
    <w:p w14:paraId="382FFAC8">
      <w:pPr>
        <w:shd w:val="clear"/>
        <w:jc w:val="both"/>
        <w:rPr>
          <w:color w:val="auto"/>
          <w:highlight w:val="none"/>
        </w:rPr>
      </w:pPr>
    </w:p>
    <w:p w14:paraId="5A78CEA0">
      <w:pPr>
        <w:shd w:val="clear"/>
        <w:spacing w:line="140" w:lineRule="exact"/>
        <w:jc w:val="both"/>
        <w:rPr>
          <w:color w:val="auto"/>
          <w:highlight w:val="none"/>
        </w:rPr>
      </w:pPr>
    </w:p>
    <w:tbl>
      <w:tblPr>
        <w:tblStyle w:val="31"/>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
      <w:tblGrid>
        <w:gridCol w:w="7303"/>
      </w:tblGrid>
      <w:tr w14:paraId="0528E57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108" w:type="dxa"/>
            <w:bottom w:w="0" w:type="dxa"/>
            <w:right w:w="108" w:type="dxa"/>
          </w:tblCellMar>
        </w:tblPrEx>
        <w:trPr>
          <w:trHeight w:val="3969" w:hRule="atLeast"/>
        </w:trPr>
        <w:tc>
          <w:tcPr>
            <w:tcW w:w="7303" w:type="dxa"/>
          </w:tcPr>
          <w:p w14:paraId="51ED1F27">
            <w:pPr>
              <w:shd w:val="clear"/>
              <w:spacing w:line="257" w:lineRule="auto"/>
              <w:jc w:val="both"/>
              <w:rPr>
                <w:color w:val="auto"/>
                <w:highlight w:val="none"/>
              </w:rPr>
            </w:pPr>
          </w:p>
          <w:p w14:paraId="071F2BC1">
            <w:pPr>
              <w:shd w:val="clear"/>
              <w:spacing w:line="258" w:lineRule="auto"/>
              <w:jc w:val="both"/>
              <w:rPr>
                <w:color w:val="auto"/>
                <w:highlight w:val="none"/>
              </w:rPr>
            </w:pPr>
          </w:p>
          <w:p w14:paraId="0F1FC11E">
            <w:pPr>
              <w:shd w:val="clear"/>
              <w:spacing w:before="74" w:line="228" w:lineRule="auto"/>
              <w:ind w:left="2458"/>
              <w:jc w:val="both"/>
              <w:outlineLvl w:val="1"/>
              <w:rPr>
                <w:rFonts w:ascii="宋体" w:hAnsi="宋体" w:eastAsia="宋体" w:cs="宋体"/>
                <w:color w:val="auto"/>
                <w:sz w:val="23"/>
                <w:szCs w:val="23"/>
                <w:highlight w:val="none"/>
              </w:rPr>
            </w:pPr>
            <w:r>
              <w:rPr>
                <w:rFonts w:ascii="宋体" w:hAnsi="宋体" w:eastAsia="宋体" w:cs="宋体"/>
                <w:color w:val="auto"/>
                <w:sz w:val="23"/>
                <w:szCs w:val="23"/>
                <w:highlight w:val="none"/>
              </w:rPr>
              <w:t>法定代表人身份证复</w:t>
            </w:r>
            <w:r>
              <w:rPr>
                <w:rFonts w:hint="eastAsia" w:ascii="宋体" w:hAnsi="宋体" w:eastAsia="宋体" w:cs="宋体"/>
                <w:color w:val="auto"/>
                <w:sz w:val="23"/>
                <w:szCs w:val="23"/>
                <w:highlight w:val="none"/>
              </w:rPr>
              <w:t>印</w:t>
            </w:r>
            <w:r>
              <w:rPr>
                <w:rFonts w:ascii="宋体" w:hAnsi="宋体" w:eastAsia="宋体" w:cs="宋体"/>
                <w:color w:val="auto"/>
                <w:sz w:val="23"/>
                <w:szCs w:val="23"/>
                <w:highlight w:val="none"/>
              </w:rPr>
              <w:t>件</w:t>
            </w:r>
          </w:p>
        </w:tc>
      </w:tr>
    </w:tbl>
    <w:p w14:paraId="23C3A7C5">
      <w:pPr>
        <w:shd w:val="clear"/>
        <w:jc w:val="both"/>
        <w:rPr>
          <w:color w:val="auto"/>
          <w:highlight w:val="none"/>
        </w:rPr>
      </w:pPr>
    </w:p>
    <w:p w14:paraId="3AD065BB">
      <w:pPr>
        <w:shd w:val="clear"/>
        <w:jc w:val="both"/>
        <w:rPr>
          <w:color w:val="auto"/>
          <w:highlight w:val="none"/>
        </w:rPr>
        <w:sectPr>
          <w:footerReference r:id="rId19" w:type="default"/>
          <w:pgSz w:w="11907" w:h="16840"/>
          <w:pgMar w:top="1418" w:right="1559" w:bottom="1418" w:left="1474" w:header="0" w:footer="723" w:gutter="0"/>
          <w:pgBorders>
            <w:top w:val="none" w:sz="0" w:space="0"/>
            <w:left w:val="none" w:sz="0" w:space="0"/>
            <w:bottom w:val="none" w:sz="0" w:space="0"/>
            <w:right w:val="none" w:sz="0" w:space="0"/>
          </w:pgBorders>
          <w:cols w:space="720" w:num="1"/>
        </w:sectPr>
      </w:pPr>
    </w:p>
    <w:p w14:paraId="5397D085">
      <w:pPr>
        <w:shd w:val="clear"/>
        <w:spacing w:before="310" w:line="221" w:lineRule="auto"/>
        <w:ind w:left="388"/>
        <w:jc w:val="both"/>
        <w:rPr>
          <w:rFonts w:ascii="宋体" w:hAnsi="宋体" w:eastAsia="宋体" w:cs="宋体"/>
          <w:color w:val="auto"/>
          <w:sz w:val="28"/>
          <w:szCs w:val="28"/>
          <w:highlight w:val="none"/>
        </w:rPr>
      </w:pPr>
      <w:bookmarkStart w:id="232" w:name="_bookmark17"/>
      <w:bookmarkEnd w:id="232"/>
      <w:r>
        <w:rPr>
          <w:rFonts w:ascii="宋体" w:hAnsi="宋体" w:eastAsia="宋体" w:cs="宋体"/>
          <w:color w:val="auto"/>
          <w:sz w:val="28"/>
          <w:szCs w:val="28"/>
          <w:highlight w:val="none"/>
        </w:rPr>
        <w:t>格式三：</w:t>
      </w:r>
      <w:r>
        <w:rPr>
          <w:rFonts w:hint="eastAsia" w:ascii="宋体" w:hAnsi="宋体" w:eastAsia="宋体" w:cs="宋体"/>
          <w:color w:val="auto"/>
          <w:sz w:val="28"/>
          <w:szCs w:val="28"/>
          <w:highlight w:val="none"/>
        </w:rPr>
        <w:t>法定代表人</w:t>
      </w:r>
      <w:r>
        <w:rPr>
          <w:rFonts w:ascii="宋体" w:hAnsi="宋体" w:eastAsia="宋体" w:cs="宋体"/>
          <w:color w:val="auto"/>
          <w:sz w:val="28"/>
          <w:szCs w:val="28"/>
          <w:highlight w:val="none"/>
        </w:rPr>
        <w:t>授权委托书</w:t>
      </w:r>
    </w:p>
    <w:p w14:paraId="048FD60C">
      <w:pPr>
        <w:shd w:val="clear"/>
        <w:spacing w:line="328" w:lineRule="auto"/>
        <w:jc w:val="both"/>
        <w:rPr>
          <w:color w:val="auto"/>
          <w:highlight w:val="none"/>
        </w:rPr>
      </w:pPr>
    </w:p>
    <w:p w14:paraId="0ADF0A65">
      <w:pPr>
        <w:shd w:val="clear"/>
        <w:spacing w:line="328" w:lineRule="auto"/>
        <w:jc w:val="both"/>
        <w:rPr>
          <w:color w:val="auto"/>
          <w:highlight w:val="none"/>
        </w:rPr>
      </w:pPr>
    </w:p>
    <w:p w14:paraId="2BE97D3F">
      <w:pPr>
        <w:shd w:val="clear"/>
        <w:spacing w:before="75" w:line="227" w:lineRule="auto"/>
        <w:ind w:left="4110"/>
        <w:jc w:val="both"/>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w:t>
      </w:r>
      <w:r>
        <w:rPr>
          <w:rFonts w:ascii="宋体" w:hAnsi="宋体" w:eastAsia="宋体" w:cs="宋体"/>
          <w:color w:val="auto"/>
          <w:sz w:val="23"/>
          <w:szCs w:val="23"/>
          <w:highlight w:val="none"/>
        </w:rPr>
        <w:t>授权委托书</w:t>
      </w:r>
    </w:p>
    <w:p w14:paraId="352603DF">
      <w:pPr>
        <w:shd w:val="clear"/>
        <w:spacing w:line="386" w:lineRule="auto"/>
        <w:jc w:val="both"/>
        <w:rPr>
          <w:color w:val="auto"/>
          <w:highlight w:val="none"/>
        </w:rPr>
      </w:pPr>
    </w:p>
    <w:p w14:paraId="33F88A89">
      <w:pPr>
        <w:shd w:val="clear"/>
        <w:spacing w:before="75" w:line="375" w:lineRule="auto"/>
        <w:ind w:firstLine="589"/>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本人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姓名</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系</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的法定代表人，现委托</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姓名</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为我方代理人。代理人根据授权，以我方名义签署、澄清、说明、补正、递交、撤回、修改</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项目及标段名称</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的投标文件、签订合同和处理有关事宜，其法律后果由我方承担。</w:t>
      </w:r>
    </w:p>
    <w:p w14:paraId="650A57D5">
      <w:pPr>
        <w:shd w:val="clear"/>
        <w:spacing w:line="375" w:lineRule="auto"/>
        <w:ind w:left="347"/>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委托期限</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w:t>
      </w:r>
    </w:p>
    <w:p w14:paraId="30A597A6">
      <w:pPr>
        <w:shd w:val="clear"/>
        <w:spacing w:line="228" w:lineRule="auto"/>
        <w:ind w:left="347"/>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代理人无转委托权。</w:t>
      </w:r>
    </w:p>
    <w:p w14:paraId="515CE411">
      <w:pPr>
        <w:shd w:val="clear"/>
        <w:spacing w:before="181" w:line="227" w:lineRule="auto"/>
        <w:ind w:left="367"/>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附：委托代理人身份证明</w:t>
      </w:r>
    </w:p>
    <w:p w14:paraId="0107B7CB">
      <w:pPr>
        <w:shd w:val="clear"/>
        <w:spacing w:line="285" w:lineRule="auto"/>
        <w:jc w:val="both"/>
        <w:rPr>
          <w:color w:val="auto"/>
          <w:highlight w:val="none"/>
        </w:rPr>
      </w:pPr>
    </w:p>
    <w:p w14:paraId="518F3B7C">
      <w:pPr>
        <w:shd w:val="clear"/>
        <w:spacing w:line="286" w:lineRule="auto"/>
        <w:jc w:val="both"/>
        <w:rPr>
          <w:color w:val="auto"/>
          <w:highlight w:val="none"/>
        </w:rPr>
      </w:pPr>
    </w:p>
    <w:p w14:paraId="4526510E">
      <w:pPr>
        <w:shd w:val="clear"/>
        <w:spacing w:before="76" w:line="376" w:lineRule="auto"/>
        <w:ind w:left="351"/>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盖单位公章</w:t>
      </w:r>
      <w:r>
        <w:rPr>
          <w:rFonts w:hint="eastAsia" w:ascii="宋体" w:hAnsi="宋体" w:eastAsia="宋体" w:cs="宋体"/>
          <w:color w:val="auto"/>
          <w:sz w:val="23"/>
          <w:szCs w:val="23"/>
          <w:highlight w:val="none"/>
          <w:lang w:eastAsia="zh-CN"/>
        </w:rPr>
        <w:t>）</w:t>
      </w:r>
    </w:p>
    <w:p w14:paraId="7C33F7B1">
      <w:pPr>
        <w:shd w:val="clear"/>
        <w:spacing w:line="227" w:lineRule="auto"/>
        <w:ind w:left="349"/>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法定代表人：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签字或盖章</w:t>
      </w:r>
      <w:r>
        <w:rPr>
          <w:rFonts w:hint="eastAsia" w:ascii="宋体" w:hAnsi="宋体" w:eastAsia="宋体" w:cs="宋体"/>
          <w:color w:val="auto"/>
          <w:sz w:val="23"/>
          <w:szCs w:val="23"/>
          <w:highlight w:val="none"/>
          <w:lang w:eastAsia="zh-CN"/>
        </w:rPr>
        <w:t>）</w:t>
      </w:r>
    </w:p>
    <w:p w14:paraId="5D1EE889">
      <w:pPr>
        <w:shd w:val="clear"/>
        <w:spacing w:before="185" w:line="374" w:lineRule="auto"/>
        <w:ind w:left="355"/>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身份证号码：</w:t>
      </w:r>
      <w:r>
        <w:rPr>
          <w:rFonts w:ascii="宋体" w:hAnsi="宋体" w:eastAsia="宋体" w:cs="宋体"/>
          <w:color w:val="auto"/>
          <w:sz w:val="23"/>
          <w:szCs w:val="23"/>
          <w:highlight w:val="none"/>
          <w:u w:val="single"/>
        </w:rPr>
        <w:t xml:space="preserve">                  </w:t>
      </w:r>
    </w:p>
    <w:p w14:paraId="50F43653">
      <w:pPr>
        <w:shd w:val="clear"/>
        <w:spacing w:line="228" w:lineRule="auto"/>
        <w:ind w:left="347"/>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委托代理人：</w:t>
      </w:r>
      <w:r>
        <w:rPr>
          <w:rFonts w:ascii="宋体" w:hAnsi="宋体" w:eastAsia="宋体" w:cs="宋体"/>
          <w:color w:val="auto"/>
          <w:sz w:val="23"/>
          <w:szCs w:val="23"/>
          <w:highlight w:val="none"/>
          <w:u w:val="single"/>
        </w:rPr>
        <w:t xml:space="preserve">                  </w:t>
      </w:r>
    </w:p>
    <w:p w14:paraId="105698FA">
      <w:pPr>
        <w:shd w:val="clear"/>
        <w:spacing w:before="184" w:line="227" w:lineRule="auto"/>
        <w:ind w:left="348"/>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手机号码：</w:t>
      </w:r>
      <w:r>
        <w:rPr>
          <w:rFonts w:ascii="宋体" w:hAnsi="宋体" w:eastAsia="宋体" w:cs="宋体"/>
          <w:color w:val="auto"/>
          <w:sz w:val="23"/>
          <w:szCs w:val="23"/>
          <w:highlight w:val="none"/>
          <w:u w:val="single"/>
        </w:rPr>
        <w:t xml:space="preserve">                  </w:t>
      </w:r>
    </w:p>
    <w:p w14:paraId="7B604466">
      <w:pPr>
        <w:shd w:val="clear"/>
        <w:spacing w:before="183" w:line="228" w:lineRule="auto"/>
        <w:ind w:left="355"/>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身份证号码：</w:t>
      </w:r>
      <w:r>
        <w:rPr>
          <w:rFonts w:ascii="宋体" w:hAnsi="宋体" w:eastAsia="宋体" w:cs="宋体"/>
          <w:color w:val="auto"/>
          <w:sz w:val="23"/>
          <w:szCs w:val="23"/>
          <w:highlight w:val="none"/>
          <w:u w:val="single"/>
        </w:rPr>
        <w:t xml:space="preserve">                  </w:t>
      </w:r>
    </w:p>
    <w:p w14:paraId="2CFFD4A0">
      <w:pPr>
        <w:shd w:val="clear"/>
        <w:spacing w:line="285" w:lineRule="auto"/>
        <w:jc w:val="both"/>
        <w:rPr>
          <w:color w:val="auto"/>
          <w:highlight w:val="none"/>
        </w:rPr>
      </w:pPr>
    </w:p>
    <w:p w14:paraId="5A1E7411">
      <w:pPr>
        <w:shd w:val="clear"/>
        <w:spacing w:line="286" w:lineRule="auto"/>
        <w:jc w:val="both"/>
        <w:rPr>
          <w:color w:val="auto"/>
          <w:highlight w:val="none"/>
        </w:rPr>
      </w:pPr>
    </w:p>
    <w:p w14:paraId="21DFFB50">
      <w:pPr>
        <w:shd w:val="clear"/>
        <w:tabs>
          <w:tab w:val="left" w:pos="7132"/>
        </w:tabs>
        <w:spacing w:before="75" w:line="384" w:lineRule="auto"/>
        <w:ind w:left="6162" w:right="203" w:hanging="1187"/>
        <w:jc w:val="both"/>
        <w:rPr>
          <w:rFonts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1EB55DFF">
      <w:pPr>
        <w:shd w:val="clear"/>
        <w:jc w:val="both"/>
        <w:rPr>
          <w:color w:val="auto"/>
          <w:highlight w:val="none"/>
        </w:rPr>
      </w:pPr>
    </w:p>
    <w:p w14:paraId="19F24ACA">
      <w:pPr>
        <w:shd w:val="clear"/>
        <w:jc w:val="both"/>
        <w:rPr>
          <w:color w:val="auto"/>
          <w:highlight w:val="none"/>
        </w:rPr>
      </w:pPr>
    </w:p>
    <w:p w14:paraId="335B89F8">
      <w:pPr>
        <w:shd w:val="clear"/>
        <w:spacing w:line="105" w:lineRule="exact"/>
        <w:jc w:val="both"/>
        <w:rPr>
          <w:color w:val="auto"/>
          <w:highlight w:val="none"/>
        </w:rPr>
      </w:pPr>
    </w:p>
    <w:tbl>
      <w:tblPr>
        <w:tblStyle w:val="31"/>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108" w:type="dxa"/>
          <w:bottom w:w="0" w:type="dxa"/>
          <w:right w:w="108" w:type="dxa"/>
        </w:tblCellMar>
      </w:tblPr>
      <w:tblGrid>
        <w:gridCol w:w="7233"/>
      </w:tblGrid>
      <w:tr w14:paraId="22353FA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108" w:type="dxa"/>
            <w:bottom w:w="0" w:type="dxa"/>
            <w:right w:w="108" w:type="dxa"/>
          </w:tblCellMar>
        </w:tblPrEx>
        <w:trPr>
          <w:trHeight w:val="2608" w:hRule="atLeast"/>
        </w:trPr>
        <w:tc>
          <w:tcPr>
            <w:tcW w:w="7233" w:type="dxa"/>
          </w:tcPr>
          <w:p w14:paraId="50136995">
            <w:pPr>
              <w:shd w:val="clear"/>
              <w:spacing w:line="256" w:lineRule="auto"/>
              <w:jc w:val="both"/>
              <w:rPr>
                <w:color w:val="auto"/>
                <w:highlight w:val="none"/>
              </w:rPr>
            </w:pPr>
          </w:p>
          <w:p w14:paraId="496746BA">
            <w:pPr>
              <w:shd w:val="clear"/>
              <w:spacing w:line="257" w:lineRule="auto"/>
              <w:jc w:val="both"/>
              <w:rPr>
                <w:color w:val="auto"/>
                <w:highlight w:val="none"/>
              </w:rPr>
            </w:pPr>
          </w:p>
          <w:p w14:paraId="5653EF2E">
            <w:pPr>
              <w:shd w:val="clear"/>
              <w:spacing w:before="75" w:line="228" w:lineRule="auto"/>
              <w:ind w:left="2422"/>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委托代理人身份证复</w:t>
            </w:r>
            <w:r>
              <w:rPr>
                <w:rFonts w:hint="eastAsia" w:ascii="宋体" w:hAnsi="宋体" w:eastAsia="宋体" w:cs="宋体"/>
                <w:color w:val="auto"/>
                <w:sz w:val="23"/>
                <w:szCs w:val="23"/>
                <w:highlight w:val="none"/>
              </w:rPr>
              <w:t>印</w:t>
            </w:r>
            <w:r>
              <w:rPr>
                <w:rFonts w:ascii="宋体" w:hAnsi="宋体" w:eastAsia="宋体" w:cs="宋体"/>
                <w:color w:val="auto"/>
                <w:sz w:val="23"/>
                <w:szCs w:val="23"/>
                <w:highlight w:val="none"/>
              </w:rPr>
              <w:t>件</w:t>
            </w:r>
          </w:p>
        </w:tc>
      </w:tr>
    </w:tbl>
    <w:p w14:paraId="2686CAAA">
      <w:pPr>
        <w:shd w:val="clear"/>
        <w:jc w:val="both"/>
        <w:rPr>
          <w:color w:val="auto"/>
          <w:highlight w:val="none"/>
        </w:rPr>
      </w:pPr>
    </w:p>
    <w:p w14:paraId="103E352F">
      <w:pPr>
        <w:shd w:val="clear"/>
        <w:jc w:val="both"/>
        <w:rPr>
          <w:color w:val="auto"/>
          <w:highlight w:val="none"/>
        </w:rPr>
        <w:sectPr>
          <w:footerReference r:id="rId20" w:type="default"/>
          <w:pgSz w:w="11907" w:h="16840"/>
          <w:pgMar w:top="1418" w:right="1559" w:bottom="1418" w:left="1474" w:header="0" w:footer="723" w:gutter="0"/>
          <w:pgBorders>
            <w:top w:val="none" w:sz="0" w:space="0"/>
            <w:left w:val="none" w:sz="0" w:space="0"/>
            <w:bottom w:val="none" w:sz="0" w:space="0"/>
            <w:right w:val="none" w:sz="0" w:space="0"/>
          </w:pgBorders>
          <w:cols w:space="720" w:num="1"/>
        </w:sectPr>
      </w:pPr>
    </w:p>
    <w:p w14:paraId="6E77565F">
      <w:pPr>
        <w:shd w:val="clear"/>
        <w:spacing w:before="163" w:line="221" w:lineRule="auto"/>
        <w:ind w:left="617"/>
        <w:jc w:val="both"/>
        <w:outlineLvl w:val="1"/>
        <w:rPr>
          <w:rFonts w:ascii="宋体" w:hAnsi="宋体" w:eastAsia="宋体" w:cs="宋体"/>
          <w:color w:val="auto"/>
          <w:sz w:val="28"/>
          <w:szCs w:val="28"/>
          <w:highlight w:val="none"/>
        </w:rPr>
      </w:pPr>
      <w:bookmarkStart w:id="233" w:name="_bookmark18"/>
      <w:bookmarkEnd w:id="233"/>
      <w:r>
        <w:rPr>
          <w:rFonts w:ascii="宋体" w:hAnsi="宋体" w:eastAsia="宋体" w:cs="宋体"/>
          <w:color w:val="auto"/>
          <w:sz w:val="28"/>
          <w:szCs w:val="28"/>
          <w:highlight w:val="none"/>
        </w:rPr>
        <w:t>格式四：投标报价表</w:t>
      </w:r>
    </w:p>
    <w:p w14:paraId="7797DA7D">
      <w:pPr>
        <w:shd w:val="clear"/>
        <w:spacing w:before="246" w:line="224" w:lineRule="auto"/>
        <w:ind w:left="6702"/>
        <w:jc w:val="both"/>
        <w:rPr>
          <w:rFonts w:ascii="宋体" w:hAnsi="宋体" w:eastAsia="宋体" w:cs="宋体"/>
          <w:color w:val="auto"/>
          <w:sz w:val="31"/>
          <w:szCs w:val="31"/>
          <w:highlight w:val="none"/>
        </w:rPr>
      </w:pPr>
      <w:r>
        <w:rPr>
          <w:rFonts w:ascii="宋体" w:hAnsi="宋体" w:eastAsia="宋体" w:cs="宋体"/>
          <w:color w:val="auto"/>
          <w:sz w:val="31"/>
          <w:szCs w:val="31"/>
          <w:highlight w:val="none"/>
        </w:rPr>
        <w:t>投标报价表</w:t>
      </w:r>
    </w:p>
    <w:p w14:paraId="4BBA0E5D">
      <w:pPr>
        <w:shd w:val="clear"/>
        <w:spacing w:before="130" w:line="229" w:lineRule="auto"/>
        <w:ind w:left="11859"/>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单位：人民币元</w:t>
      </w:r>
    </w:p>
    <w:p w14:paraId="7A799266">
      <w:pPr>
        <w:shd w:val="clear"/>
        <w:spacing w:line="98" w:lineRule="auto"/>
        <w:jc w:val="both"/>
        <w:rPr>
          <w:color w:val="auto"/>
          <w:sz w:val="2"/>
          <w:highlight w:val="none"/>
        </w:rPr>
      </w:pPr>
    </w:p>
    <w:tbl>
      <w:tblPr>
        <w:tblStyle w:val="31"/>
        <w:tblW w:w="4997" w:type="pct"/>
        <w:tblInd w:w="62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31"/>
        <w:gridCol w:w="1331"/>
        <w:gridCol w:w="1332"/>
        <w:gridCol w:w="1332"/>
        <w:gridCol w:w="1335"/>
        <w:gridCol w:w="1387"/>
        <w:gridCol w:w="1332"/>
        <w:gridCol w:w="1387"/>
        <w:gridCol w:w="1909"/>
        <w:gridCol w:w="1339"/>
      </w:tblGrid>
      <w:tr w14:paraId="3D444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38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735F1B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38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B873F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38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AE0B1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38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53548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38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48C319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w:t>
            </w:r>
          </w:p>
        </w:tc>
        <w:tc>
          <w:tcPr>
            <w:tcW w:w="40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57A1B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w:t>
            </w:r>
          </w:p>
        </w:tc>
        <w:tc>
          <w:tcPr>
            <w:tcW w:w="38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4B13C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7</w:t>
            </w:r>
          </w:p>
        </w:tc>
        <w:tc>
          <w:tcPr>
            <w:tcW w:w="40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22BE6F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8</w:t>
            </w:r>
          </w:p>
        </w:tc>
        <w:tc>
          <w:tcPr>
            <w:tcW w:w="551" w:type="pct"/>
            <w:tcBorders>
              <w:top w:val="single" w:color="000000" w:sz="8" w:space="0"/>
              <w:left w:val="single" w:color="000000" w:sz="8" w:space="0"/>
              <w:bottom w:val="single" w:color="000000" w:sz="8" w:space="0"/>
              <w:right w:val="single" w:color="000000" w:sz="8" w:space="0"/>
            </w:tcBorders>
            <w:shd w:val="clear" w:color="auto" w:fill="auto"/>
            <w:vAlign w:val="center"/>
          </w:tcPr>
          <w:p w14:paraId="0C2BCA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w:t>
            </w:r>
          </w:p>
        </w:tc>
        <w:tc>
          <w:tcPr>
            <w:tcW w:w="385" w:type="pct"/>
            <w:tcBorders>
              <w:top w:val="single" w:color="000000" w:sz="8" w:space="0"/>
              <w:left w:val="single" w:color="000000" w:sz="8" w:space="0"/>
              <w:bottom w:val="single" w:color="000000" w:sz="8" w:space="0"/>
              <w:right w:val="single" w:color="000000" w:sz="8" w:space="0"/>
            </w:tcBorders>
            <w:shd w:val="clear" w:color="auto" w:fill="auto"/>
            <w:vAlign w:val="center"/>
          </w:tcPr>
          <w:p w14:paraId="1B93ED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w:t>
            </w:r>
          </w:p>
        </w:tc>
      </w:tr>
      <w:tr w14:paraId="5D9FC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064C0C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项号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441C86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0477A9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型号规格</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072BFA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006A50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401" w:type="pct"/>
            <w:tcBorders>
              <w:top w:val="nil"/>
              <w:left w:val="single" w:color="000000" w:sz="8" w:space="0"/>
              <w:bottom w:val="nil"/>
              <w:right w:val="single" w:color="000000" w:sz="8" w:space="0"/>
            </w:tcBorders>
            <w:shd w:val="clear" w:color="auto" w:fill="auto"/>
            <w:vAlign w:val="center"/>
          </w:tcPr>
          <w:p w14:paraId="65850D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产品单价（含税）</w:t>
            </w:r>
          </w:p>
        </w:tc>
        <w:tc>
          <w:tcPr>
            <w:tcW w:w="385" w:type="pct"/>
            <w:tcBorders>
              <w:top w:val="nil"/>
              <w:left w:val="single" w:color="000000" w:sz="8" w:space="0"/>
              <w:bottom w:val="nil"/>
              <w:right w:val="single" w:color="000000" w:sz="8" w:space="0"/>
            </w:tcBorders>
            <w:shd w:val="clear" w:color="auto" w:fill="auto"/>
            <w:vAlign w:val="center"/>
          </w:tcPr>
          <w:p w14:paraId="102D68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安装单价（含税）</w:t>
            </w:r>
          </w:p>
        </w:tc>
        <w:tc>
          <w:tcPr>
            <w:tcW w:w="401" w:type="pct"/>
            <w:tcBorders>
              <w:top w:val="nil"/>
              <w:left w:val="single" w:color="000000" w:sz="8" w:space="0"/>
              <w:bottom w:val="single" w:color="000000" w:sz="8" w:space="0"/>
              <w:right w:val="single" w:color="000000" w:sz="8" w:space="0"/>
            </w:tcBorders>
            <w:shd w:val="clear" w:color="auto" w:fill="auto"/>
            <w:vAlign w:val="center"/>
          </w:tcPr>
          <w:p w14:paraId="4A69FB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综合单价</w:t>
            </w:r>
          </w:p>
        </w:tc>
        <w:tc>
          <w:tcPr>
            <w:tcW w:w="551" w:type="pct"/>
            <w:tcBorders>
              <w:top w:val="nil"/>
              <w:left w:val="single" w:color="000000" w:sz="8" w:space="0"/>
              <w:bottom w:val="single" w:color="000000" w:sz="8" w:space="0"/>
              <w:right w:val="single" w:color="000000" w:sz="8" w:space="0"/>
            </w:tcBorders>
            <w:shd w:val="clear" w:color="auto" w:fill="auto"/>
            <w:vAlign w:val="center"/>
          </w:tcPr>
          <w:p w14:paraId="3B4F1A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总价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3E1880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695BE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051" w:type="pct"/>
            <w:gridSpan w:val="10"/>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2E40A2">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一、DN（15-50）水平旋翼式液封湿式水表及附属配件</w:t>
            </w:r>
          </w:p>
        </w:tc>
      </w:tr>
      <w:tr w14:paraId="3789A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24AAE4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项号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326AC6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326FA3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型号规格</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400DC0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29B9C1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401" w:type="pct"/>
            <w:tcBorders>
              <w:top w:val="nil"/>
              <w:left w:val="single" w:color="000000" w:sz="8" w:space="0"/>
              <w:bottom w:val="nil"/>
              <w:right w:val="single" w:color="000000" w:sz="8" w:space="0"/>
            </w:tcBorders>
            <w:shd w:val="clear" w:color="auto" w:fill="auto"/>
            <w:vAlign w:val="center"/>
          </w:tcPr>
          <w:p w14:paraId="1FCE7E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产品单价（含税）</w:t>
            </w:r>
          </w:p>
        </w:tc>
        <w:tc>
          <w:tcPr>
            <w:tcW w:w="385" w:type="pct"/>
            <w:tcBorders>
              <w:top w:val="nil"/>
              <w:left w:val="single" w:color="000000" w:sz="8" w:space="0"/>
              <w:bottom w:val="nil"/>
              <w:right w:val="single" w:color="000000" w:sz="8" w:space="0"/>
            </w:tcBorders>
            <w:shd w:val="clear" w:color="auto" w:fill="auto"/>
            <w:vAlign w:val="center"/>
          </w:tcPr>
          <w:p w14:paraId="0401F4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安装单价（含税）</w:t>
            </w:r>
          </w:p>
        </w:tc>
        <w:tc>
          <w:tcPr>
            <w:tcW w:w="401" w:type="pct"/>
            <w:tcBorders>
              <w:top w:val="nil"/>
              <w:left w:val="single" w:color="000000" w:sz="8" w:space="0"/>
              <w:bottom w:val="single" w:color="000000" w:sz="8" w:space="0"/>
              <w:right w:val="single" w:color="000000" w:sz="8" w:space="0"/>
            </w:tcBorders>
            <w:shd w:val="clear" w:color="auto" w:fill="auto"/>
            <w:vAlign w:val="center"/>
          </w:tcPr>
          <w:p w14:paraId="6F8801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综合单价</w:t>
            </w:r>
          </w:p>
        </w:tc>
        <w:tc>
          <w:tcPr>
            <w:tcW w:w="551" w:type="pct"/>
            <w:tcBorders>
              <w:top w:val="nil"/>
              <w:left w:val="single" w:color="000000" w:sz="8" w:space="0"/>
              <w:bottom w:val="single" w:color="000000" w:sz="8" w:space="0"/>
              <w:right w:val="single" w:color="000000" w:sz="8" w:space="0"/>
            </w:tcBorders>
            <w:shd w:val="clear" w:color="auto" w:fill="auto"/>
            <w:vAlign w:val="center"/>
          </w:tcPr>
          <w:p w14:paraId="65FF3F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总价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1901AD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4D87C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18341E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385" w:type="pct"/>
            <w:vMerge w:val="restart"/>
            <w:tcBorders>
              <w:top w:val="nil"/>
              <w:left w:val="nil"/>
              <w:bottom w:val="single" w:color="000000" w:sz="8" w:space="0"/>
              <w:right w:val="single" w:color="000000" w:sz="8" w:space="0"/>
            </w:tcBorders>
            <w:shd w:val="clear" w:color="auto" w:fill="auto"/>
            <w:vAlign w:val="center"/>
          </w:tcPr>
          <w:p w14:paraId="201916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水平旋翼式湿式冷水水表</w:t>
            </w:r>
          </w:p>
        </w:tc>
        <w:tc>
          <w:tcPr>
            <w:tcW w:w="385" w:type="pct"/>
            <w:tcBorders>
              <w:top w:val="nil"/>
              <w:left w:val="nil"/>
              <w:bottom w:val="single" w:color="000000" w:sz="8" w:space="0"/>
              <w:right w:val="single" w:color="000000" w:sz="8" w:space="0"/>
            </w:tcBorders>
            <w:shd w:val="clear" w:color="auto" w:fill="auto"/>
            <w:vAlign w:val="center"/>
          </w:tcPr>
          <w:p w14:paraId="2B1E6D5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w:t>
            </w:r>
          </w:p>
        </w:tc>
        <w:tc>
          <w:tcPr>
            <w:tcW w:w="385" w:type="pct"/>
            <w:tcBorders>
              <w:top w:val="nil"/>
              <w:left w:val="nil"/>
              <w:bottom w:val="single" w:color="000000" w:sz="8" w:space="0"/>
              <w:right w:val="single" w:color="000000" w:sz="8" w:space="0"/>
            </w:tcBorders>
            <w:shd w:val="clear" w:color="auto" w:fill="auto"/>
            <w:vAlign w:val="center"/>
          </w:tcPr>
          <w:p w14:paraId="6FE6386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7517E6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18186</w:t>
            </w:r>
          </w:p>
        </w:tc>
        <w:tc>
          <w:tcPr>
            <w:tcW w:w="401" w:type="pct"/>
            <w:tcBorders>
              <w:top w:val="single" w:color="000000" w:sz="8" w:space="0"/>
              <w:left w:val="nil"/>
              <w:bottom w:val="single" w:color="000000" w:sz="8" w:space="0"/>
              <w:right w:val="single" w:color="000000" w:sz="8" w:space="0"/>
            </w:tcBorders>
            <w:shd w:val="clear" w:color="auto" w:fill="auto"/>
            <w:vAlign w:val="center"/>
          </w:tcPr>
          <w:p w14:paraId="2335E3E9">
            <w:pPr>
              <w:jc w:val="center"/>
              <w:rPr>
                <w:rFonts w:hint="eastAsia" w:ascii="宋体" w:hAnsi="宋体" w:eastAsia="宋体" w:cs="宋体"/>
                <w:i w:val="0"/>
                <w:iCs w:val="0"/>
                <w:color w:val="auto"/>
                <w:sz w:val="22"/>
                <w:szCs w:val="22"/>
                <w:highlight w:val="none"/>
                <w:u w:val="none"/>
              </w:rPr>
            </w:pPr>
          </w:p>
        </w:tc>
        <w:tc>
          <w:tcPr>
            <w:tcW w:w="385" w:type="pct"/>
            <w:tcBorders>
              <w:top w:val="single" w:color="000000" w:sz="8" w:space="0"/>
              <w:left w:val="nil"/>
              <w:bottom w:val="single" w:color="000000" w:sz="8" w:space="0"/>
              <w:right w:val="single" w:color="000000" w:sz="8" w:space="0"/>
            </w:tcBorders>
            <w:shd w:val="clear" w:color="auto" w:fill="auto"/>
            <w:vAlign w:val="center"/>
          </w:tcPr>
          <w:p w14:paraId="6BD583F1">
            <w:pPr>
              <w:jc w:val="center"/>
              <w:rPr>
                <w:rFonts w:hint="eastAsia" w:ascii="宋体" w:hAnsi="宋体" w:eastAsia="宋体" w:cs="宋体"/>
                <w:i w:val="0"/>
                <w:iCs w:val="0"/>
                <w:color w:val="auto"/>
                <w:sz w:val="22"/>
                <w:szCs w:val="22"/>
                <w:highlight w:val="none"/>
                <w:u w:val="none"/>
              </w:rPr>
            </w:pPr>
          </w:p>
        </w:tc>
        <w:tc>
          <w:tcPr>
            <w:tcW w:w="401" w:type="pct"/>
            <w:tcBorders>
              <w:top w:val="single" w:color="000000" w:sz="8" w:space="0"/>
              <w:left w:val="nil"/>
              <w:bottom w:val="single" w:color="000000" w:sz="8" w:space="0"/>
              <w:right w:val="single" w:color="000000" w:sz="8" w:space="0"/>
            </w:tcBorders>
            <w:shd w:val="clear" w:color="auto" w:fill="auto"/>
            <w:vAlign w:val="center"/>
          </w:tcPr>
          <w:p w14:paraId="57D59BE9">
            <w:pPr>
              <w:jc w:val="center"/>
              <w:rPr>
                <w:rFonts w:hint="eastAsia" w:ascii="宋体" w:hAnsi="宋体" w:eastAsia="宋体" w:cs="宋体"/>
                <w:i w:val="0"/>
                <w:iCs w:val="0"/>
                <w:color w:val="auto"/>
                <w:sz w:val="22"/>
                <w:szCs w:val="22"/>
                <w:highlight w:val="none"/>
                <w:u w:val="none"/>
              </w:rPr>
            </w:pPr>
          </w:p>
        </w:tc>
        <w:tc>
          <w:tcPr>
            <w:tcW w:w="551" w:type="pct"/>
            <w:tcBorders>
              <w:top w:val="single" w:color="000000" w:sz="8" w:space="0"/>
              <w:left w:val="nil"/>
              <w:bottom w:val="single" w:color="000000" w:sz="8" w:space="0"/>
              <w:right w:val="single" w:color="000000" w:sz="8" w:space="0"/>
            </w:tcBorders>
            <w:shd w:val="clear" w:color="auto" w:fill="auto"/>
            <w:vAlign w:val="center"/>
          </w:tcPr>
          <w:p w14:paraId="0E021D35">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3D7A2E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防冻玻璃改远传基表</w:t>
            </w:r>
          </w:p>
        </w:tc>
      </w:tr>
      <w:tr w14:paraId="33746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5142D6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385" w:type="pct"/>
            <w:vMerge w:val="continue"/>
            <w:tcBorders>
              <w:top w:val="nil"/>
              <w:left w:val="nil"/>
              <w:bottom w:val="single" w:color="000000" w:sz="8" w:space="0"/>
              <w:right w:val="single" w:color="000000" w:sz="8" w:space="0"/>
            </w:tcBorders>
            <w:shd w:val="clear" w:color="auto" w:fill="auto"/>
            <w:vAlign w:val="center"/>
          </w:tcPr>
          <w:p w14:paraId="52B132A0">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0979F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w:t>
            </w:r>
          </w:p>
        </w:tc>
        <w:tc>
          <w:tcPr>
            <w:tcW w:w="385" w:type="pct"/>
            <w:tcBorders>
              <w:top w:val="nil"/>
              <w:left w:val="nil"/>
              <w:bottom w:val="single" w:color="000000" w:sz="8" w:space="0"/>
              <w:right w:val="single" w:color="000000" w:sz="8" w:space="0"/>
            </w:tcBorders>
            <w:shd w:val="clear" w:color="auto" w:fill="auto"/>
            <w:vAlign w:val="center"/>
          </w:tcPr>
          <w:p w14:paraId="412D8B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29DDB5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13015</w:t>
            </w:r>
          </w:p>
        </w:tc>
        <w:tc>
          <w:tcPr>
            <w:tcW w:w="401" w:type="pct"/>
            <w:tcBorders>
              <w:top w:val="nil"/>
              <w:left w:val="nil"/>
              <w:bottom w:val="single" w:color="000000" w:sz="8" w:space="0"/>
              <w:right w:val="single" w:color="000000" w:sz="8" w:space="0"/>
            </w:tcBorders>
            <w:shd w:val="clear" w:color="auto" w:fill="auto"/>
            <w:vAlign w:val="center"/>
          </w:tcPr>
          <w:p w14:paraId="066A3FB6">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55C865C4">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6C9C76E7">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2CABC336">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398FC0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钢化玻璃改远传基表</w:t>
            </w:r>
          </w:p>
        </w:tc>
      </w:tr>
      <w:tr w14:paraId="1CF49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7F6514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385" w:type="pct"/>
            <w:vMerge w:val="continue"/>
            <w:tcBorders>
              <w:top w:val="nil"/>
              <w:left w:val="nil"/>
              <w:bottom w:val="single" w:color="000000" w:sz="8" w:space="0"/>
              <w:right w:val="single" w:color="000000" w:sz="8" w:space="0"/>
            </w:tcBorders>
            <w:shd w:val="clear" w:color="auto" w:fill="auto"/>
            <w:vAlign w:val="center"/>
          </w:tcPr>
          <w:p w14:paraId="0AA0AD4A">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3BE27E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w:t>
            </w:r>
          </w:p>
        </w:tc>
        <w:tc>
          <w:tcPr>
            <w:tcW w:w="385" w:type="pct"/>
            <w:tcBorders>
              <w:top w:val="nil"/>
              <w:left w:val="nil"/>
              <w:bottom w:val="single" w:color="000000" w:sz="8" w:space="0"/>
              <w:right w:val="single" w:color="000000" w:sz="8" w:space="0"/>
            </w:tcBorders>
            <w:shd w:val="clear" w:color="auto" w:fill="auto"/>
            <w:vAlign w:val="center"/>
          </w:tcPr>
          <w:p w14:paraId="3C44888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3BE739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343</w:t>
            </w:r>
          </w:p>
        </w:tc>
        <w:tc>
          <w:tcPr>
            <w:tcW w:w="401" w:type="pct"/>
            <w:tcBorders>
              <w:top w:val="nil"/>
              <w:left w:val="nil"/>
              <w:bottom w:val="single" w:color="000000" w:sz="8" w:space="0"/>
              <w:right w:val="single" w:color="000000" w:sz="8" w:space="0"/>
            </w:tcBorders>
            <w:shd w:val="clear" w:color="auto" w:fill="auto"/>
            <w:vAlign w:val="center"/>
          </w:tcPr>
          <w:p w14:paraId="6A932451">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305E8B33">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07A18FF0">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7D3C09A1">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223BE54">
            <w:pPr>
              <w:jc w:val="center"/>
              <w:rPr>
                <w:rFonts w:hint="eastAsia" w:ascii="Arial" w:hAnsi="Arial" w:eastAsia="宋体" w:cs="Arial"/>
                <w:i w:val="0"/>
                <w:iCs w:val="0"/>
                <w:color w:val="auto"/>
                <w:sz w:val="22"/>
                <w:szCs w:val="22"/>
                <w:highlight w:val="none"/>
                <w:u w:val="none"/>
              </w:rPr>
            </w:pPr>
          </w:p>
        </w:tc>
      </w:tr>
      <w:tr w14:paraId="3846C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63D7FC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385" w:type="pct"/>
            <w:vMerge w:val="continue"/>
            <w:tcBorders>
              <w:top w:val="nil"/>
              <w:left w:val="nil"/>
              <w:bottom w:val="single" w:color="000000" w:sz="8" w:space="0"/>
              <w:right w:val="single" w:color="000000" w:sz="8" w:space="0"/>
            </w:tcBorders>
            <w:shd w:val="clear" w:color="auto" w:fill="auto"/>
            <w:vAlign w:val="center"/>
          </w:tcPr>
          <w:p w14:paraId="23120A38">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BEC370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DN25</w:t>
            </w:r>
          </w:p>
        </w:tc>
        <w:tc>
          <w:tcPr>
            <w:tcW w:w="385" w:type="pct"/>
            <w:tcBorders>
              <w:top w:val="nil"/>
              <w:left w:val="nil"/>
              <w:bottom w:val="single" w:color="000000" w:sz="8" w:space="0"/>
              <w:right w:val="single" w:color="000000" w:sz="8" w:space="0"/>
            </w:tcBorders>
            <w:shd w:val="clear" w:color="auto" w:fill="auto"/>
            <w:vAlign w:val="center"/>
          </w:tcPr>
          <w:p w14:paraId="378763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0FE41B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517</w:t>
            </w:r>
          </w:p>
        </w:tc>
        <w:tc>
          <w:tcPr>
            <w:tcW w:w="401" w:type="pct"/>
            <w:tcBorders>
              <w:top w:val="nil"/>
              <w:left w:val="nil"/>
              <w:bottom w:val="single" w:color="000000" w:sz="8" w:space="0"/>
              <w:right w:val="single" w:color="000000" w:sz="8" w:space="0"/>
            </w:tcBorders>
            <w:shd w:val="clear" w:color="auto" w:fill="auto"/>
            <w:vAlign w:val="center"/>
          </w:tcPr>
          <w:p w14:paraId="53BC473D">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907912A">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6E93DD3C">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09A69D4E">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03A75F4">
            <w:pPr>
              <w:jc w:val="center"/>
              <w:rPr>
                <w:rFonts w:hint="default" w:ascii="Arial" w:hAnsi="Arial" w:eastAsia="宋体" w:cs="Arial"/>
                <w:i w:val="0"/>
                <w:iCs w:val="0"/>
                <w:color w:val="auto"/>
                <w:sz w:val="22"/>
                <w:szCs w:val="22"/>
                <w:highlight w:val="none"/>
                <w:u w:val="none"/>
              </w:rPr>
            </w:pPr>
          </w:p>
        </w:tc>
      </w:tr>
      <w:tr w14:paraId="00EFB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69E470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w:t>
            </w:r>
          </w:p>
        </w:tc>
        <w:tc>
          <w:tcPr>
            <w:tcW w:w="385" w:type="pct"/>
            <w:vMerge w:val="continue"/>
            <w:tcBorders>
              <w:top w:val="nil"/>
              <w:left w:val="nil"/>
              <w:bottom w:val="single" w:color="000000" w:sz="8" w:space="0"/>
              <w:right w:val="single" w:color="000000" w:sz="8" w:space="0"/>
            </w:tcBorders>
            <w:shd w:val="clear" w:color="auto" w:fill="auto"/>
            <w:vAlign w:val="center"/>
          </w:tcPr>
          <w:p w14:paraId="3EF03E7E">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E70DB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DN40</w:t>
            </w:r>
          </w:p>
        </w:tc>
        <w:tc>
          <w:tcPr>
            <w:tcW w:w="385" w:type="pct"/>
            <w:tcBorders>
              <w:top w:val="nil"/>
              <w:left w:val="nil"/>
              <w:bottom w:val="single" w:color="000000" w:sz="8" w:space="0"/>
              <w:right w:val="single" w:color="000000" w:sz="8" w:space="0"/>
            </w:tcBorders>
            <w:shd w:val="clear" w:color="auto" w:fill="auto"/>
            <w:vAlign w:val="center"/>
          </w:tcPr>
          <w:p w14:paraId="04B72A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0BD42D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564</w:t>
            </w:r>
          </w:p>
        </w:tc>
        <w:tc>
          <w:tcPr>
            <w:tcW w:w="401" w:type="pct"/>
            <w:tcBorders>
              <w:top w:val="nil"/>
              <w:left w:val="nil"/>
              <w:bottom w:val="single" w:color="000000" w:sz="8" w:space="0"/>
              <w:right w:val="single" w:color="000000" w:sz="8" w:space="0"/>
            </w:tcBorders>
            <w:shd w:val="clear" w:color="auto" w:fill="auto"/>
            <w:vAlign w:val="center"/>
          </w:tcPr>
          <w:p w14:paraId="1034FAE5">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A7710FB">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21B8644F">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157B6F4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24B6B67A">
            <w:pPr>
              <w:jc w:val="center"/>
              <w:rPr>
                <w:rFonts w:hint="default" w:ascii="Arial" w:hAnsi="Arial" w:eastAsia="宋体" w:cs="Arial"/>
                <w:i w:val="0"/>
                <w:iCs w:val="0"/>
                <w:color w:val="auto"/>
                <w:sz w:val="22"/>
                <w:szCs w:val="22"/>
                <w:highlight w:val="none"/>
                <w:u w:val="none"/>
              </w:rPr>
            </w:pPr>
          </w:p>
        </w:tc>
      </w:tr>
      <w:tr w14:paraId="011B4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36D07C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385" w:type="pct"/>
            <w:vMerge w:val="continue"/>
            <w:tcBorders>
              <w:top w:val="nil"/>
              <w:left w:val="nil"/>
              <w:bottom w:val="single" w:color="000000" w:sz="8" w:space="0"/>
              <w:right w:val="single" w:color="000000" w:sz="8" w:space="0"/>
            </w:tcBorders>
            <w:shd w:val="clear" w:color="auto" w:fill="auto"/>
            <w:vAlign w:val="center"/>
          </w:tcPr>
          <w:p w14:paraId="234E89B1">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3E8519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DN50</w:t>
            </w:r>
          </w:p>
        </w:tc>
        <w:tc>
          <w:tcPr>
            <w:tcW w:w="385" w:type="pct"/>
            <w:tcBorders>
              <w:top w:val="nil"/>
              <w:left w:val="nil"/>
              <w:bottom w:val="single" w:color="000000" w:sz="8" w:space="0"/>
              <w:right w:val="single" w:color="000000" w:sz="8" w:space="0"/>
            </w:tcBorders>
            <w:shd w:val="clear" w:color="auto" w:fill="auto"/>
            <w:vAlign w:val="center"/>
          </w:tcPr>
          <w:p w14:paraId="5ADCCB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34A9936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135</w:t>
            </w:r>
          </w:p>
        </w:tc>
        <w:tc>
          <w:tcPr>
            <w:tcW w:w="401" w:type="pct"/>
            <w:tcBorders>
              <w:top w:val="nil"/>
              <w:left w:val="nil"/>
              <w:bottom w:val="single" w:color="000000" w:sz="8" w:space="0"/>
              <w:right w:val="single" w:color="000000" w:sz="8" w:space="0"/>
            </w:tcBorders>
            <w:shd w:val="clear" w:color="auto" w:fill="auto"/>
            <w:vAlign w:val="center"/>
          </w:tcPr>
          <w:p w14:paraId="743B39C6">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D2F986C">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3E98FF49">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587FB72B">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E7F4071">
            <w:pPr>
              <w:jc w:val="center"/>
              <w:rPr>
                <w:rFonts w:hint="default" w:ascii="Arial" w:hAnsi="Arial" w:eastAsia="宋体" w:cs="Arial"/>
                <w:i w:val="0"/>
                <w:iCs w:val="0"/>
                <w:color w:val="auto"/>
                <w:sz w:val="22"/>
                <w:szCs w:val="22"/>
                <w:highlight w:val="none"/>
                <w:u w:val="none"/>
              </w:rPr>
            </w:pPr>
          </w:p>
        </w:tc>
      </w:tr>
      <w:tr w14:paraId="24ACD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926" w:type="pct"/>
            <w:gridSpan w:val="5"/>
            <w:tcBorders>
              <w:top w:val="nil"/>
              <w:left w:val="single" w:color="000000" w:sz="8" w:space="0"/>
              <w:bottom w:val="single" w:color="000000" w:sz="8" w:space="0"/>
              <w:right w:val="single" w:color="000000" w:sz="8" w:space="0"/>
            </w:tcBorders>
            <w:shd w:val="clear" w:color="auto" w:fill="auto"/>
            <w:vAlign w:val="center"/>
          </w:tcPr>
          <w:p w14:paraId="23D3EE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合计（元）</w:t>
            </w:r>
          </w:p>
        </w:tc>
        <w:tc>
          <w:tcPr>
            <w:tcW w:w="1739" w:type="pct"/>
            <w:gridSpan w:val="4"/>
            <w:tcBorders>
              <w:top w:val="nil"/>
              <w:left w:val="nil"/>
              <w:bottom w:val="single" w:color="000000" w:sz="8" w:space="0"/>
              <w:right w:val="single" w:color="000000" w:sz="8" w:space="0"/>
            </w:tcBorders>
            <w:shd w:val="clear" w:color="auto" w:fill="auto"/>
            <w:vAlign w:val="center"/>
          </w:tcPr>
          <w:p w14:paraId="7507B551">
            <w:pPr>
              <w:jc w:val="center"/>
              <w:rPr>
                <w:rFonts w:hint="eastAsia" w:ascii="宋体" w:hAnsi="宋体" w:eastAsia="宋体" w:cs="宋体"/>
                <w:b/>
                <w:bCs/>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noWrap/>
            <w:vAlign w:val="center"/>
          </w:tcPr>
          <w:p w14:paraId="33B1D86A">
            <w:pPr>
              <w:jc w:val="center"/>
              <w:rPr>
                <w:rFonts w:hint="eastAsia" w:ascii="宋体" w:hAnsi="宋体" w:eastAsia="宋体" w:cs="宋体"/>
                <w:i w:val="0"/>
                <w:iCs w:val="0"/>
                <w:color w:val="auto"/>
                <w:sz w:val="22"/>
                <w:szCs w:val="22"/>
                <w:highlight w:val="none"/>
                <w:u w:val="none"/>
              </w:rPr>
            </w:pPr>
          </w:p>
        </w:tc>
      </w:tr>
      <w:tr w14:paraId="5562E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051" w:type="pct"/>
            <w:gridSpan w:val="10"/>
            <w:tcBorders>
              <w:top w:val="nil"/>
              <w:left w:val="single" w:color="000000" w:sz="8" w:space="0"/>
              <w:bottom w:val="single" w:color="000000" w:sz="8" w:space="0"/>
              <w:right w:val="single" w:color="000000" w:sz="8" w:space="0"/>
            </w:tcBorders>
            <w:shd w:val="clear" w:color="auto" w:fill="auto"/>
            <w:noWrap/>
            <w:vAlign w:val="center"/>
          </w:tcPr>
          <w:p w14:paraId="58EB2B2F">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二、DN（40-200）螺翼式冷水水表及附属配件</w:t>
            </w:r>
          </w:p>
        </w:tc>
      </w:tr>
      <w:tr w14:paraId="50104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3493ED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项号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304B9C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530947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型号规格</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593C42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5A5DA7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401" w:type="pct"/>
            <w:tcBorders>
              <w:top w:val="nil"/>
              <w:left w:val="single" w:color="000000" w:sz="8" w:space="0"/>
              <w:bottom w:val="nil"/>
              <w:right w:val="single" w:color="000000" w:sz="8" w:space="0"/>
            </w:tcBorders>
            <w:shd w:val="clear" w:color="auto" w:fill="auto"/>
            <w:vAlign w:val="center"/>
          </w:tcPr>
          <w:p w14:paraId="0CBC33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产品单价（含税）</w:t>
            </w:r>
          </w:p>
        </w:tc>
        <w:tc>
          <w:tcPr>
            <w:tcW w:w="385" w:type="pct"/>
            <w:tcBorders>
              <w:top w:val="nil"/>
              <w:left w:val="single" w:color="000000" w:sz="8" w:space="0"/>
              <w:bottom w:val="nil"/>
              <w:right w:val="single" w:color="000000" w:sz="8" w:space="0"/>
            </w:tcBorders>
            <w:shd w:val="clear" w:color="auto" w:fill="auto"/>
            <w:vAlign w:val="center"/>
          </w:tcPr>
          <w:p w14:paraId="659B27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安装单价（含税）</w:t>
            </w:r>
          </w:p>
        </w:tc>
        <w:tc>
          <w:tcPr>
            <w:tcW w:w="401" w:type="pct"/>
            <w:tcBorders>
              <w:top w:val="nil"/>
              <w:left w:val="single" w:color="000000" w:sz="8" w:space="0"/>
              <w:bottom w:val="single" w:color="000000" w:sz="8" w:space="0"/>
              <w:right w:val="single" w:color="000000" w:sz="8" w:space="0"/>
            </w:tcBorders>
            <w:shd w:val="clear" w:color="auto" w:fill="auto"/>
            <w:vAlign w:val="center"/>
          </w:tcPr>
          <w:p w14:paraId="4FA7EE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综合单价</w:t>
            </w:r>
          </w:p>
        </w:tc>
        <w:tc>
          <w:tcPr>
            <w:tcW w:w="551" w:type="pct"/>
            <w:tcBorders>
              <w:top w:val="nil"/>
              <w:left w:val="single" w:color="000000" w:sz="8" w:space="0"/>
              <w:bottom w:val="single" w:color="000000" w:sz="8" w:space="0"/>
              <w:right w:val="single" w:color="000000" w:sz="8" w:space="0"/>
            </w:tcBorders>
            <w:shd w:val="clear" w:color="auto" w:fill="auto"/>
            <w:vAlign w:val="center"/>
          </w:tcPr>
          <w:p w14:paraId="730107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总价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58AC59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6C5FE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129273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385" w:type="pct"/>
            <w:vMerge w:val="restart"/>
            <w:tcBorders>
              <w:top w:val="nil"/>
              <w:left w:val="nil"/>
              <w:bottom w:val="single" w:color="000000" w:sz="8" w:space="0"/>
              <w:right w:val="single" w:color="000000" w:sz="8" w:space="0"/>
            </w:tcBorders>
            <w:shd w:val="clear" w:color="auto" w:fill="auto"/>
            <w:vAlign w:val="center"/>
          </w:tcPr>
          <w:p w14:paraId="2286A33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水平螺翼式冷水水表</w:t>
            </w:r>
          </w:p>
        </w:tc>
        <w:tc>
          <w:tcPr>
            <w:tcW w:w="385" w:type="pct"/>
            <w:tcBorders>
              <w:top w:val="nil"/>
              <w:left w:val="nil"/>
              <w:bottom w:val="single" w:color="000000" w:sz="8" w:space="0"/>
              <w:right w:val="single" w:color="000000" w:sz="8" w:space="0"/>
            </w:tcBorders>
            <w:shd w:val="clear" w:color="auto" w:fill="auto"/>
            <w:vAlign w:val="center"/>
          </w:tcPr>
          <w:p w14:paraId="723D11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DN80</w:t>
            </w:r>
          </w:p>
        </w:tc>
        <w:tc>
          <w:tcPr>
            <w:tcW w:w="385" w:type="pct"/>
            <w:tcBorders>
              <w:top w:val="nil"/>
              <w:left w:val="nil"/>
              <w:bottom w:val="single" w:color="000000" w:sz="8" w:space="0"/>
              <w:right w:val="single" w:color="000000" w:sz="8" w:space="0"/>
            </w:tcBorders>
            <w:shd w:val="clear" w:color="auto" w:fill="auto"/>
            <w:vAlign w:val="center"/>
          </w:tcPr>
          <w:p w14:paraId="25A926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292175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318</w:t>
            </w:r>
          </w:p>
        </w:tc>
        <w:tc>
          <w:tcPr>
            <w:tcW w:w="401" w:type="pct"/>
            <w:tcBorders>
              <w:top w:val="single" w:color="000000" w:sz="8" w:space="0"/>
              <w:left w:val="nil"/>
              <w:bottom w:val="single" w:color="000000" w:sz="8" w:space="0"/>
              <w:right w:val="single" w:color="000000" w:sz="8" w:space="0"/>
            </w:tcBorders>
            <w:shd w:val="clear" w:color="auto" w:fill="auto"/>
            <w:vAlign w:val="center"/>
          </w:tcPr>
          <w:p w14:paraId="7F0F271B">
            <w:pPr>
              <w:jc w:val="center"/>
              <w:rPr>
                <w:rFonts w:hint="eastAsia" w:ascii="宋体" w:hAnsi="宋体" w:eastAsia="宋体" w:cs="宋体"/>
                <w:i w:val="0"/>
                <w:iCs w:val="0"/>
                <w:color w:val="auto"/>
                <w:sz w:val="22"/>
                <w:szCs w:val="22"/>
                <w:highlight w:val="none"/>
                <w:u w:val="none"/>
              </w:rPr>
            </w:pPr>
          </w:p>
        </w:tc>
        <w:tc>
          <w:tcPr>
            <w:tcW w:w="385" w:type="pct"/>
            <w:tcBorders>
              <w:top w:val="single" w:color="000000" w:sz="8" w:space="0"/>
              <w:left w:val="nil"/>
              <w:bottom w:val="single" w:color="000000" w:sz="8" w:space="0"/>
              <w:right w:val="single" w:color="000000" w:sz="8" w:space="0"/>
            </w:tcBorders>
            <w:shd w:val="clear" w:color="auto" w:fill="auto"/>
            <w:vAlign w:val="center"/>
          </w:tcPr>
          <w:p w14:paraId="496A7B36">
            <w:pPr>
              <w:jc w:val="center"/>
              <w:rPr>
                <w:rFonts w:hint="eastAsia" w:ascii="宋体" w:hAnsi="宋体" w:eastAsia="宋体" w:cs="宋体"/>
                <w:i w:val="0"/>
                <w:iCs w:val="0"/>
                <w:color w:val="auto"/>
                <w:sz w:val="22"/>
                <w:szCs w:val="22"/>
                <w:highlight w:val="none"/>
                <w:u w:val="none"/>
              </w:rPr>
            </w:pPr>
          </w:p>
        </w:tc>
        <w:tc>
          <w:tcPr>
            <w:tcW w:w="401" w:type="pct"/>
            <w:tcBorders>
              <w:top w:val="single" w:color="000000" w:sz="8" w:space="0"/>
              <w:left w:val="nil"/>
              <w:bottom w:val="single" w:color="000000" w:sz="8" w:space="0"/>
              <w:right w:val="single" w:color="000000" w:sz="8" w:space="0"/>
            </w:tcBorders>
            <w:shd w:val="clear" w:color="auto" w:fill="auto"/>
            <w:vAlign w:val="center"/>
          </w:tcPr>
          <w:p w14:paraId="7B1F921A">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66BE4A57">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top"/>
          </w:tcPr>
          <w:p w14:paraId="62B2698D">
            <w:pPr>
              <w:jc w:val="center"/>
              <w:rPr>
                <w:rFonts w:hint="eastAsia" w:ascii="宋体" w:hAnsi="宋体" w:eastAsia="宋体" w:cs="宋体"/>
                <w:i w:val="0"/>
                <w:iCs w:val="0"/>
                <w:color w:val="auto"/>
                <w:sz w:val="24"/>
                <w:szCs w:val="24"/>
                <w:highlight w:val="none"/>
                <w:u w:val="none"/>
              </w:rPr>
            </w:pPr>
          </w:p>
        </w:tc>
      </w:tr>
      <w:tr w14:paraId="00D0C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159537F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385" w:type="pct"/>
            <w:vMerge w:val="continue"/>
            <w:tcBorders>
              <w:top w:val="nil"/>
              <w:left w:val="nil"/>
              <w:bottom w:val="single" w:color="000000" w:sz="8" w:space="0"/>
              <w:right w:val="single" w:color="000000" w:sz="8" w:space="0"/>
            </w:tcBorders>
            <w:shd w:val="clear" w:color="auto" w:fill="auto"/>
            <w:vAlign w:val="center"/>
          </w:tcPr>
          <w:p w14:paraId="15C6F099">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C78B2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DN100</w:t>
            </w:r>
          </w:p>
        </w:tc>
        <w:tc>
          <w:tcPr>
            <w:tcW w:w="385" w:type="pct"/>
            <w:tcBorders>
              <w:top w:val="nil"/>
              <w:left w:val="nil"/>
              <w:bottom w:val="single" w:color="000000" w:sz="8" w:space="0"/>
              <w:right w:val="single" w:color="000000" w:sz="8" w:space="0"/>
            </w:tcBorders>
            <w:shd w:val="clear" w:color="auto" w:fill="auto"/>
            <w:vAlign w:val="center"/>
          </w:tcPr>
          <w:p w14:paraId="00DCB3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63B87D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4253</w:t>
            </w:r>
          </w:p>
        </w:tc>
        <w:tc>
          <w:tcPr>
            <w:tcW w:w="401" w:type="pct"/>
            <w:tcBorders>
              <w:top w:val="nil"/>
              <w:left w:val="nil"/>
              <w:bottom w:val="single" w:color="000000" w:sz="8" w:space="0"/>
              <w:right w:val="single" w:color="000000" w:sz="8" w:space="0"/>
            </w:tcBorders>
            <w:shd w:val="clear" w:color="auto" w:fill="auto"/>
            <w:vAlign w:val="center"/>
          </w:tcPr>
          <w:p w14:paraId="5BB78DB7">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A03D706">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66F24B3B">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0C15B5B0">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A951D9F">
            <w:pPr>
              <w:jc w:val="center"/>
              <w:rPr>
                <w:rFonts w:hint="default" w:ascii="Arial" w:hAnsi="Arial" w:eastAsia="宋体" w:cs="Arial"/>
                <w:i w:val="0"/>
                <w:iCs w:val="0"/>
                <w:color w:val="auto"/>
                <w:sz w:val="22"/>
                <w:szCs w:val="22"/>
                <w:highlight w:val="none"/>
                <w:u w:val="none"/>
              </w:rPr>
            </w:pPr>
          </w:p>
        </w:tc>
      </w:tr>
      <w:tr w14:paraId="5364E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2534DD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385" w:type="pct"/>
            <w:vMerge w:val="continue"/>
            <w:tcBorders>
              <w:top w:val="nil"/>
              <w:left w:val="nil"/>
              <w:bottom w:val="single" w:color="000000" w:sz="8" w:space="0"/>
              <w:right w:val="single" w:color="000000" w:sz="8" w:space="0"/>
            </w:tcBorders>
            <w:shd w:val="clear" w:color="auto" w:fill="auto"/>
            <w:vAlign w:val="center"/>
          </w:tcPr>
          <w:p w14:paraId="09A556BA">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14126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DN150</w:t>
            </w:r>
          </w:p>
        </w:tc>
        <w:tc>
          <w:tcPr>
            <w:tcW w:w="385" w:type="pct"/>
            <w:tcBorders>
              <w:top w:val="nil"/>
              <w:left w:val="nil"/>
              <w:bottom w:val="single" w:color="000000" w:sz="8" w:space="0"/>
              <w:right w:val="single" w:color="000000" w:sz="8" w:space="0"/>
            </w:tcBorders>
            <w:shd w:val="clear" w:color="auto" w:fill="auto"/>
            <w:vAlign w:val="center"/>
          </w:tcPr>
          <w:p w14:paraId="71D274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6B50D6A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278</w:t>
            </w:r>
          </w:p>
        </w:tc>
        <w:tc>
          <w:tcPr>
            <w:tcW w:w="401" w:type="pct"/>
            <w:tcBorders>
              <w:top w:val="nil"/>
              <w:left w:val="nil"/>
              <w:bottom w:val="single" w:color="000000" w:sz="8" w:space="0"/>
              <w:right w:val="single" w:color="000000" w:sz="8" w:space="0"/>
            </w:tcBorders>
            <w:shd w:val="clear" w:color="auto" w:fill="auto"/>
            <w:vAlign w:val="center"/>
          </w:tcPr>
          <w:p w14:paraId="72867681">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0AF8426">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4903413B">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386A4E91">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noWrap/>
            <w:vAlign w:val="center"/>
          </w:tcPr>
          <w:p w14:paraId="1891D69C">
            <w:pPr>
              <w:jc w:val="center"/>
              <w:rPr>
                <w:rFonts w:hint="eastAsia" w:ascii="宋体" w:hAnsi="宋体" w:eastAsia="宋体" w:cs="宋体"/>
                <w:i w:val="0"/>
                <w:iCs w:val="0"/>
                <w:color w:val="auto"/>
                <w:sz w:val="22"/>
                <w:szCs w:val="22"/>
                <w:highlight w:val="none"/>
                <w:u w:val="none"/>
              </w:rPr>
            </w:pPr>
          </w:p>
        </w:tc>
      </w:tr>
      <w:tr w14:paraId="2B800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4B8A933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385" w:type="pct"/>
            <w:vMerge w:val="continue"/>
            <w:tcBorders>
              <w:top w:val="nil"/>
              <w:left w:val="nil"/>
              <w:bottom w:val="single" w:color="000000" w:sz="8" w:space="0"/>
              <w:right w:val="single" w:color="000000" w:sz="8" w:space="0"/>
            </w:tcBorders>
            <w:shd w:val="clear" w:color="auto" w:fill="auto"/>
            <w:vAlign w:val="center"/>
          </w:tcPr>
          <w:p w14:paraId="0627FAFB">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82EBCB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DN200</w:t>
            </w:r>
          </w:p>
        </w:tc>
        <w:tc>
          <w:tcPr>
            <w:tcW w:w="385" w:type="pct"/>
            <w:tcBorders>
              <w:top w:val="nil"/>
              <w:left w:val="nil"/>
              <w:bottom w:val="single" w:color="000000" w:sz="8" w:space="0"/>
              <w:right w:val="single" w:color="000000" w:sz="8" w:space="0"/>
            </w:tcBorders>
            <w:shd w:val="clear" w:color="auto" w:fill="auto"/>
            <w:vAlign w:val="center"/>
          </w:tcPr>
          <w:p w14:paraId="0E52C8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297B95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401" w:type="pct"/>
            <w:tcBorders>
              <w:top w:val="nil"/>
              <w:left w:val="nil"/>
              <w:bottom w:val="single" w:color="000000" w:sz="8" w:space="0"/>
              <w:right w:val="single" w:color="000000" w:sz="8" w:space="0"/>
            </w:tcBorders>
            <w:shd w:val="clear" w:color="auto" w:fill="auto"/>
            <w:vAlign w:val="center"/>
          </w:tcPr>
          <w:p w14:paraId="288DAA7B">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C678D59">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30B3558E">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6CAE66E2">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35AC0889">
            <w:pPr>
              <w:jc w:val="center"/>
              <w:rPr>
                <w:rFonts w:hint="default" w:ascii="Arial" w:hAnsi="Arial" w:eastAsia="宋体" w:cs="Arial"/>
                <w:i w:val="0"/>
                <w:iCs w:val="0"/>
                <w:color w:val="auto"/>
                <w:sz w:val="22"/>
                <w:szCs w:val="22"/>
                <w:highlight w:val="none"/>
                <w:u w:val="none"/>
              </w:rPr>
            </w:pPr>
          </w:p>
        </w:tc>
      </w:tr>
      <w:tr w14:paraId="01A80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0F240E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w:t>
            </w:r>
          </w:p>
        </w:tc>
        <w:tc>
          <w:tcPr>
            <w:tcW w:w="385" w:type="pct"/>
            <w:vMerge w:val="restart"/>
            <w:tcBorders>
              <w:top w:val="nil"/>
              <w:left w:val="nil"/>
              <w:bottom w:val="single" w:color="000000" w:sz="8" w:space="0"/>
              <w:right w:val="single" w:color="000000" w:sz="8" w:space="0"/>
            </w:tcBorders>
            <w:shd w:val="clear" w:color="auto" w:fill="auto"/>
            <w:vAlign w:val="center"/>
          </w:tcPr>
          <w:p w14:paraId="3A3F877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可拆卸螺翼式干式发讯冷水水表（带橡胶垫片）</w:t>
            </w:r>
          </w:p>
        </w:tc>
        <w:tc>
          <w:tcPr>
            <w:tcW w:w="385" w:type="pct"/>
            <w:tcBorders>
              <w:top w:val="nil"/>
              <w:left w:val="nil"/>
              <w:bottom w:val="single" w:color="000000" w:sz="8" w:space="0"/>
              <w:right w:val="single" w:color="000000" w:sz="8" w:space="0"/>
            </w:tcBorders>
            <w:shd w:val="clear" w:color="auto" w:fill="auto"/>
            <w:vAlign w:val="center"/>
          </w:tcPr>
          <w:p w14:paraId="03D2EF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DN40</w:t>
            </w:r>
          </w:p>
        </w:tc>
        <w:tc>
          <w:tcPr>
            <w:tcW w:w="385" w:type="pct"/>
            <w:tcBorders>
              <w:top w:val="nil"/>
              <w:left w:val="nil"/>
              <w:bottom w:val="single" w:color="000000" w:sz="8" w:space="0"/>
              <w:right w:val="single" w:color="000000" w:sz="8" w:space="0"/>
            </w:tcBorders>
            <w:shd w:val="clear" w:color="auto" w:fill="auto"/>
            <w:vAlign w:val="center"/>
          </w:tcPr>
          <w:p w14:paraId="4C7AAC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FFFFFF"/>
            <w:vAlign w:val="center"/>
          </w:tcPr>
          <w:p w14:paraId="32CB08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139</w:t>
            </w:r>
          </w:p>
        </w:tc>
        <w:tc>
          <w:tcPr>
            <w:tcW w:w="401" w:type="pct"/>
            <w:tcBorders>
              <w:top w:val="nil"/>
              <w:left w:val="nil"/>
              <w:bottom w:val="single" w:color="000000" w:sz="8" w:space="0"/>
              <w:right w:val="single" w:color="000000" w:sz="8" w:space="0"/>
            </w:tcBorders>
            <w:shd w:val="clear" w:color="auto" w:fill="auto"/>
            <w:vAlign w:val="center"/>
          </w:tcPr>
          <w:p w14:paraId="207CEE6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31D35309">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7EAC17A8">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4A64CD06">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top"/>
          </w:tcPr>
          <w:p w14:paraId="16A288A7">
            <w:pPr>
              <w:jc w:val="center"/>
              <w:rPr>
                <w:rFonts w:hint="eastAsia" w:ascii="宋体" w:hAnsi="宋体" w:eastAsia="宋体" w:cs="宋体"/>
                <w:i w:val="0"/>
                <w:iCs w:val="0"/>
                <w:color w:val="auto"/>
                <w:sz w:val="24"/>
                <w:szCs w:val="24"/>
                <w:highlight w:val="none"/>
                <w:u w:val="none"/>
              </w:rPr>
            </w:pPr>
          </w:p>
        </w:tc>
      </w:tr>
      <w:tr w14:paraId="2B974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1C049E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385" w:type="pct"/>
            <w:vMerge w:val="continue"/>
            <w:tcBorders>
              <w:top w:val="nil"/>
              <w:left w:val="nil"/>
              <w:bottom w:val="single" w:color="000000" w:sz="8" w:space="0"/>
              <w:right w:val="single" w:color="000000" w:sz="8" w:space="0"/>
            </w:tcBorders>
            <w:shd w:val="clear" w:color="auto" w:fill="auto"/>
            <w:vAlign w:val="center"/>
          </w:tcPr>
          <w:p w14:paraId="72E2DA62">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753CD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DN50</w:t>
            </w:r>
          </w:p>
        </w:tc>
        <w:tc>
          <w:tcPr>
            <w:tcW w:w="385" w:type="pct"/>
            <w:tcBorders>
              <w:top w:val="nil"/>
              <w:left w:val="nil"/>
              <w:bottom w:val="single" w:color="000000" w:sz="8" w:space="0"/>
              <w:right w:val="single" w:color="000000" w:sz="8" w:space="0"/>
            </w:tcBorders>
            <w:shd w:val="clear" w:color="auto" w:fill="auto"/>
            <w:vAlign w:val="center"/>
          </w:tcPr>
          <w:p w14:paraId="7D7C87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FFFFFF"/>
            <w:vAlign w:val="center"/>
          </w:tcPr>
          <w:p w14:paraId="2C1C980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45</w:t>
            </w:r>
          </w:p>
        </w:tc>
        <w:tc>
          <w:tcPr>
            <w:tcW w:w="401" w:type="pct"/>
            <w:tcBorders>
              <w:top w:val="nil"/>
              <w:left w:val="nil"/>
              <w:bottom w:val="single" w:color="000000" w:sz="8" w:space="0"/>
              <w:right w:val="single" w:color="000000" w:sz="8" w:space="0"/>
            </w:tcBorders>
            <w:shd w:val="clear" w:color="auto" w:fill="auto"/>
            <w:vAlign w:val="center"/>
          </w:tcPr>
          <w:p w14:paraId="146DDBF7">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BA57E5A">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32F395A4">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673DF04A">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29BD0FD">
            <w:pPr>
              <w:jc w:val="center"/>
              <w:rPr>
                <w:rFonts w:hint="default" w:ascii="Arial" w:hAnsi="Arial" w:eastAsia="宋体" w:cs="Arial"/>
                <w:i w:val="0"/>
                <w:iCs w:val="0"/>
                <w:color w:val="auto"/>
                <w:sz w:val="22"/>
                <w:szCs w:val="22"/>
                <w:highlight w:val="none"/>
                <w:u w:val="none"/>
              </w:rPr>
            </w:pPr>
          </w:p>
        </w:tc>
      </w:tr>
      <w:tr w14:paraId="0724A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722C22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7</w:t>
            </w:r>
          </w:p>
        </w:tc>
        <w:tc>
          <w:tcPr>
            <w:tcW w:w="385" w:type="pct"/>
            <w:vMerge w:val="continue"/>
            <w:tcBorders>
              <w:top w:val="nil"/>
              <w:left w:val="nil"/>
              <w:bottom w:val="single" w:color="000000" w:sz="8" w:space="0"/>
              <w:right w:val="single" w:color="000000" w:sz="8" w:space="0"/>
            </w:tcBorders>
            <w:shd w:val="clear" w:color="auto" w:fill="auto"/>
            <w:vAlign w:val="center"/>
          </w:tcPr>
          <w:p w14:paraId="61D9A1DB">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DA842F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DN80</w:t>
            </w:r>
          </w:p>
        </w:tc>
        <w:tc>
          <w:tcPr>
            <w:tcW w:w="385" w:type="pct"/>
            <w:tcBorders>
              <w:top w:val="nil"/>
              <w:left w:val="nil"/>
              <w:bottom w:val="single" w:color="000000" w:sz="8" w:space="0"/>
              <w:right w:val="single" w:color="000000" w:sz="8" w:space="0"/>
            </w:tcBorders>
            <w:shd w:val="clear" w:color="auto" w:fill="auto"/>
            <w:vAlign w:val="center"/>
          </w:tcPr>
          <w:p w14:paraId="59B6189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FFFFFF"/>
            <w:vAlign w:val="center"/>
          </w:tcPr>
          <w:p w14:paraId="51F3AFB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43</w:t>
            </w:r>
          </w:p>
        </w:tc>
        <w:tc>
          <w:tcPr>
            <w:tcW w:w="401" w:type="pct"/>
            <w:tcBorders>
              <w:top w:val="nil"/>
              <w:left w:val="nil"/>
              <w:bottom w:val="single" w:color="000000" w:sz="8" w:space="0"/>
              <w:right w:val="single" w:color="000000" w:sz="8" w:space="0"/>
            </w:tcBorders>
            <w:shd w:val="clear" w:color="auto" w:fill="auto"/>
            <w:vAlign w:val="center"/>
          </w:tcPr>
          <w:p w14:paraId="42597EA6">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3CE9062F">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2C1C1DC0">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7497CE5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206C2C9">
            <w:pPr>
              <w:jc w:val="center"/>
              <w:rPr>
                <w:rFonts w:hint="default" w:ascii="Arial" w:hAnsi="Arial" w:eastAsia="宋体" w:cs="Arial"/>
                <w:i w:val="0"/>
                <w:iCs w:val="0"/>
                <w:color w:val="auto"/>
                <w:sz w:val="22"/>
                <w:szCs w:val="22"/>
                <w:highlight w:val="none"/>
                <w:u w:val="none"/>
              </w:rPr>
            </w:pPr>
          </w:p>
        </w:tc>
      </w:tr>
      <w:tr w14:paraId="785D1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57BFC6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8</w:t>
            </w:r>
          </w:p>
        </w:tc>
        <w:tc>
          <w:tcPr>
            <w:tcW w:w="385" w:type="pct"/>
            <w:vMerge w:val="continue"/>
            <w:tcBorders>
              <w:top w:val="nil"/>
              <w:left w:val="nil"/>
              <w:bottom w:val="single" w:color="000000" w:sz="8" w:space="0"/>
              <w:right w:val="single" w:color="000000" w:sz="8" w:space="0"/>
            </w:tcBorders>
            <w:shd w:val="clear" w:color="auto" w:fill="auto"/>
            <w:vAlign w:val="center"/>
          </w:tcPr>
          <w:p w14:paraId="059D7612">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FF3B1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DN100</w:t>
            </w:r>
          </w:p>
        </w:tc>
        <w:tc>
          <w:tcPr>
            <w:tcW w:w="385" w:type="pct"/>
            <w:tcBorders>
              <w:top w:val="nil"/>
              <w:left w:val="nil"/>
              <w:bottom w:val="single" w:color="000000" w:sz="8" w:space="0"/>
              <w:right w:val="single" w:color="000000" w:sz="8" w:space="0"/>
            </w:tcBorders>
            <w:shd w:val="clear" w:color="auto" w:fill="auto"/>
            <w:vAlign w:val="center"/>
          </w:tcPr>
          <w:p w14:paraId="4333CC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FFFFFF"/>
            <w:vAlign w:val="center"/>
          </w:tcPr>
          <w:p w14:paraId="2921AA1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106</w:t>
            </w:r>
          </w:p>
        </w:tc>
        <w:tc>
          <w:tcPr>
            <w:tcW w:w="401" w:type="pct"/>
            <w:tcBorders>
              <w:top w:val="nil"/>
              <w:left w:val="nil"/>
              <w:bottom w:val="single" w:color="000000" w:sz="8" w:space="0"/>
              <w:right w:val="single" w:color="000000" w:sz="8" w:space="0"/>
            </w:tcBorders>
            <w:shd w:val="clear" w:color="auto" w:fill="auto"/>
            <w:vAlign w:val="center"/>
          </w:tcPr>
          <w:p w14:paraId="1E83BD74">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42475F1">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6BDB254C">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6BC2C0A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E3250FA">
            <w:pPr>
              <w:jc w:val="center"/>
              <w:rPr>
                <w:rFonts w:hint="default" w:ascii="Arial" w:hAnsi="Arial" w:eastAsia="宋体" w:cs="Arial"/>
                <w:i w:val="0"/>
                <w:iCs w:val="0"/>
                <w:color w:val="auto"/>
                <w:sz w:val="22"/>
                <w:szCs w:val="22"/>
                <w:highlight w:val="none"/>
                <w:u w:val="none"/>
              </w:rPr>
            </w:pPr>
          </w:p>
        </w:tc>
      </w:tr>
      <w:tr w14:paraId="0F426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0C89E8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9</w:t>
            </w:r>
          </w:p>
        </w:tc>
        <w:tc>
          <w:tcPr>
            <w:tcW w:w="385" w:type="pct"/>
            <w:vMerge w:val="continue"/>
            <w:tcBorders>
              <w:top w:val="nil"/>
              <w:left w:val="nil"/>
              <w:bottom w:val="single" w:color="000000" w:sz="8" w:space="0"/>
              <w:right w:val="single" w:color="000000" w:sz="8" w:space="0"/>
            </w:tcBorders>
            <w:shd w:val="clear" w:color="auto" w:fill="auto"/>
            <w:vAlign w:val="center"/>
          </w:tcPr>
          <w:p w14:paraId="73F06452">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28AE24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DN150</w:t>
            </w:r>
          </w:p>
        </w:tc>
        <w:tc>
          <w:tcPr>
            <w:tcW w:w="385" w:type="pct"/>
            <w:tcBorders>
              <w:top w:val="nil"/>
              <w:left w:val="nil"/>
              <w:bottom w:val="single" w:color="000000" w:sz="8" w:space="0"/>
              <w:right w:val="single" w:color="000000" w:sz="8" w:space="0"/>
            </w:tcBorders>
            <w:shd w:val="clear" w:color="auto" w:fill="auto"/>
            <w:vAlign w:val="center"/>
          </w:tcPr>
          <w:p w14:paraId="77A6A3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FFFFFF"/>
            <w:vAlign w:val="center"/>
          </w:tcPr>
          <w:p w14:paraId="7C2FC1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15</w:t>
            </w:r>
          </w:p>
        </w:tc>
        <w:tc>
          <w:tcPr>
            <w:tcW w:w="401" w:type="pct"/>
            <w:tcBorders>
              <w:top w:val="nil"/>
              <w:left w:val="nil"/>
              <w:bottom w:val="single" w:color="000000" w:sz="8" w:space="0"/>
              <w:right w:val="single" w:color="000000" w:sz="8" w:space="0"/>
            </w:tcBorders>
            <w:shd w:val="clear" w:color="auto" w:fill="auto"/>
            <w:vAlign w:val="center"/>
          </w:tcPr>
          <w:p w14:paraId="78E590A4">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9A0572C">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08A21EB0">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1C6CC3D4">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57B1EDEC">
            <w:pPr>
              <w:jc w:val="center"/>
              <w:rPr>
                <w:rFonts w:hint="default" w:ascii="Arial" w:hAnsi="Arial" w:eastAsia="宋体" w:cs="Arial"/>
                <w:i w:val="0"/>
                <w:iCs w:val="0"/>
                <w:color w:val="auto"/>
                <w:sz w:val="22"/>
                <w:szCs w:val="22"/>
                <w:highlight w:val="none"/>
                <w:u w:val="none"/>
              </w:rPr>
            </w:pPr>
          </w:p>
        </w:tc>
      </w:tr>
      <w:tr w14:paraId="0129A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38158E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10</w:t>
            </w:r>
          </w:p>
        </w:tc>
        <w:tc>
          <w:tcPr>
            <w:tcW w:w="385" w:type="pct"/>
            <w:vMerge w:val="continue"/>
            <w:tcBorders>
              <w:top w:val="nil"/>
              <w:left w:val="nil"/>
              <w:bottom w:val="single" w:color="000000" w:sz="8" w:space="0"/>
              <w:right w:val="single" w:color="000000" w:sz="8" w:space="0"/>
            </w:tcBorders>
            <w:shd w:val="clear" w:color="auto" w:fill="auto"/>
            <w:vAlign w:val="center"/>
          </w:tcPr>
          <w:p w14:paraId="4568DFF3">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52CAB40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DN200</w:t>
            </w:r>
          </w:p>
        </w:tc>
        <w:tc>
          <w:tcPr>
            <w:tcW w:w="385" w:type="pct"/>
            <w:tcBorders>
              <w:top w:val="nil"/>
              <w:left w:val="nil"/>
              <w:bottom w:val="single" w:color="000000" w:sz="8" w:space="0"/>
              <w:right w:val="single" w:color="000000" w:sz="8" w:space="0"/>
            </w:tcBorders>
            <w:shd w:val="clear" w:color="auto" w:fill="auto"/>
            <w:vAlign w:val="center"/>
          </w:tcPr>
          <w:p w14:paraId="1B50C2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FFFFFF"/>
            <w:vAlign w:val="center"/>
          </w:tcPr>
          <w:p w14:paraId="542DFC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401" w:type="pct"/>
            <w:tcBorders>
              <w:top w:val="nil"/>
              <w:left w:val="nil"/>
              <w:bottom w:val="single" w:color="000000" w:sz="8" w:space="0"/>
              <w:right w:val="single" w:color="000000" w:sz="8" w:space="0"/>
            </w:tcBorders>
            <w:shd w:val="clear" w:color="auto" w:fill="auto"/>
            <w:vAlign w:val="center"/>
          </w:tcPr>
          <w:p w14:paraId="3CD8E759">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082203C">
            <w:pPr>
              <w:jc w:val="center"/>
              <w:rPr>
                <w:rFonts w:hint="eastAsia" w:ascii="宋体" w:hAnsi="宋体" w:eastAsia="宋体" w:cs="宋体"/>
                <w:i w:val="0"/>
                <w:iCs w:val="0"/>
                <w:color w:val="auto"/>
                <w:sz w:val="22"/>
                <w:szCs w:val="22"/>
                <w:highlight w:val="none"/>
                <w:u w:val="none"/>
              </w:rPr>
            </w:pPr>
          </w:p>
        </w:tc>
        <w:tc>
          <w:tcPr>
            <w:tcW w:w="401" w:type="pct"/>
            <w:tcBorders>
              <w:top w:val="nil"/>
              <w:left w:val="nil"/>
              <w:bottom w:val="single" w:color="000000" w:sz="8" w:space="0"/>
              <w:right w:val="single" w:color="000000" w:sz="8" w:space="0"/>
            </w:tcBorders>
            <w:shd w:val="clear" w:color="auto" w:fill="auto"/>
            <w:vAlign w:val="center"/>
          </w:tcPr>
          <w:p w14:paraId="125AAA9B">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0FFDBAFB">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4C64C25">
            <w:pPr>
              <w:jc w:val="center"/>
              <w:rPr>
                <w:rFonts w:hint="default" w:ascii="Arial" w:hAnsi="Arial" w:eastAsia="宋体" w:cs="Arial"/>
                <w:i w:val="0"/>
                <w:iCs w:val="0"/>
                <w:color w:val="auto"/>
                <w:sz w:val="22"/>
                <w:szCs w:val="22"/>
                <w:highlight w:val="none"/>
                <w:u w:val="none"/>
              </w:rPr>
            </w:pPr>
          </w:p>
        </w:tc>
      </w:tr>
      <w:tr w14:paraId="502E6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926" w:type="pct"/>
            <w:gridSpan w:val="5"/>
            <w:tcBorders>
              <w:top w:val="nil"/>
              <w:left w:val="single" w:color="000000" w:sz="8" w:space="0"/>
              <w:bottom w:val="single" w:color="000000" w:sz="8" w:space="0"/>
              <w:right w:val="single" w:color="000000" w:sz="8" w:space="0"/>
            </w:tcBorders>
            <w:shd w:val="clear" w:color="auto" w:fill="auto"/>
            <w:vAlign w:val="center"/>
          </w:tcPr>
          <w:p w14:paraId="57586D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合计（元）</w:t>
            </w:r>
          </w:p>
        </w:tc>
        <w:tc>
          <w:tcPr>
            <w:tcW w:w="1739" w:type="pct"/>
            <w:gridSpan w:val="4"/>
            <w:tcBorders>
              <w:top w:val="nil"/>
              <w:left w:val="nil"/>
              <w:bottom w:val="single" w:color="000000" w:sz="8" w:space="0"/>
              <w:right w:val="single" w:color="000000" w:sz="8" w:space="0"/>
            </w:tcBorders>
            <w:shd w:val="clear" w:color="auto" w:fill="auto"/>
            <w:noWrap/>
            <w:vAlign w:val="center"/>
          </w:tcPr>
          <w:p w14:paraId="20A6A5D0">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noWrap/>
            <w:vAlign w:val="center"/>
          </w:tcPr>
          <w:p w14:paraId="3698057C">
            <w:pPr>
              <w:jc w:val="center"/>
              <w:rPr>
                <w:rFonts w:hint="eastAsia" w:ascii="宋体" w:hAnsi="宋体" w:eastAsia="宋体" w:cs="宋体"/>
                <w:i w:val="0"/>
                <w:iCs w:val="0"/>
                <w:color w:val="auto"/>
                <w:sz w:val="22"/>
                <w:szCs w:val="22"/>
                <w:highlight w:val="none"/>
                <w:u w:val="none"/>
              </w:rPr>
            </w:pPr>
          </w:p>
        </w:tc>
      </w:tr>
      <w:tr w14:paraId="774B7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4051" w:type="pct"/>
            <w:gridSpan w:val="10"/>
            <w:tcBorders>
              <w:top w:val="nil"/>
              <w:left w:val="single" w:color="000000" w:sz="8" w:space="0"/>
              <w:bottom w:val="single" w:color="000000" w:sz="8" w:space="0"/>
              <w:right w:val="single" w:color="000000" w:sz="8" w:space="0"/>
            </w:tcBorders>
            <w:shd w:val="clear" w:color="auto" w:fill="auto"/>
            <w:noWrap/>
            <w:vAlign w:val="center"/>
          </w:tcPr>
          <w:p w14:paraId="201B6915">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三、DN15旋翼式无磁远传水表及配件</w:t>
            </w:r>
          </w:p>
        </w:tc>
      </w:tr>
      <w:tr w14:paraId="7FFB3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019152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项号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7CA5AC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4202C6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型号规格</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485206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6E4A7F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401" w:type="pct"/>
            <w:tcBorders>
              <w:top w:val="nil"/>
              <w:left w:val="single" w:color="000000" w:sz="8" w:space="0"/>
              <w:bottom w:val="nil"/>
              <w:right w:val="single" w:color="000000" w:sz="8" w:space="0"/>
            </w:tcBorders>
            <w:shd w:val="clear" w:color="auto" w:fill="auto"/>
            <w:vAlign w:val="center"/>
          </w:tcPr>
          <w:p w14:paraId="764F78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产品单价（含税）</w:t>
            </w:r>
          </w:p>
        </w:tc>
        <w:tc>
          <w:tcPr>
            <w:tcW w:w="385" w:type="pct"/>
            <w:tcBorders>
              <w:top w:val="nil"/>
              <w:left w:val="single" w:color="000000" w:sz="8" w:space="0"/>
              <w:bottom w:val="nil"/>
              <w:right w:val="single" w:color="000000" w:sz="8" w:space="0"/>
            </w:tcBorders>
            <w:shd w:val="clear" w:color="auto" w:fill="auto"/>
            <w:vAlign w:val="center"/>
          </w:tcPr>
          <w:p w14:paraId="5EF9E6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安装单价（含税）</w:t>
            </w:r>
          </w:p>
        </w:tc>
        <w:tc>
          <w:tcPr>
            <w:tcW w:w="401" w:type="pct"/>
            <w:tcBorders>
              <w:top w:val="nil"/>
              <w:left w:val="single" w:color="000000" w:sz="8" w:space="0"/>
              <w:bottom w:val="single" w:color="000000" w:sz="8" w:space="0"/>
              <w:right w:val="single" w:color="000000" w:sz="8" w:space="0"/>
            </w:tcBorders>
            <w:shd w:val="clear" w:color="auto" w:fill="auto"/>
            <w:vAlign w:val="center"/>
          </w:tcPr>
          <w:p w14:paraId="151FC5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综合单价</w:t>
            </w:r>
          </w:p>
        </w:tc>
        <w:tc>
          <w:tcPr>
            <w:tcW w:w="551" w:type="pct"/>
            <w:tcBorders>
              <w:top w:val="nil"/>
              <w:left w:val="single" w:color="000000" w:sz="8" w:space="0"/>
              <w:bottom w:val="single" w:color="000000" w:sz="8" w:space="0"/>
              <w:right w:val="single" w:color="000000" w:sz="8" w:space="0"/>
            </w:tcBorders>
            <w:shd w:val="clear" w:color="auto" w:fill="auto"/>
            <w:vAlign w:val="center"/>
          </w:tcPr>
          <w:p w14:paraId="01E28E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总价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3D32AE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5D54E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748AE34A">
            <w:pPr>
              <w:keepNext w:val="0"/>
              <w:keepLines w:val="0"/>
              <w:widowControl/>
              <w:suppressLineNumbers w:val="0"/>
              <w:jc w:val="center"/>
              <w:textAlignment w:val="center"/>
              <w:rPr>
                <w:rFonts w:hint="default" w:ascii="Arial" w:hAnsi="Arial" w:eastAsia="宋体" w:cs="Arial"/>
                <w:i w:val="0"/>
                <w:iCs w:val="0"/>
                <w:color w:val="auto"/>
                <w:sz w:val="22"/>
                <w:szCs w:val="22"/>
                <w:highlight w:val="none"/>
                <w:u w:val="none"/>
              </w:rPr>
            </w:pPr>
            <w:r>
              <w:rPr>
                <w:rFonts w:hint="default" w:ascii="Arial" w:hAnsi="Arial" w:eastAsia="宋体" w:cs="Arial"/>
                <w:i w:val="0"/>
                <w:iCs w:val="0"/>
                <w:snapToGrid w:val="0"/>
                <w:color w:val="auto"/>
                <w:kern w:val="0"/>
                <w:sz w:val="22"/>
                <w:szCs w:val="22"/>
                <w:highlight w:val="none"/>
                <w:u w:val="none"/>
                <w:lang w:val="en-US" w:eastAsia="zh-CN" w:bidi="ar"/>
              </w:rPr>
              <w:t>1</w:t>
            </w:r>
          </w:p>
        </w:tc>
        <w:tc>
          <w:tcPr>
            <w:tcW w:w="385" w:type="pct"/>
            <w:tcBorders>
              <w:top w:val="nil"/>
              <w:left w:val="nil"/>
              <w:bottom w:val="single" w:color="000000" w:sz="8" w:space="0"/>
              <w:right w:val="single" w:color="000000" w:sz="8" w:space="0"/>
            </w:tcBorders>
            <w:shd w:val="clear" w:color="auto" w:fill="auto"/>
            <w:vAlign w:val="center"/>
          </w:tcPr>
          <w:p w14:paraId="4D19B6E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DN15旋翼式无磁远传水表</w:t>
            </w:r>
          </w:p>
        </w:tc>
        <w:tc>
          <w:tcPr>
            <w:tcW w:w="385" w:type="pct"/>
            <w:tcBorders>
              <w:top w:val="nil"/>
              <w:left w:val="nil"/>
              <w:bottom w:val="single" w:color="000000" w:sz="8" w:space="0"/>
              <w:right w:val="single" w:color="000000" w:sz="8" w:space="0"/>
            </w:tcBorders>
            <w:shd w:val="clear" w:color="auto" w:fill="auto"/>
            <w:vAlign w:val="center"/>
          </w:tcPr>
          <w:p w14:paraId="59178C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w:t>
            </w:r>
          </w:p>
        </w:tc>
        <w:tc>
          <w:tcPr>
            <w:tcW w:w="385" w:type="pct"/>
            <w:tcBorders>
              <w:top w:val="nil"/>
              <w:left w:val="nil"/>
              <w:bottom w:val="single" w:color="000000" w:sz="8" w:space="0"/>
              <w:right w:val="single" w:color="000000" w:sz="8" w:space="0"/>
            </w:tcBorders>
            <w:shd w:val="clear" w:color="auto" w:fill="auto"/>
            <w:vAlign w:val="center"/>
          </w:tcPr>
          <w:p w14:paraId="5823BD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noWrap/>
            <w:vAlign w:val="center"/>
          </w:tcPr>
          <w:p w14:paraId="5369E9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132000</w:t>
            </w:r>
          </w:p>
        </w:tc>
        <w:tc>
          <w:tcPr>
            <w:tcW w:w="401" w:type="pct"/>
            <w:tcBorders>
              <w:top w:val="single" w:color="000000" w:sz="8" w:space="0"/>
              <w:left w:val="nil"/>
              <w:bottom w:val="single" w:color="000000" w:sz="8" w:space="0"/>
              <w:right w:val="single" w:color="000000" w:sz="8" w:space="0"/>
            </w:tcBorders>
            <w:shd w:val="clear" w:color="auto" w:fill="auto"/>
            <w:vAlign w:val="center"/>
          </w:tcPr>
          <w:p w14:paraId="2FD8D2D2">
            <w:pPr>
              <w:jc w:val="center"/>
              <w:rPr>
                <w:rFonts w:hint="eastAsia" w:ascii="宋体" w:hAnsi="宋体" w:eastAsia="宋体" w:cs="宋体"/>
                <w:i w:val="0"/>
                <w:iCs w:val="0"/>
                <w:color w:val="auto"/>
                <w:sz w:val="22"/>
                <w:szCs w:val="22"/>
                <w:highlight w:val="none"/>
                <w:u w:val="none"/>
              </w:rPr>
            </w:pPr>
          </w:p>
        </w:tc>
        <w:tc>
          <w:tcPr>
            <w:tcW w:w="385" w:type="pct"/>
            <w:tcBorders>
              <w:top w:val="single" w:color="000000" w:sz="8" w:space="0"/>
              <w:left w:val="nil"/>
              <w:bottom w:val="single" w:color="000000" w:sz="8" w:space="0"/>
              <w:right w:val="single" w:color="000000" w:sz="8" w:space="0"/>
            </w:tcBorders>
            <w:shd w:val="clear" w:color="auto" w:fill="auto"/>
            <w:vAlign w:val="center"/>
          </w:tcPr>
          <w:p w14:paraId="72E69EB5">
            <w:pPr>
              <w:jc w:val="center"/>
              <w:rPr>
                <w:rFonts w:hint="eastAsia" w:ascii="宋体" w:hAnsi="宋体" w:eastAsia="宋体" w:cs="宋体"/>
                <w:i w:val="0"/>
                <w:iCs w:val="0"/>
                <w:color w:val="auto"/>
                <w:sz w:val="22"/>
                <w:szCs w:val="22"/>
                <w:highlight w:val="none"/>
                <w:u w:val="none"/>
              </w:rPr>
            </w:pPr>
          </w:p>
        </w:tc>
        <w:tc>
          <w:tcPr>
            <w:tcW w:w="401" w:type="pct"/>
            <w:tcBorders>
              <w:top w:val="single" w:color="000000" w:sz="8" w:space="0"/>
              <w:left w:val="nil"/>
              <w:bottom w:val="single" w:color="000000" w:sz="8" w:space="0"/>
              <w:right w:val="single" w:color="000000" w:sz="8" w:space="0"/>
            </w:tcBorders>
            <w:shd w:val="clear" w:color="auto" w:fill="auto"/>
            <w:vAlign w:val="center"/>
          </w:tcPr>
          <w:p w14:paraId="0AAC385D">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73110675">
            <w:pPr>
              <w:jc w:val="center"/>
              <w:rPr>
                <w:rFonts w:hint="eastAsia" w:ascii="宋体" w:hAnsi="宋体" w:eastAsia="宋体" w:cs="宋体"/>
                <w:b/>
                <w:bCs/>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noWrap/>
            <w:vAlign w:val="center"/>
          </w:tcPr>
          <w:p w14:paraId="27DB17EA">
            <w:pPr>
              <w:jc w:val="center"/>
              <w:rPr>
                <w:rFonts w:hint="eastAsia" w:ascii="宋体" w:hAnsi="宋体" w:eastAsia="宋体" w:cs="宋体"/>
                <w:i w:val="0"/>
                <w:iCs w:val="0"/>
                <w:color w:val="auto"/>
                <w:sz w:val="22"/>
                <w:szCs w:val="22"/>
                <w:highlight w:val="none"/>
                <w:u w:val="none"/>
              </w:rPr>
            </w:pPr>
          </w:p>
        </w:tc>
      </w:tr>
      <w:tr w14:paraId="48BD9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4051" w:type="pct"/>
            <w:gridSpan w:val="10"/>
            <w:tcBorders>
              <w:top w:val="nil"/>
              <w:left w:val="single" w:color="000000" w:sz="8" w:space="0"/>
              <w:bottom w:val="single" w:color="000000" w:sz="8" w:space="0"/>
              <w:right w:val="single" w:color="000000" w:sz="8" w:space="0"/>
            </w:tcBorders>
            <w:shd w:val="clear" w:color="auto" w:fill="auto"/>
            <w:noWrap/>
            <w:vAlign w:val="center"/>
          </w:tcPr>
          <w:p w14:paraId="39711B24">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四、超声波水表</w:t>
            </w:r>
          </w:p>
        </w:tc>
      </w:tr>
      <w:tr w14:paraId="2D887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11CE42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项号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0E325C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35BC91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型号规格</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3C8DBF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6DDF1F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401" w:type="pct"/>
            <w:tcBorders>
              <w:top w:val="nil"/>
              <w:left w:val="single" w:color="000000" w:sz="8" w:space="0"/>
              <w:bottom w:val="nil"/>
              <w:right w:val="single" w:color="000000" w:sz="8" w:space="0"/>
            </w:tcBorders>
            <w:shd w:val="clear" w:color="auto" w:fill="auto"/>
            <w:vAlign w:val="center"/>
          </w:tcPr>
          <w:p w14:paraId="4D8DC9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产品单价（含税）</w:t>
            </w:r>
          </w:p>
        </w:tc>
        <w:tc>
          <w:tcPr>
            <w:tcW w:w="385" w:type="pct"/>
            <w:tcBorders>
              <w:top w:val="nil"/>
              <w:left w:val="single" w:color="000000" w:sz="8" w:space="0"/>
              <w:bottom w:val="nil"/>
              <w:right w:val="single" w:color="000000" w:sz="8" w:space="0"/>
            </w:tcBorders>
            <w:shd w:val="clear" w:color="auto" w:fill="auto"/>
            <w:vAlign w:val="center"/>
          </w:tcPr>
          <w:p w14:paraId="138585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安装单价（含税）</w:t>
            </w:r>
          </w:p>
        </w:tc>
        <w:tc>
          <w:tcPr>
            <w:tcW w:w="401" w:type="pct"/>
            <w:tcBorders>
              <w:top w:val="nil"/>
              <w:left w:val="single" w:color="000000" w:sz="8" w:space="0"/>
              <w:bottom w:val="single" w:color="000000" w:sz="8" w:space="0"/>
              <w:right w:val="single" w:color="000000" w:sz="8" w:space="0"/>
            </w:tcBorders>
            <w:shd w:val="clear" w:color="auto" w:fill="auto"/>
            <w:vAlign w:val="center"/>
          </w:tcPr>
          <w:p w14:paraId="551066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综合单价</w:t>
            </w:r>
          </w:p>
        </w:tc>
        <w:tc>
          <w:tcPr>
            <w:tcW w:w="551" w:type="pct"/>
            <w:tcBorders>
              <w:top w:val="nil"/>
              <w:left w:val="single" w:color="000000" w:sz="8" w:space="0"/>
              <w:bottom w:val="single" w:color="000000" w:sz="8" w:space="0"/>
              <w:right w:val="single" w:color="000000" w:sz="8" w:space="0"/>
            </w:tcBorders>
            <w:shd w:val="clear" w:color="auto" w:fill="auto"/>
            <w:vAlign w:val="center"/>
          </w:tcPr>
          <w:p w14:paraId="26011E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总价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5ED950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608AF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1C9BC3BC">
            <w:pPr>
              <w:keepNext w:val="0"/>
              <w:keepLines w:val="0"/>
              <w:widowControl/>
              <w:suppressLineNumbers w:val="0"/>
              <w:jc w:val="center"/>
              <w:textAlignment w:val="center"/>
              <w:rPr>
                <w:rFonts w:hint="default" w:ascii="Arial" w:hAnsi="Arial" w:eastAsia="宋体" w:cs="Arial"/>
                <w:i w:val="0"/>
                <w:iCs w:val="0"/>
                <w:color w:val="auto"/>
                <w:sz w:val="22"/>
                <w:szCs w:val="22"/>
                <w:highlight w:val="none"/>
                <w:u w:val="none"/>
              </w:rPr>
            </w:pPr>
            <w:r>
              <w:rPr>
                <w:rFonts w:hint="default" w:ascii="Arial" w:hAnsi="Arial" w:eastAsia="宋体" w:cs="Arial"/>
                <w:i w:val="0"/>
                <w:iCs w:val="0"/>
                <w:snapToGrid w:val="0"/>
                <w:color w:val="auto"/>
                <w:kern w:val="0"/>
                <w:sz w:val="22"/>
                <w:szCs w:val="22"/>
                <w:highlight w:val="none"/>
                <w:u w:val="none"/>
                <w:lang w:val="en-US" w:eastAsia="zh-CN" w:bidi="ar"/>
              </w:rPr>
              <w:t>1</w:t>
            </w:r>
          </w:p>
        </w:tc>
        <w:tc>
          <w:tcPr>
            <w:tcW w:w="385" w:type="pct"/>
            <w:tcBorders>
              <w:top w:val="nil"/>
              <w:left w:val="nil"/>
              <w:bottom w:val="single" w:color="000000" w:sz="8" w:space="0"/>
              <w:right w:val="single" w:color="000000" w:sz="8" w:space="0"/>
            </w:tcBorders>
            <w:shd w:val="clear" w:color="auto" w:fill="auto"/>
            <w:vAlign w:val="center"/>
          </w:tcPr>
          <w:p w14:paraId="17DEB0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超声波水表</w:t>
            </w:r>
          </w:p>
        </w:tc>
        <w:tc>
          <w:tcPr>
            <w:tcW w:w="385" w:type="pct"/>
            <w:tcBorders>
              <w:top w:val="nil"/>
              <w:left w:val="nil"/>
              <w:bottom w:val="single" w:color="000000" w:sz="8" w:space="0"/>
              <w:right w:val="single" w:color="000000" w:sz="8" w:space="0"/>
            </w:tcBorders>
            <w:shd w:val="clear" w:color="auto" w:fill="auto"/>
            <w:vAlign w:val="center"/>
          </w:tcPr>
          <w:p w14:paraId="2C285BF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w:t>
            </w:r>
          </w:p>
        </w:tc>
        <w:tc>
          <w:tcPr>
            <w:tcW w:w="385" w:type="pct"/>
            <w:tcBorders>
              <w:top w:val="nil"/>
              <w:left w:val="nil"/>
              <w:bottom w:val="single" w:color="000000" w:sz="8" w:space="0"/>
              <w:right w:val="single" w:color="000000" w:sz="8" w:space="0"/>
            </w:tcBorders>
            <w:shd w:val="clear" w:color="auto" w:fill="auto"/>
            <w:vAlign w:val="center"/>
          </w:tcPr>
          <w:p w14:paraId="0AFFD7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只</w:t>
            </w:r>
          </w:p>
        </w:tc>
        <w:tc>
          <w:tcPr>
            <w:tcW w:w="385" w:type="pct"/>
            <w:tcBorders>
              <w:top w:val="nil"/>
              <w:left w:val="nil"/>
              <w:bottom w:val="single" w:color="000000" w:sz="8" w:space="0"/>
              <w:right w:val="single" w:color="000000" w:sz="8" w:space="0"/>
            </w:tcBorders>
            <w:shd w:val="clear" w:color="auto" w:fill="auto"/>
            <w:vAlign w:val="center"/>
          </w:tcPr>
          <w:p w14:paraId="10735A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1500</w:t>
            </w:r>
          </w:p>
        </w:tc>
        <w:tc>
          <w:tcPr>
            <w:tcW w:w="401" w:type="pct"/>
            <w:tcBorders>
              <w:top w:val="single" w:color="000000" w:sz="8" w:space="0"/>
              <w:left w:val="nil"/>
              <w:bottom w:val="single" w:color="000000" w:sz="8" w:space="0"/>
              <w:right w:val="single" w:color="000000" w:sz="8" w:space="0"/>
            </w:tcBorders>
            <w:shd w:val="clear" w:color="auto" w:fill="auto"/>
            <w:vAlign w:val="center"/>
          </w:tcPr>
          <w:p w14:paraId="2685D8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385" w:type="pct"/>
            <w:tcBorders>
              <w:top w:val="single" w:color="000000" w:sz="8" w:space="0"/>
              <w:left w:val="nil"/>
              <w:bottom w:val="single" w:color="000000" w:sz="8" w:space="0"/>
              <w:right w:val="single" w:color="000000" w:sz="8" w:space="0"/>
            </w:tcBorders>
            <w:shd w:val="clear" w:color="auto" w:fill="auto"/>
            <w:vAlign w:val="center"/>
          </w:tcPr>
          <w:p w14:paraId="64AD1F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401" w:type="pct"/>
            <w:tcBorders>
              <w:top w:val="single" w:color="000000" w:sz="8" w:space="0"/>
              <w:left w:val="nil"/>
              <w:bottom w:val="single" w:color="000000" w:sz="8" w:space="0"/>
              <w:right w:val="single" w:color="000000" w:sz="8" w:space="0"/>
            </w:tcBorders>
            <w:shd w:val="clear" w:color="auto" w:fill="auto"/>
            <w:vAlign w:val="center"/>
          </w:tcPr>
          <w:p w14:paraId="6F6BB0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214EC181">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noWrap/>
            <w:vAlign w:val="center"/>
          </w:tcPr>
          <w:p w14:paraId="5E7764B9">
            <w:pPr>
              <w:jc w:val="center"/>
              <w:rPr>
                <w:rFonts w:hint="eastAsia" w:ascii="宋体" w:hAnsi="宋体" w:eastAsia="宋体" w:cs="宋体"/>
                <w:i w:val="0"/>
                <w:iCs w:val="0"/>
                <w:color w:val="auto"/>
                <w:sz w:val="22"/>
                <w:szCs w:val="22"/>
                <w:highlight w:val="none"/>
                <w:u w:val="none"/>
              </w:rPr>
            </w:pPr>
          </w:p>
        </w:tc>
      </w:tr>
      <w:tr w14:paraId="75A98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051" w:type="pct"/>
            <w:gridSpan w:val="10"/>
            <w:tcBorders>
              <w:top w:val="nil"/>
              <w:left w:val="single" w:color="000000" w:sz="8" w:space="0"/>
              <w:bottom w:val="single" w:color="000000" w:sz="8" w:space="0"/>
              <w:right w:val="single" w:color="000000" w:sz="8" w:space="0"/>
            </w:tcBorders>
            <w:shd w:val="clear" w:color="auto" w:fill="auto"/>
            <w:noWrap/>
            <w:vAlign w:val="center"/>
          </w:tcPr>
          <w:p w14:paraId="4638ADAB">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五、外夹式超声波流量计</w:t>
            </w:r>
          </w:p>
        </w:tc>
      </w:tr>
      <w:tr w14:paraId="28EE1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10B4A7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项号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626D12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0D4C4E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型号规格</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0922D0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24EECF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401" w:type="pct"/>
            <w:tcBorders>
              <w:top w:val="nil"/>
              <w:left w:val="single" w:color="000000" w:sz="8" w:space="0"/>
              <w:bottom w:val="nil"/>
              <w:right w:val="single" w:color="000000" w:sz="8" w:space="0"/>
            </w:tcBorders>
            <w:shd w:val="clear" w:color="auto" w:fill="auto"/>
            <w:vAlign w:val="center"/>
          </w:tcPr>
          <w:p w14:paraId="30B8B4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产品单价（含税）</w:t>
            </w:r>
          </w:p>
        </w:tc>
        <w:tc>
          <w:tcPr>
            <w:tcW w:w="385" w:type="pct"/>
            <w:tcBorders>
              <w:top w:val="nil"/>
              <w:left w:val="single" w:color="000000" w:sz="8" w:space="0"/>
              <w:bottom w:val="nil"/>
              <w:right w:val="single" w:color="000000" w:sz="8" w:space="0"/>
            </w:tcBorders>
            <w:shd w:val="clear" w:color="auto" w:fill="auto"/>
            <w:vAlign w:val="center"/>
          </w:tcPr>
          <w:p w14:paraId="3F3EB6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安装单价（含税）</w:t>
            </w:r>
          </w:p>
        </w:tc>
        <w:tc>
          <w:tcPr>
            <w:tcW w:w="401" w:type="pct"/>
            <w:tcBorders>
              <w:top w:val="nil"/>
              <w:left w:val="single" w:color="000000" w:sz="8" w:space="0"/>
              <w:bottom w:val="single" w:color="000000" w:sz="8" w:space="0"/>
              <w:right w:val="single" w:color="000000" w:sz="8" w:space="0"/>
            </w:tcBorders>
            <w:shd w:val="clear" w:color="auto" w:fill="auto"/>
            <w:vAlign w:val="center"/>
          </w:tcPr>
          <w:p w14:paraId="5EB047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综合单价</w:t>
            </w:r>
          </w:p>
        </w:tc>
        <w:tc>
          <w:tcPr>
            <w:tcW w:w="551" w:type="pct"/>
            <w:tcBorders>
              <w:top w:val="nil"/>
              <w:left w:val="single" w:color="000000" w:sz="8" w:space="0"/>
              <w:bottom w:val="single" w:color="000000" w:sz="8" w:space="0"/>
              <w:right w:val="single" w:color="000000" w:sz="8" w:space="0"/>
            </w:tcBorders>
            <w:shd w:val="clear" w:color="auto" w:fill="auto"/>
            <w:vAlign w:val="center"/>
          </w:tcPr>
          <w:p w14:paraId="5CC149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总价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67188E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6E72D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418B64EA">
            <w:pPr>
              <w:keepNext w:val="0"/>
              <w:keepLines w:val="0"/>
              <w:widowControl/>
              <w:suppressLineNumbers w:val="0"/>
              <w:jc w:val="center"/>
              <w:textAlignment w:val="center"/>
              <w:rPr>
                <w:rFonts w:hint="default" w:ascii="Arial" w:hAnsi="Arial" w:eastAsia="宋体" w:cs="Arial"/>
                <w:i w:val="0"/>
                <w:iCs w:val="0"/>
                <w:color w:val="auto"/>
                <w:sz w:val="22"/>
                <w:szCs w:val="22"/>
                <w:highlight w:val="none"/>
                <w:u w:val="none"/>
              </w:rPr>
            </w:pPr>
            <w:r>
              <w:rPr>
                <w:rFonts w:hint="default" w:ascii="Arial" w:hAnsi="Arial" w:eastAsia="宋体" w:cs="Arial"/>
                <w:i w:val="0"/>
                <w:iCs w:val="0"/>
                <w:snapToGrid w:val="0"/>
                <w:color w:val="auto"/>
                <w:kern w:val="0"/>
                <w:sz w:val="22"/>
                <w:szCs w:val="22"/>
                <w:highlight w:val="none"/>
                <w:u w:val="none"/>
                <w:lang w:val="en-US" w:eastAsia="zh-CN" w:bidi="ar"/>
              </w:rPr>
              <w:t>1</w:t>
            </w:r>
          </w:p>
        </w:tc>
        <w:tc>
          <w:tcPr>
            <w:tcW w:w="385" w:type="pct"/>
            <w:tcBorders>
              <w:top w:val="nil"/>
              <w:left w:val="nil"/>
              <w:bottom w:val="single" w:color="000000" w:sz="8" w:space="0"/>
              <w:right w:val="single" w:color="000000" w:sz="8" w:space="0"/>
            </w:tcBorders>
            <w:shd w:val="clear" w:color="auto" w:fill="auto"/>
            <w:vAlign w:val="center"/>
          </w:tcPr>
          <w:p w14:paraId="6E9ED9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外夹式超声波流量计</w:t>
            </w:r>
          </w:p>
        </w:tc>
        <w:tc>
          <w:tcPr>
            <w:tcW w:w="385" w:type="pct"/>
            <w:tcBorders>
              <w:top w:val="nil"/>
              <w:left w:val="nil"/>
              <w:bottom w:val="single" w:color="000000" w:sz="8" w:space="0"/>
              <w:right w:val="single" w:color="000000" w:sz="8" w:space="0"/>
            </w:tcBorders>
            <w:shd w:val="clear" w:color="auto" w:fill="auto"/>
            <w:vAlign w:val="center"/>
          </w:tcPr>
          <w:p w14:paraId="7A5436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385" w:type="pct"/>
            <w:tcBorders>
              <w:top w:val="nil"/>
              <w:left w:val="nil"/>
              <w:bottom w:val="single" w:color="000000" w:sz="8" w:space="0"/>
              <w:right w:val="single" w:color="000000" w:sz="8" w:space="0"/>
            </w:tcBorders>
            <w:shd w:val="clear" w:color="auto" w:fill="auto"/>
            <w:vAlign w:val="center"/>
          </w:tcPr>
          <w:p w14:paraId="756896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71F39E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20</w:t>
            </w:r>
          </w:p>
        </w:tc>
        <w:tc>
          <w:tcPr>
            <w:tcW w:w="401" w:type="pct"/>
            <w:tcBorders>
              <w:top w:val="nil"/>
              <w:left w:val="nil"/>
              <w:bottom w:val="single" w:color="000000" w:sz="8" w:space="0"/>
              <w:right w:val="single" w:color="000000" w:sz="8" w:space="0"/>
            </w:tcBorders>
            <w:shd w:val="clear" w:color="auto" w:fill="auto"/>
            <w:vAlign w:val="center"/>
          </w:tcPr>
          <w:p w14:paraId="2985EB29">
            <w:pPr>
              <w:jc w:val="center"/>
              <w:rPr>
                <w:rFonts w:hint="eastAsia" w:ascii="宋体" w:hAnsi="宋体" w:eastAsia="宋体" w:cs="宋体"/>
                <w:i w:val="0"/>
                <w:iCs w:val="0"/>
                <w:color w:val="auto"/>
                <w:sz w:val="22"/>
                <w:szCs w:val="22"/>
                <w:highlight w:val="none"/>
                <w:u w:val="none"/>
              </w:rPr>
            </w:pPr>
          </w:p>
        </w:tc>
        <w:tc>
          <w:tcPr>
            <w:tcW w:w="385" w:type="pct"/>
            <w:tcBorders>
              <w:top w:val="nil"/>
              <w:left w:val="single" w:color="000000" w:sz="8" w:space="0"/>
              <w:bottom w:val="single" w:color="000000" w:sz="8" w:space="0"/>
              <w:right w:val="single" w:color="000000" w:sz="8" w:space="0"/>
            </w:tcBorders>
            <w:shd w:val="clear" w:color="auto" w:fill="auto"/>
            <w:vAlign w:val="center"/>
          </w:tcPr>
          <w:p w14:paraId="51F198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3BD872A3">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3BABA247">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noWrap/>
            <w:vAlign w:val="center"/>
          </w:tcPr>
          <w:p w14:paraId="5B1A4F9B">
            <w:pPr>
              <w:jc w:val="center"/>
              <w:rPr>
                <w:rFonts w:hint="eastAsia" w:ascii="宋体" w:hAnsi="宋体" w:eastAsia="宋体" w:cs="宋体"/>
                <w:i w:val="0"/>
                <w:iCs w:val="0"/>
                <w:color w:val="auto"/>
                <w:sz w:val="22"/>
                <w:szCs w:val="22"/>
                <w:highlight w:val="none"/>
                <w:u w:val="none"/>
              </w:rPr>
            </w:pPr>
          </w:p>
        </w:tc>
      </w:tr>
      <w:tr w14:paraId="40C3D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051" w:type="pct"/>
            <w:gridSpan w:val="10"/>
            <w:tcBorders>
              <w:top w:val="nil"/>
              <w:left w:val="single" w:color="000000" w:sz="8" w:space="0"/>
              <w:bottom w:val="single" w:color="000000" w:sz="8" w:space="0"/>
              <w:right w:val="single" w:color="000000" w:sz="8" w:space="0"/>
            </w:tcBorders>
            <w:shd w:val="clear" w:color="auto" w:fill="auto"/>
            <w:noWrap/>
            <w:vAlign w:val="center"/>
          </w:tcPr>
          <w:p w14:paraId="5BE223B4">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snapToGrid w:val="0"/>
                <w:color w:val="auto"/>
                <w:kern w:val="0"/>
                <w:sz w:val="22"/>
                <w:szCs w:val="22"/>
                <w:highlight w:val="none"/>
                <w:u w:val="none"/>
                <w:lang w:val="en-US" w:eastAsia="zh-CN" w:bidi="ar"/>
              </w:rPr>
              <w:t>六、管道式电磁流量计及配件</w:t>
            </w:r>
          </w:p>
        </w:tc>
      </w:tr>
      <w:tr w14:paraId="0D75E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2FD561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项号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6AF6BE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0AEEFD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型号规格</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54D04C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610DAE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401" w:type="pct"/>
            <w:tcBorders>
              <w:top w:val="nil"/>
              <w:left w:val="single" w:color="000000" w:sz="8" w:space="0"/>
              <w:bottom w:val="nil"/>
              <w:right w:val="single" w:color="000000" w:sz="8" w:space="0"/>
            </w:tcBorders>
            <w:shd w:val="clear" w:color="auto" w:fill="auto"/>
            <w:vAlign w:val="center"/>
          </w:tcPr>
          <w:p w14:paraId="1DAAC4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产品单价（含税）</w:t>
            </w:r>
          </w:p>
        </w:tc>
        <w:tc>
          <w:tcPr>
            <w:tcW w:w="385" w:type="pct"/>
            <w:tcBorders>
              <w:top w:val="nil"/>
              <w:left w:val="single" w:color="000000" w:sz="8" w:space="0"/>
              <w:bottom w:val="nil"/>
              <w:right w:val="single" w:color="000000" w:sz="8" w:space="0"/>
            </w:tcBorders>
            <w:shd w:val="clear" w:color="auto" w:fill="auto"/>
            <w:vAlign w:val="center"/>
          </w:tcPr>
          <w:p w14:paraId="5278A2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不含安装</w:t>
            </w:r>
          </w:p>
        </w:tc>
        <w:tc>
          <w:tcPr>
            <w:tcW w:w="401" w:type="pct"/>
            <w:tcBorders>
              <w:top w:val="nil"/>
              <w:left w:val="single" w:color="000000" w:sz="8" w:space="0"/>
              <w:bottom w:val="single" w:color="000000" w:sz="8" w:space="0"/>
              <w:right w:val="single" w:color="000000" w:sz="8" w:space="0"/>
            </w:tcBorders>
            <w:shd w:val="clear" w:color="auto" w:fill="auto"/>
            <w:vAlign w:val="center"/>
          </w:tcPr>
          <w:p w14:paraId="2CA752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综合单价</w:t>
            </w:r>
          </w:p>
        </w:tc>
        <w:tc>
          <w:tcPr>
            <w:tcW w:w="551" w:type="pct"/>
            <w:tcBorders>
              <w:top w:val="nil"/>
              <w:left w:val="single" w:color="000000" w:sz="8" w:space="0"/>
              <w:bottom w:val="single" w:color="000000" w:sz="8" w:space="0"/>
              <w:right w:val="single" w:color="000000" w:sz="8" w:space="0"/>
            </w:tcBorders>
            <w:shd w:val="clear" w:color="auto" w:fill="auto"/>
            <w:vAlign w:val="center"/>
          </w:tcPr>
          <w:p w14:paraId="59DF1F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总价</w:t>
            </w:r>
          </w:p>
        </w:tc>
        <w:tc>
          <w:tcPr>
            <w:tcW w:w="385" w:type="pct"/>
            <w:tcBorders>
              <w:top w:val="nil"/>
              <w:left w:val="single" w:color="000000" w:sz="8" w:space="0"/>
              <w:bottom w:val="single" w:color="000000" w:sz="8" w:space="0"/>
              <w:right w:val="single" w:color="000000" w:sz="8" w:space="0"/>
            </w:tcBorders>
            <w:shd w:val="clear" w:color="auto" w:fill="auto"/>
            <w:vAlign w:val="center"/>
          </w:tcPr>
          <w:p w14:paraId="7FA715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455D8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53E8B65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385" w:type="pct"/>
            <w:vMerge w:val="restart"/>
            <w:tcBorders>
              <w:top w:val="nil"/>
              <w:left w:val="nil"/>
              <w:bottom w:val="nil"/>
              <w:right w:val="single" w:color="000000" w:sz="8" w:space="0"/>
            </w:tcBorders>
            <w:shd w:val="clear" w:color="auto" w:fill="auto"/>
            <w:vAlign w:val="center"/>
          </w:tcPr>
          <w:p w14:paraId="5E91E4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管道式电磁流量计</w:t>
            </w:r>
          </w:p>
        </w:tc>
        <w:tc>
          <w:tcPr>
            <w:tcW w:w="385" w:type="pct"/>
            <w:tcBorders>
              <w:top w:val="nil"/>
              <w:left w:val="nil"/>
              <w:bottom w:val="single" w:color="000000" w:sz="8" w:space="0"/>
              <w:right w:val="single" w:color="000000" w:sz="8" w:space="0"/>
            </w:tcBorders>
            <w:shd w:val="clear" w:color="auto" w:fill="auto"/>
            <w:vAlign w:val="center"/>
          </w:tcPr>
          <w:p w14:paraId="1F590C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DN50</w:t>
            </w:r>
          </w:p>
        </w:tc>
        <w:tc>
          <w:tcPr>
            <w:tcW w:w="385" w:type="pct"/>
            <w:tcBorders>
              <w:top w:val="nil"/>
              <w:left w:val="nil"/>
              <w:bottom w:val="single" w:color="000000" w:sz="8" w:space="0"/>
              <w:right w:val="single" w:color="000000" w:sz="8" w:space="0"/>
            </w:tcBorders>
            <w:shd w:val="clear" w:color="auto" w:fill="auto"/>
            <w:vAlign w:val="center"/>
          </w:tcPr>
          <w:p w14:paraId="6332F6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46110FD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401" w:type="pct"/>
            <w:tcBorders>
              <w:top w:val="single" w:color="000000" w:sz="8" w:space="0"/>
              <w:left w:val="nil"/>
              <w:bottom w:val="single" w:color="000000" w:sz="8" w:space="0"/>
              <w:right w:val="single" w:color="000000" w:sz="8" w:space="0"/>
            </w:tcBorders>
            <w:shd w:val="clear" w:color="auto" w:fill="auto"/>
            <w:vAlign w:val="center"/>
          </w:tcPr>
          <w:p w14:paraId="134C8C6B">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57AA82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57DF0D9A">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4AC843EE">
            <w:pPr>
              <w:jc w:val="center"/>
              <w:rPr>
                <w:rFonts w:hint="eastAsia" w:ascii="宋体" w:hAnsi="宋体" w:eastAsia="宋体" w:cs="宋体"/>
                <w:i w:val="0"/>
                <w:iCs w:val="0"/>
                <w:color w:val="auto"/>
                <w:sz w:val="22"/>
                <w:szCs w:val="22"/>
                <w:highlight w:val="none"/>
                <w:u w:val="none"/>
              </w:rPr>
            </w:pPr>
          </w:p>
        </w:tc>
        <w:tc>
          <w:tcPr>
            <w:tcW w:w="385" w:type="pct"/>
            <w:vMerge w:val="restart"/>
            <w:tcBorders>
              <w:top w:val="nil"/>
              <w:left w:val="nil"/>
              <w:bottom w:val="single" w:color="000000" w:sz="8" w:space="0"/>
              <w:right w:val="single" w:color="000000" w:sz="8" w:space="0"/>
            </w:tcBorders>
            <w:shd w:val="clear" w:color="auto" w:fill="auto"/>
            <w:vAlign w:val="center"/>
          </w:tcPr>
          <w:p w14:paraId="26FD2A5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电极：钛衬里材料：聚四氟乙烯；（推荐：肯特、锐铼、金田等国产品牌）</w:t>
            </w:r>
          </w:p>
        </w:tc>
      </w:tr>
      <w:tr w14:paraId="2D8AD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3FB569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385" w:type="pct"/>
            <w:vMerge w:val="continue"/>
            <w:tcBorders>
              <w:top w:val="nil"/>
              <w:left w:val="nil"/>
              <w:bottom w:val="nil"/>
              <w:right w:val="single" w:color="000000" w:sz="8" w:space="0"/>
            </w:tcBorders>
            <w:shd w:val="clear" w:color="auto" w:fill="auto"/>
            <w:vAlign w:val="center"/>
          </w:tcPr>
          <w:p w14:paraId="7504BF5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482D7C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DN80</w:t>
            </w:r>
          </w:p>
        </w:tc>
        <w:tc>
          <w:tcPr>
            <w:tcW w:w="385" w:type="pct"/>
            <w:tcBorders>
              <w:top w:val="nil"/>
              <w:left w:val="nil"/>
              <w:bottom w:val="single" w:color="000000" w:sz="8" w:space="0"/>
              <w:right w:val="single" w:color="000000" w:sz="8" w:space="0"/>
            </w:tcBorders>
            <w:shd w:val="clear" w:color="auto" w:fill="auto"/>
            <w:vAlign w:val="center"/>
          </w:tcPr>
          <w:p w14:paraId="4DFA96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693B083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401" w:type="pct"/>
            <w:tcBorders>
              <w:top w:val="nil"/>
              <w:left w:val="nil"/>
              <w:bottom w:val="single" w:color="000000" w:sz="8" w:space="0"/>
              <w:right w:val="single" w:color="000000" w:sz="8" w:space="0"/>
            </w:tcBorders>
            <w:shd w:val="clear" w:color="auto" w:fill="auto"/>
            <w:vAlign w:val="center"/>
          </w:tcPr>
          <w:p w14:paraId="22AE71B4">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E9397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03C93E74">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22625A9E">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3C6B0949">
            <w:pPr>
              <w:jc w:val="center"/>
              <w:rPr>
                <w:rFonts w:hint="eastAsia" w:ascii="宋体" w:hAnsi="宋体" w:eastAsia="宋体" w:cs="宋体"/>
                <w:i w:val="0"/>
                <w:iCs w:val="0"/>
                <w:color w:val="auto"/>
                <w:sz w:val="22"/>
                <w:szCs w:val="22"/>
                <w:highlight w:val="none"/>
                <w:u w:val="none"/>
              </w:rPr>
            </w:pPr>
          </w:p>
        </w:tc>
      </w:tr>
      <w:tr w14:paraId="52CB1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042A9B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385" w:type="pct"/>
            <w:vMerge w:val="continue"/>
            <w:tcBorders>
              <w:top w:val="nil"/>
              <w:left w:val="nil"/>
              <w:bottom w:val="nil"/>
              <w:right w:val="single" w:color="000000" w:sz="8" w:space="0"/>
            </w:tcBorders>
            <w:shd w:val="clear" w:color="auto" w:fill="auto"/>
            <w:vAlign w:val="center"/>
          </w:tcPr>
          <w:p w14:paraId="139B8CB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6B76B0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DN100</w:t>
            </w:r>
          </w:p>
        </w:tc>
        <w:tc>
          <w:tcPr>
            <w:tcW w:w="385" w:type="pct"/>
            <w:tcBorders>
              <w:top w:val="nil"/>
              <w:left w:val="nil"/>
              <w:bottom w:val="single" w:color="000000" w:sz="8" w:space="0"/>
              <w:right w:val="single" w:color="000000" w:sz="8" w:space="0"/>
            </w:tcBorders>
            <w:shd w:val="clear" w:color="auto" w:fill="auto"/>
            <w:vAlign w:val="center"/>
          </w:tcPr>
          <w:p w14:paraId="226911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016BC13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12</w:t>
            </w:r>
          </w:p>
        </w:tc>
        <w:tc>
          <w:tcPr>
            <w:tcW w:w="401" w:type="pct"/>
            <w:tcBorders>
              <w:top w:val="nil"/>
              <w:left w:val="nil"/>
              <w:bottom w:val="single" w:color="000000" w:sz="8" w:space="0"/>
              <w:right w:val="single" w:color="000000" w:sz="8" w:space="0"/>
            </w:tcBorders>
            <w:shd w:val="clear" w:color="auto" w:fill="auto"/>
            <w:vAlign w:val="center"/>
          </w:tcPr>
          <w:p w14:paraId="1A219A8E">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FC754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29B66FBB">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07DF6B7F">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2F65A0D3">
            <w:pPr>
              <w:jc w:val="center"/>
              <w:rPr>
                <w:rFonts w:hint="eastAsia" w:ascii="宋体" w:hAnsi="宋体" w:eastAsia="宋体" w:cs="宋体"/>
                <w:i w:val="0"/>
                <w:iCs w:val="0"/>
                <w:color w:val="auto"/>
                <w:sz w:val="22"/>
                <w:szCs w:val="22"/>
                <w:highlight w:val="none"/>
                <w:u w:val="none"/>
              </w:rPr>
            </w:pPr>
          </w:p>
        </w:tc>
      </w:tr>
      <w:tr w14:paraId="5096A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550473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385" w:type="pct"/>
            <w:vMerge w:val="continue"/>
            <w:tcBorders>
              <w:top w:val="nil"/>
              <w:left w:val="nil"/>
              <w:bottom w:val="nil"/>
              <w:right w:val="single" w:color="000000" w:sz="8" w:space="0"/>
            </w:tcBorders>
            <w:shd w:val="clear" w:color="auto" w:fill="auto"/>
            <w:vAlign w:val="center"/>
          </w:tcPr>
          <w:p w14:paraId="7DA9122D">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2C853D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DN150</w:t>
            </w:r>
          </w:p>
        </w:tc>
        <w:tc>
          <w:tcPr>
            <w:tcW w:w="385" w:type="pct"/>
            <w:tcBorders>
              <w:top w:val="nil"/>
              <w:left w:val="nil"/>
              <w:bottom w:val="single" w:color="000000" w:sz="8" w:space="0"/>
              <w:right w:val="single" w:color="000000" w:sz="8" w:space="0"/>
            </w:tcBorders>
            <w:shd w:val="clear" w:color="auto" w:fill="auto"/>
            <w:vAlign w:val="center"/>
          </w:tcPr>
          <w:p w14:paraId="6EC7F1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7CC728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401" w:type="pct"/>
            <w:tcBorders>
              <w:top w:val="nil"/>
              <w:left w:val="nil"/>
              <w:bottom w:val="single" w:color="000000" w:sz="8" w:space="0"/>
              <w:right w:val="single" w:color="000000" w:sz="8" w:space="0"/>
            </w:tcBorders>
            <w:shd w:val="clear" w:color="auto" w:fill="auto"/>
            <w:vAlign w:val="center"/>
          </w:tcPr>
          <w:p w14:paraId="27A2A16B">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7F3ACE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50CA1CFF">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42E67D39">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216684BF">
            <w:pPr>
              <w:jc w:val="center"/>
              <w:rPr>
                <w:rFonts w:hint="eastAsia" w:ascii="宋体" w:hAnsi="宋体" w:eastAsia="宋体" w:cs="宋体"/>
                <w:i w:val="0"/>
                <w:iCs w:val="0"/>
                <w:color w:val="auto"/>
                <w:sz w:val="22"/>
                <w:szCs w:val="22"/>
                <w:highlight w:val="none"/>
                <w:u w:val="none"/>
              </w:rPr>
            </w:pPr>
          </w:p>
        </w:tc>
      </w:tr>
      <w:tr w14:paraId="50F34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32C15B8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5</w:t>
            </w:r>
          </w:p>
        </w:tc>
        <w:tc>
          <w:tcPr>
            <w:tcW w:w="385" w:type="pct"/>
            <w:vMerge w:val="continue"/>
            <w:tcBorders>
              <w:top w:val="nil"/>
              <w:left w:val="nil"/>
              <w:bottom w:val="nil"/>
              <w:right w:val="single" w:color="000000" w:sz="8" w:space="0"/>
            </w:tcBorders>
            <w:shd w:val="clear" w:color="auto" w:fill="auto"/>
            <w:vAlign w:val="center"/>
          </w:tcPr>
          <w:p w14:paraId="658D221A">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3F545E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DN200</w:t>
            </w:r>
          </w:p>
        </w:tc>
        <w:tc>
          <w:tcPr>
            <w:tcW w:w="385" w:type="pct"/>
            <w:tcBorders>
              <w:top w:val="nil"/>
              <w:left w:val="nil"/>
              <w:bottom w:val="single" w:color="000000" w:sz="8" w:space="0"/>
              <w:right w:val="single" w:color="000000" w:sz="8" w:space="0"/>
            </w:tcBorders>
            <w:shd w:val="clear" w:color="auto" w:fill="auto"/>
            <w:vAlign w:val="center"/>
          </w:tcPr>
          <w:p w14:paraId="5B7556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4D6C2A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01" w:type="pct"/>
            <w:tcBorders>
              <w:top w:val="nil"/>
              <w:left w:val="nil"/>
              <w:bottom w:val="single" w:color="000000" w:sz="8" w:space="0"/>
              <w:right w:val="single" w:color="000000" w:sz="8" w:space="0"/>
            </w:tcBorders>
            <w:shd w:val="clear" w:color="auto" w:fill="auto"/>
            <w:vAlign w:val="center"/>
          </w:tcPr>
          <w:p w14:paraId="59CBD494">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400980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1C2EB670">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72829AF5">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7055EFF5">
            <w:pPr>
              <w:jc w:val="center"/>
              <w:rPr>
                <w:rFonts w:hint="eastAsia" w:ascii="宋体" w:hAnsi="宋体" w:eastAsia="宋体" w:cs="宋体"/>
                <w:i w:val="0"/>
                <w:iCs w:val="0"/>
                <w:color w:val="auto"/>
                <w:sz w:val="22"/>
                <w:szCs w:val="22"/>
                <w:highlight w:val="none"/>
                <w:u w:val="none"/>
              </w:rPr>
            </w:pPr>
          </w:p>
        </w:tc>
      </w:tr>
      <w:tr w14:paraId="00CC8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1D747B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385" w:type="pct"/>
            <w:vMerge w:val="continue"/>
            <w:tcBorders>
              <w:top w:val="nil"/>
              <w:left w:val="nil"/>
              <w:bottom w:val="nil"/>
              <w:right w:val="single" w:color="000000" w:sz="8" w:space="0"/>
            </w:tcBorders>
            <w:shd w:val="clear" w:color="auto" w:fill="auto"/>
            <w:vAlign w:val="center"/>
          </w:tcPr>
          <w:p w14:paraId="0FB84155">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C47DDC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DN300</w:t>
            </w:r>
          </w:p>
        </w:tc>
        <w:tc>
          <w:tcPr>
            <w:tcW w:w="385" w:type="pct"/>
            <w:tcBorders>
              <w:top w:val="nil"/>
              <w:left w:val="nil"/>
              <w:bottom w:val="single" w:color="000000" w:sz="8" w:space="0"/>
              <w:right w:val="single" w:color="000000" w:sz="8" w:space="0"/>
            </w:tcBorders>
            <w:shd w:val="clear" w:color="auto" w:fill="auto"/>
            <w:vAlign w:val="center"/>
          </w:tcPr>
          <w:p w14:paraId="69005FC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276CB0A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4</w:t>
            </w:r>
          </w:p>
        </w:tc>
        <w:tc>
          <w:tcPr>
            <w:tcW w:w="401" w:type="pct"/>
            <w:tcBorders>
              <w:top w:val="nil"/>
              <w:left w:val="nil"/>
              <w:bottom w:val="single" w:color="000000" w:sz="8" w:space="0"/>
              <w:right w:val="single" w:color="000000" w:sz="8" w:space="0"/>
            </w:tcBorders>
            <w:shd w:val="clear" w:color="auto" w:fill="auto"/>
            <w:vAlign w:val="center"/>
          </w:tcPr>
          <w:p w14:paraId="496EC30B">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569441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60283014">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739B0A3A">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440DC34C">
            <w:pPr>
              <w:jc w:val="center"/>
              <w:rPr>
                <w:rFonts w:hint="eastAsia" w:ascii="宋体" w:hAnsi="宋体" w:eastAsia="宋体" w:cs="宋体"/>
                <w:i w:val="0"/>
                <w:iCs w:val="0"/>
                <w:color w:val="auto"/>
                <w:sz w:val="22"/>
                <w:szCs w:val="22"/>
                <w:highlight w:val="none"/>
                <w:u w:val="none"/>
              </w:rPr>
            </w:pPr>
          </w:p>
        </w:tc>
      </w:tr>
      <w:tr w14:paraId="579C5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20AF18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7</w:t>
            </w:r>
          </w:p>
        </w:tc>
        <w:tc>
          <w:tcPr>
            <w:tcW w:w="385" w:type="pct"/>
            <w:vMerge w:val="continue"/>
            <w:tcBorders>
              <w:top w:val="nil"/>
              <w:left w:val="nil"/>
              <w:bottom w:val="nil"/>
              <w:right w:val="single" w:color="000000" w:sz="8" w:space="0"/>
            </w:tcBorders>
            <w:shd w:val="clear" w:color="auto" w:fill="auto"/>
            <w:vAlign w:val="center"/>
          </w:tcPr>
          <w:p w14:paraId="00752A7D">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4D2881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DN400</w:t>
            </w:r>
          </w:p>
        </w:tc>
        <w:tc>
          <w:tcPr>
            <w:tcW w:w="385" w:type="pct"/>
            <w:tcBorders>
              <w:top w:val="nil"/>
              <w:left w:val="nil"/>
              <w:bottom w:val="single" w:color="000000" w:sz="8" w:space="0"/>
              <w:right w:val="single" w:color="000000" w:sz="8" w:space="0"/>
            </w:tcBorders>
            <w:shd w:val="clear" w:color="auto" w:fill="auto"/>
            <w:vAlign w:val="center"/>
          </w:tcPr>
          <w:p w14:paraId="377AA7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76FE98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401" w:type="pct"/>
            <w:tcBorders>
              <w:top w:val="nil"/>
              <w:left w:val="nil"/>
              <w:bottom w:val="single" w:color="000000" w:sz="8" w:space="0"/>
              <w:right w:val="single" w:color="000000" w:sz="8" w:space="0"/>
            </w:tcBorders>
            <w:shd w:val="clear" w:color="auto" w:fill="auto"/>
            <w:vAlign w:val="center"/>
          </w:tcPr>
          <w:p w14:paraId="3E396E29">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4CA6F4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55A8D7E8">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6D15F0AB">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143BD515">
            <w:pPr>
              <w:jc w:val="center"/>
              <w:rPr>
                <w:rFonts w:hint="eastAsia" w:ascii="宋体" w:hAnsi="宋体" w:eastAsia="宋体" w:cs="宋体"/>
                <w:i w:val="0"/>
                <w:iCs w:val="0"/>
                <w:color w:val="auto"/>
                <w:sz w:val="22"/>
                <w:szCs w:val="22"/>
                <w:highlight w:val="none"/>
                <w:u w:val="none"/>
              </w:rPr>
            </w:pPr>
          </w:p>
        </w:tc>
      </w:tr>
      <w:tr w14:paraId="5F526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687171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8</w:t>
            </w:r>
          </w:p>
        </w:tc>
        <w:tc>
          <w:tcPr>
            <w:tcW w:w="385" w:type="pct"/>
            <w:vMerge w:val="restart"/>
            <w:tcBorders>
              <w:top w:val="nil"/>
              <w:left w:val="nil"/>
              <w:bottom w:val="nil"/>
              <w:right w:val="single" w:color="000000" w:sz="8" w:space="0"/>
            </w:tcBorders>
            <w:shd w:val="clear" w:color="auto" w:fill="FFFFFF"/>
            <w:vAlign w:val="center"/>
          </w:tcPr>
          <w:p w14:paraId="601316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管道式电磁流量计</w:t>
            </w:r>
          </w:p>
        </w:tc>
        <w:tc>
          <w:tcPr>
            <w:tcW w:w="385" w:type="pct"/>
            <w:tcBorders>
              <w:top w:val="nil"/>
              <w:left w:val="nil"/>
              <w:bottom w:val="single" w:color="000000" w:sz="8" w:space="0"/>
              <w:right w:val="single" w:color="000000" w:sz="8" w:space="0"/>
            </w:tcBorders>
            <w:shd w:val="clear" w:color="auto" w:fill="FFFFFF"/>
            <w:vAlign w:val="center"/>
          </w:tcPr>
          <w:p w14:paraId="02670E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DN800</w:t>
            </w:r>
          </w:p>
        </w:tc>
        <w:tc>
          <w:tcPr>
            <w:tcW w:w="385" w:type="pct"/>
            <w:tcBorders>
              <w:top w:val="nil"/>
              <w:left w:val="nil"/>
              <w:bottom w:val="single" w:color="000000" w:sz="8" w:space="0"/>
              <w:right w:val="single" w:color="000000" w:sz="8" w:space="0"/>
            </w:tcBorders>
            <w:shd w:val="clear" w:color="auto" w:fill="auto"/>
            <w:vAlign w:val="center"/>
          </w:tcPr>
          <w:p w14:paraId="583E54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0D33D9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01" w:type="pct"/>
            <w:tcBorders>
              <w:top w:val="nil"/>
              <w:left w:val="nil"/>
              <w:bottom w:val="single" w:color="000000" w:sz="8" w:space="0"/>
              <w:right w:val="single" w:color="000000" w:sz="8" w:space="0"/>
            </w:tcBorders>
            <w:shd w:val="clear" w:color="auto" w:fill="auto"/>
            <w:vAlign w:val="center"/>
          </w:tcPr>
          <w:p w14:paraId="749D5BEE">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54873E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591E0114">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11C32A14">
            <w:pPr>
              <w:jc w:val="center"/>
              <w:rPr>
                <w:rFonts w:hint="eastAsia" w:ascii="宋体" w:hAnsi="宋体" w:eastAsia="宋体" w:cs="宋体"/>
                <w:i w:val="0"/>
                <w:iCs w:val="0"/>
                <w:color w:val="auto"/>
                <w:sz w:val="22"/>
                <w:szCs w:val="22"/>
                <w:highlight w:val="none"/>
                <w:u w:val="none"/>
              </w:rPr>
            </w:pPr>
          </w:p>
        </w:tc>
        <w:tc>
          <w:tcPr>
            <w:tcW w:w="385" w:type="pct"/>
            <w:vMerge w:val="restart"/>
            <w:tcBorders>
              <w:top w:val="nil"/>
              <w:left w:val="nil"/>
              <w:bottom w:val="single" w:color="000000" w:sz="8" w:space="0"/>
              <w:right w:val="single" w:color="000000" w:sz="8" w:space="0"/>
            </w:tcBorders>
            <w:shd w:val="clear" w:color="auto" w:fill="auto"/>
            <w:vAlign w:val="center"/>
          </w:tcPr>
          <w:p w14:paraId="66F22D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电极：钛衬里材料：聚四氟乙烯；（推荐：科隆、ABB、西门子等合资品牌）</w:t>
            </w:r>
          </w:p>
        </w:tc>
      </w:tr>
      <w:tr w14:paraId="2E03F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29CF07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9</w:t>
            </w:r>
          </w:p>
        </w:tc>
        <w:tc>
          <w:tcPr>
            <w:tcW w:w="385" w:type="pct"/>
            <w:vMerge w:val="continue"/>
            <w:tcBorders>
              <w:top w:val="nil"/>
              <w:left w:val="nil"/>
              <w:bottom w:val="nil"/>
              <w:right w:val="single" w:color="000000" w:sz="8" w:space="0"/>
            </w:tcBorders>
            <w:shd w:val="clear" w:color="auto" w:fill="FFFFFF"/>
            <w:vAlign w:val="center"/>
          </w:tcPr>
          <w:p w14:paraId="77D4458D">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FFFFFF"/>
            <w:vAlign w:val="center"/>
          </w:tcPr>
          <w:p w14:paraId="1C2EC9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DN1000</w:t>
            </w:r>
          </w:p>
        </w:tc>
        <w:tc>
          <w:tcPr>
            <w:tcW w:w="385" w:type="pct"/>
            <w:tcBorders>
              <w:top w:val="nil"/>
              <w:left w:val="nil"/>
              <w:bottom w:val="single" w:color="000000" w:sz="8" w:space="0"/>
              <w:right w:val="single" w:color="000000" w:sz="8" w:space="0"/>
            </w:tcBorders>
            <w:shd w:val="clear" w:color="auto" w:fill="auto"/>
            <w:vAlign w:val="center"/>
          </w:tcPr>
          <w:p w14:paraId="3726E8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7AD449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01" w:type="pct"/>
            <w:tcBorders>
              <w:top w:val="nil"/>
              <w:left w:val="nil"/>
              <w:bottom w:val="single" w:color="000000" w:sz="8" w:space="0"/>
              <w:right w:val="single" w:color="000000" w:sz="8" w:space="0"/>
            </w:tcBorders>
            <w:shd w:val="clear" w:color="auto" w:fill="auto"/>
            <w:vAlign w:val="center"/>
          </w:tcPr>
          <w:p w14:paraId="4F4505E2">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96DB5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7858BE80">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4DFDE760">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273BE0F9">
            <w:pPr>
              <w:jc w:val="center"/>
              <w:rPr>
                <w:rFonts w:hint="eastAsia" w:ascii="宋体" w:hAnsi="宋体" w:eastAsia="宋体" w:cs="宋体"/>
                <w:i w:val="0"/>
                <w:iCs w:val="0"/>
                <w:color w:val="auto"/>
                <w:sz w:val="22"/>
                <w:szCs w:val="22"/>
                <w:highlight w:val="none"/>
                <w:u w:val="none"/>
              </w:rPr>
            </w:pPr>
          </w:p>
        </w:tc>
      </w:tr>
      <w:tr w14:paraId="1999B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0FCF42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10</w:t>
            </w:r>
          </w:p>
        </w:tc>
        <w:tc>
          <w:tcPr>
            <w:tcW w:w="385" w:type="pct"/>
            <w:vMerge w:val="restart"/>
            <w:tcBorders>
              <w:top w:val="nil"/>
              <w:left w:val="nil"/>
              <w:bottom w:val="nil"/>
              <w:right w:val="single" w:color="000000" w:sz="8" w:space="0"/>
            </w:tcBorders>
            <w:shd w:val="clear" w:color="auto" w:fill="FFFFFF"/>
            <w:vAlign w:val="center"/>
          </w:tcPr>
          <w:p w14:paraId="70AF0A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管道式电磁流量计</w:t>
            </w:r>
          </w:p>
        </w:tc>
        <w:tc>
          <w:tcPr>
            <w:tcW w:w="385" w:type="pct"/>
            <w:tcBorders>
              <w:top w:val="nil"/>
              <w:left w:val="nil"/>
              <w:bottom w:val="single" w:color="000000" w:sz="8" w:space="0"/>
              <w:right w:val="single" w:color="000000" w:sz="8" w:space="0"/>
            </w:tcBorders>
            <w:shd w:val="clear" w:color="auto" w:fill="FFFFFF"/>
            <w:vAlign w:val="center"/>
          </w:tcPr>
          <w:p w14:paraId="0E9730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DN200</w:t>
            </w:r>
          </w:p>
        </w:tc>
        <w:tc>
          <w:tcPr>
            <w:tcW w:w="385" w:type="pct"/>
            <w:tcBorders>
              <w:top w:val="nil"/>
              <w:left w:val="nil"/>
              <w:bottom w:val="single" w:color="000000" w:sz="8" w:space="0"/>
              <w:right w:val="single" w:color="000000" w:sz="8" w:space="0"/>
            </w:tcBorders>
            <w:shd w:val="clear" w:color="auto" w:fill="auto"/>
            <w:vAlign w:val="center"/>
          </w:tcPr>
          <w:p w14:paraId="0F87D31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7FAD9E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01" w:type="pct"/>
            <w:tcBorders>
              <w:top w:val="nil"/>
              <w:left w:val="nil"/>
              <w:bottom w:val="single" w:color="000000" w:sz="8" w:space="0"/>
              <w:right w:val="single" w:color="000000" w:sz="8" w:space="0"/>
            </w:tcBorders>
            <w:shd w:val="clear" w:color="auto" w:fill="auto"/>
            <w:vAlign w:val="center"/>
          </w:tcPr>
          <w:p w14:paraId="1DF2DC27">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3FC737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0275930D">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54C14046">
            <w:pPr>
              <w:jc w:val="center"/>
              <w:rPr>
                <w:rFonts w:hint="eastAsia" w:ascii="宋体" w:hAnsi="宋体" w:eastAsia="宋体" w:cs="宋体"/>
                <w:i w:val="0"/>
                <w:iCs w:val="0"/>
                <w:color w:val="auto"/>
                <w:sz w:val="22"/>
                <w:szCs w:val="22"/>
                <w:highlight w:val="none"/>
                <w:u w:val="none"/>
              </w:rPr>
            </w:pPr>
          </w:p>
        </w:tc>
        <w:tc>
          <w:tcPr>
            <w:tcW w:w="385" w:type="pct"/>
            <w:vMerge w:val="restart"/>
            <w:tcBorders>
              <w:top w:val="nil"/>
              <w:left w:val="nil"/>
              <w:bottom w:val="single" w:color="000000" w:sz="8" w:space="0"/>
              <w:right w:val="single" w:color="000000" w:sz="8" w:space="0"/>
            </w:tcBorders>
            <w:shd w:val="clear" w:color="auto" w:fill="auto"/>
            <w:vAlign w:val="center"/>
          </w:tcPr>
          <w:p w14:paraId="0EF3E2F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电极：316L不锈钢衬里材料：氯丁橡胶（推荐科隆、ABB、西门子等合资品牌）</w:t>
            </w:r>
          </w:p>
        </w:tc>
      </w:tr>
      <w:tr w14:paraId="094BF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25AC569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11</w:t>
            </w:r>
          </w:p>
        </w:tc>
        <w:tc>
          <w:tcPr>
            <w:tcW w:w="385" w:type="pct"/>
            <w:vMerge w:val="continue"/>
            <w:tcBorders>
              <w:top w:val="nil"/>
              <w:left w:val="nil"/>
              <w:bottom w:val="nil"/>
              <w:right w:val="single" w:color="000000" w:sz="8" w:space="0"/>
            </w:tcBorders>
            <w:shd w:val="clear" w:color="auto" w:fill="FFFFFF"/>
            <w:vAlign w:val="center"/>
          </w:tcPr>
          <w:p w14:paraId="3DE5495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FFFFFF"/>
            <w:vAlign w:val="center"/>
          </w:tcPr>
          <w:p w14:paraId="1FDAC3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DN300</w:t>
            </w:r>
          </w:p>
        </w:tc>
        <w:tc>
          <w:tcPr>
            <w:tcW w:w="385" w:type="pct"/>
            <w:tcBorders>
              <w:top w:val="nil"/>
              <w:left w:val="nil"/>
              <w:bottom w:val="single" w:color="000000" w:sz="8" w:space="0"/>
              <w:right w:val="single" w:color="000000" w:sz="8" w:space="0"/>
            </w:tcBorders>
            <w:shd w:val="clear" w:color="auto" w:fill="auto"/>
            <w:vAlign w:val="center"/>
          </w:tcPr>
          <w:p w14:paraId="19BB4F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5F07991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01" w:type="pct"/>
            <w:tcBorders>
              <w:top w:val="nil"/>
              <w:left w:val="nil"/>
              <w:bottom w:val="single" w:color="000000" w:sz="8" w:space="0"/>
              <w:right w:val="single" w:color="000000" w:sz="8" w:space="0"/>
            </w:tcBorders>
            <w:shd w:val="clear" w:color="auto" w:fill="auto"/>
            <w:vAlign w:val="center"/>
          </w:tcPr>
          <w:p w14:paraId="525B4253">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77791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0EDD8A1A">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71FDCA71">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02AC41C1">
            <w:pPr>
              <w:jc w:val="center"/>
              <w:rPr>
                <w:rFonts w:hint="eastAsia" w:ascii="宋体" w:hAnsi="宋体" w:eastAsia="宋体" w:cs="宋体"/>
                <w:i w:val="0"/>
                <w:iCs w:val="0"/>
                <w:color w:val="auto"/>
                <w:sz w:val="22"/>
                <w:szCs w:val="22"/>
                <w:highlight w:val="none"/>
                <w:u w:val="none"/>
              </w:rPr>
            </w:pPr>
          </w:p>
        </w:tc>
      </w:tr>
      <w:tr w14:paraId="54E61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3C11034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12</w:t>
            </w:r>
          </w:p>
        </w:tc>
        <w:tc>
          <w:tcPr>
            <w:tcW w:w="385" w:type="pct"/>
            <w:vMerge w:val="continue"/>
            <w:tcBorders>
              <w:top w:val="nil"/>
              <w:left w:val="nil"/>
              <w:bottom w:val="nil"/>
              <w:right w:val="single" w:color="000000" w:sz="8" w:space="0"/>
            </w:tcBorders>
            <w:shd w:val="clear" w:color="auto" w:fill="FFFFFF"/>
            <w:vAlign w:val="center"/>
          </w:tcPr>
          <w:p w14:paraId="03C8EE04">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FFFFFF"/>
            <w:vAlign w:val="center"/>
          </w:tcPr>
          <w:p w14:paraId="11EE3C3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DN400</w:t>
            </w:r>
          </w:p>
        </w:tc>
        <w:tc>
          <w:tcPr>
            <w:tcW w:w="385" w:type="pct"/>
            <w:tcBorders>
              <w:top w:val="nil"/>
              <w:left w:val="nil"/>
              <w:bottom w:val="single" w:color="000000" w:sz="8" w:space="0"/>
              <w:right w:val="single" w:color="000000" w:sz="8" w:space="0"/>
            </w:tcBorders>
            <w:shd w:val="clear" w:color="auto" w:fill="auto"/>
            <w:vAlign w:val="center"/>
          </w:tcPr>
          <w:p w14:paraId="4B4423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14C39A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6</w:t>
            </w:r>
          </w:p>
        </w:tc>
        <w:tc>
          <w:tcPr>
            <w:tcW w:w="401" w:type="pct"/>
            <w:tcBorders>
              <w:top w:val="nil"/>
              <w:left w:val="nil"/>
              <w:bottom w:val="single" w:color="000000" w:sz="8" w:space="0"/>
              <w:right w:val="single" w:color="000000" w:sz="8" w:space="0"/>
            </w:tcBorders>
            <w:shd w:val="clear" w:color="auto" w:fill="auto"/>
            <w:vAlign w:val="center"/>
          </w:tcPr>
          <w:p w14:paraId="302D84FC">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37433A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00DAC54C">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3477437B">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5A8F941A">
            <w:pPr>
              <w:jc w:val="center"/>
              <w:rPr>
                <w:rFonts w:hint="eastAsia" w:ascii="宋体" w:hAnsi="宋体" w:eastAsia="宋体" w:cs="宋体"/>
                <w:i w:val="0"/>
                <w:iCs w:val="0"/>
                <w:color w:val="auto"/>
                <w:sz w:val="22"/>
                <w:szCs w:val="22"/>
                <w:highlight w:val="none"/>
                <w:u w:val="none"/>
              </w:rPr>
            </w:pPr>
          </w:p>
        </w:tc>
      </w:tr>
      <w:tr w14:paraId="26248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7AAACF2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13</w:t>
            </w:r>
          </w:p>
        </w:tc>
        <w:tc>
          <w:tcPr>
            <w:tcW w:w="385" w:type="pct"/>
            <w:vMerge w:val="continue"/>
            <w:tcBorders>
              <w:top w:val="nil"/>
              <w:left w:val="nil"/>
              <w:bottom w:val="nil"/>
              <w:right w:val="single" w:color="000000" w:sz="8" w:space="0"/>
            </w:tcBorders>
            <w:shd w:val="clear" w:color="auto" w:fill="FFFFFF"/>
            <w:vAlign w:val="center"/>
          </w:tcPr>
          <w:p w14:paraId="77B9DF98">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FFFFFF"/>
            <w:vAlign w:val="center"/>
          </w:tcPr>
          <w:p w14:paraId="36011C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DN600</w:t>
            </w:r>
          </w:p>
        </w:tc>
        <w:tc>
          <w:tcPr>
            <w:tcW w:w="385" w:type="pct"/>
            <w:tcBorders>
              <w:top w:val="nil"/>
              <w:left w:val="nil"/>
              <w:bottom w:val="single" w:color="000000" w:sz="8" w:space="0"/>
              <w:right w:val="single" w:color="000000" w:sz="8" w:space="0"/>
            </w:tcBorders>
            <w:shd w:val="clear" w:color="auto" w:fill="auto"/>
            <w:vAlign w:val="center"/>
          </w:tcPr>
          <w:p w14:paraId="486DA6D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套</w:t>
            </w:r>
          </w:p>
        </w:tc>
        <w:tc>
          <w:tcPr>
            <w:tcW w:w="385" w:type="pct"/>
            <w:tcBorders>
              <w:top w:val="nil"/>
              <w:left w:val="nil"/>
              <w:bottom w:val="single" w:color="000000" w:sz="8" w:space="0"/>
              <w:right w:val="single" w:color="000000" w:sz="8" w:space="0"/>
            </w:tcBorders>
            <w:shd w:val="clear" w:color="auto" w:fill="auto"/>
            <w:vAlign w:val="center"/>
          </w:tcPr>
          <w:p w14:paraId="23B7C3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3</w:t>
            </w:r>
          </w:p>
        </w:tc>
        <w:tc>
          <w:tcPr>
            <w:tcW w:w="401" w:type="pct"/>
            <w:tcBorders>
              <w:top w:val="nil"/>
              <w:left w:val="nil"/>
              <w:bottom w:val="single" w:color="000000" w:sz="8" w:space="0"/>
              <w:right w:val="single" w:color="000000" w:sz="8" w:space="0"/>
            </w:tcBorders>
            <w:shd w:val="clear" w:color="auto" w:fill="auto"/>
            <w:vAlign w:val="center"/>
          </w:tcPr>
          <w:p w14:paraId="5A9EB21B">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0241E2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74F52D50">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6D16A589">
            <w:pPr>
              <w:jc w:val="center"/>
              <w:rPr>
                <w:rFonts w:hint="eastAsia" w:ascii="宋体" w:hAnsi="宋体" w:eastAsia="宋体" w:cs="宋体"/>
                <w:i w:val="0"/>
                <w:iCs w:val="0"/>
                <w:color w:val="auto"/>
                <w:sz w:val="22"/>
                <w:szCs w:val="22"/>
                <w:highlight w:val="none"/>
                <w:u w:val="none"/>
              </w:rPr>
            </w:pPr>
          </w:p>
        </w:tc>
        <w:tc>
          <w:tcPr>
            <w:tcW w:w="385" w:type="pct"/>
            <w:vMerge w:val="continue"/>
            <w:tcBorders>
              <w:top w:val="nil"/>
              <w:left w:val="nil"/>
              <w:bottom w:val="single" w:color="000000" w:sz="8" w:space="0"/>
              <w:right w:val="single" w:color="000000" w:sz="8" w:space="0"/>
            </w:tcBorders>
            <w:shd w:val="clear" w:color="auto" w:fill="auto"/>
            <w:vAlign w:val="center"/>
          </w:tcPr>
          <w:p w14:paraId="17A26934">
            <w:pPr>
              <w:jc w:val="center"/>
              <w:rPr>
                <w:rFonts w:hint="eastAsia" w:ascii="宋体" w:hAnsi="宋体" w:eastAsia="宋体" w:cs="宋体"/>
                <w:i w:val="0"/>
                <w:iCs w:val="0"/>
                <w:color w:val="auto"/>
                <w:sz w:val="22"/>
                <w:szCs w:val="22"/>
                <w:highlight w:val="none"/>
                <w:u w:val="none"/>
              </w:rPr>
            </w:pPr>
          </w:p>
        </w:tc>
      </w:tr>
      <w:tr w14:paraId="29447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42817F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14</w:t>
            </w:r>
          </w:p>
        </w:tc>
        <w:tc>
          <w:tcPr>
            <w:tcW w:w="385" w:type="pct"/>
            <w:tcBorders>
              <w:top w:val="nil"/>
              <w:left w:val="nil"/>
              <w:bottom w:val="single" w:color="000000" w:sz="8" w:space="0"/>
              <w:right w:val="single" w:color="000000" w:sz="8" w:space="0"/>
            </w:tcBorders>
            <w:shd w:val="clear" w:color="auto" w:fill="auto"/>
            <w:vAlign w:val="center"/>
          </w:tcPr>
          <w:p w14:paraId="2344DC9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电磁流量计转换器</w:t>
            </w:r>
          </w:p>
        </w:tc>
        <w:tc>
          <w:tcPr>
            <w:tcW w:w="385" w:type="pct"/>
            <w:tcBorders>
              <w:top w:val="nil"/>
              <w:left w:val="nil"/>
              <w:bottom w:val="single" w:color="000000" w:sz="8" w:space="0"/>
              <w:right w:val="single" w:color="000000" w:sz="8" w:space="0"/>
            </w:tcBorders>
            <w:shd w:val="clear" w:color="auto" w:fill="auto"/>
            <w:vAlign w:val="center"/>
          </w:tcPr>
          <w:p w14:paraId="60C4A19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385" w:type="pct"/>
            <w:tcBorders>
              <w:top w:val="nil"/>
              <w:left w:val="nil"/>
              <w:bottom w:val="single" w:color="000000" w:sz="8" w:space="0"/>
              <w:right w:val="single" w:color="000000" w:sz="8" w:space="0"/>
            </w:tcBorders>
            <w:shd w:val="clear" w:color="auto" w:fill="auto"/>
            <w:vAlign w:val="center"/>
          </w:tcPr>
          <w:p w14:paraId="4E7139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个</w:t>
            </w:r>
          </w:p>
        </w:tc>
        <w:tc>
          <w:tcPr>
            <w:tcW w:w="385" w:type="pct"/>
            <w:tcBorders>
              <w:top w:val="nil"/>
              <w:left w:val="nil"/>
              <w:bottom w:val="single" w:color="000000" w:sz="8" w:space="0"/>
              <w:right w:val="single" w:color="000000" w:sz="8" w:space="0"/>
            </w:tcBorders>
            <w:shd w:val="clear" w:color="auto" w:fill="auto"/>
            <w:vAlign w:val="center"/>
          </w:tcPr>
          <w:p w14:paraId="5B05B1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2</w:t>
            </w:r>
          </w:p>
        </w:tc>
        <w:tc>
          <w:tcPr>
            <w:tcW w:w="401" w:type="pct"/>
            <w:tcBorders>
              <w:top w:val="nil"/>
              <w:left w:val="nil"/>
              <w:bottom w:val="single" w:color="000000" w:sz="8" w:space="0"/>
              <w:right w:val="single" w:color="000000" w:sz="8" w:space="0"/>
            </w:tcBorders>
            <w:shd w:val="clear" w:color="auto" w:fill="auto"/>
            <w:vAlign w:val="center"/>
          </w:tcPr>
          <w:p w14:paraId="608CE21D">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53AF57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08D48386">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3FE0CCD3">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AE71D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与国产品牌流量计匹配</w:t>
            </w:r>
          </w:p>
        </w:tc>
      </w:tr>
      <w:tr w14:paraId="6C0E8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385" w:type="pct"/>
            <w:tcBorders>
              <w:top w:val="nil"/>
              <w:left w:val="single" w:color="000000" w:sz="8" w:space="0"/>
              <w:bottom w:val="single" w:color="000000" w:sz="8" w:space="0"/>
              <w:right w:val="single" w:color="000000" w:sz="8" w:space="0"/>
            </w:tcBorders>
            <w:shd w:val="clear" w:color="auto" w:fill="auto"/>
            <w:vAlign w:val="center"/>
          </w:tcPr>
          <w:p w14:paraId="322918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15</w:t>
            </w:r>
          </w:p>
        </w:tc>
        <w:tc>
          <w:tcPr>
            <w:tcW w:w="385" w:type="pct"/>
            <w:tcBorders>
              <w:top w:val="nil"/>
              <w:left w:val="nil"/>
              <w:bottom w:val="single" w:color="000000" w:sz="8" w:space="0"/>
              <w:right w:val="single" w:color="000000" w:sz="8" w:space="0"/>
            </w:tcBorders>
            <w:shd w:val="clear" w:color="auto" w:fill="auto"/>
            <w:vAlign w:val="center"/>
          </w:tcPr>
          <w:p w14:paraId="1A5E966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电磁流量模拟信号校准器</w:t>
            </w:r>
          </w:p>
        </w:tc>
        <w:tc>
          <w:tcPr>
            <w:tcW w:w="385" w:type="pct"/>
            <w:tcBorders>
              <w:top w:val="nil"/>
              <w:left w:val="nil"/>
              <w:bottom w:val="single" w:color="000000" w:sz="8" w:space="0"/>
              <w:right w:val="single" w:color="000000" w:sz="8" w:space="0"/>
            </w:tcBorders>
            <w:shd w:val="clear" w:color="auto" w:fill="auto"/>
            <w:vAlign w:val="center"/>
          </w:tcPr>
          <w:p w14:paraId="26051D0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385" w:type="pct"/>
            <w:tcBorders>
              <w:top w:val="nil"/>
              <w:left w:val="nil"/>
              <w:bottom w:val="single" w:color="000000" w:sz="8" w:space="0"/>
              <w:right w:val="single" w:color="000000" w:sz="8" w:space="0"/>
            </w:tcBorders>
            <w:shd w:val="clear" w:color="auto" w:fill="auto"/>
            <w:vAlign w:val="center"/>
          </w:tcPr>
          <w:p w14:paraId="5D9CB21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个</w:t>
            </w:r>
          </w:p>
        </w:tc>
        <w:tc>
          <w:tcPr>
            <w:tcW w:w="385" w:type="pct"/>
            <w:tcBorders>
              <w:top w:val="nil"/>
              <w:left w:val="nil"/>
              <w:bottom w:val="single" w:color="000000" w:sz="8" w:space="0"/>
              <w:right w:val="single" w:color="000000" w:sz="8" w:space="0"/>
            </w:tcBorders>
            <w:shd w:val="clear" w:color="auto" w:fill="auto"/>
            <w:vAlign w:val="center"/>
          </w:tcPr>
          <w:p w14:paraId="3C195B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1</w:t>
            </w:r>
          </w:p>
        </w:tc>
        <w:tc>
          <w:tcPr>
            <w:tcW w:w="401" w:type="pct"/>
            <w:tcBorders>
              <w:top w:val="nil"/>
              <w:left w:val="nil"/>
              <w:bottom w:val="single" w:color="000000" w:sz="8" w:space="0"/>
              <w:right w:val="single" w:color="000000" w:sz="8" w:space="0"/>
            </w:tcBorders>
            <w:shd w:val="clear" w:color="auto" w:fill="auto"/>
            <w:vAlign w:val="center"/>
          </w:tcPr>
          <w:p w14:paraId="10C49372">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70D492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w:t>
            </w:r>
          </w:p>
        </w:tc>
        <w:tc>
          <w:tcPr>
            <w:tcW w:w="401" w:type="pct"/>
            <w:tcBorders>
              <w:top w:val="nil"/>
              <w:left w:val="nil"/>
              <w:bottom w:val="single" w:color="000000" w:sz="8" w:space="0"/>
              <w:right w:val="single" w:color="000000" w:sz="8" w:space="0"/>
            </w:tcBorders>
            <w:shd w:val="clear" w:color="auto" w:fill="auto"/>
            <w:vAlign w:val="center"/>
          </w:tcPr>
          <w:p w14:paraId="203F5367">
            <w:pPr>
              <w:jc w:val="center"/>
              <w:rPr>
                <w:rFonts w:hint="eastAsia" w:ascii="宋体" w:hAnsi="宋体" w:eastAsia="宋体" w:cs="宋体"/>
                <w:i w:val="0"/>
                <w:iCs w:val="0"/>
                <w:color w:val="auto"/>
                <w:sz w:val="22"/>
                <w:szCs w:val="22"/>
                <w:highlight w:val="none"/>
                <w:u w:val="none"/>
              </w:rPr>
            </w:pPr>
          </w:p>
        </w:tc>
        <w:tc>
          <w:tcPr>
            <w:tcW w:w="551" w:type="pct"/>
            <w:tcBorders>
              <w:top w:val="nil"/>
              <w:left w:val="nil"/>
              <w:bottom w:val="single" w:color="000000" w:sz="8" w:space="0"/>
              <w:right w:val="single" w:color="000000" w:sz="8" w:space="0"/>
            </w:tcBorders>
            <w:shd w:val="clear" w:color="auto" w:fill="auto"/>
            <w:vAlign w:val="center"/>
          </w:tcPr>
          <w:p w14:paraId="1C094284">
            <w:pPr>
              <w:jc w:val="center"/>
              <w:rPr>
                <w:rFonts w:hint="eastAsia" w:ascii="宋体" w:hAnsi="宋体" w:eastAsia="宋体" w:cs="宋体"/>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vAlign w:val="center"/>
          </w:tcPr>
          <w:p w14:paraId="100F4ED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与国产品牌流量计匹配</w:t>
            </w:r>
          </w:p>
        </w:tc>
      </w:tr>
      <w:tr w14:paraId="4D5BB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26" w:type="pct"/>
            <w:gridSpan w:val="5"/>
            <w:tcBorders>
              <w:top w:val="nil"/>
              <w:left w:val="single" w:color="000000" w:sz="8" w:space="0"/>
              <w:bottom w:val="single" w:color="000000" w:sz="8" w:space="0"/>
              <w:right w:val="single" w:color="000000" w:sz="8" w:space="0"/>
            </w:tcBorders>
            <w:shd w:val="clear" w:color="auto" w:fill="auto"/>
            <w:vAlign w:val="center"/>
          </w:tcPr>
          <w:p w14:paraId="5A55BD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snapToGrid w:val="0"/>
                <w:color w:val="auto"/>
                <w:kern w:val="0"/>
                <w:sz w:val="22"/>
                <w:szCs w:val="22"/>
                <w:highlight w:val="none"/>
                <w:u w:val="none"/>
                <w:lang w:val="en-US" w:eastAsia="zh-CN" w:bidi="ar"/>
              </w:rPr>
              <w:t>合计（元）</w:t>
            </w:r>
          </w:p>
        </w:tc>
        <w:tc>
          <w:tcPr>
            <w:tcW w:w="1739" w:type="pct"/>
            <w:gridSpan w:val="4"/>
            <w:tcBorders>
              <w:top w:val="nil"/>
              <w:left w:val="nil"/>
              <w:bottom w:val="single" w:color="000000" w:sz="8" w:space="0"/>
              <w:right w:val="single" w:color="000000" w:sz="8" w:space="0"/>
            </w:tcBorders>
            <w:shd w:val="clear" w:color="auto" w:fill="auto"/>
            <w:vAlign w:val="center"/>
          </w:tcPr>
          <w:p w14:paraId="4571DD2F">
            <w:pPr>
              <w:jc w:val="center"/>
              <w:rPr>
                <w:rFonts w:hint="eastAsia" w:ascii="宋体" w:hAnsi="宋体" w:eastAsia="宋体" w:cs="宋体"/>
                <w:b/>
                <w:bCs/>
                <w:i w:val="0"/>
                <w:iCs w:val="0"/>
                <w:color w:val="auto"/>
                <w:sz w:val="22"/>
                <w:szCs w:val="22"/>
                <w:highlight w:val="none"/>
                <w:u w:val="none"/>
              </w:rPr>
            </w:pPr>
          </w:p>
        </w:tc>
        <w:tc>
          <w:tcPr>
            <w:tcW w:w="385" w:type="pct"/>
            <w:tcBorders>
              <w:top w:val="nil"/>
              <w:left w:val="nil"/>
              <w:bottom w:val="single" w:color="000000" w:sz="8" w:space="0"/>
              <w:right w:val="single" w:color="000000" w:sz="8" w:space="0"/>
            </w:tcBorders>
            <w:shd w:val="clear" w:color="auto" w:fill="auto"/>
            <w:noWrap/>
            <w:vAlign w:val="center"/>
          </w:tcPr>
          <w:p w14:paraId="5AA4C28D">
            <w:pPr>
              <w:jc w:val="center"/>
              <w:rPr>
                <w:rFonts w:hint="eastAsia" w:ascii="宋体" w:hAnsi="宋体" w:eastAsia="宋体" w:cs="宋体"/>
                <w:i w:val="0"/>
                <w:iCs w:val="0"/>
                <w:color w:val="auto"/>
                <w:sz w:val="22"/>
                <w:szCs w:val="22"/>
                <w:highlight w:val="none"/>
                <w:u w:val="none"/>
              </w:rPr>
            </w:pPr>
          </w:p>
        </w:tc>
      </w:tr>
      <w:tr w14:paraId="04220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70" w:type="pct"/>
            <w:gridSpan w:val="2"/>
            <w:tcBorders>
              <w:top w:val="nil"/>
              <w:left w:val="single" w:color="000000" w:sz="8" w:space="0"/>
              <w:bottom w:val="single" w:color="000000" w:sz="8" w:space="0"/>
              <w:right w:val="single" w:color="000000" w:sz="8" w:space="0"/>
            </w:tcBorders>
            <w:shd w:val="clear" w:color="auto" w:fill="auto"/>
            <w:vAlign w:val="center"/>
          </w:tcPr>
          <w:p w14:paraId="443F43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投标总价合计</w:t>
            </w:r>
          </w:p>
        </w:tc>
        <w:tc>
          <w:tcPr>
            <w:tcW w:w="2895" w:type="pct"/>
            <w:gridSpan w:val="7"/>
            <w:tcBorders>
              <w:top w:val="nil"/>
              <w:left w:val="single" w:color="000000" w:sz="8" w:space="0"/>
              <w:bottom w:val="single" w:color="000000" w:sz="8" w:space="0"/>
              <w:right w:val="single" w:color="000000" w:sz="8" w:space="0"/>
            </w:tcBorders>
            <w:shd w:val="clear" w:color="auto" w:fill="auto"/>
            <w:vAlign w:val="center"/>
          </w:tcPr>
          <w:p w14:paraId="63CF79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小写：元</w:t>
            </w:r>
          </w:p>
        </w:tc>
        <w:tc>
          <w:tcPr>
            <w:tcW w:w="385" w:type="pct"/>
            <w:tcBorders>
              <w:top w:val="nil"/>
              <w:left w:val="nil"/>
              <w:bottom w:val="nil"/>
              <w:right w:val="nil"/>
            </w:tcBorders>
            <w:shd w:val="clear" w:color="auto" w:fill="auto"/>
            <w:noWrap/>
            <w:vAlign w:val="center"/>
          </w:tcPr>
          <w:p w14:paraId="3A76C52E">
            <w:pPr>
              <w:rPr>
                <w:rFonts w:hint="eastAsia" w:ascii="宋体" w:hAnsi="宋体" w:eastAsia="宋体" w:cs="宋体"/>
                <w:i w:val="0"/>
                <w:iCs w:val="0"/>
                <w:color w:val="auto"/>
                <w:sz w:val="22"/>
                <w:szCs w:val="22"/>
                <w:highlight w:val="none"/>
                <w:u w:val="none"/>
              </w:rPr>
            </w:pPr>
          </w:p>
        </w:tc>
      </w:tr>
    </w:tbl>
    <w:p w14:paraId="69DC03B7">
      <w:pPr>
        <w:shd w:val="clear"/>
        <w:spacing w:before="59" w:line="227" w:lineRule="auto"/>
        <w:ind w:left="621"/>
        <w:jc w:val="both"/>
        <w:rPr>
          <w:rFonts w:hint="eastAsia" w:ascii="宋体" w:hAnsi="宋体" w:eastAsia="宋体" w:cs="宋体"/>
          <w:color w:val="auto"/>
          <w:sz w:val="20"/>
          <w:szCs w:val="20"/>
          <w:highlight w:val="none"/>
        </w:rPr>
      </w:pPr>
      <w:r>
        <w:rPr>
          <w:rFonts w:ascii="宋体" w:hAnsi="宋体" w:eastAsia="宋体" w:cs="宋体"/>
          <w:color w:val="auto"/>
          <w:sz w:val="20"/>
          <w:szCs w:val="20"/>
          <w:highlight w:val="none"/>
        </w:rPr>
        <w:t>注：</w:t>
      </w: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投标总价合计为总价的合计，应与投标函的投标总价一致。</w:t>
      </w:r>
    </w:p>
    <w:p w14:paraId="75ACEAD3">
      <w:pPr>
        <w:numPr>
          <w:ilvl w:val="-1"/>
          <w:numId w:val="0"/>
        </w:numPr>
        <w:shd w:val="clear"/>
        <w:spacing w:before="59" w:line="227" w:lineRule="auto"/>
        <w:ind w:left="0" w:firstLine="1000" w:firstLineChars="500"/>
        <w:jc w:val="both"/>
        <w:rPr>
          <w:rFonts w:ascii="宋体" w:hAnsi="宋体" w:eastAsia="宋体" w:cs="宋体"/>
          <w:color w:val="auto"/>
          <w:position w:val="1"/>
          <w:sz w:val="20"/>
          <w:szCs w:val="20"/>
          <w:highlight w:val="none"/>
        </w:rPr>
      </w:pPr>
      <w:r>
        <w:rPr>
          <w:rFonts w:hint="eastAsia" w:ascii="宋体" w:hAnsi="宋体" w:eastAsia="宋体" w:cs="宋体"/>
          <w:color w:val="auto"/>
          <w:position w:val="1"/>
          <w:sz w:val="20"/>
          <w:szCs w:val="20"/>
          <w:highlight w:val="none"/>
          <w:lang w:val="en-US" w:eastAsia="zh-CN"/>
        </w:rPr>
        <w:t>2.</w:t>
      </w:r>
      <w:r>
        <w:rPr>
          <w:rFonts w:ascii="宋体" w:hAnsi="宋体" w:eastAsia="宋体" w:cs="宋体"/>
          <w:color w:val="auto"/>
          <w:position w:val="1"/>
          <w:sz w:val="20"/>
          <w:szCs w:val="20"/>
          <w:highlight w:val="none"/>
        </w:rPr>
        <w:t>投标报价表中含价栏目，若无报价的须填“含”、“无”等字样，若出现空白，招标人视为已含在投标报价中。</w:t>
      </w:r>
    </w:p>
    <w:p w14:paraId="7F55669C">
      <w:pPr>
        <w:numPr>
          <w:ilvl w:val="-1"/>
          <w:numId w:val="0"/>
        </w:numPr>
        <w:shd w:val="clear"/>
        <w:spacing w:before="59" w:line="227" w:lineRule="auto"/>
        <w:ind w:left="0" w:firstLine="1000" w:firstLineChars="500"/>
        <w:jc w:val="both"/>
        <w:rPr>
          <w:rFonts w:ascii="宋体" w:hAnsi="宋体" w:eastAsia="宋体" w:cs="宋体"/>
          <w:color w:val="auto"/>
          <w:position w:val="1"/>
          <w:sz w:val="20"/>
          <w:szCs w:val="20"/>
          <w:highlight w:val="none"/>
        </w:rPr>
      </w:pPr>
      <w:r>
        <w:rPr>
          <w:rFonts w:hint="eastAsia" w:ascii="宋体" w:hAnsi="宋体" w:eastAsia="宋体" w:cs="宋体"/>
          <w:color w:val="auto"/>
          <w:position w:val="1"/>
          <w:sz w:val="20"/>
          <w:szCs w:val="20"/>
          <w:highlight w:val="none"/>
          <w:lang w:val="en-US" w:eastAsia="zh-CN"/>
        </w:rPr>
        <w:t>3.</w:t>
      </w:r>
      <w:r>
        <w:rPr>
          <w:rFonts w:ascii="宋体" w:hAnsi="宋体" w:eastAsia="宋体" w:cs="宋体"/>
          <w:color w:val="auto"/>
          <w:position w:val="1"/>
          <w:sz w:val="20"/>
          <w:szCs w:val="20"/>
          <w:highlight w:val="none"/>
        </w:rPr>
        <w:t>如交货货物数量调整时，综合单价不作调整。</w:t>
      </w:r>
    </w:p>
    <w:p w14:paraId="1B19BC99">
      <w:pPr>
        <w:numPr>
          <w:ilvl w:val="-1"/>
          <w:numId w:val="0"/>
        </w:numPr>
        <w:shd w:val="clear"/>
        <w:spacing w:before="59" w:line="227" w:lineRule="auto"/>
        <w:ind w:left="0" w:firstLine="1004" w:firstLineChars="500"/>
        <w:jc w:val="both"/>
        <w:rPr>
          <w:rFonts w:ascii="宋体" w:hAnsi="宋体" w:eastAsia="宋体" w:cs="宋体"/>
          <w:b/>
          <w:bCs/>
          <w:color w:val="auto"/>
          <w:position w:val="1"/>
          <w:sz w:val="20"/>
          <w:szCs w:val="20"/>
          <w:highlight w:val="none"/>
        </w:rPr>
        <w:sectPr>
          <w:footerReference r:id="rId21" w:type="default"/>
          <w:pgSz w:w="16840" w:h="11907"/>
          <w:pgMar w:top="1418" w:right="1559" w:bottom="1418" w:left="1474" w:header="0" w:footer="722" w:gutter="0"/>
          <w:pgBorders>
            <w:top w:val="none" w:sz="0" w:space="0"/>
            <w:left w:val="none" w:sz="0" w:space="0"/>
            <w:bottom w:val="none" w:sz="0" w:space="0"/>
            <w:right w:val="none" w:sz="0" w:space="0"/>
          </w:pgBorders>
          <w:cols w:space="720" w:num="1"/>
        </w:sectPr>
      </w:pPr>
      <w:r>
        <w:rPr>
          <w:rFonts w:hint="eastAsia" w:ascii="宋体" w:hAnsi="宋体" w:eastAsia="宋体" w:cs="宋体"/>
          <w:b/>
          <w:bCs/>
          <w:color w:val="auto"/>
          <w:position w:val="1"/>
          <w:sz w:val="20"/>
          <w:szCs w:val="20"/>
          <w:highlight w:val="none"/>
          <w:lang w:val="en-US" w:eastAsia="zh-CN"/>
        </w:rPr>
        <w:t>4.</w:t>
      </w:r>
      <w:r>
        <w:rPr>
          <w:rFonts w:hint="eastAsia" w:ascii="宋体" w:hAnsi="宋体" w:eastAsia="宋体" w:cs="宋体"/>
          <w:b/>
          <w:bCs/>
          <w:color w:val="auto"/>
          <w:position w:val="1"/>
          <w:sz w:val="20"/>
          <w:szCs w:val="20"/>
          <w:highlight w:val="none"/>
        </w:rPr>
        <w:t>上述</w:t>
      </w:r>
      <w:r>
        <w:rPr>
          <w:rFonts w:hint="eastAsia" w:ascii="宋体" w:hAnsi="宋体" w:eastAsia="宋体" w:cs="宋体"/>
          <w:b/>
          <w:bCs/>
          <w:color w:val="auto"/>
          <w:position w:val="1"/>
          <w:sz w:val="20"/>
          <w:szCs w:val="20"/>
          <w:highlight w:val="none"/>
          <w:lang w:eastAsia="zh-CN"/>
        </w:rPr>
        <w:t>报价</w:t>
      </w:r>
      <w:r>
        <w:rPr>
          <w:rFonts w:hint="eastAsia" w:ascii="宋体" w:hAnsi="宋体" w:eastAsia="宋体" w:cs="宋体"/>
          <w:b/>
          <w:bCs/>
          <w:color w:val="auto"/>
          <w:position w:val="1"/>
          <w:sz w:val="20"/>
          <w:szCs w:val="20"/>
          <w:highlight w:val="none"/>
        </w:rPr>
        <w:t>包含换表安装</w:t>
      </w:r>
      <w:r>
        <w:rPr>
          <w:rFonts w:hint="eastAsia" w:ascii="宋体" w:hAnsi="宋体" w:eastAsia="宋体" w:cs="宋体"/>
          <w:b/>
          <w:bCs/>
          <w:color w:val="auto"/>
          <w:position w:val="1"/>
          <w:sz w:val="20"/>
          <w:szCs w:val="20"/>
          <w:highlight w:val="none"/>
          <w:lang w:eastAsia="zh-CN"/>
        </w:rPr>
        <w:t>，</w:t>
      </w:r>
      <w:r>
        <w:rPr>
          <w:rFonts w:hint="eastAsia" w:ascii="宋体" w:hAnsi="宋体" w:eastAsia="宋体" w:cs="宋体"/>
          <w:b/>
          <w:bCs/>
          <w:color w:val="auto"/>
          <w:position w:val="1"/>
          <w:sz w:val="20"/>
          <w:szCs w:val="20"/>
          <w:highlight w:val="none"/>
        </w:rPr>
        <w:t>以及调表过程中路面、表井破损修</w:t>
      </w:r>
      <w:r>
        <w:rPr>
          <w:rFonts w:hint="eastAsia" w:ascii="宋体" w:hAnsi="宋体" w:eastAsia="宋体" w:cs="宋体"/>
          <w:b/>
          <w:bCs/>
          <w:color w:val="auto"/>
          <w:position w:val="1"/>
          <w:sz w:val="20"/>
          <w:szCs w:val="20"/>
          <w:highlight w:val="none"/>
          <w:lang w:eastAsia="zh-CN"/>
        </w:rPr>
        <w:t>补</w:t>
      </w:r>
      <w:r>
        <w:rPr>
          <w:rFonts w:hint="eastAsia" w:ascii="宋体" w:hAnsi="宋体" w:eastAsia="宋体" w:cs="宋体"/>
          <w:b/>
          <w:bCs/>
          <w:color w:val="auto"/>
          <w:position w:val="1"/>
          <w:sz w:val="20"/>
          <w:szCs w:val="20"/>
          <w:highlight w:val="none"/>
        </w:rPr>
        <w:t>等相关费用。</w:t>
      </w:r>
    </w:p>
    <w:p w14:paraId="781F5291">
      <w:pPr>
        <w:shd w:val="clear"/>
        <w:spacing w:before="310" w:line="221" w:lineRule="auto"/>
        <w:ind w:left="720"/>
        <w:jc w:val="both"/>
        <w:outlineLvl w:val="1"/>
        <w:rPr>
          <w:rFonts w:ascii="宋体" w:hAnsi="宋体" w:eastAsia="宋体" w:cs="宋体"/>
          <w:color w:val="auto"/>
          <w:sz w:val="28"/>
          <w:szCs w:val="28"/>
          <w:highlight w:val="none"/>
        </w:rPr>
      </w:pPr>
      <w:bookmarkStart w:id="234" w:name="_bookmark19"/>
      <w:bookmarkEnd w:id="234"/>
      <w:r>
        <w:rPr>
          <w:rFonts w:ascii="宋体" w:hAnsi="宋体" w:eastAsia="宋体" w:cs="宋体"/>
          <w:color w:val="auto"/>
          <w:sz w:val="28"/>
          <w:szCs w:val="28"/>
          <w:highlight w:val="none"/>
        </w:rPr>
        <w:t>格式五：资料一览表</w:t>
      </w:r>
    </w:p>
    <w:p w14:paraId="757B94BF">
      <w:pPr>
        <w:shd w:val="clear"/>
        <w:spacing w:line="337" w:lineRule="auto"/>
        <w:jc w:val="both"/>
        <w:rPr>
          <w:color w:val="auto"/>
          <w:highlight w:val="none"/>
        </w:rPr>
      </w:pPr>
    </w:p>
    <w:p w14:paraId="4CF7A1B0">
      <w:pPr>
        <w:shd w:val="clear"/>
        <w:spacing w:line="338" w:lineRule="auto"/>
        <w:jc w:val="both"/>
        <w:rPr>
          <w:color w:val="auto"/>
          <w:highlight w:val="none"/>
        </w:rPr>
      </w:pPr>
    </w:p>
    <w:p w14:paraId="52938397">
      <w:pPr>
        <w:shd w:val="clear"/>
        <w:spacing w:before="75" w:line="227" w:lineRule="auto"/>
        <w:ind w:left="2527"/>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投标人提供的实质性响应招标文件资料一览表</w:t>
      </w:r>
    </w:p>
    <w:p w14:paraId="796749A4">
      <w:pPr>
        <w:shd w:val="clear"/>
        <w:jc w:val="both"/>
        <w:rPr>
          <w:color w:val="auto"/>
          <w:highlight w:val="none"/>
        </w:rPr>
      </w:pPr>
    </w:p>
    <w:p w14:paraId="4F034124">
      <w:pPr>
        <w:shd w:val="clear"/>
        <w:spacing w:line="210" w:lineRule="exact"/>
        <w:jc w:val="both"/>
        <w:rPr>
          <w:color w:val="auto"/>
          <w:highlight w:val="none"/>
        </w:rPr>
      </w:pPr>
    </w:p>
    <w:tbl>
      <w:tblPr>
        <w:tblStyle w:val="31"/>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997"/>
        <w:gridCol w:w="3826"/>
        <w:gridCol w:w="2408"/>
        <w:gridCol w:w="2130"/>
      </w:tblGrid>
      <w:tr w14:paraId="1A0CC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2" w:hRule="atLeast"/>
        </w:trPr>
        <w:tc>
          <w:tcPr>
            <w:tcW w:w="997" w:type="dxa"/>
          </w:tcPr>
          <w:p w14:paraId="6626BFFA">
            <w:pPr>
              <w:shd w:val="clear"/>
              <w:spacing w:before="272" w:line="230" w:lineRule="auto"/>
              <w:ind w:left="264"/>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序号</w:t>
            </w:r>
          </w:p>
        </w:tc>
        <w:tc>
          <w:tcPr>
            <w:tcW w:w="3826" w:type="dxa"/>
          </w:tcPr>
          <w:p w14:paraId="3AE709C5">
            <w:pPr>
              <w:shd w:val="clear"/>
              <w:spacing w:before="272" w:line="229" w:lineRule="auto"/>
              <w:ind w:left="1448"/>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资料名称</w:t>
            </w:r>
          </w:p>
        </w:tc>
        <w:tc>
          <w:tcPr>
            <w:tcW w:w="2408" w:type="dxa"/>
          </w:tcPr>
          <w:p w14:paraId="1D5F7B47">
            <w:pPr>
              <w:shd w:val="clear"/>
              <w:spacing w:before="272" w:line="228" w:lineRule="auto"/>
              <w:ind w:left="911"/>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共页</w:t>
            </w:r>
          </w:p>
        </w:tc>
        <w:tc>
          <w:tcPr>
            <w:tcW w:w="2130" w:type="dxa"/>
          </w:tcPr>
          <w:p w14:paraId="6DE3370E">
            <w:pPr>
              <w:shd w:val="clear"/>
              <w:spacing w:before="272" w:line="230" w:lineRule="auto"/>
              <w:ind w:left="715"/>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备注</w:t>
            </w:r>
          </w:p>
        </w:tc>
      </w:tr>
      <w:tr w14:paraId="1F691A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7" w:hRule="atLeast"/>
        </w:trPr>
        <w:tc>
          <w:tcPr>
            <w:tcW w:w="997" w:type="dxa"/>
          </w:tcPr>
          <w:p w14:paraId="03315F08">
            <w:pPr>
              <w:shd w:val="clear"/>
              <w:jc w:val="both"/>
              <w:rPr>
                <w:color w:val="auto"/>
                <w:highlight w:val="none"/>
              </w:rPr>
            </w:pPr>
          </w:p>
        </w:tc>
        <w:tc>
          <w:tcPr>
            <w:tcW w:w="3826" w:type="dxa"/>
          </w:tcPr>
          <w:p w14:paraId="2BF050FA">
            <w:pPr>
              <w:shd w:val="clear"/>
              <w:jc w:val="both"/>
              <w:rPr>
                <w:color w:val="auto"/>
                <w:highlight w:val="none"/>
              </w:rPr>
            </w:pPr>
          </w:p>
        </w:tc>
        <w:tc>
          <w:tcPr>
            <w:tcW w:w="2408" w:type="dxa"/>
          </w:tcPr>
          <w:p w14:paraId="5863C43E">
            <w:pPr>
              <w:shd w:val="clear"/>
              <w:jc w:val="both"/>
              <w:rPr>
                <w:color w:val="auto"/>
                <w:highlight w:val="none"/>
              </w:rPr>
            </w:pPr>
          </w:p>
        </w:tc>
        <w:tc>
          <w:tcPr>
            <w:tcW w:w="2130" w:type="dxa"/>
          </w:tcPr>
          <w:p w14:paraId="09197EDE">
            <w:pPr>
              <w:shd w:val="clear"/>
              <w:jc w:val="both"/>
              <w:rPr>
                <w:color w:val="auto"/>
                <w:highlight w:val="none"/>
              </w:rPr>
            </w:pPr>
          </w:p>
        </w:tc>
      </w:tr>
      <w:tr w14:paraId="35F5E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8" w:hRule="atLeast"/>
        </w:trPr>
        <w:tc>
          <w:tcPr>
            <w:tcW w:w="997" w:type="dxa"/>
          </w:tcPr>
          <w:p w14:paraId="5F7AB0B3">
            <w:pPr>
              <w:shd w:val="clear"/>
              <w:jc w:val="both"/>
              <w:rPr>
                <w:color w:val="auto"/>
                <w:highlight w:val="none"/>
              </w:rPr>
            </w:pPr>
          </w:p>
        </w:tc>
        <w:tc>
          <w:tcPr>
            <w:tcW w:w="3826" w:type="dxa"/>
          </w:tcPr>
          <w:p w14:paraId="315F3C17">
            <w:pPr>
              <w:shd w:val="clear"/>
              <w:jc w:val="both"/>
              <w:rPr>
                <w:color w:val="auto"/>
                <w:highlight w:val="none"/>
              </w:rPr>
            </w:pPr>
          </w:p>
        </w:tc>
        <w:tc>
          <w:tcPr>
            <w:tcW w:w="2408" w:type="dxa"/>
          </w:tcPr>
          <w:p w14:paraId="3E5518DB">
            <w:pPr>
              <w:shd w:val="clear"/>
              <w:jc w:val="both"/>
              <w:rPr>
                <w:color w:val="auto"/>
                <w:highlight w:val="none"/>
              </w:rPr>
            </w:pPr>
          </w:p>
        </w:tc>
        <w:tc>
          <w:tcPr>
            <w:tcW w:w="2130" w:type="dxa"/>
          </w:tcPr>
          <w:p w14:paraId="05C90222">
            <w:pPr>
              <w:shd w:val="clear"/>
              <w:jc w:val="both"/>
              <w:rPr>
                <w:color w:val="auto"/>
                <w:highlight w:val="none"/>
              </w:rPr>
            </w:pPr>
          </w:p>
        </w:tc>
      </w:tr>
      <w:tr w14:paraId="626CDF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8" w:hRule="atLeast"/>
        </w:trPr>
        <w:tc>
          <w:tcPr>
            <w:tcW w:w="997" w:type="dxa"/>
          </w:tcPr>
          <w:p w14:paraId="08F93586">
            <w:pPr>
              <w:shd w:val="clear"/>
              <w:jc w:val="both"/>
              <w:rPr>
                <w:color w:val="auto"/>
                <w:highlight w:val="none"/>
              </w:rPr>
            </w:pPr>
          </w:p>
        </w:tc>
        <w:tc>
          <w:tcPr>
            <w:tcW w:w="3826" w:type="dxa"/>
          </w:tcPr>
          <w:p w14:paraId="6E3E6EA0">
            <w:pPr>
              <w:shd w:val="clear"/>
              <w:jc w:val="both"/>
              <w:rPr>
                <w:color w:val="auto"/>
                <w:highlight w:val="none"/>
              </w:rPr>
            </w:pPr>
          </w:p>
        </w:tc>
        <w:tc>
          <w:tcPr>
            <w:tcW w:w="2408" w:type="dxa"/>
          </w:tcPr>
          <w:p w14:paraId="09EE3F9E">
            <w:pPr>
              <w:shd w:val="clear"/>
              <w:jc w:val="both"/>
              <w:rPr>
                <w:color w:val="auto"/>
                <w:highlight w:val="none"/>
              </w:rPr>
            </w:pPr>
          </w:p>
        </w:tc>
        <w:tc>
          <w:tcPr>
            <w:tcW w:w="2130" w:type="dxa"/>
          </w:tcPr>
          <w:p w14:paraId="02DDBC6E">
            <w:pPr>
              <w:shd w:val="clear"/>
              <w:jc w:val="both"/>
              <w:rPr>
                <w:color w:val="auto"/>
                <w:highlight w:val="none"/>
              </w:rPr>
            </w:pPr>
          </w:p>
        </w:tc>
      </w:tr>
      <w:tr w14:paraId="331A7D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7" w:hRule="atLeast"/>
        </w:trPr>
        <w:tc>
          <w:tcPr>
            <w:tcW w:w="997" w:type="dxa"/>
          </w:tcPr>
          <w:p w14:paraId="3793116D">
            <w:pPr>
              <w:shd w:val="clear"/>
              <w:jc w:val="both"/>
              <w:rPr>
                <w:color w:val="auto"/>
                <w:highlight w:val="none"/>
              </w:rPr>
            </w:pPr>
          </w:p>
        </w:tc>
        <w:tc>
          <w:tcPr>
            <w:tcW w:w="3826" w:type="dxa"/>
          </w:tcPr>
          <w:p w14:paraId="625FB167">
            <w:pPr>
              <w:shd w:val="clear"/>
              <w:jc w:val="both"/>
              <w:rPr>
                <w:color w:val="auto"/>
                <w:highlight w:val="none"/>
              </w:rPr>
            </w:pPr>
          </w:p>
        </w:tc>
        <w:tc>
          <w:tcPr>
            <w:tcW w:w="2408" w:type="dxa"/>
          </w:tcPr>
          <w:p w14:paraId="1ED60F0A">
            <w:pPr>
              <w:shd w:val="clear"/>
              <w:jc w:val="both"/>
              <w:rPr>
                <w:color w:val="auto"/>
                <w:highlight w:val="none"/>
              </w:rPr>
            </w:pPr>
          </w:p>
        </w:tc>
        <w:tc>
          <w:tcPr>
            <w:tcW w:w="2130" w:type="dxa"/>
          </w:tcPr>
          <w:p w14:paraId="7A3A0474">
            <w:pPr>
              <w:shd w:val="clear"/>
              <w:jc w:val="both"/>
              <w:rPr>
                <w:color w:val="auto"/>
                <w:highlight w:val="none"/>
              </w:rPr>
            </w:pPr>
          </w:p>
        </w:tc>
      </w:tr>
      <w:tr w14:paraId="51746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7" w:hRule="atLeast"/>
        </w:trPr>
        <w:tc>
          <w:tcPr>
            <w:tcW w:w="997" w:type="dxa"/>
          </w:tcPr>
          <w:p w14:paraId="78ECD3BB">
            <w:pPr>
              <w:shd w:val="clear"/>
              <w:jc w:val="both"/>
              <w:rPr>
                <w:color w:val="auto"/>
                <w:highlight w:val="none"/>
              </w:rPr>
            </w:pPr>
          </w:p>
        </w:tc>
        <w:tc>
          <w:tcPr>
            <w:tcW w:w="3826" w:type="dxa"/>
          </w:tcPr>
          <w:p w14:paraId="47627D63">
            <w:pPr>
              <w:shd w:val="clear"/>
              <w:jc w:val="both"/>
              <w:rPr>
                <w:color w:val="auto"/>
                <w:highlight w:val="none"/>
              </w:rPr>
            </w:pPr>
          </w:p>
        </w:tc>
        <w:tc>
          <w:tcPr>
            <w:tcW w:w="2408" w:type="dxa"/>
          </w:tcPr>
          <w:p w14:paraId="288F28CC">
            <w:pPr>
              <w:shd w:val="clear"/>
              <w:jc w:val="both"/>
              <w:rPr>
                <w:color w:val="auto"/>
                <w:highlight w:val="none"/>
              </w:rPr>
            </w:pPr>
          </w:p>
        </w:tc>
        <w:tc>
          <w:tcPr>
            <w:tcW w:w="2130" w:type="dxa"/>
          </w:tcPr>
          <w:p w14:paraId="60350490">
            <w:pPr>
              <w:shd w:val="clear"/>
              <w:jc w:val="both"/>
              <w:rPr>
                <w:color w:val="auto"/>
                <w:highlight w:val="none"/>
              </w:rPr>
            </w:pPr>
          </w:p>
        </w:tc>
      </w:tr>
      <w:tr w14:paraId="489B8D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8" w:hRule="atLeast"/>
        </w:trPr>
        <w:tc>
          <w:tcPr>
            <w:tcW w:w="997" w:type="dxa"/>
          </w:tcPr>
          <w:p w14:paraId="48993BD2">
            <w:pPr>
              <w:shd w:val="clear"/>
              <w:jc w:val="both"/>
              <w:rPr>
                <w:color w:val="auto"/>
                <w:highlight w:val="none"/>
              </w:rPr>
            </w:pPr>
          </w:p>
        </w:tc>
        <w:tc>
          <w:tcPr>
            <w:tcW w:w="3826" w:type="dxa"/>
          </w:tcPr>
          <w:p w14:paraId="77744636">
            <w:pPr>
              <w:shd w:val="clear"/>
              <w:jc w:val="both"/>
              <w:rPr>
                <w:color w:val="auto"/>
                <w:highlight w:val="none"/>
              </w:rPr>
            </w:pPr>
          </w:p>
        </w:tc>
        <w:tc>
          <w:tcPr>
            <w:tcW w:w="2408" w:type="dxa"/>
          </w:tcPr>
          <w:p w14:paraId="3668C8E4">
            <w:pPr>
              <w:shd w:val="clear"/>
              <w:jc w:val="both"/>
              <w:rPr>
                <w:color w:val="auto"/>
                <w:highlight w:val="none"/>
              </w:rPr>
            </w:pPr>
          </w:p>
        </w:tc>
        <w:tc>
          <w:tcPr>
            <w:tcW w:w="2130" w:type="dxa"/>
          </w:tcPr>
          <w:p w14:paraId="701D6CD9">
            <w:pPr>
              <w:shd w:val="clear"/>
              <w:jc w:val="both"/>
              <w:rPr>
                <w:color w:val="auto"/>
                <w:highlight w:val="none"/>
              </w:rPr>
            </w:pPr>
          </w:p>
        </w:tc>
      </w:tr>
      <w:tr w14:paraId="752826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8" w:hRule="atLeast"/>
        </w:trPr>
        <w:tc>
          <w:tcPr>
            <w:tcW w:w="997" w:type="dxa"/>
          </w:tcPr>
          <w:p w14:paraId="5020F354">
            <w:pPr>
              <w:shd w:val="clear"/>
              <w:jc w:val="both"/>
              <w:rPr>
                <w:color w:val="auto"/>
                <w:highlight w:val="none"/>
              </w:rPr>
            </w:pPr>
          </w:p>
        </w:tc>
        <w:tc>
          <w:tcPr>
            <w:tcW w:w="3826" w:type="dxa"/>
          </w:tcPr>
          <w:p w14:paraId="6DF5CF3D">
            <w:pPr>
              <w:shd w:val="clear"/>
              <w:jc w:val="both"/>
              <w:rPr>
                <w:color w:val="auto"/>
                <w:highlight w:val="none"/>
              </w:rPr>
            </w:pPr>
          </w:p>
        </w:tc>
        <w:tc>
          <w:tcPr>
            <w:tcW w:w="2408" w:type="dxa"/>
          </w:tcPr>
          <w:p w14:paraId="05369FF3">
            <w:pPr>
              <w:shd w:val="clear"/>
              <w:jc w:val="both"/>
              <w:rPr>
                <w:color w:val="auto"/>
                <w:highlight w:val="none"/>
              </w:rPr>
            </w:pPr>
          </w:p>
        </w:tc>
        <w:tc>
          <w:tcPr>
            <w:tcW w:w="2130" w:type="dxa"/>
          </w:tcPr>
          <w:p w14:paraId="4A703B62">
            <w:pPr>
              <w:shd w:val="clear"/>
              <w:jc w:val="both"/>
              <w:rPr>
                <w:color w:val="auto"/>
                <w:highlight w:val="none"/>
              </w:rPr>
            </w:pPr>
          </w:p>
        </w:tc>
      </w:tr>
      <w:tr w14:paraId="26F523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7" w:hRule="atLeast"/>
        </w:trPr>
        <w:tc>
          <w:tcPr>
            <w:tcW w:w="997" w:type="dxa"/>
          </w:tcPr>
          <w:p w14:paraId="5AC937FA">
            <w:pPr>
              <w:shd w:val="clear"/>
              <w:jc w:val="both"/>
              <w:rPr>
                <w:color w:val="auto"/>
                <w:highlight w:val="none"/>
              </w:rPr>
            </w:pPr>
          </w:p>
        </w:tc>
        <w:tc>
          <w:tcPr>
            <w:tcW w:w="3826" w:type="dxa"/>
          </w:tcPr>
          <w:p w14:paraId="457210F0">
            <w:pPr>
              <w:shd w:val="clear"/>
              <w:jc w:val="both"/>
              <w:rPr>
                <w:color w:val="auto"/>
                <w:highlight w:val="none"/>
              </w:rPr>
            </w:pPr>
          </w:p>
        </w:tc>
        <w:tc>
          <w:tcPr>
            <w:tcW w:w="2408" w:type="dxa"/>
          </w:tcPr>
          <w:p w14:paraId="0AA5051C">
            <w:pPr>
              <w:shd w:val="clear"/>
              <w:jc w:val="both"/>
              <w:rPr>
                <w:color w:val="auto"/>
                <w:highlight w:val="none"/>
              </w:rPr>
            </w:pPr>
          </w:p>
        </w:tc>
        <w:tc>
          <w:tcPr>
            <w:tcW w:w="2130" w:type="dxa"/>
          </w:tcPr>
          <w:p w14:paraId="4E2F0341">
            <w:pPr>
              <w:shd w:val="clear"/>
              <w:jc w:val="both"/>
              <w:rPr>
                <w:color w:val="auto"/>
                <w:highlight w:val="none"/>
              </w:rPr>
            </w:pPr>
          </w:p>
        </w:tc>
      </w:tr>
      <w:tr w14:paraId="104CAD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8" w:hRule="atLeast"/>
        </w:trPr>
        <w:tc>
          <w:tcPr>
            <w:tcW w:w="997" w:type="dxa"/>
          </w:tcPr>
          <w:p w14:paraId="5D2774A0">
            <w:pPr>
              <w:shd w:val="clear"/>
              <w:jc w:val="both"/>
              <w:rPr>
                <w:color w:val="auto"/>
                <w:highlight w:val="none"/>
              </w:rPr>
            </w:pPr>
          </w:p>
        </w:tc>
        <w:tc>
          <w:tcPr>
            <w:tcW w:w="3826" w:type="dxa"/>
          </w:tcPr>
          <w:p w14:paraId="1C821D5D">
            <w:pPr>
              <w:shd w:val="clear"/>
              <w:jc w:val="both"/>
              <w:rPr>
                <w:color w:val="auto"/>
                <w:highlight w:val="none"/>
              </w:rPr>
            </w:pPr>
          </w:p>
        </w:tc>
        <w:tc>
          <w:tcPr>
            <w:tcW w:w="2408" w:type="dxa"/>
          </w:tcPr>
          <w:p w14:paraId="4B86505C">
            <w:pPr>
              <w:shd w:val="clear"/>
              <w:jc w:val="both"/>
              <w:rPr>
                <w:color w:val="auto"/>
                <w:highlight w:val="none"/>
              </w:rPr>
            </w:pPr>
          </w:p>
        </w:tc>
        <w:tc>
          <w:tcPr>
            <w:tcW w:w="2130" w:type="dxa"/>
          </w:tcPr>
          <w:p w14:paraId="51E99C3C">
            <w:pPr>
              <w:shd w:val="clear"/>
              <w:jc w:val="both"/>
              <w:rPr>
                <w:color w:val="auto"/>
                <w:highlight w:val="none"/>
              </w:rPr>
            </w:pPr>
          </w:p>
        </w:tc>
      </w:tr>
      <w:tr w14:paraId="0FE7FB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8" w:hRule="atLeast"/>
        </w:trPr>
        <w:tc>
          <w:tcPr>
            <w:tcW w:w="997" w:type="dxa"/>
          </w:tcPr>
          <w:p w14:paraId="7F6AA143">
            <w:pPr>
              <w:shd w:val="clear"/>
              <w:jc w:val="both"/>
              <w:rPr>
                <w:color w:val="auto"/>
                <w:highlight w:val="none"/>
              </w:rPr>
            </w:pPr>
          </w:p>
        </w:tc>
        <w:tc>
          <w:tcPr>
            <w:tcW w:w="3826" w:type="dxa"/>
          </w:tcPr>
          <w:p w14:paraId="447C5918">
            <w:pPr>
              <w:shd w:val="clear"/>
              <w:jc w:val="both"/>
              <w:rPr>
                <w:color w:val="auto"/>
                <w:highlight w:val="none"/>
              </w:rPr>
            </w:pPr>
          </w:p>
        </w:tc>
        <w:tc>
          <w:tcPr>
            <w:tcW w:w="2408" w:type="dxa"/>
          </w:tcPr>
          <w:p w14:paraId="1D433B46">
            <w:pPr>
              <w:shd w:val="clear"/>
              <w:jc w:val="both"/>
              <w:rPr>
                <w:color w:val="auto"/>
                <w:highlight w:val="none"/>
              </w:rPr>
            </w:pPr>
          </w:p>
        </w:tc>
        <w:tc>
          <w:tcPr>
            <w:tcW w:w="2130" w:type="dxa"/>
          </w:tcPr>
          <w:p w14:paraId="75D7E322">
            <w:pPr>
              <w:shd w:val="clear"/>
              <w:jc w:val="both"/>
              <w:rPr>
                <w:color w:val="auto"/>
                <w:highlight w:val="none"/>
              </w:rPr>
            </w:pPr>
          </w:p>
        </w:tc>
      </w:tr>
      <w:tr w14:paraId="42FEA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92" w:hRule="atLeast"/>
        </w:trPr>
        <w:tc>
          <w:tcPr>
            <w:tcW w:w="997" w:type="dxa"/>
          </w:tcPr>
          <w:p w14:paraId="4BE19FE3">
            <w:pPr>
              <w:shd w:val="clear"/>
              <w:jc w:val="both"/>
              <w:rPr>
                <w:color w:val="auto"/>
                <w:highlight w:val="none"/>
              </w:rPr>
            </w:pPr>
          </w:p>
        </w:tc>
        <w:tc>
          <w:tcPr>
            <w:tcW w:w="3826" w:type="dxa"/>
          </w:tcPr>
          <w:p w14:paraId="52ED6176">
            <w:pPr>
              <w:shd w:val="clear"/>
              <w:jc w:val="both"/>
              <w:rPr>
                <w:color w:val="auto"/>
                <w:highlight w:val="none"/>
              </w:rPr>
            </w:pPr>
          </w:p>
        </w:tc>
        <w:tc>
          <w:tcPr>
            <w:tcW w:w="2408" w:type="dxa"/>
          </w:tcPr>
          <w:p w14:paraId="283F67A3">
            <w:pPr>
              <w:shd w:val="clear"/>
              <w:jc w:val="both"/>
              <w:rPr>
                <w:color w:val="auto"/>
                <w:highlight w:val="none"/>
              </w:rPr>
            </w:pPr>
          </w:p>
        </w:tc>
        <w:tc>
          <w:tcPr>
            <w:tcW w:w="2130" w:type="dxa"/>
          </w:tcPr>
          <w:p w14:paraId="0AECACA1">
            <w:pPr>
              <w:shd w:val="clear"/>
              <w:jc w:val="both"/>
              <w:rPr>
                <w:color w:val="auto"/>
                <w:highlight w:val="none"/>
              </w:rPr>
            </w:pPr>
          </w:p>
        </w:tc>
      </w:tr>
    </w:tbl>
    <w:p w14:paraId="79A01BBB">
      <w:pPr>
        <w:shd w:val="clear"/>
        <w:spacing w:before="145" w:line="228" w:lineRule="auto"/>
        <w:ind w:left="800"/>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注：本表请按投标人须知前附表</w:t>
      </w:r>
      <w:r>
        <w:rPr>
          <w:rFonts w:ascii="Calibri" w:hAnsi="Calibri" w:eastAsia="Calibri" w:cs="Calibri"/>
          <w:color w:val="auto"/>
          <w:sz w:val="23"/>
          <w:szCs w:val="23"/>
          <w:highlight w:val="none"/>
        </w:rPr>
        <w:t>3.5.7“</w:t>
      </w:r>
      <w:r>
        <w:rPr>
          <w:rFonts w:ascii="宋体" w:hAnsi="宋体" w:eastAsia="宋体" w:cs="宋体"/>
          <w:color w:val="auto"/>
          <w:sz w:val="23"/>
          <w:szCs w:val="23"/>
          <w:highlight w:val="none"/>
        </w:rPr>
        <w:t>一、实质性响应招标文件资料</w:t>
      </w:r>
      <w:r>
        <w:rPr>
          <w:rFonts w:ascii="Calibri" w:hAnsi="Calibri" w:eastAsia="Calibri" w:cs="Calibri"/>
          <w:color w:val="auto"/>
          <w:sz w:val="23"/>
          <w:szCs w:val="23"/>
          <w:highlight w:val="none"/>
        </w:rPr>
        <w:t>”</w:t>
      </w:r>
      <w:r>
        <w:rPr>
          <w:rFonts w:ascii="宋体" w:hAnsi="宋体" w:eastAsia="宋体" w:cs="宋体"/>
          <w:color w:val="auto"/>
          <w:sz w:val="23"/>
          <w:szCs w:val="23"/>
          <w:highlight w:val="none"/>
        </w:rPr>
        <w:t>内容填写。</w:t>
      </w:r>
    </w:p>
    <w:p w14:paraId="67B17A27">
      <w:pPr>
        <w:shd w:val="clear"/>
        <w:spacing w:line="281" w:lineRule="auto"/>
        <w:jc w:val="both"/>
        <w:rPr>
          <w:color w:val="auto"/>
          <w:highlight w:val="none"/>
        </w:rPr>
      </w:pPr>
    </w:p>
    <w:p w14:paraId="3107B79C">
      <w:pPr>
        <w:shd w:val="clear"/>
        <w:spacing w:line="282" w:lineRule="auto"/>
        <w:jc w:val="both"/>
        <w:rPr>
          <w:color w:val="auto"/>
          <w:highlight w:val="none"/>
        </w:rPr>
      </w:pPr>
    </w:p>
    <w:p w14:paraId="5B0BA504">
      <w:pPr>
        <w:shd w:val="clear"/>
        <w:spacing w:line="282" w:lineRule="auto"/>
        <w:jc w:val="both"/>
        <w:rPr>
          <w:color w:val="auto"/>
          <w:highlight w:val="none"/>
        </w:rPr>
      </w:pPr>
    </w:p>
    <w:p w14:paraId="1F776D1C">
      <w:pPr>
        <w:shd w:val="clear"/>
        <w:tabs>
          <w:tab w:val="left" w:pos="7132"/>
        </w:tabs>
        <w:spacing w:before="75" w:line="384" w:lineRule="auto"/>
        <w:ind w:left="6162" w:right="203" w:hanging="1187"/>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盖章</w:t>
      </w:r>
      <w:r>
        <w:rPr>
          <w:rFonts w:hint="eastAsia" w:ascii="宋体" w:hAnsi="宋体" w:eastAsia="宋体" w:cs="宋体"/>
          <w:color w:val="auto"/>
          <w:sz w:val="23"/>
          <w:szCs w:val="23"/>
          <w:highlight w:val="none"/>
          <w:lang w:eastAsia="zh-CN"/>
        </w:rPr>
        <w:t>）</w:t>
      </w:r>
    </w:p>
    <w:p w14:paraId="22B14F4C">
      <w:pPr>
        <w:shd w:val="clear"/>
        <w:tabs>
          <w:tab w:val="left" w:pos="7132"/>
        </w:tabs>
        <w:spacing w:before="75" w:line="384" w:lineRule="auto"/>
        <w:ind w:left="6162" w:right="203" w:hanging="1187"/>
        <w:jc w:val="both"/>
        <w:rPr>
          <w:rFonts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10449248">
      <w:pPr>
        <w:shd w:val="clear"/>
        <w:spacing w:line="328" w:lineRule="auto"/>
        <w:jc w:val="both"/>
        <w:rPr>
          <w:color w:val="auto"/>
          <w:highlight w:val="none"/>
        </w:rPr>
      </w:pPr>
    </w:p>
    <w:p w14:paraId="686E80B7">
      <w:pPr>
        <w:shd w:val="clear"/>
        <w:spacing w:line="328" w:lineRule="auto"/>
        <w:jc w:val="both"/>
        <w:rPr>
          <w:color w:val="auto"/>
          <w:highlight w:val="none"/>
        </w:rPr>
      </w:pPr>
    </w:p>
    <w:p w14:paraId="341F3F70">
      <w:pPr>
        <w:shd w:val="clear"/>
        <w:spacing w:before="0" w:line="240" w:lineRule="auto"/>
        <w:ind w:left="0"/>
        <w:jc w:val="left"/>
        <w:outlineLvl w:val="9"/>
        <w:rPr>
          <w:rFonts w:ascii="宋体" w:hAnsi="宋体" w:eastAsia="宋体" w:cs="宋体"/>
          <w:color w:val="auto"/>
          <w:sz w:val="28"/>
          <w:szCs w:val="28"/>
          <w:highlight w:val="none"/>
        </w:rPr>
      </w:pPr>
      <w:bookmarkStart w:id="235" w:name="_bookmark20"/>
      <w:bookmarkEnd w:id="235"/>
      <w:r>
        <w:rPr>
          <w:rFonts w:ascii="宋体" w:hAnsi="宋体" w:eastAsia="宋体" w:cs="宋体"/>
          <w:color w:val="auto"/>
          <w:sz w:val="28"/>
          <w:szCs w:val="28"/>
          <w:highlight w:val="none"/>
        </w:rPr>
        <w:br w:type="page"/>
      </w:r>
    </w:p>
    <w:p w14:paraId="7891F274">
      <w:pPr>
        <w:shd w:val="clear"/>
        <w:spacing w:before="91" w:line="221" w:lineRule="auto"/>
        <w:ind w:left="578"/>
        <w:jc w:val="both"/>
        <w:outlineLvl w:val="1"/>
        <w:rPr>
          <w:rFonts w:ascii="宋体" w:hAnsi="宋体" w:eastAsia="宋体" w:cs="宋体"/>
          <w:color w:val="auto"/>
          <w:sz w:val="28"/>
          <w:szCs w:val="28"/>
          <w:highlight w:val="none"/>
        </w:rPr>
      </w:pPr>
      <w:r>
        <w:rPr>
          <w:rFonts w:ascii="宋体" w:hAnsi="宋体" w:eastAsia="宋体" w:cs="宋体"/>
          <w:color w:val="auto"/>
          <w:sz w:val="28"/>
          <w:szCs w:val="28"/>
          <w:highlight w:val="none"/>
        </w:rPr>
        <w:t>格式六：打分资料一览表</w:t>
      </w:r>
    </w:p>
    <w:p w14:paraId="54FC3303">
      <w:pPr>
        <w:shd w:val="clear"/>
        <w:spacing w:before="312" w:line="227" w:lineRule="auto"/>
        <w:ind w:left="2985"/>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投标人提供的评审打分资料一览表</w:t>
      </w:r>
    </w:p>
    <w:p w14:paraId="7BC16D9D">
      <w:pPr>
        <w:shd w:val="clear"/>
        <w:jc w:val="both"/>
        <w:rPr>
          <w:color w:val="auto"/>
          <w:highlight w:val="none"/>
        </w:rPr>
      </w:pPr>
    </w:p>
    <w:p w14:paraId="58ABC214">
      <w:pPr>
        <w:shd w:val="clear"/>
        <w:spacing w:line="210" w:lineRule="exact"/>
        <w:jc w:val="both"/>
        <w:rPr>
          <w:color w:val="auto"/>
          <w:highlight w:val="none"/>
        </w:rPr>
      </w:pPr>
    </w:p>
    <w:tbl>
      <w:tblPr>
        <w:tblStyle w:val="31"/>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139"/>
        <w:gridCol w:w="4675"/>
        <w:gridCol w:w="1700"/>
        <w:gridCol w:w="1705"/>
      </w:tblGrid>
      <w:tr w14:paraId="3FCEC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14" w:hRule="atLeast"/>
        </w:trPr>
        <w:tc>
          <w:tcPr>
            <w:tcW w:w="1139" w:type="dxa"/>
          </w:tcPr>
          <w:p w14:paraId="0D5D0221">
            <w:pPr>
              <w:shd w:val="clear"/>
              <w:spacing w:before="231" w:line="230" w:lineRule="auto"/>
              <w:ind w:left="336"/>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序号</w:t>
            </w:r>
          </w:p>
        </w:tc>
        <w:tc>
          <w:tcPr>
            <w:tcW w:w="4675" w:type="dxa"/>
          </w:tcPr>
          <w:p w14:paraId="1DAFEE9B">
            <w:pPr>
              <w:shd w:val="clear"/>
              <w:spacing w:before="231" w:line="229" w:lineRule="auto"/>
              <w:ind w:left="1874"/>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资料名称</w:t>
            </w:r>
          </w:p>
        </w:tc>
        <w:tc>
          <w:tcPr>
            <w:tcW w:w="1700" w:type="dxa"/>
          </w:tcPr>
          <w:p w14:paraId="3BFEE50D">
            <w:pPr>
              <w:shd w:val="clear"/>
              <w:spacing w:before="231" w:line="228" w:lineRule="auto"/>
              <w:ind w:left="558"/>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共页</w:t>
            </w:r>
          </w:p>
        </w:tc>
        <w:tc>
          <w:tcPr>
            <w:tcW w:w="1705" w:type="dxa"/>
          </w:tcPr>
          <w:p w14:paraId="75EEA66C">
            <w:pPr>
              <w:shd w:val="clear"/>
              <w:spacing w:before="231" w:line="230" w:lineRule="auto"/>
              <w:ind w:left="501"/>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备注</w:t>
            </w:r>
          </w:p>
        </w:tc>
      </w:tr>
      <w:tr w14:paraId="0C1E90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9" w:hRule="atLeast"/>
        </w:trPr>
        <w:tc>
          <w:tcPr>
            <w:tcW w:w="1139" w:type="dxa"/>
          </w:tcPr>
          <w:p w14:paraId="64174083">
            <w:pPr>
              <w:shd w:val="clear"/>
              <w:jc w:val="both"/>
              <w:rPr>
                <w:color w:val="auto"/>
                <w:highlight w:val="none"/>
              </w:rPr>
            </w:pPr>
          </w:p>
        </w:tc>
        <w:tc>
          <w:tcPr>
            <w:tcW w:w="4675" w:type="dxa"/>
          </w:tcPr>
          <w:p w14:paraId="51B66B3A">
            <w:pPr>
              <w:shd w:val="clear"/>
              <w:jc w:val="both"/>
              <w:rPr>
                <w:color w:val="auto"/>
                <w:highlight w:val="none"/>
              </w:rPr>
            </w:pPr>
          </w:p>
        </w:tc>
        <w:tc>
          <w:tcPr>
            <w:tcW w:w="1700" w:type="dxa"/>
          </w:tcPr>
          <w:p w14:paraId="0AF1C3CF">
            <w:pPr>
              <w:shd w:val="clear"/>
              <w:jc w:val="both"/>
              <w:rPr>
                <w:color w:val="auto"/>
                <w:highlight w:val="none"/>
              </w:rPr>
            </w:pPr>
          </w:p>
        </w:tc>
        <w:tc>
          <w:tcPr>
            <w:tcW w:w="1705" w:type="dxa"/>
          </w:tcPr>
          <w:p w14:paraId="6B0CD9DA">
            <w:pPr>
              <w:shd w:val="clear"/>
              <w:jc w:val="both"/>
              <w:rPr>
                <w:color w:val="auto"/>
                <w:highlight w:val="none"/>
              </w:rPr>
            </w:pPr>
          </w:p>
        </w:tc>
      </w:tr>
      <w:tr w14:paraId="1F1C89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9" w:hRule="atLeast"/>
        </w:trPr>
        <w:tc>
          <w:tcPr>
            <w:tcW w:w="1139" w:type="dxa"/>
          </w:tcPr>
          <w:p w14:paraId="0928AEA0">
            <w:pPr>
              <w:shd w:val="clear"/>
              <w:jc w:val="both"/>
              <w:rPr>
                <w:color w:val="auto"/>
                <w:highlight w:val="none"/>
              </w:rPr>
            </w:pPr>
          </w:p>
        </w:tc>
        <w:tc>
          <w:tcPr>
            <w:tcW w:w="4675" w:type="dxa"/>
          </w:tcPr>
          <w:p w14:paraId="54BF898D">
            <w:pPr>
              <w:shd w:val="clear"/>
              <w:jc w:val="both"/>
              <w:rPr>
                <w:color w:val="auto"/>
                <w:highlight w:val="none"/>
              </w:rPr>
            </w:pPr>
          </w:p>
        </w:tc>
        <w:tc>
          <w:tcPr>
            <w:tcW w:w="1700" w:type="dxa"/>
          </w:tcPr>
          <w:p w14:paraId="24C9153B">
            <w:pPr>
              <w:shd w:val="clear"/>
              <w:jc w:val="both"/>
              <w:rPr>
                <w:color w:val="auto"/>
                <w:highlight w:val="none"/>
              </w:rPr>
            </w:pPr>
          </w:p>
        </w:tc>
        <w:tc>
          <w:tcPr>
            <w:tcW w:w="1705" w:type="dxa"/>
          </w:tcPr>
          <w:p w14:paraId="52D6B518">
            <w:pPr>
              <w:shd w:val="clear"/>
              <w:jc w:val="both"/>
              <w:rPr>
                <w:color w:val="auto"/>
                <w:highlight w:val="none"/>
              </w:rPr>
            </w:pPr>
          </w:p>
        </w:tc>
      </w:tr>
      <w:tr w14:paraId="43463F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9" w:hRule="atLeast"/>
        </w:trPr>
        <w:tc>
          <w:tcPr>
            <w:tcW w:w="1139" w:type="dxa"/>
          </w:tcPr>
          <w:p w14:paraId="22CA0D5C">
            <w:pPr>
              <w:shd w:val="clear"/>
              <w:jc w:val="both"/>
              <w:rPr>
                <w:color w:val="auto"/>
                <w:highlight w:val="none"/>
              </w:rPr>
            </w:pPr>
          </w:p>
        </w:tc>
        <w:tc>
          <w:tcPr>
            <w:tcW w:w="4675" w:type="dxa"/>
          </w:tcPr>
          <w:p w14:paraId="672A03F5">
            <w:pPr>
              <w:shd w:val="clear"/>
              <w:jc w:val="both"/>
              <w:rPr>
                <w:color w:val="auto"/>
                <w:highlight w:val="none"/>
              </w:rPr>
            </w:pPr>
          </w:p>
        </w:tc>
        <w:tc>
          <w:tcPr>
            <w:tcW w:w="1700" w:type="dxa"/>
          </w:tcPr>
          <w:p w14:paraId="248C805F">
            <w:pPr>
              <w:shd w:val="clear"/>
              <w:jc w:val="both"/>
              <w:rPr>
                <w:color w:val="auto"/>
                <w:highlight w:val="none"/>
              </w:rPr>
            </w:pPr>
          </w:p>
        </w:tc>
        <w:tc>
          <w:tcPr>
            <w:tcW w:w="1705" w:type="dxa"/>
          </w:tcPr>
          <w:p w14:paraId="303AB7FE">
            <w:pPr>
              <w:shd w:val="clear"/>
              <w:jc w:val="both"/>
              <w:rPr>
                <w:color w:val="auto"/>
                <w:highlight w:val="none"/>
              </w:rPr>
            </w:pPr>
          </w:p>
        </w:tc>
      </w:tr>
      <w:tr w14:paraId="0E5EE0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09" w:hRule="atLeast"/>
        </w:trPr>
        <w:tc>
          <w:tcPr>
            <w:tcW w:w="1139" w:type="dxa"/>
          </w:tcPr>
          <w:p w14:paraId="19D37F18">
            <w:pPr>
              <w:shd w:val="clear"/>
              <w:jc w:val="both"/>
              <w:rPr>
                <w:color w:val="auto"/>
                <w:highlight w:val="none"/>
              </w:rPr>
            </w:pPr>
          </w:p>
        </w:tc>
        <w:tc>
          <w:tcPr>
            <w:tcW w:w="4675" w:type="dxa"/>
          </w:tcPr>
          <w:p w14:paraId="277F695E">
            <w:pPr>
              <w:shd w:val="clear"/>
              <w:jc w:val="both"/>
              <w:rPr>
                <w:color w:val="auto"/>
                <w:highlight w:val="none"/>
              </w:rPr>
            </w:pPr>
          </w:p>
        </w:tc>
        <w:tc>
          <w:tcPr>
            <w:tcW w:w="1700" w:type="dxa"/>
          </w:tcPr>
          <w:p w14:paraId="456B4DE1">
            <w:pPr>
              <w:shd w:val="clear"/>
              <w:jc w:val="both"/>
              <w:rPr>
                <w:color w:val="auto"/>
                <w:highlight w:val="none"/>
              </w:rPr>
            </w:pPr>
          </w:p>
        </w:tc>
        <w:tc>
          <w:tcPr>
            <w:tcW w:w="1705" w:type="dxa"/>
          </w:tcPr>
          <w:p w14:paraId="364D46FB">
            <w:pPr>
              <w:shd w:val="clear"/>
              <w:jc w:val="both"/>
              <w:rPr>
                <w:color w:val="auto"/>
                <w:highlight w:val="none"/>
              </w:rPr>
            </w:pPr>
          </w:p>
        </w:tc>
      </w:tr>
      <w:tr w14:paraId="2E501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10" w:hRule="atLeast"/>
        </w:trPr>
        <w:tc>
          <w:tcPr>
            <w:tcW w:w="1139" w:type="dxa"/>
          </w:tcPr>
          <w:p w14:paraId="17DC15E3">
            <w:pPr>
              <w:shd w:val="clear"/>
              <w:jc w:val="both"/>
              <w:rPr>
                <w:color w:val="auto"/>
                <w:highlight w:val="none"/>
              </w:rPr>
            </w:pPr>
          </w:p>
        </w:tc>
        <w:tc>
          <w:tcPr>
            <w:tcW w:w="4675" w:type="dxa"/>
          </w:tcPr>
          <w:p w14:paraId="13F1DF25">
            <w:pPr>
              <w:shd w:val="clear"/>
              <w:jc w:val="both"/>
              <w:rPr>
                <w:color w:val="auto"/>
                <w:highlight w:val="none"/>
              </w:rPr>
            </w:pPr>
          </w:p>
        </w:tc>
        <w:tc>
          <w:tcPr>
            <w:tcW w:w="1700" w:type="dxa"/>
          </w:tcPr>
          <w:p w14:paraId="20002E3F">
            <w:pPr>
              <w:shd w:val="clear"/>
              <w:jc w:val="both"/>
              <w:rPr>
                <w:color w:val="auto"/>
                <w:highlight w:val="none"/>
              </w:rPr>
            </w:pPr>
          </w:p>
        </w:tc>
        <w:tc>
          <w:tcPr>
            <w:tcW w:w="1705" w:type="dxa"/>
          </w:tcPr>
          <w:p w14:paraId="2120C15F">
            <w:pPr>
              <w:shd w:val="clear"/>
              <w:jc w:val="both"/>
              <w:rPr>
                <w:color w:val="auto"/>
                <w:highlight w:val="none"/>
              </w:rPr>
            </w:pPr>
          </w:p>
        </w:tc>
      </w:tr>
      <w:tr w14:paraId="3D613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10" w:hRule="atLeast"/>
        </w:trPr>
        <w:tc>
          <w:tcPr>
            <w:tcW w:w="1139" w:type="dxa"/>
          </w:tcPr>
          <w:p w14:paraId="057BC968">
            <w:pPr>
              <w:shd w:val="clear"/>
              <w:jc w:val="both"/>
              <w:rPr>
                <w:color w:val="auto"/>
                <w:highlight w:val="none"/>
              </w:rPr>
            </w:pPr>
          </w:p>
        </w:tc>
        <w:tc>
          <w:tcPr>
            <w:tcW w:w="4675" w:type="dxa"/>
          </w:tcPr>
          <w:p w14:paraId="4E04DC02">
            <w:pPr>
              <w:shd w:val="clear"/>
              <w:jc w:val="both"/>
              <w:rPr>
                <w:color w:val="auto"/>
                <w:highlight w:val="none"/>
              </w:rPr>
            </w:pPr>
          </w:p>
        </w:tc>
        <w:tc>
          <w:tcPr>
            <w:tcW w:w="1700" w:type="dxa"/>
          </w:tcPr>
          <w:p w14:paraId="0410EE0A">
            <w:pPr>
              <w:shd w:val="clear"/>
              <w:jc w:val="both"/>
              <w:rPr>
                <w:color w:val="auto"/>
                <w:highlight w:val="none"/>
              </w:rPr>
            </w:pPr>
          </w:p>
        </w:tc>
        <w:tc>
          <w:tcPr>
            <w:tcW w:w="1705" w:type="dxa"/>
          </w:tcPr>
          <w:p w14:paraId="378AA2E9">
            <w:pPr>
              <w:shd w:val="clear"/>
              <w:jc w:val="both"/>
              <w:rPr>
                <w:color w:val="auto"/>
                <w:highlight w:val="none"/>
              </w:rPr>
            </w:pPr>
          </w:p>
        </w:tc>
      </w:tr>
      <w:tr w14:paraId="1EF8A9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14" w:hRule="atLeast"/>
        </w:trPr>
        <w:tc>
          <w:tcPr>
            <w:tcW w:w="1139" w:type="dxa"/>
          </w:tcPr>
          <w:p w14:paraId="738400FA">
            <w:pPr>
              <w:shd w:val="clear"/>
              <w:jc w:val="both"/>
              <w:rPr>
                <w:color w:val="auto"/>
                <w:highlight w:val="none"/>
              </w:rPr>
            </w:pPr>
          </w:p>
        </w:tc>
        <w:tc>
          <w:tcPr>
            <w:tcW w:w="4675" w:type="dxa"/>
          </w:tcPr>
          <w:p w14:paraId="2E8573E7">
            <w:pPr>
              <w:shd w:val="clear"/>
              <w:jc w:val="both"/>
              <w:rPr>
                <w:color w:val="auto"/>
                <w:highlight w:val="none"/>
              </w:rPr>
            </w:pPr>
          </w:p>
        </w:tc>
        <w:tc>
          <w:tcPr>
            <w:tcW w:w="1700" w:type="dxa"/>
          </w:tcPr>
          <w:p w14:paraId="70972346">
            <w:pPr>
              <w:shd w:val="clear"/>
              <w:jc w:val="both"/>
              <w:rPr>
                <w:color w:val="auto"/>
                <w:highlight w:val="none"/>
              </w:rPr>
            </w:pPr>
          </w:p>
        </w:tc>
        <w:tc>
          <w:tcPr>
            <w:tcW w:w="1705" w:type="dxa"/>
          </w:tcPr>
          <w:p w14:paraId="0A8A25C6">
            <w:pPr>
              <w:shd w:val="clear"/>
              <w:jc w:val="both"/>
              <w:rPr>
                <w:color w:val="auto"/>
                <w:highlight w:val="none"/>
              </w:rPr>
            </w:pPr>
          </w:p>
        </w:tc>
      </w:tr>
    </w:tbl>
    <w:p w14:paraId="715FFDAF">
      <w:pPr>
        <w:shd w:val="clear"/>
        <w:spacing w:before="146" w:line="232" w:lineRule="auto"/>
        <w:ind w:left="538"/>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注：本表请按投标人须知前附表3.5.7“二、评审打分资料”内容填写。</w:t>
      </w:r>
    </w:p>
    <w:p w14:paraId="4628FA3B">
      <w:pPr>
        <w:shd w:val="clear"/>
        <w:spacing w:line="255" w:lineRule="auto"/>
        <w:jc w:val="both"/>
        <w:rPr>
          <w:color w:val="auto"/>
          <w:highlight w:val="none"/>
        </w:rPr>
      </w:pPr>
    </w:p>
    <w:p w14:paraId="0C0CE6D6">
      <w:pPr>
        <w:shd w:val="clear"/>
        <w:spacing w:line="255" w:lineRule="auto"/>
        <w:jc w:val="both"/>
        <w:rPr>
          <w:color w:val="auto"/>
          <w:highlight w:val="none"/>
        </w:rPr>
      </w:pPr>
    </w:p>
    <w:p w14:paraId="72DCABCC">
      <w:pPr>
        <w:shd w:val="clear"/>
        <w:spacing w:line="255" w:lineRule="auto"/>
        <w:jc w:val="both"/>
        <w:rPr>
          <w:color w:val="auto"/>
          <w:highlight w:val="none"/>
        </w:rPr>
      </w:pPr>
    </w:p>
    <w:p w14:paraId="20EA2C40">
      <w:pPr>
        <w:shd w:val="clear"/>
        <w:spacing w:line="255" w:lineRule="auto"/>
        <w:jc w:val="both"/>
        <w:rPr>
          <w:color w:val="auto"/>
          <w:highlight w:val="none"/>
        </w:rPr>
      </w:pPr>
    </w:p>
    <w:p w14:paraId="17C5D844">
      <w:pPr>
        <w:shd w:val="clear"/>
        <w:spacing w:line="256" w:lineRule="auto"/>
        <w:jc w:val="both"/>
        <w:rPr>
          <w:color w:val="auto"/>
          <w:highlight w:val="none"/>
        </w:rPr>
      </w:pPr>
    </w:p>
    <w:p w14:paraId="673624A2">
      <w:pPr>
        <w:shd w:val="clear"/>
        <w:tabs>
          <w:tab w:val="left" w:pos="7132"/>
        </w:tabs>
        <w:spacing w:before="75" w:line="384" w:lineRule="auto"/>
        <w:ind w:left="6162" w:right="203" w:hanging="1187"/>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盖章</w:t>
      </w:r>
      <w:r>
        <w:rPr>
          <w:rFonts w:hint="eastAsia" w:ascii="宋体" w:hAnsi="宋体" w:eastAsia="宋体" w:cs="宋体"/>
          <w:color w:val="auto"/>
          <w:sz w:val="23"/>
          <w:szCs w:val="23"/>
          <w:highlight w:val="none"/>
          <w:lang w:eastAsia="zh-CN"/>
        </w:rPr>
        <w:t>）</w:t>
      </w:r>
    </w:p>
    <w:p w14:paraId="098DECD0">
      <w:pPr>
        <w:shd w:val="clear"/>
        <w:tabs>
          <w:tab w:val="left" w:pos="7132"/>
        </w:tabs>
        <w:spacing w:before="75" w:line="384" w:lineRule="auto"/>
        <w:ind w:left="6162" w:right="203" w:hanging="1187"/>
        <w:jc w:val="both"/>
        <w:rPr>
          <w:rFonts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25740629">
      <w:pPr>
        <w:shd w:val="clear"/>
        <w:tabs>
          <w:tab w:val="left" w:pos="6569"/>
        </w:tabs>
        <w:spacing w:before="75" w:line="384" w:lineRule="auto"/>
        <w:ind w:left="5708" w:right="270" w:hanging="1173"/>
        <w:jc w:val="both"/>
        <w:rPr>
          <w:rFonts w:ascii="宋体" w:hAnsi="宋体" w:eastAsia="宋体" w:cs="宋体"/>
          <w:color w:val="auto"/>
          <w:sz w:val="23"/>
          <w:szCs w:val="23"/>
          <w:highlight w:val="none"/>
        </w:rPr>
      </w:pPr>
    </w:p>
    <w:p w14:paraId="281EC55B">
      <w:pPr>
        <w:shd w:val="clear"/>
        <w:tabs>
          <w:tab w:val="left" w:pos="6569"/>
        </w:tabs>
        <w:spacing w:before="75" w:line="384" w:lineRule="auto"/>
        <w:ind w:left="5708" w:right="270" w:hanging="1173"/>
        <w:jc w:val="both"/>
        <w:rPr>
          <w:rFonts w:ascii="宋体" w:hAnsi="宋体" w:eastAsia="宋体" w:cs="宋体"/>
          <w:color w:val="auto"/>
          <w:sz w:val="23"/>
          <w:szCs w:val="23"/>
          <w:highlight w:val="none"/>
        </w:rPr>
      </w:pPr>
    </w:p>
    <w:p w14:paraId="61F7C2AB">
      <w:pPr>
        <w:shd w:val="clear"/>
        <w:tabs>
          <w:tab w:val="left" w:pos="6569"/>
        </w:tabs>
        <w:spacing w:before="75" w:line="384" w:lineRule="auto"/>
        <w:ind w:left="5708" w:right="270" w:hanging="1173"/>
        <w:jc w:val="both"/>
        <w:rPr>
          <w:rFonts w:ascii="宋体" w:hAnsi="宋体" w:eastAsia="宋体" w:cs="宋体"/>
          <w:color w:val="auto"/>
          <w:sz w:val="23"/>
          <w:szCs w:val="23"/>
          <w:highlight w:val="none"/>
        </w:rPr>
      </w:pPr>
    </w:p>
    <w:p w14:paraId="59310969">
      <w:pPr>
        <w:shd w:val="clear"/>
        <w:tabs>
          <w:tab w:val="left" w:pos="6569"/>
        </w:tabs>
        <w:spacing w:before="75" w:line="384" w:lineRule="auto"/>
        <w:ind w:left="5708" w:right="270" w:hanging="1173"/>
        <w:jc w:val="both"/>
        <w:rPr>
          <w:rFonts w:ascii="宋体" w:hAnsi="宋体" w:eastAsia="宋体" w:cs="宋体"/>
          <w:color w:val="auto"/>
          <w:sz w:val="23"/>
          <w:szCs w:val="23"/>
          <w:highlight w:val="none"/>
        </w:rPr>
      </w:pPr>
    </w:p>
    <w:p w14:paraId="22BE7ACF">
      <w:pPr>
        <w:shd w:val="clear"/>
        <w:tabs>
          <w:tab w:val="left" w:pos="6569"/>
        </w:tabs>
        <w:spacing w:before="75" w:line="384" w:lineRule="auto"/>
        <w:ind w:left="5708" w:right="270" w:hanging="1173"/>
        <w:jc w:val="both"/>
        <w:rPr>
          <w:rFonts w:ascii="宋体" w:hAnsi="宋体" w:eastAsia="宋体" w:cs="宋体"/>
          <w:color w:val="auto"/>
          <w:sz w:val="23"/>
          <w:szCs w:val="23"/>
          <w:highlight w:val="none"/>
        </w:rPr>
      </w:pPr>
    </w:p>
    <w:p w14:paraId="4E818865">
      <w:pPr>
        <w:shd w:val="clear"/>
        <w:tabs>
          <w:tab w:val="left" w:pos="6569"/>
        </w:tabs>
        <w:spacing w:before="75" w:line="384" w:lineRule="auto"/>
        <w:ind w:left="5708" w:right="270" w:hanging="1173"/>
        <w:jc w:val="both"/>
        <w:rPr>
          <w:rFonts w:ascii="宋体" w:hAnsi="宋体" w:eastAsia="宋体" w:cs="宋体"/>
          <w:color w:val="auto"/>
          <w:sz w:val="23"/>
          <w:szCs w:val="23"/>
          <w:highlight w:val="none"/>
        </w:rPr>
      </w:pPr>
    </w:p>
    <w:p w14:paraId="72D643EB">
      <w:pPr>
        <w:shd w:val="clear"/>
        <w:tabs>
          <w:tab w:val="left" w:pos="6569"/>
        </w:tabs>
        <w:spacing w:before="75" w:line="384" w:lineRule="auto"/>
        <w:ind w:left="5708" w:right="270" w:hanging="1173"/>
        <w:jc w:val="both"/>
        <w:rPr>
          <w:rFonts w:ascii="宋体" w:hAnsi="宋体" w:eastAsia="宋体" w:cs="宋体"/>
          <w:color w:val="auto"/>
          <w:sz w:val="23"/>
          <w:szCs w:val="23"/>
          <w:highlight w:val="none"/>
        </w:rPr>
      </w:pPr>
    </w:p>
    <w:p w14:paraId="74F1C8A3">
      <w:pPr>
        <w:shd w:val="clear"/>
        <w:spacing w:before="0" w:line="240" w:lineRule="auto"/>
        <w:ind w:left="0"/>
        <w:jc w:val="left"/>
        <w:outlineLvl w:val="9"/>
        <w:rPr>
          <w:rFonts w:ascii="宋体" w:hAnsi="宋体" w:eastAsia="宋体" w:cs="宋体"/>
          <w:color w:val="auto"/>
          <w:sz w:val="28"/>
          <w:szCs w:val="28"/>
          <w:highlight w:val="none"/>
        </w:rPr>
      </w:pPr>
      <w:r>
        <w:rPr>
          <w:rFonts w:ascii="宋体" w:hAnsi="宋体" w:eastAsia="宋体" w:cs="宋体"/>
          <w:color w:val="auto"/>
          <w:sz w:val="28"/>
          <w:szCs w:val="28"/>
          <w:highlight w:val="none"/>
        </w:rPr>
        <w:br w:type="page"/>
      </w:r>
    </w:p>
    <w:p w14:paraId="6FB028A7">
      <w:pPr>
        <w:shd w:val="clear"/>
        <w:spacing w:before="91" w:line="221" w:lineRule="auto"/>
        <w:ind w:left="578"/>
        <w:jc w:val="both"/>
        <w:outlineLvl w:val="1"/>
        <w:rPr>
          <w:rFonts w:ascii="宋体" w:hAnsi="宋体" w:eastAsia="宋体" w:cs="宋体"/>
          <w:color w:val="auto"/>
          <w:sz w:val="28"/>
          <w:szCs w:val="28"/>
          <w:highlight w:val="none"/>
        </w:rPr>
      </w:pPr>
      <w:r>
        <w:rPr>
          <w:rFonts w:ascii="宋体" w:hAnsi="宋体" w:eastAsia="宋体" w:cs="宋体"/>
          <w:color w:val="auto"/>
          <w:sz w:val="28"/>
          <w:szCs w:val="28"/>
          <w:highlight w:val="none"/>
        </w:rPr>
        <w:t>格式</w:t>
      </w:r>
      <w:r>
        <w:rPr>
          <w:rFonts w:hint="eastAsia" w:ascii="宋体" w:hAnsi="宋体" w:eastAsia="宋体" w:cs="宋体"/>
          <w:color w:val="auto"/>
          <w:sz w:val="28"/>
          <w:szCs w:val="28"/>
          <w:highlight w:val="none"/>
        </w:rPr>
        <w:t>七</w:t>
      </w:r>
      <w:r>
        <w:rPr>
          <w:rFonts w:ascii="宋体" w:hAnsi="宋体" w:eastAsia="宋体" w:cs="宋体"/>
          <w:color w:val="auto"/>
          <w:sz w:val="28"/>
          <w:szCs w:val="28"/>
          <w:highlight w:val="none"/>
        </w:rPr>
        <w:t>：</w:t>
      </w:r>
      <w:r>
        <w:rPr>
          <w:rFonts w:hint="eastAsia" w:ascii="宋体" w:hAnsi="宋体" w:eastAsia="宋体" w:cs="宋体"/>
          <w:color w:val="auto"/>
          <w:sz w:val="28"/>
          <w:szCs w:val="28"/>
          <w:highlight w:val="none"/>
        </w:rPr>
        <w:t>投标人基本情况</w:t>
      </w:r>
    </w:p>
    <w:p w14:paraId="6A8FD161">
      <w:pPr>
        <w:shd w:val="clear"/>
        <w:spacing w:line="360" w:lineRule="auto"/>
        <w:jc w:val="center"/>
        <w:rPr>
          <w:rFonts w:ascii="宋体" w:hAnsi="宋体"/>
          <w:b/>
          <w:bCs/>
          <w:color w:val="auto"/>
          <w:highlight w:val="none"/>
        </w:rPr>
      </w:pPr>
      <w:r>
        <w:rPr>
          <w:rFonts w:hint="eastAsia" w:ascii="宋体" w:hAnsi="宋体"/>
          <w:b/>
          <w:bCs/>
          <w:color w:val="auto"/>
          <w:highlight w:val="none"/>
        </w:rPr>
        <w:t>投标人基本情况</w:t>
      </w:r>
    </w:p>
    <w:p w14:paraId="39B3325A">
      <w:pPr>
        <w:shd w:val="clear"/>
        <w:spacing w:line="360" w:lineRule="auto"/>
        <w:ind w:firstLine="315" w:firstLineChars="150"/>
        <w:jc w:val="center"/>
        <w:rPr>
          <w:rFonts w:hAnsi="宋体" w:cs="宋体"/>
          <w:b/>
          <w:bCs/>
          <w:color w:val="auto"/>
          <w:highlight w:val="none"/>
        </w:rPr>
      </w:pPr>
    </w:p>
    <w:tbl>
      <w:tblPr>
        <w:tblStyle w:val="31"/>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4BD86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4C498D5">
            <w:pPr>
              <w:shd w:val="clear"/>
              <w:rPr>
                <w:rFonts w:hAnsi="宋体"/>
                <w:color w:val="auto"/>
                <w:highlight w:val="none"/>
              </w:rPr>
            </w:pPr>
            <w:r>
              <w:rPr>
                <w:rFonts w:hint="eastAsia" w:hAnsi="宋体"/>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2A32FCE7">
            <w:pPr>
              <w:shd w:val="clear"/>
              <w:rPr>
                <w:rFonts w:hAnsi="宋体"/>
                <w:color w:val="auto"/>
                <w:highlight w:val="none"/>
              </w:rPr>
            </w:pPr>
          </w:p>
        </w:tc>
      </w:tr>
      <w:tr w14:paraId="1C194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52D5239D">
            <w:pPr>
              <w:shd w:val="clear"/>
              <w:rPr>
                <w:rFonts w:hAnsi="宋体"/>
                <w:color w:val="auto"/>
                <w:highlight w:val="none"/>
              </w:rPr>
            </w:pPr>
            <w:r>
              <w:rPr>
                <w:rFonts w:hint="eastAsia" w:hAnsi="宋体"/>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11D244F9">
            <w:pPr>
              <w:shd w:val="clear"/>
              <w:rPr>
                <w:rFonts w:hAnsi="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2266906B">
            <w:pPr>
              <w:shd w:val="clear"/>
              <w:rPr>
                <w:rFonts w:hAnsi="宋体"/>
                <w:color w:val="auto"/>
                <w:highlight w:val="none"/>
              </w:rPr>
            </w:pPr>
            <w:r>
              <w:rPr>
                <w:rFonts w:hint="eastAsia" w:hAnsi="宋体"/>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7A0F52D8">
            <w:pPr>
              <w:shd w:val="clear"/>
              <w:rPr>
                <w:rFonts w:hAnsi="宋体"/>
                <w:color w:val="auto"/>
                <w:highlight w:val="none"/>
              </w:rPr>
            </w:pPr>
          </w:p>
        </w:tc>
      </w:tr>
      <w:tr w14:paraId="65F88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41FCF56A">
            <w:pPr>
              <w:shd w:val="clear"/>
              <w:rPr>
                <w:rFonts w:hAnsi="宋体"/>
                <w:color w:val="auto"/>
                <w:highlight w:val="none"/>
              </w:rPr>
            </w:pPr>
            <w:r>
              <w:rPr>
                <w:rFonts w:hint="eastAsia" w:hAnsi="宋体"/>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599A22C9">
            <w:pPr>
              <w:shd w:val="clear"/>
              <w:rPr>
                <w:rFonts w:hAnsi="宋体"/>
                <w:color w:val="auto"/>
                <w:highlight w:val="none"/>
              </w:rPr>
            </w:pPr>
            <w:r>
              <w:rPr>
                <w:rFonts w:hint="eastAsia" w:hAnsi="宋体"/>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770989FD">
            <w:pPr>
              <w:shd w:val="clear"/>
              <w:rPr>
                <w:rFonts w:hAnsi="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3EF13ECC">
            <w:pPr>
              <w:shd w:val="clear"/>
              <w:rPr>
                <w:rFonts w:hAnsi="宋体"/>
                <w:color w:val="auto"/>
                <w:highlight w:val="none"/>
              </w:rPr>
            </w:pPr>
            <w:r>
              <w:rPr>
                <w:rFonts w:hint="eastAsia" w:hAnsi="宋体"/>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1BD749DC">
            <w:pPr>
              <w:shd w:val="clear"/>
              <w:rPr>
                <w:rFonts w:hAnsi="宋体"/>
                <w:color w:val="auto"/>
                <w:highlight w:val="none"/>
              </w:rPr>
            </w:pPr>
          </w:p>
        </w:tc>
      </w:tr>
      <w:tr w14:paraId="4F756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vAlign w:val="center"/>
          </w:tcPr>
          <w:p w14:paraId="57E67173">
            <w:pPr>
              <w:shd w:val="clear"/>
              <w:autoSpaceDE/>
              <w:autoSpaceDN/>
              <w:adjustRightInd/>
              <w:rPr>
                <w:rFonts w:hAnsi="宋体"/>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14:paraId="11D9970A">
            <w:pPr>
              <w:shd w:val="clear"/>
              <w:rPr>
                <w:rFonts w:hAnsi="宋体"/>
                <w:color w:val="auto"/>
                <w:highlight w:val="none"/>
              </w:rPr>
            </w:pPr>
            <w:r>
              <w:rPr>
                <w:rFonts w:hint="eastAsia" w:hAnsi="宋体"/>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556F9E03">
            <w:pPr>
              <w:shd w:val="clear"/>
              <w:rPr>
                <w:rFonts w:hAnsi="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7825E5FF">
            <w:pPr>
              <w:shd w:val="clear"/>
              <w:rPr>
                <w:rFonts w:hAnsi="宋体"/>
                <w:color w:val="auto"/>
                <w:highlight w:val="none"/>
              </w:rPr>
            </w:pPr>
            <w:r>
              <w:rPr>
                <w:rFonts w:hint="eastAsia" w:hAnsi="宋体"/>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222E872C">
            <w:pPr>
              <w:shd w:val="clear"/>
              <w:rPr>
                <w:rFonts w:hAnsi="宋体"/>
                <w:color w:val="auto"/>
                <w:highlight w:val="none"/>
              </w:rPr>
            </w:pPr>
          </w:p>
        </w:tc>
      </w:tr>
      <w:tr w14:paraId="30BD9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6ECD27E">
            <w:pPr>
              <w:shd w:val="clear"/>
              <w:rPr>
                <w:rFonts w:hAnsi="宋体"/>
                <w:color w:val="auto"/>
                <w:highlight w:val="none"/>
              </w:rPr>
            </w:pPr>
            <w:r>
              <w:rPr>
                <w:rFonts w:hint="eastAsia" w:hAnsi="宋体"/>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52ED20AD">
            <w:pPr>
              <w:shd w:val="clear"/>
              <w:rPr>
                <w:rFonts w:hAnsi="宋体"/>
                <w:color w:val="auto"/>
                <w:highlight w:val="none"/>
              </w:rPr>
            </w:pPr>
          </w:p>
        </w:tc>
      </w:tr>
      <w:tr w14:paraId="4A25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72D2598">
            <w:pPr>
              <w:shd w:val="clear"/>
              <w:rPr>
                <w:rFonts w:hAnsi="宋体"/>
                <w:color w:val="auto"/>
                <w:highlight w:val="none"/>
              </w:rPr>
            </w:pPr>
            <w:r>
              <w:rPr>
                <w:rFonts w:hint="eastAsia" w:hAnsi="宋体"/>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6378C274">
            <w:pPr>
              <w:shd w:val="clear"/>
              <w:rPr>
                <w:rFonts w:hAnsi="宋体"/>
                <w:color w:val="auto"/>
                <w:highlight w:val="none"/>
              </w:rPr>
            </w:pPr>
            <w:r>
              <w:rPr>
                <w:rFonts w:hint="eastAsia" w:hAnsi="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790290D4">
            <w:pPr>
              <w:shd w:val="clear"/>
              <w:rPr>
                <w:rFonts w:hAnsi="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63117475">
            <w:pPr>
              <w:shd w:val="clear"/>
              <w:rPr>
                <w:rFonts w:hAnsi="宋体"/>
                <w:color w:val="auto"/>
                <w:highlight w:val="none"/>
              </w:rPr>
            </w:pPr>
            <w:r>
              <w:rPr>
                <w:rFonts w:hint="eastAsia" w:hAnsi="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29EBF78D">
            <w:pPr>
              <w:shd w:val="clear"/>
              <w:rPr>
                <w:rFonts w:hAnsi="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4488D87A">
            <w:pPr>
              <w:shd w:val="clear"/>
              <w:rPr>
                <w:rFonts w:hAnsi="宋体"/>
                <w:color w:val="auto"/>
                <w:highlight w:val="none"/>
              </w:rPr>
            </w:pPr>
            <w:r>
              <w:rPr>
                <w:rFonts w:hint="eastAsia" w:hAnsi="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786EF14E">
            <w:pPr>
              <w:shd w:val="clear"/>
              <w:rPr>
                <w:rFonts w:hAnsi="宋体"/>
                <w:color w:val="auto"/>
                <w:highlight w:val="none"/>
              </w:rPr>
            </w:pPr>
          </w:p>
        </w:tc>
      </w:tr>
      <w:tr w14:paraId="6828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D196B32">
            <w:pPr>
              <w:shd w:val="clear"/>
              <w:rPr>
                <w:rFonts w:hAnsi="宋体"/>
                <w:color w:val="auto"/>
                <w:highlight w:val="none"/>
              </w:rPr>
            </w:pPr>
            <w:r>
              <w:rPr>
                <w:rFonts w:hint="eastAsia" w:hAnsi="宋体"/>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7FF0210D">
            <w:pPr>
              <w:shd w:val="clear"/>
              <w:rPr>
                <w:rFonts w:hAnsi="宋体"/>
                <w:color w:val="auto"/>
                <w:highlight w:val="none"/>
              </w:rPr>
            </w:pPr>
            <w:r>
              <w:rPr>
                <w:rFonts w:hint="eastAsia" w:hAnsi="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1A27549B">
            <w:pPr>
              <w:shd w:val="clear"/>
              <w:rPr>
                <w:rFonts w:hAnsi="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510636A9">
            <w:pPr>
              <w:shd w:val="clear"/>
              <w:rPr>
                <w:rFonts w:hAnsi="宋体"/>
                <w:color w:val="auto"/>
                <w:highlight w:val="none"/>
              </w:rPr>
            </w:pPr>
            <w:r>
              <w:rPr>
                <w:rFonts w:hint="eastAsia" w:hAnsi="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0728977D">
            <w:pPr>
              <w:shd w:val="clear"/>
              <w:rPr>
                <w:rFonts w:hAnsi="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572478EF">
            <w:pPr>
              <w:shd w:val="clear"/>
              <w:rPr>
                <w:rFonts w:hAnsi="宋体"/>
                <w:color w:val="auto"/>
                <w:highlight w:val="none"/>
              </w:rPr>
            </w:pPr>
            <w:r>
              <w:rPr>
                <w:rFonts w:hint="eastAsia" w:hAnsi="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7BC90886">
            <w:pPr>
              <w:shd w:val="clear"/>
              <w:rPr>
                <w:rFonts w:hAnsi="宋体"/>
                <w:color w:val="auto"/>
                <w:highlight w:val="none"/>
              </w:rPr>
            </w:pPr>
          </w:p>
        </w:tc>
      </w:tr>
      <w:tr w14:paraId="1BF1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3B7DCA4">
            <w:pPr>
              <w:shd w:val="clear"/>
              <w:rPr>
                <w:rFonts w:hAnsi="宋体"/>
                <w:color w:val="auto"/>
                <w:highlight w:val="none"/>
              </w:rPr>
            </w:pPr>
            <w:r>
              <w:rPr>
                <w:rFonts w:hint="eastAsia" w:hAnsi="宋体"/>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76B25E04">
            <w:pPr>
              <w:shd w:val="clear"/>
              <w:rPr>
                <w:rFonts w:hAnsi="宋体"/>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479E14A8">
            <w:pPr>
              <w:shd w:val="clear"/>
              <w:rPr>
                <w:rFonts w:hAnsi="宋体"/>
                <w:color w:val="auto"/>
                <w:highlight w:val="none"/>
              </w:rPr>
            </w:pPr>
            <w:r>
              <w:rPr>
                <w:rFonts w:hint="eastAsia" w:hAnsi="宋体"/>
                <w:color w:val="auto"/>
                <w:highlight w:val="none"/>
              </w:rPr>
              <w:t>员工总人数：</w:t>
            </w:r>
          </w:p>
        </w:tc>
      </w:tr>
      <w:tr w14:paraId="24C4C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C909E55">
            <w:pPr>
              <w:shd w:val="clear"/>
              <w:rPr>
                <w:rFonts w:hAnsi="宋体"/>
                <w:color w:val="auto"/>
                <w:highlight w:val="none"/>
              </w:rPr>
            </w:pPr>
            <w:r>
              <w:rPr>
                <w:rFonts w:hint="eastAsia" w:hAnsi="宋体"/>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200B9BA6">
            <w:pPr>
              <w:shd w:val="clear"/>
              <w:rPr>
                <w:rFonts w:hAnsi="宋体"/>
                <w:color w:val="auto"/>
                <w:highlight w:val="none"/>
              </w:rPr>
            </w:pPr>
          </w:p>
        </w:tc>
        <w:tc>
          <w:tcPr>
            <w:tcW w:w="1275" w:type="dxa"/>
            <w:vMerge w:val="restart"/>
            <w:tcBorders>
              <w:top w:val="nil"/>
              <w:left w:val="nil"/>
              <w:bottom w:val="single" w:color="auto" w:sz="4" w:space="0"/>
              <w:right w:val="single" w:color="auto" w:sz="4" w:space="0"/>
            </w:tcBorders>
            <w:noWrap/>
            <w:vAlign w:val="center"/>
          </w:tcPr>
          <w:p w14:paraId="45FBD78A">
            <w:pPr>
              <w:shd w:val="clear"/>
              <w:rPr>
                <w:rFonts w:hAnsi="宋体"/>
                <w:color w:val="auto"/>
                <w:highlight w:val="none"/>
              </w:rPr>
            </w:pPr>
            <w:r>
              <w:rPr>
                <w:rFonts w:hint="eastAsia" w:hAnsi="宋体"/>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0DEAFE95">
            <w:pPr>
              <w:shd w:val="clear"/>
              <w:rPr>
                <w:rFonts w:hAnsi="宋体"/>
                <w:color w:val="auto"/>
                <w:highlight w:val="none"/>
              </w:rPr>
            </w:pPr>
            <w:r>
              <w:rPr>
                <w:rFonts w:hint="eastAsia" w:hAnsi="宋体"/>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3C3B5B7B">
            <w:pPr>
              <w:shd w:val="clear"/>
              <w:rPr>
                <w:rFonts w:hAnsi="宋体"/>
                <w:color w:val="auto"/>
                <w:highlight w:val="none"/>
              </w:rPr>
            </w:pPr>
          </w:p>
        </w:tc>
      </w:tr>
      <w:tr w14:paraId="79834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D6F5DCB">
            <w:pPr>
              <w:shd w:val="clear"/>
              <w:rPr>
                <w:rFonts w:hAnsi="宋体"/>
                <w:color w:val="auto"/>
                <w:highlight w:val="none"/>
              </w:rPr>
            </w:pPr>
            <w:r>
              <w:rPr>
                <w:rFonts w:hint="eastAsia" w:hAnsi="宋体"/>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5B429AE7">
            <w:pPr>
              <w:shd w:val="clear"/>
              <w:rPr>
                <w:rFonts w:hAnsi="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589D93BA">
            <w:pPr>
              <w:shd w:val="clear"/>
              <w:autoSpaceDE/>
              <w:autoSpaceDN/>
              <w:adjustRightInd/>
              <w:rPr>
                <w:rFonts w:hAnsi="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164923AF">
            <w:pPr>
              <w:shd w:val="clear"/>
              <w:rPr>
                <w:rFonts w:hAnsi="宋体"/>
                <w:color w:val="auto"/>
                <w:highlight w:val="none"/>
              </w:rPr>
            </w:pPr>
            <w:r>
              <w:rPr>
                <w:rFonts w:hint="eastAsia" w:hAnsi="宋体"/>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5F7F2956">
            <w:pPr>
              <w:shd w:val="clear"/>
              <w:rPr>
                <w:rFonts w:hAnsi="宋体"/>
                <w:color w:val="auto"/>
                <w:highlight w:val="none"/>
              </w:rPr>
            </w:pPr>
          </w:p>
        </w:tc>
      </w:tr>
      <w:tr w14:paraId="777E1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3BF7B78">
            <w:pPr>
              <w:shd w:val="clear"/>
              <w:rPr>
                <w:rFonts w:hAnsi="宋体"/>
                <w:color w:val="auto"/>
                <w:highlight w:val="none"/>
              </w:rPr>
            </w:pPr>
            <w:r>
              <w:rPr>
                <w:rFonts w:hint="eastAsia" w:hAnsi="宋体"/>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082AA4AB">
            <w:pPr>
              <w:shd w:val="clear"/>
              <w:rPr>
                <w:rFonts w:hAnsi="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31BE0ADC">
            <w:pPr>
              <w:shd w:val="clear"/>
              <w:autoSpaceDE/>
              <w:autoSpaceDN/>
              <w:adjustRightInd/>
              <w:rPr>
                <w:rFonts w:hAnsi="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3F9EDC95">
            <w:pPr>
              <w:shd w:val="clear"/>
              <w:rPr>
                <w:rFonts w:hAnsi="宋体"/>
                <w:color w:val="auto"/>
                <w:highlight w:val="none"/>
              </w:rPr>
            </w:pPr>
            <w:r>
              <w:rPr>
                <w:rFonts w:hint="eastAsia" w:hAnsi="宋体"/>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868F0D9">
            <w:pPr>
              <w:shd w:val="clear"/>
              <w:rPr>
                <w:rFonts w:hAnsi="宋体"/>
                <w:color w:val="auto"/>
                <w:highlight w:val="none"/>
              </w:rPr>
            </w:pPr>
          </w:p>
        </w:tc>
      </w:tr>
      <w:tr w14:paraId="66CA5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21D3443">
            <w:pPr>
              <w:shd w:val="clear"/>
              <w:rPr>
                <w:rFonts w:hAnsi="宋体"/>
                <w:color w:val="auto"/>
                <w:highlight w:val="none"/>
              </w:rPr>
            </w:pPr>
            <w:r>
              <w:rPr>
                <w:rFonts w:hint="eastAsia" w:hAnsi="宋体"/>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33EDF16B">
            <w:pPr>
              <w:shd w:val="clear"/>
              <w:rPr>
                <w:rFonts w:hAnsi="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44A754E3">
            <w:pPr>
              <w:shd w:val="clear"/>
              <w:autoSpaceDE/>
              <w:autoSpaceDN/>
              <w:adjustRightInd/>
              <w:rPr>
                <w:rFonts w:hAnsi="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7F4E7BDE">
            <w:pPr>
              <w:shd w:val="clear"/>
              <w:rPr>
                <w:rFonts w:hAnsi="宋体"/>
                <w:color w:val="auto"/>
                <w:highlight w:val="none"/>
              </w:rPr>
            </w:pPr>
            <w:r>
              <w:rPr>
                <w:rFonts w:hint="eastAsia" w:hAnsi="宋体"/>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E6BA2B3">
            <w:pPr>
              <w:shd w:val="clear"/>
              <w:rPr>
                <w:rFonts w:hAnsi="宋体"/>
                <w:color w:val="auto"/>
                <w:highlight w:val="none"/>
              </w:rPr>
            </w:pPr>
          </w:p>
        </w:tc>
      </w:tr>
      <w:tr w14:paraId="5CE1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2778D80">
            <w:pPr>
              <w:shd w:val="clear"/>
              <w:rPr>
                <w:rFonts w:hAnsi="宋体"/>
                <w:color w:val="auto"/>
                <w:highlight w:val="none"/>
              </w:rPr>
            </w:pPr>
            <w:r>
              <w:rPr>
                <w:rFonts w:hint="eastAsia" w:hAnsi="宋体"/>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152558CC">
            <w:pPr>
              <w:shd w:val="clear"/>
              <w:rPr>
                <w:rFonts w:hAnsi="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613C2060">
            <w:pPr>
              <w:shd w:val="clear"/>
              <w:autoSpaceDE/>
              <w:autoSpaceDN/>
              <w:adjustRightInd/>
              <w:rPr>
                <w:rFonts w:hAnsi="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781BCE69">
            <w:pPr>
              <w:shd w:val="clear"/>
              <w:rPr>
                <w:rFonts w:hAnsi="宋体"/>
                <w:color w:val="auto"/>
                <w:highlight w:val="none"/>
              </w:rPr>
            </w:pPr>
            <w:r>
              <w:rPr>
                <w:rFonts w:hint="eastAsia" w:hAnsi="宋体"/>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24B8E23A">
            <w:pPr>
              <w:shd w:val="clear"/>
              <w:rPr>
                <w:rFonts w:hAnsi="宋体"/>
                <w:color w:val="auto"/>
                <w:highlight w:val="none"/>
              </w:rPr>
            </w:pPr>
          </w:p>
        </w:tc>
      </w:tr>
      <w:tr w14:paraId="4828E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C5995FF">
            <w:pPr>
              <w:shd w:val="clear"/>
              <w:rPr>
                <w:rFonts w:hAnsi="宋体"/>
                <w:color w:val="auto"/>
                <w:highlight w:val="none"/>
              </w:rPr>
            </w:pPr>
            <w:r>
              <w:rPr>
                <w:rFonts w:hint="eastAsia" w:hAnsi="宋体"/>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7F38A09A">
            <w:pPr>
              <w:shd w:val="clear"/>
              <w:ind w:firstLine="420" w:firstLineChars="200"/>
              <w:rPr>
                <w:rFonts w:hAnsi="宋体"/>
                <w:color w:val="auto"/>
                <w:highlight w:val="none"/>
              </w:rPr>
            </w:pPr>
          </w:p>
        </w:tc>
      </w:tr>
    </w:tbl>
    <w:p w14:paraId="1BD39CA9">
      <w:pPr>
        <w:shd w:val="clear"/>
        <w:rPr>
          <w:color w:val="auto"/>
          <w:highlight w:val="none"/>
        </w:rPr>
      </w:pPr>
    </w:p>
    <w:p w14:paraId="579C28A0">
      <w:pPr>
        <w:shd w:val="clear"/>
        <w:rPr>
          <w:color w:val="auto"/>
          <w:highlight w:val="none"/>
        </w:rPr>
      </w:pPr>
      <w:r>
        <w:rPr>
          <w:rFonts w:hint="eastAsia" w:ascii="宋体" w:hAnsi="宋体"/>
          <w:color w:val="auto"/>
          <w:highlight w:val="none"/>
        </w:rPr>
        <w:t>附营业执照、资质证书等相关资格审查资料。</w:t>
      </w:r>
    </w:p>
    <w:p w14:paraId="2365BFD8">
      <w:pPr>
        <w:shd w:val="clear"/>
        <w:rPr>
          <w:rFonts w:ascii="宋体" w:hAnsi="宋体" w:eastAsia="宋体" w:cs="宋体"/>
          <w:color w:val="auto"/>
          <w:sz w:val="23"/>
          <w:szCs w:val="23"/>
          <w:highlight w:val="none"/>
        </w:rPr>
      </w:pPr>
      <w:r>
        <w:rPr>
          <w:rFonts w:ascii="宋体" w:hAnsi="宋体" w:eastAsia="宋体" w:cs="宋体"/>
          <w:color w:val="auto"/>
          <w:sz w:val="23"/>
          <w:szCs w:val="23"/>
          <w:highlight w:val="none"/>
        </w:rPr>
        <w:br w:type="page"/>
      </w:r>
    </w:p>
    <w:p w14:paraId="6C28FEFF">
      <w:pPr>
        <w:pStyle w:val="11"/>
        <w:spacing w:line="240" w:lineRule="auto"/>
        <w:ind w:firstLine="0"/>
        <w:jc w:val="both"/>
        <w:rPr>
          <w:rFonts w:hint="eastAsia" w:ascii="宋体" w:hAnsi="宋体" w:eastAsia="宋体" w:cs="宋体"/>
          <w:color w:val="auto"/>
          <w:sz w:val="28"/>
          <w:szCs w:val="28"/>
          <w:highlight w:val="none"/>
          <w:lang w:eastAsia="zh-CN"/>
        </w:rPr>
      </w:pPr>
      <w:r>
        <w:rPr>
          <w:rFonts w:ascii="宋体" w:hAnsi="宋体" w:eastAsia="宋体" w:cs="宋体"/>
          <w:color w:val="auto"/>
          <w:sz w:val="28"/>
          <w:szCs w:val="28"/>
          <w:highlight w:val="none"/>
        </w:rPr>
        <w:t>格式</w:t>
      </w:r>
      <w:r>
        <w:rPr>
          <w:rFonts w:hint="eastAsia" w:ascii="宋体" w:hAnsi="宋体" w:eastAsia="宋体" w:cs="宋体"/>
          <w:color w:val="auto"/>
          <w:sz w:val="28"/>
          <w:szCs w:val="28"/>
          <w:highlight w:val="none"/>
          <w:lang w:val="en-US" w:eastAsia="zh-CN"/>
        </w:rPr>
        <w:t>八</w:t>
      </w:r>
      <w:r>
        <w:rPr>
          <w:rFonts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技术偏离表</w:t>
      </w:r>
    </w:p>
    <w:p w14:paraId="3426DD7B">
      <w:pPr>
        <w:pStyle w:val="11"/>
        <w:spacing w:line="240" w:lineRule="auto"/>
        <w:ind w:firstLine="0"/>
        <w:jc w:val="center"/>
        <w:rPr>
          <w:rFonts w:ascii="宋体" w:hAnsi="宋体" w:eastAsia="宋体"/>
          <w:b/>
          <w:color w:val="auto"/>
          <w:sz w:val="32"/>
          <w:szCs w:val="32"/>
          <w:highlight w:val="none"/>
        </w:rPr>
      </w:pPr>
      <w:r>
        <w:rPr>
          <w:rFonts w:hint="eastAsia" w:ascii="宋体" w:hAnsi="宋体" w:eastAsia="宋体"/>
          <w:b/>
          <w:color w:val="auto"/>
          <w:kern w:val="0"/>
          <w:sz w:val="28"/>
          <w:szCs w:val="28"/>
          <w:highlight w:val="none"/>
          <w:lang w:val="en-US" w:eastAsia="zh-CN"/>
        </w:rPr>
        <w:t>技术</w:t>
      </w:r>
      <w:r>
        <w:rPr>
          <w:rFonts w:ascii="宋体" w:hAnsi="宋体" w:eastAsia="宋体"/>
          <w:b/>
          <w:color w:val="auto"/>
          <w:kern w:val="0"/>
          <w:sz w:val="28"/>
          <w:szCs w:val="28"/>
          <w:highlight w:val="none"/>
        </w:rPr>
        <w:t>偏离表</w:t>
      </w:r>
    </w:p>
    <w:p w14:paraId="2DC1BBA3">
      <w:pPr>
        <w:pStyle w:val="11"/>
        <w:ind w:firstLine="0"/>
        <w:rPr>
          <w:rFonts w:ascii="宋体" w:hAnsi="宋体" w:eastAsia="宋体"/>
          <w:bCs/>
          <w:color w:val="auto"/>
          <w:sz w:val="21"/>
          <w:szCs w:val="21"/>
          <w:highlight w:val="none"/>
        </w:rPr>
      </w:pPr>
    </w:p>
    <w:tbl>
      <w:tblPr>
        <w:tblStyle w:val="31"/>
        <w:tblW w:w="0" w:type="auto"/>
        <w:jc w:val="center"/>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175"/>
        <w:gridCol w:w="4395"/>
        <w:gridCol w:w="2594"/>
        <w:gridCol w:w="1423"/>
      </w:tblGrid>
      <w:tr w14:paraId="1C4DF2FF">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cantSplit/>
          <w:trHeight w:val="582" w:hRule="atLeast"/>
          <w:jc w:val="center"/>
        </w:trPr>
        <w:tc>
          <w:tcPr>
            <w:tcW w:w="1175" w:type="dxa"/>
            <w:noWrap w:val="0"/>
            <w:vAlign w:val="center"/>
          </w:tcPr>
          <w:p w14:paraId="14EC35A5">
            <w:pPr>
              <w:spacing w:line="0" w:lineRule="atLeast"/>
              <w:jc w:val="center"/>
              <w:rPr>
                <w:rFonts w:ascii="宋体" w:hAnsi="宋体"/>
                <w:bCs/>
                <w:color w:val="auto"/>
                <w:kern w:val="2"/>
                <w:sz w:val="21"/>
                <w:szCs w:val="21"/>
                <w:highlight w:val="none"/>
              </w:rPr>
            </w:pPr>
            <w:r>
              <w:rPr>
                <w:rFonts w:ascii="宋体" w:hAnsi="宋体"/>
                <w:bCs/>
                <w:color w:val="auto"/>
                <w:kern w:val="2"/>
                <w:sz w:val="21"/>
                <w:szCs w:val="21"/>
                <w:highlight w:val="none"/>
              </w:rPr>
              <w:t>序号</w:t>
            </w:r>
          </w:p>
        </w:tc>
        <w:tc>
          <w:tcPr>
            <w:tcW w:w="4395" w:type="dxa"/>
            <w:noWrap w:val="0"/>
            <w:vAlign w:val="center"/>
          </w:tcPr>
          <w:p w14:paraId="35970EB7">
            <w:pPr>
              <w:spacing w:line="0" w:lineRule="atLeast"/>
              <w:jc w:val="center"/>
              <w:rPr>
                <w:rFonts w:ascii="宋体" w:hAnsi="宋体"/>
                <w:bCs/>
                <w:color w:val="auto"/>
                <w:kern w:val="2"/>
                <w:sz w:val="21"/>
                <w:szCs w:val="21"/>
                <w:highlight w:val="none"/>
              </w:rPr>
            </w:pPr>
            <w:r>
              <w:rPr>
                <w:rFonts w:ascii="宋体" w:hAnsi="宋体"/>
                <w:bCs/>
                <w:color w:val="auto"/>
                <w:kern w:val="2"/>
                <w:sz w:val="21"/>
                <w:szCs w:val="21"/>
                <w:highlight w:val="none"/>
              </w:rPr>
              <w:t>《招标文件》要求</w:t>
            </w:r>
          </w:p>
        </w:tc>
        <w:tc>
          <w:tcPr>
            <w:tcW w:w="2594" w:type="dxa"/>
            <w:noWrap w:val="0"/>
            <w:vAlign w:val="center"/>
          </w:tcPr>
          <w:p w14:paraId="6B9D5D0B">
            <w:pPr>
              <w:spacing w:line="0" w:lineRule="atLeast"/>
              <w:jc w:val="center"/>
              <w:rPr>
                <w:rFonts w:ascii="宋体" w:hAnsi="宋体"/>
                <w:bCs/>
                <w:color w:val="auto"/>
                <w:kern w:val="2"/>
                <w:sz w:val="21"/>
                <w:szCs w:val="21"/>
                <w:highlight w:val="none"/>
              </w:rPr>
            </w:pPr>
            <w:r>
              <w:rPr>
                <w:rFonts w:ascii="宋体" w:hAnsi="宋体"/>
                <w:bCs/>
                <w:color w:val="auto"/>
                <w:kern w:val="2"/>
                <w:sz w:val="21"/>
                <w:szCs w:val="21"/>
                <w:highlight w:val="none"/>
              </w:rPr>
              <w:t>《投标文件》</w:t>
            </w:r>
            <w:r>
              <w:rPr>
                <w:rFonts w:hint="eastAsia" w:ascii="宋体" w:hAnsi="宋体"/>
                <w:bCs/>
                <w:color w:val="auto"/>
                <w:kern w:val="2"/>
                <w:sz w:val="21"/>
                <w:szCs w:val="21"/>
                <w:highlight w:val="none"/>
              </w:rPr>
              <w:t>响应</w:t>
            </w:r>
          </w:p>
        </w:tc>
        <w:tc>
          <w:tcPr>
            <w:tcW w:w="1423" w:type="dxa"/>
            <w:noWrap w:val="0"/>
            <w:vAlign w:val="center"/>
          </w:tcPr>
          <w:p w14:paraId="20038FB7">
            <w:pPr>
              <w:spacing w:line="0" w:lineRule="atLeast"/>
              <w:jc w:val="center"/>
              <w:rPr>
                <w:rFonts w:ascii="宋体" w:hAnsi="宋体"/>
                <w:bCs/>
                <w:color w:val="auto"/>
                <w:kern w:val="2"/>
                <w:sz w:val="21"/>
                <w:szCs w:val="21"/>
                <w:highlight w:val="none"/>
              </w:rPr>
            </w:pPr>
            <w:r>
              <w:rPr>
                <w:rFonts w:hint="eastAsia" w:ascii="宋体" w:hAnsi="宋体"/>
                <w:bCs/>
                <w:color w:val="auto"/>
                <w:kern w:val="2"/>
                <w:sz w:val="21"/>
                <w:szCs w:val="21"/>
                <w:highlight w:val="none"/>
              </w:rPr>
              <w:t>备注</w:t>
            </w:r>
          </w:p>
        </w:tc>
      </w:tr>
      <w:tr w14:paraId="4E8D8F2F">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cantSplit/>
          <w:trHeight w:val="567" w:hRule="atLeast"/>
          <w:jc w:val="center"/>
        </w:trPr>
        <w:tc>
          <w:tcPr>
            <w:tcW w:w="1175" w:type="dxa"/>
            <w:noWrap w:val="0"/>
            <w:vAlign w:val="center"/>
          </w:tcPr>
          <w:p w14:paraId="3FF5EB77">
            <w:pPr>
              <w:jc w:val="center"/>
              <w:rPr>
                <w:rFonts w:ascii="宋体" w:hAnsi="宋体"/>
                <w:color w:val="auto"/>
                <w:w w:val="80"/>
                <w:sz w:val="24"/>
                <w:highlight w:val="none"/>
              </w:rPr>
            </w:pPr>
          </w:p>
        </w:tc>
        <w:tc>
          <w:tcPr>
            <w:tcW w:w="4395" w:type="dxa"/>
            <w:noWrap w:val="0"/>
            <w:vAlign w:val="center"/>
          </w:tcPr>
          <w:p w14:paraId="4EFF1E33">
            <w:pPr>
              <w:rPr>
                <w:rFonts w:ascii="宋体" w:hAnsi="宋体"/>
                <w:color w:val="auto"/>
                <w:sz w:val="24"/>
                <w:highlight w:val="none"/>
              </w:rPr>
            </w:pPr>
          </w:p>
        </w:tc>
        <w:tc>
          <w:tcPr>
            <w:tcW w:w="2594" w:type="dxa"/>
            <w:noWrap w:val="0"/>
            <w:vAlign w:val="center"/>
          </w:tcPr>
          <w:p w14:paraId="14DEE221">
            <w:pPr>
              <w:rPr>
                <w:rFonts w:ascii="宋体" w:hAnsi="宋体"/>
                <w:color w:val="auto"/>
                <w:sz w:val="24"/>
                <w:highlight w:val="none"/>
              </w:rPr>
            </w:pPr>
          </w:p>
        </w:tc>
        <w:tc>
          <w:tcPr>
            <w:tcW w:w="1423" w:type="dxa"/>
            <w:noWrap w:val="0"/>
            <w:vAlign w:val="top"/>
          </w:tcPr>
          <w:p w14:paraId="28EFEBAD">
            <w:pPr>
              <w:rPr>
                <w:rFonts w:ascii="宋体" w:hAnsi="宋体"/>
                <w:color w:val="auto"/>
                <w:sz w:val="24"/>
                <w:highlight w:val="none"/>
              </w:rPr>
            </w:pPr>
          </w:p>
        </w:tc>
      </w:tr>
      <w:tr w14:paraId="76103CFE">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cantSplit/>
          <w:trHeight w:val="567" w:hRule="atLeast"/>
          <w:jc w:val="center"/>
        </w:trPr>
        <w:tc>
          <w:tcPr>
            <w:tcW w:w="1175" w:type="dxa"/>
            <w:noWrap w:val="0"/>
            <w:vAlign w:val="center"/>
          </w:tcPr>
          <w:p w14:paraId="57635400">
            <w:pPr>
              <w:jc w:val="center"/>
              <w:rPr>
                <w:rFonts w:ascii="宋体" w:hAnsi="宋体"/>
                <w:color w:val="auto"/>
                <w:w w:val="80"/>
                <w:sz w:val="24"/>
                <w:highlight w:val="none"/>
              </w:rPr>
            </w:pPr>
          </w:p>
        </w:tc>
        <w:tc>
          <w:tcPr>
            <w:tcW w:w="4395" w:type="dxa"/>
            <w:noWrap w:val="0"/>
            <w:vAlign w:val="center"/>
          </w:tcPr>
          <w:p w14:paraId="7208A907">
            <w:pPr>
              <w:rPr>
                <w:rFonts w:ascii="宋体" w:hAnsi="宋体"/>
                <w:color w:val="auto"/>
                <w:sz w:val="24"/>
                <w:highlight w:val="none"/>
              </w:rPr>
            </w:pPr>
          </w:p>
        </w:tc>
        <w:tc>
          <w:tcPr>
            <w:tcW w:w="2594" w:type="dxa"/>
            <w:noWrap w:val="0"/>
            <w:vAlign w:val="center"/>
          </w:tcPr>
          <w:p w14:paraId="7ECBFD65">
            <w:pPr>
              <w:rPr>
                <w:rFonts w:ascii="宋体" w:hAnsi="宋体"/>
                <w:color w:val="auto"/>
                <w:sz w:val="24"/>
                <w:highlight w:val="none"/>
              </w:rPr>
            </w:pPr>
          </w:p>
        </w:tc>
        <w:tc>
          <w:tcPr>
            <w:tcW w:w="1423" w:type="dxa"/>
            <w:noWrap w:val="0"/>
            <w:vAlign w:val="top"/>
          </w:tcPr>
          <w:p w14:paraId="12917C17">
            <w:pPr>
              <w:rPr>
                <w:rFonts w:ascii="宋体" w:hAnsi="宋体"/>
                <w:color w:val="auto"/>
                <w:sz w:val="24"/>
                <w:highlight w:val="none"/>
              </w:rPr>
            </w:pPr>
          </w:p>
        </w:tc>
      </w:tr>
      <w:tr w14:paraId="675F7EA1">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cantSplit/>
          <w:trHeight w:val="567" w:hRule="atLeast"/>
          <w:jc w:val="center"/>
        </w:trPr>
        <w:tc>
          <w:tcPr>
            <w:tcW w:w="1175" w:type="dxa"/>
            <w:noWrap w:val="0"/>
            <w:vAlign w:val="center"/>
          </w:tcPr>
          <w:p w14:paraId="00F2950F">
            <w:pPr>
              <w:jc w:val="center"/>
              <w:rPr>
                <w:rFonts w:ascii="宋体" w:hAnsi="宋体"/>
                <w:color w:val="auto"/>
                <w:w w:val="80"/>
                <w:sz w:val="24"/>
                <w:highlight w:val="none"/>
              </w:rPr>
            </w:pPr>
          </w:p>
        </w:tc>
        <w:tc>
          <w:tcPr>
            <w:tcW w:w="4395" w:type="dxa"/>
            <w:noWrap w:val="0"/>
            <w:vAlign w:val="center"/>
          </w:tcPr>
          <w:p w14:paraId="0530006A">
            <w:pPr>
              <w:rPr>
                <w:rFonts w:ascii="宋体" w:hAnsi="宋体"/>
                <w:color w:val="auto"/>
                <w:sz w:val="24"/>
                <w:highlight w:val="none"/>
              </w:rPr>
            </w:pPr>
          </w:p>
        </w:tc>
        <w:tc>
          <w:tcPr>
            <w:tcW w:w="2594" w:type="dxa"/>
            <w:noWrap w:val="0"/>
            <w:vAlign w:val="center"/>
          </w:tcPr>
          <w:p w14:paraId="06170ED7">
            <w:pPr>
              <w:rPr>
                <w:rFonts w:ascii="宋体" w:hAnsi="宋体"/>
                <w:color w:val="auto"/>
                <w:sz w:val="24"/>
                <w:highlight w:val="none"/>
              </w:rPr>
            </w:pPr>
          </w:p>
        </w:tc>
        <w:tc>
          <w:tcPr>
            <w:tcW w:w="1423" w:type="dxa"/>
            <w:noWrap w:val="0"/>
            <w:vAlign w:val="top"/>
          </w:tcPr>
          <w:p w14:paraId="01CF4D0C">
            <w:pPr>
              <w:rPr>
                <w:rFonts w:ascii="宋体" w:hAnsi="宋体"/>
                <w:color w:val="auto"/>
                <w:sz w:val="24"/>
                <w:highlight w:val="none"/>
              </w:rPr>
            </w:pPr>
          </w:p>
        </w:tc>
      </w:tr>
      <w:tr w14:paraId="2B5A6C53">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cantSplit/>
          <w:trHeight w:val="567" w:hRule="atLeast"/>
          <w:jc w:val="center"/>
        </w:trPr>
        <w:tc>
          <w:tcPr>
            <w:tcW w:w="1175" w:type="dxa"/>
            <w:noWrap w:val="0"/>
            <w:vAlign w:val="center"/>
          </w:tcPr>
          <w:p w14:paraId="065CEA00">
            <w:pPr>
              <w:jc w:val="center"/>
              <w:rPr>
                <w:rFonts w:ascii="宋体" w:hAnsi="宋体"/>
                <w:color w:val="auto"/>
                <w:w w:val="80"/>
                <w:sz w:val="24"/>
                <w:highlight w:val="none"/>
              </w:rPr>
            </w:pPr>
          </w:p>
        </w:tc>
        <w:tc>
          <w:tcPr>
            <w:tcW w:w="4395" w:type="dxa"/>
            <w:noWrap w:val="0"/>
            <w:vAlign w:val="center"/>
          </w:tcPr>
          <w:p w14:paraId="28DB95A2">
            <w:pPr>
              <w:rPr>
                <w:rFonts w:ascii="宋体" w:hAnsi="宋体"/>
                <w:color w:val="auto"/>
                <w:sz w:val="24"/>
                <w:highlight w:val="none"/>
              </w:rPr>
            </w:pPr>
          </w:p>
        </w:tc>
        <w:tc>
          <w:tcPr>
            <w:tcW w:w="2594" w:type="dxa"/>
            <w:noWrap w:val="0"/>
            <w:vAlign w:val="center"/>
          </w:tcPr>
          <w:p w14:paraId="6263E5EE">
            <w:pPr>
              <w:rPr>
                <w:rFonts w:ascii="宋体" w:hAnsi="宋体"/>
                <w:color w:val="auto"/>
                <w:sz w:val="24"/>
                <w:highlight w:val="none"/>
              </w:rPr>
            </w:pPr>
          </w:p>
        </w:tc>
        <w:tc>
          <w:tcPr>
            <w:tcW w:w="1423" w:type="dxa"/>
            <w:noWrap w:val="0"/>
            <w:vAlign w:val="top"/>
          </w:tcPr>
          <w:p w14:paraId="07411ED2">
            <w:pPr>
              <w:rPr>
                <w:rFonts w:ascii="宋体" w:hAnsi="宋体"/>
                <w:color w:val="auto"/>
                <w:sz w:val="24"/>
                <w:highlight w:val="none"/>
              </w:rPr>
            </w:pPr>
          </w:p>
        </w:tc>
      </w:tr>
      <w:tr w14:paraId="58422785">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cantSplit/>
          <w:trHeight w:val="567" w:hRule="atLeast"/>
          <w:jc w:val="center"/>
        </w:trPr>
        <w:tc>
          <w:tcPr>
            <w:tcW w:w="1175" w:type="dxa"/>
            <w:noWrap w:val="0"/>
            <w:vAlign w:val="center"/>
          </w:tcPr>
          <w:p w14:paraId="179F5001">
            <w:pPr>
              <w:jc w:val="center"/>
              <w:rPr>
                <w:rFonts w:ascii="宋体" w:hAnsi="宋体"/>
                <w:color w:val="auto"/>
                <w:w w:val="80"/>
                <w:sz w:val="24"/>
                <w:highlight w:val="none"/>
              </w:rPr>
            </w:pPr>
          </w:p>
        </w:tc>
        <w:tc>
          <w:tcPr>
            <w:tcW w:w="4395" w:type="dxa"/>
            <w:noWrap w:val="0"/>
            <w:vAlign w:val="center"/>
          </w:tcPr>
          <w:p w14:paraId="62DACE27">
            <w:pPr>
              <w:rPr>
                <w:rFonts w:ascii="宋体" w:hAnsi="宋体"/>
                <w:color w:val="auto"/>
                <w:sz w:val="24"/>
                <w:highlight w:val="none"/>
              </w:rPr>
            </w:pPr>
          </w:p>
        </w:tc>
        <w:tc>
          <w:tcPr>
            <w:tcW w:w="2594" w:type="dxa"/>
            <w:noWrap w:val="0"/>
            <w:vAlign w:val="center"/>
          </w:tcPr>
          <w:p w14:paraId="536BC31E">
            <w:pPr>
              <w:rPr>
                <w:rFonts w:ascii="宋体" w:hAnsi="宋体"/>
                <w:color w:val="auto"/>
                <w:sz w:val="24"/>
                <w:highlight w:val="none"/>
              </w:rPr>
            </w:pPr>
          </w:p>
        </w:tc>
        <w:tc>
          <w:tcPr>
            <w:tcW w:w="1423" w:type="dxa"/>
            <w:noWrap w:val="0"/>
            <w:vAlign w:val="top"/>
          </w:tcPr>
          <w:p w14:paraId="705E2488">
            <w:pPr>
              <w:rPr>
                <w:rFonts w:ascii="宋体" w:hAnsi="宋体"/>
                <w:color w:val="auto"/>
                <w:sz w:val="24"/>
                <w:highlight w:val="none"/>
              </w:rPr>
            </w:pPr>
          </w:p>
        </w:tc>
      </w:tr>
      <w:tr w14:paraId="36DC0E61">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cantSplit/>
          <w:trHeight w:val="567" w:hRule="atLeast"/>
          <w:jc w:val="center"/>
        </w:trPr>
        <w:tc>
          <w:tcPr>
            <w:tcW w:w="1175" w:type="dxa"/>
            <w:noWrap w:val="0"/>
            <w:vAlign w:val="center"/>
          </w:tcPr>
          <w:p w14:paraId="182C69A4">
            <w:pPr>
              <w:jc w:val="center"/>
              <w:rPr>
                <w:rFonts w:ascii="宋体" w:hAnsi="宋体"/>
                <w:color w:val="auto"/>
                <w:w w:val="80"/>
                <w:sz w:val="24"/>
                <w:highlight w:val="none"/>
              </w:rPr>
            </w:pPr>
          </w:p>
        </w:tc>
        <w:tc>
          <w:tcPr>
            <w:tcW w:w="4395" w:type="dxa"/>
            <w:noWrap w:val="0"/>
            <w:vAlign w:val="center"/>
          </w:tcPr>
          <w:p w14:paraId="6B406F61">
            <w:pPr>
              <w:rPr>
                <w:rFonts w:ascii="宋体" w:hAnsi="宋体"/>
                <w:color w:val="auto"/>
                <w:sz w:val="24"/>
                <w:highlight w:val="none"/>
              </w:rPr>
            </w:pPr>
          </w:p>
        </w:tc>
        <w:tc>
          <w:tcPr>
            <w:tcW w:w="2594" w:type="dxa"/>
            <w:noWrap w:val="0"/>
            <w:vAlign w:val="center"/>
          </w:tcPr>
          <w:p w14:paraId="5C67A46B">
            <w:pPr>
              <w:rPr>
                <w:rFonts w:ascii="宋体" w:hAnsi="宋体"/>
                <w:color w:val="auto"/>
                <w:sz w:val="24"/>
                <w:highlight w:val="none"/>
              </w:rPr>
            </w:pPr>
          </w:p>
        </w:tc>
        <w:tc>
          <w:tcPr>
            <w:tcW w:w="1423" w:type="dxa"/>
            <w:noWrap w:val="0"/>
            <w:vAlign w:val="top"/>
          </w:tcPr>
          <w:p w14:paraId="0BC4C1DA">
            <w:pPr>
              <w:rPr>
                <w:rFonts w:ascii="宋体" w:hAnsi="宋体"/>
                <w:color w:val="auto"/>
                <w:sz w:val="24"/>
                <w:highlight w:val="none"/>
              </w:rPr>
            </w:pPr>
          </w:p>
        </w:tc>
      </w:tr>
      <w:tr w14:paraId="4BAE74C1">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cantSplit/>
          <w:trHeight w:val="567" w:hRule="atLeast"/>
          <w:jc w:val="center"/>
        </w:trPr>
        <w:tc>
          <w:tcPr>
            <w:tcW w:w="1175" w:type="dxa"/>
            <w:noWrap w:val="0"/>
            <w:vAlign w:val="center"/>
          </w:tcPr>
          <w:p w14:paraId="19098D1D">
            <w:pPr>
              <w:jc w:val="center"/>
              <w:rPr>
                <w:rFonts w:ascii="宋体" w:hAnsi="宋体"/>
                <w:color w:val="auto"/>
                <w:w w:val="80"/>
                <w:sz w:val="24"/>
                <w:highlight w:val="none"/>
              </w:rPr>
            </w:pPr>
          </w:p>
        </w:tc>
        <w:tc>
          <w:tcPr>
            <w:tcW w:w="4395" w:type="dxa"/>
            <w:noWrap w:val="0"/>
            <w:vAlign w:val="center"/>
          </w:tcPr>
          <w:p w14:paraId="0108C16C">
            <w:pPr>
              <w:rPr>
                <w:rFonts w:ascii="宋体" w:hAnsi="宋体"/>
                <w:color w:val="auto"/>
                <w:sz w:val="24"/>
                <w:highlight w:val="none"/>
              </w:rPr>
            </w:pPr>
          </w:p>
        </w:tc>
        <w:tc>
          <w:tcPr>
            <w:tcW w:w="2594" w:type="dxa"/>
            <w:noWrap w:val="0"/>
            <w:vAlign w:val="center"/>
          </w:tcPr>
          <w:p w14:paraId="032B1673">
            <w:pPr>
              <w:rPr>
                <w:rFonts w:ascii="宋体" w:hAnsi="宋体"/>
                <w:color w:val="auto"/>
                <w:sz w:val="24"/>
                <w:highlight w:val="none"/>
              </w:rPr>
            </w:pPr>
          </w:p>
        </w:tc>
        <w:tc>
          <w:tcPr>
            <w:tcW w:w="1423" w:type="dxa"/>
            <w:noWrap w:val="0"/>
            <w:vAlign w:val="top"/>
          </w:tcPr>
          <w:p w14:paraId="08B1592B">
            <w:pPr>
              <w:rPr>
                <w:rFonts w:ascii="宋体" w:hAnsi="宋体"/>
                <w:color w:val="auto"/>
                <w:sz w:val="24"/>
                <w:highlight w:val="none"/>
              </w:rPr>
            </w:pPr>
          </w:p>
        </w:tc>
      </w:tr>
      <w:tr w14:paraId="54C454D3">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cantSplit/>
          <w:trHeight w:val="567" w:hRule="atLeast"/>
          <w:jc w:val="center"/>
        </w:trPr>
        <w:tc>
          <w:tcPr>
            <w:tcW w:w="1175" w:type="dxa"/>
            <w:noWrap w:val="0"/>
            <w:vAlign w:val="center"/>
          </w:tcPr>
          <w:p w14:paraId="774A82B7">
            <w:pPr>
              <w:jc w:val="center"/>
              <w:rPr>
                <w:rFonts w:ascii="宋体" w:hAnsi="宋体"/>
                <w:color w:val="auto"/>
                <w:w w:val="80"/>
                <w:sz w:val="24"/>
                <w:highlight w:val="none"/>
              </w:rPr>
            </w:pPr>
          </w:p>
        </w:tc>
        <w:tc>
          <w:tcPr>
            <w:tcW w:w="4395" w:type="dxa"/>
            <w:noWrap w:val="0"/>
            <w:vAlign w:val="center"/>
          </w:tcPr>
          <w:p w14:paraId="18EA0C9B">
            <w:pPr>
              <w:rPr>
                <w:rFonts w:ascii="宋体" w:hAnsi="宋体"/>
                <w:color w:val="auto"/>
                <w:sz w:val="24"/>
                <w:highlight w:val="none"/>
              </w:rPr>
            </w:pPr>
          </w:p>
        </w:tc>
        <w:tc>
          <w:tcPr>
            <w:tcW w:w="2594" w:type="dxa"/>
            <w:noWrap w:val="0"/>
            <w:vAlign w:val="center"/>
          </w:tcPr>
          <w:p w14:paraId="1ACE6B43">
            <w:pPr>
              <w:rPr>
                <w:rFonts w:ascii="宋体" w:hAnsi="宋体"/>
                <w:color w:val="auto"/>
                <w:sz w:val="24"/>
                <w:highlight w:val="none"/>
              </w:rPr>
            </w:pPr>
          </w:p>
        </w:tc>
        <w:tc>
          <w:tcPr>
            <w:tcW w:w="1423" w:type="dxa"/>
            <w:noWrap w:val="0"/>
            <w:vAlign w:val="top"/>
          </w:tcPr>
          <w:p w14:paraId="3D012EEB">
            <w:pPr>
              <w:rPr>
                <w:rFonts w:ascii="宋体" w:hAnsi="宋体"/>
                <w:color w:val="auto"/>
                <w:sz w:val="24"/>
                <w:highlight w:val="none"/>
              </w:rPr>
            </w:pPr>
          </w:p>
        </w:tc>
      </w:tr>
      <w:tr w14:paraId="1A745EA6">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cantSplit/>
          <w:trHeight w:val="567" w:hRule="atLeast"/>
          <w:jc w:val="center"/>
        </w:trPr>
        <w:tc>
          <w:tcPr>
            <w:tcW w:w="1175" w:type="dxa"/>
            <w:noWrap w:val="0"/>
            <w:vAlign w:val="center"/>
          </w:tcPr>
          <w:p w14:paraId="2D401FFD">
            <w:pPr>
              <w:jc w:val="center"/>
              <w:rPr>
                <w:rFonts w:ascii="宋体" w:hAnsi="宋体"/>
                <w:color w:val="auto"/>
                <w:w w:val="80"/>
                <w:sz w:val="24"/>
                <w:highlight w:val="none"/>
              </w:rPr>
            </w:pPr>
          </w:p>
        </w:tc>
        <w:tc>
          <w:tcPr>
            <w:tcW w:w="4395" w:type="dxa"/>
            <w:noWrap w:val="0"/>
            <w:vAlign w:val="center"/>
          </w:tcPr>
          <w:p w14:paraId="1B0ECDBA">
            <w:pPr>
              <w:rPr>
                <w:rFonts w:ascii="宋体" w:hAnsi="宋体"/>
                <w:color w:val="auto"/>
                <w:sz w:val="24"/>
                <w:highlight w:val="none"/>
              </w:rPr>
            </w:pPr>
          </w:p>
        </w:tc>
        <w:tc>
          <w:tcPr>
            <w:tcW w:w="2594" w:type="dxa"/>
            <w:noWrap w:val="0"/>
            <w:vAlign w:val="center"/>
          </w:tcPr>
          <w:p w14:paraId="3256E834">
            <w:pPr>
              <w:rPr>
                <w:rFonts w:ascii="宋体" w:hAnsi="宋体"/>
                <w:color w:val="auto"/>
                <w:sz w:val="24"/>
                <w:highlight w:val="none"/>
              </w:rPr>
            </w:pPr>
          </w:p>
        </w:tc>
        <w:tc>
          <w:tcPr>
            <w:tcW w:w="1423" w:type="dxa"/>
            <w:noWrap w:val="0"/>
            <w:vAlign w:val="top"/>
          </w:tcPr>
          <w:p w14:paraId="1FA9B286">
            <w:pPr>
              <w:rPr>
                <w:rFonts w:ascii="宋体" w:hAnsi="宋体"/>
                <w:color w:val="auto"/>
                <w:sz w:val="24"/>
                <w:highlight w:val="none"/>
              </w:rPr>
            </w:pPr>
          </w:p>
        </w:tc>
      </w:tr>
      <w:tr w14:paraId="3BA87B2B">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cantSplit/>
          <w:trHeight w:val="567" w:hRule="atLeast"/>
          <w:jc w:val="center"/>
        </w:trPr>
        <w:tc>
          <w:tcPr>
            <w:tcW w:w="1175" w:type="dxa"/>
            <w:noWrap w:val="0"/>
            <w:vAlign w:val="center"/>
          </w:tcPr>
          <w:p w14:paraId="560AFBC6">
            <w:pPr>
              <w:jc w:val="center"/>
              <w:rPr>
                <w:rFonts w:ascii="宋体" w:hAnsi="宋体"/>
                <w:color w:val="auto"/>
                <w:w w:val="80"/>
                <w:sz w:val="24"/>
                <w:highlight w:val="none"/>
              </w:rPr>
            </w:pPr>
          </w:p>
        </w:tc>
        <w:tc>
          <w:tcPr>
            <w:tcW w:w="4395" w:type="dxa"/>
            <w:noWrap w:val="0"/>
            <w:vAlign w:val="center"/>
          </w:tcPr>
          <w:p w14:paraId="66D2CB59">
            <w:pPr>
              <w:rPr>
                <w:rFonts w:ascii="宋体" w:hAnsi="宋体"/>
                <w:color w:val="auto"/>
                <w:sz w:val="24"/>
                <w:highlight w:val="none"/>
              </w:rPr>
            </w:pPr>
          </w:p>
        </w:tc>
        <w:tc>
          <w:tcPr>
            <w:tcW w:w="2594" w:type="dxa"/>
            <w:noWrap w:val="0"/>
            <w:vAlign w:val="center"/>
          </w:tcPr>
          <w:p w14:paraId="6CD58095">
            <w:pPr>
              <w:rPr>
                <w:rFonts w:ascii="宋体" w:hAnsi="宋体"/>
                <w:color w:val="auto"/>
                <w:sz w:val="24"/>
                <w:highlight w:val="none"/>
              </w:rPr>
            </w:pPr>
          </w:p>
        </w:tc>
        <w:tc>
          <w:tcPr>
            <w:tcW w:w="1423" w:type="dxa"/>
            <w:noWrap w:val="0"/>
            <w:vAlign w:val="top"/>
          </w:tcPr>
          <w:p w14:paraId="488F2E44">
            <w:pPr>
              <w:rPr>
                <w:rFonts w:ascii="宋体" w:hAnsi="宋体"/>
                <w:color w:val="auto"/>
                <w:sz w:val="24"/>
                <w:highlight w:val="none"/>
              </w:rPr>
            </w:pPr>
          </w:p>
        </w:tc>
      </w:tr>
      <w:tr w14:paraId="29921C14">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cantSplit/>
          <w:trHeight w:val="567" w:hRule="atLeast"/>
          <w:jc w:val="center"/>
        </w:trPr>
        <w:tc>
          <w:tcPr>
            <w:tcW w:w="1175" w:type="dxa"/>
            <w:noWrap w:val="0"/>
            <w:vAlign w:val="center"/>
          </w:tcPr>
          <w:p w14:paraId="1986047E">
            <w:pPr>
              <w:jc w:val="center"/>
              <w:rPr>
                <w:rFonts w:ascii="宋体" w:hAnsi="宋体"/>
                <w:color w:val="auto"/>
                <w:w w:val="80"/>
                <w:sz w:val="24"/>
                <w:highlight w:val="none"/>
              </w:rPr>
            </w:pPr>
          </w:p>
        </w:tc>
        <w:tc>
          <w:tcPr>
            <w:tcW w:w="4395" w:type="dxa"/>
            <w:noWrap w:val="0"/>
            <w:vAlign w:val="center"/>
          </w:tcPr>
          <w:p w14:paraId="02EEEE58">
            <w:pPr>
              <w:rPr>
                <w:rFonts w:ascii="宋体" w:hAnsi="宋体"/>
                <w:color w:val="auto"/>
                <w:sz w:val="24"/>
                <w:highlight w:val="none"/>
              </w:rPr>
            </w:pPr>
          </w:p>
        </w:tc>
        <w:tc>
          <w:tcPr>
            <w:tcW w:w="2594" w:type="dxa"/>
            <w:noWrap w:val="0"/>
            <w:vAlign w:val="center"/>
          </w:tcPr>
          <w:p w14:paraId="7D7C8619">
            <w:pPr>
              <w:rPr>
                <w:rFonts w:ascii="宋体" w:hAnsi="宋体"/>
                <w:color w:val="auto"/>
                <w:sz w:val="24"/>
                <w:highlight w:val="none"/>
              </w:rPr>
            </w:pPr>
          </w:p>
        </w:tc>
        <w:tc>
          <w:tcPr>
            <w:tcW w:w="1423" w:type="dxa"/>
            <w:noWrap w:val="0"/>
            <w:vAlign w:val="top"/>
          </w:tcPr>
          <w:p w14:paraId="2F545C95">
            <w:pPr>
              <w:rPr>
                <w:rFonts w:ascii="宋体" w:hAnsi="宋体"/>
                <w:color w:val="auto"/>
                <w:sz w:val="24"/>
                <w:highlight w:val="none"/>
              </w:rPr>
            </w:pPr>
          </w:p>
        </w:tc>
      </w:tr>
      <w:tr w14:paraId="5F71C765">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cantSplit/>
          <w:trHeight w:val="567" w:hRule="atLeast"/>
          <w:jc w:val="center"/>
        </w:trPr>
        <w:tc>
          <w:tcPr>
            <w:tcW w:w="1175" w:type="dxa"/>
            <w:noWrap w:val="0"/>
            <w:vAlign w:val="center"/>
          </w:tcPr>
          <w:p w14:paraId="53FAED1D">
            <w:pPr>
              <w:pStyle w:val="17"/>
              <w:spacing w:line="240" w:lineRule="auto"/>
              <w:jc w:val="center"/>
              <w:rPr>
                <w:rFonts w:hAnsi="宋体"/>
                <w:color w:val="auto"/>
                <w:w w:val="80"/>
                <w:kern w:val="2"/>
                <w:highlight w:val="none"/>
              </w:rPr>
            </w:pPr>
          </w:p>
        </w:tc>
        <w:tc>
          <w:tcPr>
            <w:tcW w:w="4395" w:type="dxa"/>
            <w:noWrap w:val="0"/>
            <w:vAlign w:val="center"/>
          </w:tcPr>
          <w:p w14:paraId="2213A3FA">
            <w:pPr>
              <w:rPr>
                <w:rFonts w:ascii="宋体" w:hAnsi="宋体"/>
                <w:color w:val="auto"/>
                <w:sz w:val="24"/>
                <w:highlight w:val="none"/>
              </w:rPr>
            </w:pPr>
          </w:p>
        </w:tc>
        <w:tc>
          <w:tcPr>
            <w:tcW w:w="2594" w:type="dxa"/>
            <w:noWrap w:val="0"/>
            <w:vAlign w:val="center"/>
          </w:tcPr>
          <w:p w14:paraId="36FB0E62">
            <w:pPr>
              <w:pStyle w:val="18"/>
              <w:spacing w:line="240" w:lineRule="auto"/>
              <w:rPr>
                <w:rFonts w:hAnsi="宋体"/>
                <w:color w:val="auto"/>
                <w:highlight w:val="none"/>
              </w:rPr>
            </w:pPr>
          </w:p>
        </w:tc>
        <w:tc>
          <w:tcPr>
            <w:tcW w:w="1423" w:type="dxa"/>
            <w:noWrap w:val="0"/>
            <w:vAlign w:val="top"/>
          </w:tcPr>
          <w:p w14:paraId="4BF5ED46">
            <w:pPr>
              <w:pStyle w:val="18"/>
              <w:spacing w:line="240" w:lineRule="auto"/>
              <w:rPr>
                <w:rFonts w:hAnsi="宋体"/>
                <w:color w:val="auto"/>
                <w:highlight w:val="none"/>
              </w:rPr>
            </w:pPr>
          </w:p>
        </w:tc>
      </w:tr>
      <w:tr w14:paraId="5F2B8159">
        <w:tblPrEx>
          <w:tblBorders>
            <w:top w:val="double" w:color="auto" w:sz="4" w:space="0"/>
            <w:left w:val="double" w:color="auto" w:sz="4" w:space="0"/>
            <w:bottom w:val="double" w:color="auto" w:sz="4" w:space="0"/>
            <w:right w:val="double" w:color="auto" w:sz="4" w:space="0"/>
            <w:insideH w:val="single" w:color="auto" w:sz="2" w:space="0"/>
            <w:insideV w:val="single" w:color="auto" w:sz="2" w:space="0"/>
          </w:tblBorders>
          <w:tblCellMar>
            <w:top w:w="0" w:type="dxa"/>
            <w:left w:w="108" w:type="dxa"/>
            <w:bottom w:w="0" w:type="dxa"/>
            <w:right w:w="108" w:type="dxa"/>
          </w:tblCellMar>
        </w:tblPrEx>
        <w:trPr>
          <w:cantSplit/>
          <w:trHeight w:val="567" w:hRule="atLeast"/>
          <w:jc w:val="center"/>
        </w:trPr>
        <w:tc>
          <w:tcPr>
            <w:tcW w:w="1175" w:type="dxa"/>
            <w:noWrap w:val="0"/>
            <w:vAlign w:val="center"/>
          </w:tcPr>
          <w:p w14:paraId="07DF8276">
            <w:pPr>
              <w:pStyle w:val="17"/>
              <w:spacing w:line="240" w:lineRule="auto"/>
              <w:jc w:val="center"/>
              <w:rPr>
                <w:rFonts w:hAnsi="宋体"/>
                <w:color w:val="auto"/>
                <w:w w:val="80"/>
                <w:kern w:val="2"/>
                <w:highlight w:val="none"/>
              </w:rPr>
            </w:pPr>
          </w:p>
        </w:tc>
        <w:tc>
          <w:tcPr>
            <w:tcW w:w="4395" w:type="dxa"/>
            <w:noWrap w:val="0"/>
            <w:vAlign w:val="center"/>
          </w:tcPr>
          <w:p w14:paraId="5C6BF3A6">
            <w:pPr>
              <w:rPr>
                <w:rFonts w:ascii="宋体" w:hAnsi="宋体"/>
                <w:color w:val="auto"/>
                <w:sz w:val="24"/>
                <w:highlight w:val="none"/>
              </w:rPr>
            </w:pPr>
          </w:p>
        </w:tc>
        <w:tc>
          <w:tcPr>
            <w:tcW w:w="2594" w:type="dxa"/>
            <w:noWrap w:val="0"/>
            <w:vAlign w:val="center"/>
          </w:tcPr>
          <w:p w14:paraId="26A9FBD1">
            <w:pPr>
              <w:pStyle w:val="18"/>
              <w:spacing w:line="240" w:lineRule="auto"/>
              <w:rPr>
                <w:rFonts w:hAnsi="宋体"/>
                <w:color w:val="auto"/>
                <w:highlight w:val="none"/>
              </w:rPr>
            </w:pPr>
          </w:p>
        </w:tc>
        <w:tc>
          <w:tcPr>
            <w:tcW w:w="1423" w:type="dxa"/>
            <w:noWrap w:val="0"/>
            <w:vAlign w:val="top"/>
          </w:tcPr>
          <w:p w14:paraId="7CEFA166">
            <w:pPr>
              <w:pStyle w:val="18"/>
              <w:spacing w:line="240" w:lineRule="auto"/>
              <w:rPr>
                <w:rFonts w:hAnsi="宋体"/>
                <w:color w:val="auto"/>
                <w:highlight w:val="none"/>
              </w:rPr>
            </w:pPr>
          </w:p>
        </w:tc>
      </w:tr>
    </w:tbl>
    <w:p w14:paraId="5FA2608F">
      <w:pPr>
        <w:pStyle w:val="11"/>
        <w:ind w:firstLine="0"/>
        <w:rPr>
          <w:rFonts w:ascii="宋体" w:hAnsi="宋体" w:eastAsia="宋体"/>
          <w:bCs/>
          <w:color w:val="auto"/>
          <w:sz w:val="21"/>
          <w:szCs w:val="21"/>
          <w:highlight w:val="none"/>
        </w:rPr>
      </w:pPr>
      <w:r>
        <w:rPr>
          <w:rFonts w:ascii="宋体" w:hAnsi="宋体" w:eastAsia="宋体"/>
          <w:bCs/>
          <w:color w:val="auto"/>
          <w:sz w:val="21"/>
          <w:szCs w:val="21"/>
          <w:highlight w:val="none"/>
        </w:rPr>
        <w:t>备注：</w:t>
      </w:r>
    </w:p>
    <w:p w14:paraId="02A272C1">
      <w:pPr>
        <w:pStyle w:val="11"/>
        <w:ind w:firstLine="0"/>
        <w:rPr>
          <w:rFonts w:ascii="宋体" w:hAnsi="宋体" w:eastAsia="宋体"/>
          <w:bCs/>
          <w:color w:val="auto"/>
          <w:sz w:val="21"/>
          <w:szCs w:val="21"/>
          <w:highlight w:val="none"/>
        </w:rPr>
      </w:pPr>
      <w:r>
        <w:rPr>
          <w:rFonts w:ascii="宋体" w:hAnsi="宋体" w:eastAsia="宋体"/>
          <w:bCs/>
          <w:color w:val="auto"/>
          <w:sz w:val="21"/>
          <w:szCs w:val="21"/>
          <w:highlight w:val="none"/>
        </w:rPr>
        <w:t>1、招标文件</w:t>
      </w:r>
      <w:r>
        <w:rPr>
          <w:rFonts w:hint="eastAsia" w:ascii="宋体" w:hAnsi="宋体" w:eastAsia="宋体"/>
          <w:bCs/>
          <w:color w:val="auto"/>
          <w:sz w:val="21"/>
          <w:szCs w:val="21"/>
          <w:highlight w:val="none"/>
          <w:lang w:eastAsia="zh-CN"/>
        </w:rPr>
        <w:t>中</w:t>
      </w:r>
      <w:r>
        <w:rPr>
          <w:rFonts w:hint="eastAsia" w:ascii="宋体" w:hAnsi="宋体" w:eastAsia="宋体"/>
          <w:bCs/>
          <w:color w:val="auto"/>
          <w:sz w:val="21"/>
          <w:szCs w:val="21"/>
          <w:highlight w:val="none"/>
        </w:rPr>
        <w:t>打“★”指标不允许偏离</w:t>
      </w:r>
      <w:r>
        <w:rPr>
          <w:rFonts w:hint="eastAsia" w:ascii="宋体" w:hAnsi="宋体" w:eastAsia="宋体"/>
          <w:bCs/>
          <w:color w:val="auto"/>
          <w:sz w:val="21"/>
          <w:szCs w:val="21"/>
          <w:highlight w:val="none"/>
          <w:lang w:eastAsia="zh-CN"/>
        </w:rPr>
        <w:t>，否则作无效标处理</w:t>
      </w:r>
      <w:r>
        <w:rPr>
          <w:rFonts w:ascii="宋体" w:hAnsi="宋体" w:eastAsia="宋体"/>
          <w:bCs/>
          <w:color w:val="auto"/>
          <w:sz w:val="21"/>
          <w:szCs w:val="21"/>
          <w:highlight w:val="none"/>
        </w:rPr>
        <w:t>。</w:t>
      </w:r>
    </w:p>
    <w:p w14:paraId="01A121D5">
      <w:pPr>
        <w:pStyle w:val="11"/>
        <w:ind w:firstLine="0"/>
        <w:rPr>
          <w:rFonts w:ascii="宋体" w:hAnsi="宋体" w:eastAsia="宋体"/>
          <w:bCs/>
          <w:color w:val="auto"/>
          <w:sz w:val="21"/>
          <w:szCs w:val="21"/>
          <w:highlight w:val="none"/>
        </w:rPr>
      </w:pPr>
      <w:r>
        <w:rPr>
          <w:rFonts w:hint="eastAsia" w:ascii="宋体" w:hAnsi="宋体" w:eastAsia="宋体"/>
          <w:bCs/>
          <w:color w:val="auto"/>
          <w:sz w:val="21"/>
          <w:szCs w:val="21"/>
          <w:highlight w:val="none"/>
        </w:rPr>
        <w:t>2、当“偏离情况”列出现“正偏离”情况时应在对应备注栏填写偏离情况说明，并在响应材料中提供相应有效的证明材料，所有证明材料均须加盖单位公章。</w:t>
      </w:r>
    </w:p>
    <w:p w14:paraId="0DEB554D">
      <w:pPr>
        <w:spacing w:line="360" w:lineRule="auto"/>
        <w:rPr>
          <w:rFonts w:ascii="宋体" w:hAnsi="宋体"/>
          <w:color w:val="auto"/>
          <w:sz w:val="24"/>
          <w:highlight w:val="none"/>
        </w:rPr>
      </w:pPr>
    </w:p>
    <w:p w14:paraId="757AA40F">
      <w:pPr>
        <w:spacing w:line="360" w:lineRule="auto"/>
        <w:rPr>
          <w:rFonts w:ascii="宋体" w:hAnsi="宋体"/>
          <w:color w:val="auto"/>
          <w:sz w:val="24"/>
          <w:highlight w:val="none"/>
        </w:rPr>
      </w:pPr>
    </w:p>
    <w:p w14:paraId="3FE1EA05">
      <w:pPr>
        <w:spacing w:line="360" w:lineRule="auto"/>
        <w:ind w:left="4200" w:leftChars="2000" w:right="601" w:rightChars="286"/>
        <w:rPr>
          <w:rFonts w:hint="eastAsia" w:ascii="宋体" w:hAnsi="宋体" w:cs="Arial"/>
          <w:color w:val="auto"/>
          <w:szCs w:val="21"/>
          <w:highlight w:val="none"/>
        </w:rPr>
      </w:pPr>
      <w:r>
        <w:rPr>
          <w:rFonts w:hint="eastAsia" w:ascii="宋体" w:hAnsi="宋体"/>
          <w:color w:val="auto"/>
          <w:kern w:val="58"/>
          <w:szCs w:val="21"/>
          <w:highlight w:val="none"/>
        </w:rPr>
        <w:t>投标人：（盖单位公章）</w:t>
      </w:r>
    </w:p>
    <w:p w14:paraId="554F8137">
      <w:pPr>
        <w:spacing w:line="360" w:lineRule="auto"/>
        <w:ind w:left="4200" w:leftChars="2000" w:right="481" w:rightChars="229"/>
        <w:rPr>
          <w:rFonts w:hint="eastAsia" w:ascii="宋体" w:hAnsi="宋体" w:cs="Arial"/>
          <w:color w:val="auto"/>
          <w:szCs w:val="21"/>
          <w:highlight w:val="none"/>
        </w:rPr>
      </w:pPr>
      <w:r>
        <w:rPr>
          <w:rFonts w:hint="eastAsia" w:ascii="宋体" w:hAnsi="宋体"/>
          <w:color w:val="auto"/>
          <w:kern w:val="58"/>
          <w:szCs w:val="21"/>
          <w:highlight w:val="none"/>
        </w:rPr>
        <w:t>法定代表人或其委托代理人：（签字或盖章）</w:t>
      </w:r>
    </w:p>
    <w:p w14:paraId="2A17E1F5">
      <w:pPr>
        <w:pStyle w:val="142"/>
        <w:spacing w:line="360" w:lineRule="auto"/>
        <w:ind w:left="4200" w:leftChars="2000"/>
        <w:rPr>
          <w:rFonts w:ascii="宋体" w:hAnsi="宋体"/>
          <w:color w:val="auto"/>
          <w:highlight w:val="none"/>
        </w:rPr>
      </w:pPr>
      <w:r>
        <w:rPr>
          <w:rFonts w:hint="eastAsia" w:ascii="宋体" w:hAnsi="宋体"/>
          <w:color w:val="auto"/>
          <w:kern w:val="58"/>
          <w:szCs w:val="21"/>
          <w:highlight w:val="none"/>
        </w:rPr>
        <w:t>日期：     年     月     日</w:t>
      </w:r>
      <w:r>
        <w:rPr>
          <w:rFonts w:ascii="宋体" w:hAnsi="宋体"/>
          <w:color w:val="auto"/>
          <w:highlight w:val="none"/>
        </w:rPr>
        <w:t xml:space="preserve"> </w:t>
      </w:r>
    </w:p>
    <w:p w14:paraId="65B9E8AB">
      <w:pPr>
        <w:shd w:val="clear"/>
        <w:spacing w:before="0" w:line="240" w:lineRule="auto"/>
        <w:ind w:left="0"/>
        <w:jc w:val="left"/>
        <w:outlineLvl w:val="9"/>
        <w:rPr>
          <w:rFonts w:ascii="宋体" w:hAnsi="宋体" w:eastAsia="宋体" w:cs="宋体"/>
          <w:color w:val="auto"/>
          <w:sz w:val="28"/>
          <w:szCs w:val="28"/>
          <w:highlight w:val="none"/>
        </w:rPr>
      </w:pPr>
      <w:r>
        <w:rPr>
          <w:rFonts w:ascii="宋体" w:hAnsi="宋体" w:eastAsia="宋体" w:cs="宋体"/>
          <w:color w:val="auto"/>
          <w:sz w:val="28"/>
          <w:szCs w:val="28"/>
          <w:highlight w:val="none"/>
        </w:rPr>
        <w:br w:type="page"/>
      </w:r>
    </w:p>
    <w:p w14:paraId="2C83222D">
      <w:pPr>
        <w:shd w:val="clear"/>
        <w:spacing w:before="91" w:line="221" w:lineRule="auto"/>
        <w:ind w:left="578"/>
        <w:jc w:val="both"/>
        <w:outlineLvl w:val="1"/>
        <w:rPr>
          <w:rFonts w:ascii="宋体" w:hAnsi="宋体" w:eastAsia="宋体" w:cs="宋体"/>
          <w:color w:val="auto"/>
          <w:sz w:val="28"/>
          <w:szCs w:val="28"/>
          <w:highlight w:val="none"/>
        </w:rPr>
      </w:pPr>
      <w:r>
        <w:rPr>
          <w:rFonts w:ascii="宋体" w:hAnsi="宋体" w:eastAsia="宋体" w:cs="宋体"/>
          <w:color w:val="auto"/>
          <w:sz w:val="28"/>
          <w:szCs w:val="28"/>
          <w:highlight w:val="none"/>
        </w:rPr>
        <w:t>格式</w:t>
      </w:r>
      <w:r>
        <w:rPr>
          <w:rFonts w:hint="eastAsia" w:ascii="宋体" w:hAnsi="宋体" w:eastAsia="宋体" w:cs="宋体"/>
          <w:color w:val="auto"/>
          <w:sz w:val="28"/>
          <w:szCs w:val="28"/>
          <w:highlight w:val="none"/>
          <w:lang w:eastAsia="zh-CN"/>
        </w:rPr>
        <w:t>九</w:t>
      </w:r>
      <w:r>
        <w:rPr>
          <w:rFonts w:ascii="宋体" w:hAnsi="宋体" w:eastAsia="宋体" w:cs="宋体"/>
          <w:color w:val="auto"/>
          <w:sz w:val="28"/>
          <w:szCs w:val="28"/>
          <w:highlight w:val="none"/>
        </w:rPr>
        <w:t>：</w:t>
      </w:r>
      <w:r>
        <w:rPr>
          <w:rFonts w:hint="eastAsia" w:ascii="宋体" w:hAnsi="宋体" w:eastAsia="宋体" w:cs="宋体"/>
          <w:bCs/>
          <w:color w:val="auto"/>
          <w:sz w:val="28"/>
          <w:szCs w:val="28"/>
          <w:highlight w:val="none"/>
        </w:rPr>
        <w:t>推荐品牌偏离表</w:t>
      </w:r>
    </w:p>
    <w:p w14:paraId="3EC37D21">
      <w:pPr>
        <w:keepNext/>
        <w:keepLines/>
        <w:shd w:val="clear"/>
        <w:spacing w:before="340" w:after="330" w:line="576" w:lineRule="auto"/>
        <w:jc w:val="center"/>
        <w:outlineLvl w:val="0"/>
        <w:rPr>
          <w:rFonts w:ascii="Calibri" w:hAnsi="Calibri" w:eastAsia="宋体" w:cs="Times New Roman"/>
          <w:color w:val="auto"/>
          <w:szCs w:val="24"/>
          <w:highlight w:val="none"/>
        </w:rPr>
      </w:pPr>
      <w:r>
        <w:rPr>
          <w:rFonts w:hint="eastAsia" w:ascii="宋体" w:hAnsi="宋体" w:eastAsia="宋体" w:cs="宋体"/>
          <w:b/>
          <w:bCs/>
          <w:color w:val="auto"/>
          <w:kern w:val="44"/>
          <w:sz w:val="44"/>
          <w:szCs w:val="44"/>
          <w:highlight w:val="none"/>
        </w:rPr>
        <w:t>推荐品牌偏离表</w:t>
      </w:r>
    </w:p>
    <w:tbl>
      <w:tblPr>
        <w:tblStyle w:val="31"/>
        <w:tblW w:w="0" w:type="auto"/>
        <w:tblInd w:w="93" w:type="dxa"/>
        <w:tblLayout w:type="fixed"/>
        <w:tblCellMar>
          <w:top w:w="0" w:type="dxa"/>
          <w:left w:w="108" w:type="dxa"/>
          <w:bottom w:w="0" w:type="dxa"/>
          <w:right w:w="108" w:type="dxa"/>
        </w:tblCellMar>
      </w:tblPr>
      <w:tblGrid>
        <w:gridCol w:w="696"/>
        <w:gridCol w:w="3127"/>
        <w:gridCol w:w="2790"/>
        <w:gridCol w:w="2006"/>
      </w:tblGrid>
      <w:tr w14:paraId="72B196FE">
        <w:tblPrEx>
          <w:tblCellMar>
            <w:top w:w="0" w:type="dxa"/>
            <w:left w:w="108" w:type="dxa"/>
            <w:bottom w:w="0" w:type="dxa"/>
            <w:right w:w="108" w:type="dxa"/>
          </w:tblCellMar>
        </w:tblPrEx>
        <w:trPr>
          <w:trHeight w:val="721" w:hRule="atLeast"/>
        </w:trPr>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12CE5">
            <w:pPr>
              <w:shd w:val="clear"/>
              <w:jc w:val="center"/>
              <w:textAlignment w:val="center"/>
              <w:rPr>
                <w:rFonts w:ascii="Times New Roman" w:hAnsi="Times New Roman" w:eastAsia="宋体" w:cs="Times New Roman"/>
                <w:b/>
                <w:bCs/>
                <w:color w:val="auto"/>
                <w:sz w:val="18"/>
                <w:szCs w:val="18"/>
                <w:highlight w:val="none"/>
              </w:rPr>
            </w:pPr>
            <w:r>
              <w:rPr>
                <w:rFonts w:ascii="宋体" w:hAnsi="宋体" w:eastAsia="宋体" w:cs="宋体"/>
                <w:b/>
                <w:bCs/>
                <w:color w:val="auto"/>
                <w:sz w:val="18"/>
                <w:szCs w:val="18"/>
                <w:highlight w:val="none"/>
              </w:rPr>
              <w:t>序号</w:t>
            </w:r>
          </w:p>
        </w:tc>
        <w:tc>
          <w:tcPr>
            <w:tcW w:w="31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5F7EED">
            <w:pPr>
              <w:shd w:val="clear"/>
              <w:jc w:val="center"/>
              <w:textAlignment w:val="center"/>
              <w:rPr>
                <w:rFonts w:ascii="Times New Roman" w:hAnsi="Times New Roman" w:eastAsia="宋体" w:cs="Times New Roman"/>
                <w:b/>
                <w:bCs/>
                <w:color w:val="auto"/>
                <w:sz w:val="18"/>
                <w:szCs w:val="18"/>
                <w:highlight w:val="none"/>
              </w:rPr>
            </w:pPr>
            <w:r>
              <w:rPr>
                <w:rFonts w:ascii="宋体" w:hAnsi="宋体" w:eastAsia="宋体" w:cs="宋体"/>
                <w:b/>
                <w:bCs/>
                <w:color w:val="auto"/>
                <w:sz w:val="18"/>
                <w:szCs w:val="18"/>
                <w:highlight w:val="none"/>
              </w:rPr>
              <w:t>设备名称</w:t>
            </w:r>
          </w:p>
        </w:tc>
        <w:tc>
          <w:tcPr>
            <w:tcW w:w="27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67984E">
            <w:pPr>
              <w:shd w:val="clear"/>
              <w:jc w:val="center"/>
              <w:textAlignment w:val="center"/>
              <w:rPr>
                <w:rFonts w:ascii="Times New Roman" w:hAnsi="Times New Roman" w:eastAsia="宋体" w:cs="Times New Roman"/>
                <w:b/>
                <w:bCs/>
                <w:color w:val="auto"/>
                <w:sz w:val="18"/>
                <w:szCs w:val="18"/>
                <w:highlight w:val="none"/>
              </w:rPr>
            </w:pPr>
            <w:r>
              <w:rPr>
                <w:rFonts w:ascii="宋体" w:hAnsi="宋体" w:eastAsia="宋体" w:cs="宋体"/>
                <w:b/>
                <w:bCs/>
                <w:color w:val="auto"/>
                <w:sz w:val="18"/>
                <w:szCs w:val="18"/>
                <w:highlight w:val="none"/>
              </w:rPr>
              <w:t>所投产品</w:t>
            </w:r>
          </w:p>
        </w:tc>
        <w:tc>
          <w:tcPr>
            <w:tcW w:w="20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5960AD">
            <w:pPr>
              <w:shd w:val="clear"/>
              <w:jc w:val="center"/>
              <w:textAlignment w:val="center"/>
              <w:rPr>
                <w:rFonts w:ascii="Times New Roman" w:hAnsi="Times New Roman" w:eastAsia="宋体" w:cs="Times New Roman"/>
                <w:b/>
                <w:bCs/>
                <w:color w:val="auto"/>
                <w:sz w:val="18"/>
                <w:szCs w:val="18"/>
                <w:highlight w:val="none"/>
              </w:rPr>
            </w:pPr>
            <w:r>
              <w:rPr>
                <w:rFonts w:ascii="宋体" w:hAnsi="宋体" w:eastAsia="宋体" w:cs="宋体"/>
                <w:b/>
                <w:bCs/>
                <w:color w:val="auto"/>
                <w:sz w:val="18"/>
                <w:szCs w:val="18"/>
                <w:highlight w:val="none"/>
              </w:rPr>
              <w:t>是否</w:t>
            </w:r>
            <w:r>
              <w:rPr>
                <w:rFonts w:hint="eastAsia" w:ascii="宋体" w:hAnsi="宋体" w:eastAsia="宋体" w:cs="宋体"/>
                <w:b/>
                <w:bCs/>
                <w:color w:val="auto"/>
                <w:sz w:val="18"/>
                <w:szCs w:val="18"/>
                <w:highlight w:val="none"/>
                <w:lang w:eastAsia="zh-CN"/>
              </w:rPr>
              <w:t>属于</w:t>
            </w:r>
            <w:r>
              <w:rPr>
                <w:rFonts w:ascii="宋体" w:hAnsi="宋体" w:eastAsia="宋体" w:cs="宋体"/>
                <w:b/>
                <w:bCs/>
                <w:color w:val="auto"/>
                <w:sz w:val="18"/>
                <w:szCs w:val="18"/>
                <w:highlight w:val="none"/>
              </w:rPr>
              <w:t>推荐品牌</w:t>
            </w:r>
          </w:p>
        </w:tc>
      </w:tr>
      <w:tr w14:paraId="3BFDEF0A">
        <w:tblPrEx>
          <w:tblCellMar>
            <w:top w:w="0" w:type="dxa"/>
            <w:left w:w="108" w:type="dxa"/>
            <w:bottom w:w="0" w:type="dxa"/>
            <w:right w:w="108" w:type="dxa"/>
          </w:tblCellMar>
        </w:tblPrEx>
        <w:trPr>
          <w:trHeight w:val="721" w:hRule="atLeast"/>
        </w:trPr>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2CDA09">
            <w:pPr>
              <w:shd w:val="clear"/>
              <w:jc w:val="center"/>
              <w:textAlignment w:val="center"/>
              <w:rPr>
                <w:rFonts w:ascii="Times New Roman" w:hAnsi="Times New Roman" w:eastAsia="宋体" w:cs="Times New Roman"/>
                <w:color w:val="auto"/>
                <w:sz w:val="18"/>
                <w:szCs w:val="18"/>
                <w:highlight w:val="none"/>
              </w:rPr>
            </w:pPr>
          </w:p>
        </w:tc>
        <w:tc>
          <w:tcPr>
            <w:tcW w:w="31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885F8F">
            <w:pPr>
              <w:shd w:val="clear"/>
              <w:jc w:val="center"/>
              <w:textAlignment w:val="center"/>
              <w:rPr>
                <w:rFonts w:ascii="Times New Roman" w:hAnsi="Times New Roman" w:eastAsia="宋体" w:cs="Times New Roman"/>
                <w:color w:val="auto"/>
                <w:sz w:val="18"/>
                <w:szCs w:val="18"/>
                <w:highlight w:val="none"/>
              </w:rPr>
            </w:pPr>
          </w:p>
        </w:tc>
        <w:tc>
          <w:tcPr>
            <w:tcW w:w="27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94243">
            <w:pPr>
              <w:shd w:val="clear"/>
              <w:textAlignment w:val="center"/>
              <w:rPr>
                <w:rFonts w:ascii="Times New Roman" w:hAnsi="Times New Roman" w:eastAsia="宋体" w:cs="Times New Roman"/>
                <w:color w:val="auto"/>
                <w:sz w:val="18"/>
                <w:szCs w:val="18"/>
                <w:highlight w:val="none"/>
              </w:rPr>
            </w:pPr>
          </w:p>
        </w:tc>
        <w:tc>
          <w:tcPr>
            <w:tcW w:w="2006" w:type="dxa"/>
            <w:tcBorders>
              <w:top w:val="single" w:color="000000" w:sz="4" w:space="0"/>
              <w:left w:val="single" w:color="000000" w:sz="4" w:space="0"/>
              <w:bottom w:val="single" w:color="000000" w:sz="4" w:space="0"/>
              <w:right w:val="single" w:color="000000" w:sz="4" w:space="0"/>
            </w:tcBorders>
            <w:vAlign w:val="center"/>
          </w:tcPr>
          <w:p w14:paraId="6DE06E2C">
            <w:pPr>
              <w:shd w:val="clear"/>
              <w:jc w:val="center"/>
              <w:textAlignment w:val="center"/>
              <w:rPr>
                <w:rFonts w:ascii="Times New Roman" w:hAnsi="Times New Roman" w:eastAsia="宋体" w:cs="Times New Roman"/>
                <w:color w:val="auto"/>
                <w:sz w:val="20"/>
                <w:szCs w:val="20"/>
                <w:highlight w:val="none"/>
              </w:rPr>
            </w:pPr>
          </w:p>
        </w:tc>
      </w:tr>
      <w:tr w14:paraId="0EDA96D7">
        <w:tblPrEx>
          <w:tblCellMar>
            <w:top w:w="0" w:type="dxa"/>
            <w:left w:w="108" w:type="dxa"/>
            <w:bottom w:w="0" w:type="dxa"/>
            <w:right w:w="108" w:type="dxa"/>
          </w:tblCellMar>
        </w:tblPrEx>
        <w:trPr>
          <w:trHeight w:val="721" w:hRule="atLeast"/>
        </w:trPr>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112018">
            <w:pPr>
              <w:shd w:val="clear"/>
              <w:jc w:val="center"/>
              <w:textAlignment w:val="center"/>
              <w:rPr>
                <w:rFonts w:ascii="Times New Roman" w:hAnsi="Times New Roman" w:eastAsia="宋体" w:cs="Times New Roman"/>
                <w:color w:val="auto"/>
                <w:sz w:val="18"/>
                <w:szCs w:val="18"/>
                <w:highlight w:val="none"/>
              </w:rPr>
            </w:pPr>
          </w:p>
        </w:tc>
        <w:tc>
          <w:tcPr>
            <w:tcW w:w="31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9ED20F">
            <w:pPr>
              <w:shd w:val="clear"/>
              <w:jc w:val="center"/>
              <w:textAlignment w:val="center"/>
              <w:rPr>
                <w:rFonts w:ascii="Times New Roman" w:hAnsi="Times New Roman" w:eastAsia="宋体" w:cs="Times New Roman"/>
                <w:color w:val="auto"/>
                <w:sz w:val="18"/>
                <w:szCs w:val="18"/>
                <w:highlight w:val="none"/>
              </w:rPr>
            </w:pPr>
          </w:p>
        </w:tc>
        <w:tc>
          <w:tcPr>
            <w:tcW w:w="27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8F8BA">
            <w:pPr>
              <w:shd w:val="clear"/>
              <w:textAlignment w:val="center"/>
              <w:rPr>
                <w:rFonts w:ascii="Times New Roman" w:hAnsi="Times New Roman" w:eastAsia="宋体" w:cs="Times New Roman"/>
                <w:color w:val="auto"/>
                <w:sz w:val="18"/>
                <w:szCs w:val="18"/>
                <w:highlight w:val="none"/>
              </w:rPr>
            </w:pPr>
          </w:p>
        </w:tc>
        <w:tc>
          <w:tcPr>
            <w:tcW w:w="20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F68E82">
            <w:pPr>
              <w:shd w:val="clear"/>
              <w:jc w:val="center"/>
              <w:textAlignment w:val="center"/>
              <w:rPr>
                <w:rFonts w:ascii="Times New Roman" w:hAnsi="Times New Roman" w:eastAsia="宋体" w:cs="Times New Roman"/>
                <w:color w:val="auto"/>
                <w:sz w:val="18"/>
                <w:szCs w:val="18"/>
                <w:highlight w:val="none"/>
              </w:rPr>
            </w:pPr>
          </w:p>
        </w:tc>
      </w:tr>
      <w:tr w14:paraId="7062E6E2">
        <w:tblPrEx>
          <w:tblCellMar>
            <w:top w:w="0" w:type="dxa"/>
            <w:left w:w="108" w:type="dxa"/>
            <w:bottom w:w="0" w:type="dxa"/>
            <w:right w:w="108" w:type="dxa"/>
          </w:tblCellMar>
        </w:tblPrEx>
        <w:trPr>
          <w:trHeight w:val="721" w:hRule="atLeast"/>
        </w:trPr>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2B5E8">
            <w:pPr>
              <w:shd w:val="clear"/>
              <w:jc w:val="center"/>
              <w:textAlignment w:val="center"/>
              <w:rPr>
                <w:rFonts w:ascii="Times New Roman" w:hAnsi="Times New Roman" w:eastAsia="宋体" w:cs="Times New Roman"/>
                <w:color w:val="auto"/>
                <w:sz w:val="18"/>
                <w:szCs w:val="18"/>
                <w:highlight w:val="none"/>
              </w:rPr>
            </w:pPr>
          </w:p>
        </w:tc>
        <w:tc>
          <w:tcPr>
            <w:tcW w:w="31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4FECC">
            <w:pPr>
              <w:shd w:val="clear"/>
              <w:jc w:val="center"/>
              <w:textAlignment w:val="center"/>
              <w:rPr>
                <w:rFonts w:ascii="Times New Roman" w:hAnsi="Times New Roman" w:eastAsia="宋体" w:cs="Times New Roman"/>
                <w:color w:val="auto"/>
                <w:sz w:val="18"/>
                <w:szCs w:val="18"/>
                <w:highlight w:val="none"/>
              </w:rPr>
            </w:pPr>
          </w:p>
        </w:tc>
        <w:tc>
          <w:tcPr>
            <w:tcW w:w="27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10FCB9">
            <w:pPr>
              <w:shd w:val="clear"/>
              <w:textAlignment w:val="center"/>
              <w:rPr>
                <w:rFonts w:ascii="Times New Roman" w:hAnsi="Times New Roman" w:eastAsia="宋体" w:cs="Times New Roman"/>
                <w:color w:val="auto"/>
                <w:sz w:val="18"/>
                <w:szCs w:val="18"/>
                <w:highlight w:val="none"/>
              </w:rPr>
            </w:pPr>
          </w:p>
        </w:tc>
        <w:tc>
          <w:tcPr>
            <w:tcW w:w="20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A6BC1A">
            <w:pPr>
              <w:shd w:val="clear"/>
              <w:jc w:val="center"/>
              <w:textAlignment w:val="center"/>
              <w:rPr>
                <w:rFonts w:ascii="Times New Roman" w:hAnsi="Times New Roman" w:eastAsia="宋体" w:cs="Times New Roman"/>
                <w:color w:val="auto"/>
                <w:sz w:val="18"/>
                <w:szCs w:val="18"/>
                <w:highlight w:val="none"/>
              </w:rPr>
            </w:pPr>
          </w:p>
        </w:tc>
      </w:tr>
      <w:tr w14:paraId="73D19D4D">
        <w:tblPrEx>
          <w:tblCellMar>
            <w:top w:w="0" w:type="dxa"/>
            <w:left w:w="108" w:type="dxa"/>
            <w:bottom w:w="0" w:type="dxa"/>
            <w:right w:w="108" w:type="dxa"/>
          </w:tblCellMar>
        </w:tblPrEx>
        <w:trPr>
          <w:trHeight w:val="721" w:hRule="atLeast"/>
        </w:trPr>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E04AB9">
            <w:pPr>
              <w:shd w:val="clear"/>
              <w:jc w:val="center"/>
              <w:textAlignment w:val="center"/>
              <w:rPr>
                <w:rFonts w:ascii="Times New Roman" w:hAnsi="Times New Roman" w:eastAsia="宋体" w:cs="Times New Roman"/>
                <w:color w:val="auto"/>
                <w:sz w:val="18"/>
                <w:szCs w:val="18"/>
                <w:highlight w:val="none"/>
              </w:rPr>
            </w:pPr>
          </w:p>
        </w:tc>
        <w:tc>
          <w:tcPr>
            <w:tcW w:w="31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FD6915">
            <w:pPr>
              <w:shd w:val="clear"/>
              <w:jc w:val="center"/>
              <w:textAlignment w:val="center"/>
              <w:rPr>
                <w:rFonts w:ascii="Times New Roman" w:hAnsi="Times New Roman" w:eastAsia="宋体" w:cs="Times New Roman"/>
                <w:color w:val="auto"/>
                <w:sz w:val="18"/>
                <w:szCs w:val="18"/>
                <w:highlight w:val="none"/>
              </w:rPr>
            </w:pPr>
          </w:p>
        </w:tc>
        <w:tc>
          <w:tcPr>
            <w:tcW w:w="27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F982F">
            <w:pPr>
              <w:shd w:val="clear"/>
              <w:textAlignment w:val="center"/>
              <w:rPr>
                <w:rFonts w:ascii="Times New Roman" w:hAnsi="Times New Roman" w:eastAsia="宋体" w:cs="Times New Roman"/>
                <w:color w:val="auto"/>
                <w:sz w:val="18"/>
                <w:szCs w:val="18"/>
                <w:highlight w:val="none"/>
              </w:rPr>
            </w:pPr>
          </w:p>
        </w:tc>
        <w:tc>
          <w:tcPr>
            <w:tcW w:w="2006" w:type="dxa"/>
            <w:tcBorders>
              <w:top w:val="single" w:color="000000" w:sz="4" w:space="0"/>
              <w:left w:val="single" w:color="000000" w:sz="4" w:space="0"/>
              <w:bottom w:val="single" w:color="000000" w:sz="4" w:space="0"/>
              <w:right w:val="single" w:color="000000" w:sz="4" w:space="0"/>
            </w:tcBorders>
            <w:vAlign w:val="center"/>
          </w:tcPr>
          <w:p w14:paraId="4216E62E">
            <w:pPr>
              <w:shd w:val="clear"/>
              <w:jc w:val="center"/>
              <w:textAlignment w:val="center"/>
              <w:rPr>
                <w:rFonts w:ascii="Times New Roman" w:hAnsi="Times New Roman" w:eastAsia="宋体" w:cs="Times New Roman"/>
                <w:color w:val="auto"/>
                <w:sz w:val="20"/>
                <w:szCs w:val="20"/>
                <w:highlight w:val="none"/>
              </w:rPr>
            </w:pPr>
          </w:p>
        </w:tc>
      </w:tr>
      <w:tr w14:paraId="78505FED">
        <w:tblPrEx>
          <w:tblCellMar>
            <w:top w:w="0" w:type="dxa"/>
            <w:left w:w="108" w:type="dxa"/>
            <w:bottom w:w="0" w:type="dxa"/>
            <w:right w:w="108" w:type="dxa"/>
          </w:tblCellMar>
        </w:tblPrEx>
        <w:trPr>
          <w:trHeight w:val="743" w:hRule="atLeast"/>
        </w:trPr>
        <w:tc>
          <w:tcPr>
            <w:tcW w:w="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74B32F">
            <w:pPr>
              <w:shd w:val="clear"/>
              <w:jc w:val="center"/>
              <w:textAlignment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w:t>
            </w:r>
          </w:p>
        </w:tc>
        <w:tc>
          <w:tcPr>
            <w:tcW w:w="31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136355">
            <w:pPr>
              <w:shd w:val="clear"/>
              <w:jc w:val="center"/>
              <w:textAlignment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w:t>
            </w:r>
          </w:p>
        </w:tc>
        <w:tc>
          <w:tcPr>
            <w:tcW w:w="27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9F91D7">
            <w:pPr>
              <w:shd w:val="clear"/>
              <w:jc w:val="center"/>
              <w:textAlignment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w:t>
            </w:r>
          </w:p>
        </w:tc>
        <w:tc>
          <w:tcPr>
            <w:tcW w:w="200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11F521">
            <w:pPr>
              <w:shd w:val="clear"/>
              <w:jc w:val="center"/>
              <w:textAlignment w:val="center"/>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rPr>
              <w:t>...</w:t>
            </w:r>
          </w:p>
        </w:tc>
      </w:tr>
    </w:tbl>
    <w:p w14:paraId="521A0F20">
      <w:pPr>
        <w:shd w:val="clear"/>
        <w:ind w:firstLine="601"/>
        <w:rPr>
          <w:rFonts w:ascii="宋体" w:hAnsi="宋体" w:eastAsia="宋体" w:cs="宋体"/>
          <w:b/>
          <w:bCs/>
          <w:color w:val="auto"/>
          <w:highlight w:val="none"/>
        </w:rPr>
      </w:pPr>
      <w:r>
        <w:rPr>
          <w:rFonts w:hint="eastAsia" w:ascii="宋体" w:hAnsi="宋体" w:eastAsia="宋体" w:cs="宋体"/>
          <w:b/>
          <w:bCs/>
          <w:color w:val="auto"/>
          <w:highlight w:val="none"/>
        </w:rPr>
        <w:t>注：</w:t>
      </w:r>
    </w:p>
    <w:p w14:paraId="7D063BEA">
      <w:pPr>
        <w:shd w:val="clear"/>
        <w:ind w:firstLine="601"/>
        <w:rPr>
          <w:rFonts w:ascii="宋体" w:hAnsi="宋体" w:eastAsia="宋体" w:cs="宋体"/>
          <w:b/>
          <w:bCs/>
          <w:color w:val="auto"/>
          <w:highlight w:val="none"/>
        </w:rPr>
      </w:pPr>
      <w:r>
        <w:rPr>
          <w:rFonts w:hint="eastAsia" w:ascii="宋体" w:hAnsi="宋体" w:eastAsia="宋体" w:cs="宋体"/>
          <w:snapToGrid/>
          <w:color w:val="auto"/>
          <w:sz w:val="18"/>
          <w:szCs w:val="18"/>
          <w:highlight w:val="none"/>
        </w:rPr>
        <w:t>★</w:t>
      </w:r>
      <w:r>
        <w:rPr>
          <w:rFonts w:hint="eastAsia" w:ascii="宋体" w:hAnsi="宋体" w:eastAsia="宋体" w:cs="宋体"/>
          <w:b/>
          <w:bCs/>
          <w:color w:val="auto"/>
          <w:highlight w:val="none"/>
        </w:rPr>
        <w:t>1、若投标人所投设备材料品牌在招标人推荐的品牌（制造商）外须在本表内进行填写。若未在推荐品牌偏离表中进行注明则一旦中标后，招标人有权在推荐品牌（制造商）范围内重新选择并进行更换，价格不予调整。</w:t>
      </w:r>
    </w:p>
    <w:p w14:paraId="3E4CB8B4">
      <w:pPr>
        <w:shd w:val="clear"/>
        <w:ind w:firstLine="601"/>
        <w:rPr>
          <w:rFonts w:ascii="宋体" w:hAnsi="宋体" w:eastAsia="宋体" w:cs="宋体"/>
          <w:b/>
          <w:bCs/>
          <w:color w:val="auto"/>
          <w:highlight w:val="none"/>
        </w:rPr>
      </w:pPr>
      <w:r>
        <w:rPr>
          <w:rFonts w:hint="eastAsia" w:ascii="宋体" w:hAnsi="宋体" w:eastAsia="宋体" w:cs="宋体"/>
          <w:snapToGrid/>
          <w:color w:val="auto"/>
          <w:sz w:val="18"/>
          <w:szCs w:val="18"/>
          <w:highlight w:val="none"/>
        </w:rPr>
        <w:t>★</w:t>
      </w:r>
      <w:r>
        <w:rPr>
          <w:rFonts w:hint="eastAsia" w:ascii="宋体" w:hAnsi="宋体" w:eastAsia="宋体" w:cs="宋体"/>
          <w:b/>
          <w:bCs/>
          <w:color w:val="auto"/>
          <w:highlight w:val="none"/>
        </w:rPr>
        <w:t>2、本招标文件允许投标人根据招标文件的要求，推荐性能相当或高于、服务条款相等或高于、符合招标方实际业务需求其他同档次优质品牌的产品。投标人所选推荐品牌以外设备的，须提供同一档次或更高档次证明资料，由评标委员会综合评定。</w:t>
      </w:r>
    </w:p>
    <w:p w14:paraId="4522BFD0">
      <w:pPr>
        <w:shd w:val="clear"/>
        <w:ind w:firstLine="601"/>
        <w:rPr>
          <w:rFonts w:ascii="宋体" w:hAnsi="宋体" w:eastAsia="宋体" w:cs="宋体"/>
          <w:b/>
          <w:bCs/>
          <w:color w:val="auto"/>
          <w:highlight w:val="none"/>
        </w:rPr>
      </w:pPr>
      <w:r>
        <w:rPr>
          <w:rFonts w:hint="eastAsia" w:ascii="宋体" w:hAnsi="宋体" w:eastAsia="宋体" w:cs="宋体"/>
          <w:snapToGrid/>
          <w:color w:val="auto"/>
          <w:sz w:val="18"/>
          <w:szCs w:val="18"/>
          <w:highlight w:val="none"/>
        </w:rPr>
        <w:t>★</w:t>
      </w:r>
      <w:r>
        <w:rPr>
          <w:rFonts w:hint="eastAsia" w:ascii="宋体" w:hAnsi="宋体" w:eastAsia="宋体" w:cs="宋体"/>
          <w:b/>
          <w:bCs/>
          <w:color w:val="auto"/>
          <w:highlight w:val="none"/>
        </w:rPr>
        <w:t>3、若在中标后，投标人所选推荐品牌以外的设备不能满足标书中技术要求，技术参数无法达到招标文件要求，维修抢修物资与原有材料不匹配，投标人须无条件更换成推荐品牌中的产品，并符合招标文件要求，结算单价与投标单价一致。</w:t>
      </w:r>
    </w:p>
    <w:p w14:paraId="48109027">
      <w:pPr>
        <w:shd w:val="clear"/>
        <w:tabs>
          <w:tab w:val="left" w:pos="7132"/>
        </w:tabs>
        <w:spacing w:before="75" w:line="384" w:lineRule="auto"/>
        <w:ind w:left="6162" w:right="203" w:hanging="1187"/>
        <w:jc w:val="both"/>
        <w:rPr>
          <w:rFonts w:ascii="宋体" w:hAnsi="宋体" w:eastAsia="宋体" w:cs="宋体"/>
          <w:color w:val="auto"/>
          <w:sz w:val="23"/>
          <w:szCs w:val="23"/>
          <w:highlight w:val="none"/>
        </w:rPr>
      </w:pPr>
    </w:p>
    <w:p w14:paraId="37CB8C2C">
      <w:pPr>
        <w:shd w:val="clear"/>
        <w:tabs>
          <w:tab w:val="left" w:pos="7132"/>
        </w:tabs>
        <w:spacing w:before="75" w:line="384" w:lineRule="auto"/>
        <w:ind w:left="6162" w:right="203" w:hanging="1187"/>
        <w:jc w:val="both"/>
        <w:rPr>
          <w:rFonts w:ascii="宋体" w:hAnsi="宋体" w:eastAsia="宋体" w:cs="宋体"/>
          <w:color w:val="auto"/>
          <w:sz w:val="23"/>
          <w:szCs w:val="23"/>
          <w:highlight w:val="none"/>
        </w:rPr>
      </w:pPr>
    </w:p>
    <w:p w14:paraId="6F2169DB">
      <w:pPr>
        <w:shd w:val="clear"/>
        <w:tabs>
          <w:tab w:val="left" w:pos="7132"/>
        </w:tabs>
        <w:spacing w:before="75" w:line="384" w:lineRule="auto"/>
        <w:ind w:left="6162" w:right="203" w:hanging="1187"/>
        <w:jc w:val="both"/>
        <w:rPr>
          <w:rFonts w:ascii="宋体" w:hAnsi="宋体" w:eastAsia="宋体" w:cs="宋体"/>
          <w:color w:val="auto"/>
          <w:sz w:val="23"/>
          <w:szCs w:val="23"/>
          <w:highlight w:val="none"/>
        </w:rPr>
      </w:pPr>
      <w:r>
        <w:rPr>
          <w:rFonts w:ascii="宋体" w:hAnsi="宋体" w:eastAsia="宋体" w:cs="宋体"/>
          <w:color w:val="auto"/>
          <w:sz w:val="23"/>
          <w:szCs w:val="23"/>
          <w:highlight w:val="none"/>
        </w:rPr>
        <w:t>投标人：</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eastAsia="zh-CN"/>
        </w:rPr>
        <w:t>（</w:t>
      </w:r>
      <w:r>
        <w:rPr>
          <w:rFonts w:ascii="宋体" w:hAnsi="宋体" w:eastAsia="宋体" w:cs="宋体"/>
          <w:color w:val="auto"/>
          <w:sz w:val="23"/>
          <w:szCs w:val="23"/>
          <w:highlight w:val="none"/>
        </w:rPr>
        <w:t>盖章</w:t>
      </w:r>
      <w:r>
        <w:rPr>
          <w:rFonts w:hint="eastAsia" w:ascii="宋体" w:hAnsi="宋体" w:eastAsia="宋体" w:cs="宋体"/>
          <w:color w:val="auto"/>
          <w:sz w:val="23"/>
          <w:szCs w:val="23"/>
          <w:highlight w:val="none"/>
          <w:lang w:eastAsia="zh-CN"/>
        </w:rPr>
        <w:t>）</w:t>
      </w:r>
    </w:p>
    <w:p w14:paraId="0F145214">
      <w:pPr>
        <w:shd w:val="clear"/>
        <w:tabs>
          <w:tab w:val="left" w:pos="7132"/>
        </w:tabs>
        <w:spacing w:before="75" w:line="384" w:lineRule="auto"/>
        <w:ind w:left="6162" w:right="203" w:hanging="1187"/>
        <w:jc w:val="both"/>
        <w:rPr>
          <w:rFonts w:ascii="宋体" w:hAnsi="宋体" w:eastAsia="宋体" w:cs="宋体"/>
          <w:color w:val="auto"/>
          <w:sz w:val="23"/>
          <w:szCs w:val="23"/>
          <w:highlight w:val="none"/>
        </w:rPr>
      </w:pP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年</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月</w:t>
      </w:r>
      <w:r>
        <w:rPr>
          <w:rFonts w:ascii="宋体" w:hAnsi="宋体" w:eastAsia="宋体" w:cs="宋体"/>
          <w:color w:val="auto"/>
          <w:sz w:val="23"/>
          <w:szCs w:val="23"/>
          <w:highlight w:val="none"/>
          <w:u w:val="single"/>
        </w:rPr>
        <w:t xml:space="preserve">   </w:t>
      </w:r>
      <w:r>
        <w:rPr>
          <w:rFonts w:ascii="宋体" w:hAnsi="宋体" w:eastAsia="宋体" w:cs="宋体"/>
          <w:color w:val="auto"/>
          <w:sz w:val="23"/>
          <w:szCs w:val="23"/>
          <w:highlight w:val="none"/>
        </w:rPr>
        <w:t>日</w:t>
      </w:r>
    </w:p>
    <w:p w14:paraId="462DAD07">
      <w:pPr>
        <w:shd w:val="clear"/>
        <w:spacing w:after="120"/>
        <w:rPr>
          <w:rFonts w:ascii="Calibri" w:hAnsi="Calibri" w:eastAsia="宋体" w:cs="Times New Roman"/>
          <w:color w:val="auto"/>
          <w:szCs w:val="24"/>
          <w:highlight w:val="none"/>
        </w:rPr>
      </w:pPr>
    </w:p>
    <w:p w14:paraId="3ADCA998">
      <w:pPr>
        <w:shd w:val="clear"/>
        <w:tabs>
          <w:tab w:val="left" w:pos="6569"/>
        </w:tabs>
        <w:spacing w:before="75" w:line="384" w:lineRule="auto"/>
        <w:ind w:left="5708" w:right="270" w:hanging="1173"/>
        <w:jc w:val="both"/>
        <w:rPr>
          <w:rFonts w:ascii="宋体" w:hAnsi="宋体" w:eastAsia="宋体" w:cs="宋体"/>
          <w:color w:val="auto"/>
          <w:sz w:val="23"/>
          <w:szCs w:val="23"/>
          <w:highlight w:val="none"/>
        </w:rPr>
      </w:pPr>
    </w:p>
    <w:p w14:paraId="1DB8795F">
      <w:pPr>
        <w:shd w:val="clear"/>
        <w:rPr>
          <w:color w:val="auto"/>
          <w:highlight w:val="none"/>
        </w:rPr>
      </w:pPr>
    </w:p>
    <w:p w14:paraId="2DE8EEB3">
      <w:pPr>
        <w:pStyle w:val="22"/>
        <w:rPr>
          <w:strike/>
          <w:dstrike w:val="0"/>
          <w:color w:val="auto"/>
          <w:sz w:val="18"/>
          <w:szCs w:val="18"/>
          <w:highlight w:val="none"/>
          <w:u w:val="single"/>
        </w:rPr>
      </w:pPr>
    </w:p>
    <w:p w14:paraId="10A7059F">
      <w:pPr>
        <w:rPr>
          <w:color w:val="auto"/>
          <w:highlight w:val="none"/>
        </w:rPr>
      </w:pPr>
    </w:p>
    <w:p w14:paraId="6C879E8D">
      <w:pPr>
        <w:rPr>
          <w:color w:val="auto"/>
          <w:highlight w:val="none"/>
        </w:rPr>
      </w:pPr>
    </w:p>
    <w:p w14:paraId="006F8CDD">
      <w:pPr>
        <w:rPr>
          <w:color w:val="auto"/>
          <w:highlight w:val="none"/>
        </w:rPr>
      </w:pPr>
    </w:p>
    <w:sectPr>
      <w:headerReference r:id="rId22" w:type="default"/>
      <w:footerReference r:id="rId23" w:type="default"/>
      <w:pgSz w:w="11907" w:h="16840"/>
      <w:pgMar w:top="1418" w:right="1417" w:bottom="1418" w:left="1417" w:header="850" w:footer="992"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BBB813C-E818-47BA-A8E9-665A367F62E4}"/>
  </w:font>
  <w:font w:name="黑体">
    <w:panose1 w:val="02010609060101010101"/>
    <w:charset w:val="86"/>
    <w:family w:val="auto"/>
    <w:pitch w:val="default"/>
    <w:sig w:usb0="800002BF" w:usb1="38CF7CFA" w:usb2="00000016" w:usb3="00000000" w:csb0="00040001" w:csb1="00000000"/>
    <w:embedRegular r:id="rId2" w:fontKey="{8283963C-1F57-4777-A3AE-A0513ABC47E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0E5B8CFB-D6D7-4D7C-AF2F-57593D4894CD}"/>
  </w:font>
  <w:font w:name="Calibri">
    <w:panose1 w:val="020F0502020204030204"/>
    <w:charset w:val="00"/>
    <w:family w:val="swiss"/>
    <w:pitch w:val="default"/>
    <w:sig w:usb0="E0002EFF" w:usb1="C000247B" w:usb2="00000009" w:usb3="00000000" w:csb0="200001FF" w:csb1="00000000"/>
    <w:embedRegular r:id="rId4" w:fontKey="{8B1C9C49-2744-4B5F-A172-4B439259752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5" w:fontKey="{6843B0E8-086D-4E46-8DF3-ECD692D36C08}"/>
  </w:font>
  <w:font w:name="Calibri Light">
    <w:panose1 w:val="020F0302020204030204"/>
    <w:charset w:val="00"/>
    <w:family w:val="swiss"/>
    <w:pitch w:val="default"/>
    <w:sig w:usb0="E0002A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roman"/>
    <w:pitch w:val="default"/>
    <w:sig w:usb0="FFFFFFFF" w:usb1="E9FFFFFF" w:usb2="0000003F" w:usb3="00000000" w:csb0="603F01FF" w:csb1="FFFF0000"/>
    <w:embedRegular r:id="rId6" w:fontKey="{7319D1B5-D396-4A27-B0CF-454DB391DA30}"/>
  </w:font>
  <w:font w:name="方正小标宋简体">
    <w:panose1 w:val="02010600010101010101"/>
    <w:charset w:val="86"/>
    <w:family w:val="auto"/>
    <w:pitch w:val="default"/>
    <w:sig w:usb0="00000001" w:usb1="080E0000" w:usb2="00000000" w:usb3="00000000" w:csb0="00040000" w:csb1="00000000"/>
    <w:embedRegular r:id="rId7" w:fontKey="{69EA969F-EB98-49D2-BF8F-93DB9C0FB3F6}"/>
  </w:font>
  <w:font w:name="Wingdings 2">
    <w:panose1 w:val="05020102010507070707"/>
    <w:charset w:val="02"/>
    <w:family w:val="roman"/>
    <w:pitch w:val="default"/>
    <w:sig w:usb0="00000000" w:usb1="00000000" w:usb2="00000000" w:usb3="00000000" w:csb0="80000000" w:csb1="00000000"/>
    <w:embedRegular r:id="rId8" w:fontKey="{0BE89935-727A-4AF9-B6E2-B16BA947B2F3}"/>
  </w:font>
  <w:font w:name="WPSEMBED1">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86B35">
    <w:pPr>
      <w:pStyle w:val="20"/>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63500" cy="131445"/>
              <wp:effectExtent l="0" t="0" r="0" b="0"/>
              <wp:wrapNone/>
              <wp:docPr id="1" name="文本框 1"/>
              <wp:cNvGraphicFramePr/>
              <a:graphic xmlns:a="http://schemas.openxmlformats.org/drawingml/2006/main">
                <a:graphicData uri="http://schemas.microsoft.com/office/word/2010/wordprocessingShape">
                  <wps:wsp>
                    <wps:cNvSpPr/>
                    <wps:spPr>
                      <a:xfrm>
                        <a:off x="0" y="0"/>
                        <a:ext cx="63550" cy="131559"/>
                      </a:xfrm>
                      <a:prstGeom prst="rect">
                        <a:avLst/>
                      </a:prstGeom>
                      <a:noFill/>
                      <a:ln w="6350" cap="flat" cmpd="sng">
                        <a:noFill/>
                        <a:prstDash val="solid"/>
                        <a:round/>
                      </a:ln>
                    </wps:spPr>
                    <wps:txbx>
                      <w:txbxContent>
                        <w:p w14:paraId="0B50E549">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 o:spid="_x0000_s1026" o:spt="1" style="position:absolute;left:0pt;margin-top:0pt;height:10.35pt;width:5pt;mso-position-horizontal:center;mso-position-horizontal-relative:margin;mso-wrap-style:none;z-index:251659264;mso-width-relative:page;mso-height-relative:page;" filled="f" stroked="f" coordsize="21600,21600" o:gfxdata="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62KxNUAAAADAQAADwAAAAAAAAABACAAAAAiAAAAZHJzL2Rvd25yZXYu&#10;eG1sUEsBAhQAFAAAAAgAh07iQFmJLaX+AQAA8wMAAA4AAAAAAAAAAQAgAAAAJAEAAGRycy9lMm9E&#10;b2MueG1sUEsFBgAAAAAGAAYAWQEAAJQFAAAAAA==&#10;">
              <v:fill on="f" focussize="0,0"/>
              <v:stroke on="f" weight="0.5pt" joinstyle="round"/>
              <v:imagedata o:title=""/>
              <o:lock v:ext="edit" aspectratio="f"/>
              <v:textbox inset="0mm,0mm,0mm,0mm" style="mso-fit-shape-to-text:t;">
                <w:txbxContent>
                  <w:p w14:paraId="0B50E549">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115E5">
    <w:pPr>
      <w:pStyle w:val="20"/>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63500" cy="131445"/>
              <wp:effectExtent l="0" t="0" r="0" b="0"/>
              <wp:wrapNone/>
              <wp:docPr id="4" name="文本框 22"/>
              <wp:cNvGraphicFramePr/>
              <a:graphic xmlns:a="http://schemas.openxmlformats.org/drawingml/2006/main">
                <a:graphicData uri="http://schemas.microsoft.com/office/word/2010/wordprocessingShape">
                  <wps:wsp>
                    <wps:cNvSpPr/>
                    <wps:spPr>
                      <a:xfrm>
                        <a:off x="0" y="0"/>
                        <a:ext cx="63550" cy="131559"/>
                      </a:xfrm>
                      <a:prstGeom prst="rect">
                        <a:avLst/>
                      </a:prstGeom>
                      <a:noFill/>
                      <a:ln w="9525" cap="flat" cmpd="sng">
                        <a:noFill/>
                        <a:prstDash val="solid"/>
                        <a:round/>
                      </a:ln>
                    </wps:spPr>
                    <wps:txbx>
                      <w:txbxContent>
                        <w:p w14:paraId="0CF6DDD1">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rect id="文本框 22" o:spid="_x0000_s1026" o:spt="1" style="position:absolute;left:0pt;margin-top:0pt;height:10.35pt;width:5pt;mso-position-horizontal:center;mso-position-horizontal-relative:margin;mso-wrap-style:none;z-index:251659264;mso-width-relative:page;mso-height-relative:page;" filled="f" stroked="f" coordsize="21600,21600" o:gfxdata="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nUzxodAAAAADAQAADwAAAAAAAAABACAAAAAiAAAAZHJzL2Rvd25yZXYu&#10;eG1sUEsBAhQAFAAAAAgAh07iQJq3JY4DAgAA9AMAAA4AAAAAAAAAAQAgAAAAHwEAAGRycy9lMm9E&#10;b2MueG1sUEsFBgAAAAAGAAYAWQEAAJQFAAAAAA==&#10;">
              <v:fill on="f" focussize="0,0"/>
              <v:stroke on="f" joinstyle="round"/>
              <v:imagedata o:title=""/>
              <o:lock v:ext="edit" aspectratio="f"/>
              <v:textbox inset="0mm,0mm,0mm,0mm" style="mso-fit-shape-to-text:t;">
                <w:txbxContent>
                  <w:p w14:paraId="0CF6DDD1">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C8465">
    <w:pPr>
      <w:spacing w:line="187" w:lineRule="auto"/>
      <w:ind w:left="441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63500" cy="131445"/>
              <wp:effectExtent l="0" t="0" r="0" b="0"/>
              <wp:wrapNone/>
              <wp:docPr id="7" name="文本框 2"/>
              <wp:cNvGraphicFramePr/>
              <a:graphic xmlns:a="http://schemas.openxmlformats.org/drawingml/2006/main">
                <a:graphicData uri="http://schemas.microsoft.com/office/word/2010/wordprocessingShape">
                  <wps:wsp>
                    <wps:cNvSpPr/>
                    <wps:spPr>
                      <a:xfrm>
                        <a:off x="0" y="0"/>
                        <a:ext cx="63550" cy="131559"/>
                      </a:xfrm>
                      <a:prstGeom prst="rect">
                        <a:avLst/>
                      </a:prstGeom>
                      <a:noFill/>
                      <a:ln w="6350" cap="flat" cmpd="sng">
                        <a:noFill/>
                        <a:prstDash val="solid"/>
                        <a:round/>
                      </a:ln>
                    </wps:spPr>
                    <wps:txbx>
                      <w:txbxContent>
                        <w:p w14:paraId="742F06DF">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0.35pt;width:5pt;mso-position-horizontal:center;mso-position-horizontal-relative:margin;mso-wrap-style:none;z-index:251659264;mso-width-relative:page;mso-height-relative:page;" filled="f" stroked="f" coordsize="21600,21600" o:gfxdata="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tisTVAAAAAwEAAA8AAAAAAAAAAQAgAAAAIgAAAGRycy9kb3ducmV2&#10;LnhtbFBLAQIUABQAAAAIAIdO4kDyVShI/wEAAPMDAAAOAAAAAAAAAAEAIAAAACQBAABkcnMvZTJv&#10;RG9jLnhtbFBLBQYAAAAABgAGAFkBAACVBQAAAAA=&#10;">
              <v:fill on="f" focussize="0,0"/>
              <v:stroke on="f" weight="0.5pt" joinstyle="round"/>
              <v:imagedata o:title=""/>
              <o:lock v:ext="edit" aspectratio="f"/>
              <v:textbox inset="0mm,0mm,0mm,0mm" style="mso-fit-shape-to-text:t;">
                <w:txbxContent>
                  <w:p w14:paraId="742F06DF">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9025F">
    <w:pPr>
      <w:spacing w:line="187" w:lineRule="auto"/>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10" name="文本框 3"/>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6E31597C">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3"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TxoJh1QAAAAMBAAAPAAAAAAAAAAEAIAAAACIAAABkcnMvZG93&#10;bnJldi54bWxQSwECFAAUAAAACACHTuJAX9J5yQMCAAD1AwAADgAAAAAAAAABACAAAAAkAQAAZHJz&#10;L2Uyb0RvYy54bWxQSwUGAAAAAAYABgBZAQAAmQUAAAAA&#10;">
              <v:fill on="f" focussize="0,0"/>
              <v:stroke on="f" weight="0.5pt" joinstyle="round"/>
              <v:imagedata o:title=""/>
              <o:lock v:ext="edit" aspectratio="f"/>
              <v:textbox inset="0mm,0mm,0mm,0mm" style="mso-fit-shape-to-text:t;">
                <w:txbxContent>
                  <w:p w14:paraId="6E31597C">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FC56C">
    <w:pPr>
      <w:spacing w:line="187" w:lineRule="auto"/>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13" name="文本框 4"/>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074A3CA0">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4"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FyrZoYEAgAA9QMAAA4AAAAAAAAAAQAgAAAAJAEAAGRy&#10;cy9lMm9Eb2MueG1sUEsFBgAAAAAGAAYAWQEAAJoFAAAAAA==&#10;">
              <v:fill on="f" focussize="0,0"/>
              <v:stroke on="f" weight="0.5pt" joinstyle="round"/>
              <v:imagedata o:title=""/>
              <o:lock v:ext="edit" aspectratio="f"/>
              <v:textbox inset="0mm,0mm,0mm,0mm" style="mso-fit-shape-to-text:t;">
                <w:txbxContent>
                  <w:p w14:paraId="074A3CA0">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2D046">
    <w:pPr>
      <w:spacing w:line="187" w:lineRule="auto"/>
      <w:ind w:left="4195"/>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16" name="文本框 6"/>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23BFD248">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6"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DySYzwEAgAA9QMAAA4AAAAAAAAAAQAgAAAAJAEAAGRy&#10;cy9lMm9Eb2MueG1sUEsFBgAAAAAGAAYAWQEAAJoFAAAAAA==&#10;">
              <v:fill on="f" focussize="0,0"/>
              <v:stroke on="f" weight="0.5pt" joinstyle="round"/>
              <v:imagedata o:title=""/>
              <o:lock v:ext="edit" aspectratio="f"/>
              <v:textbox inset="0mm,0mm,0mm,0mm" style="mso-fit-shape-to-text:t;">
                <w:txbxContent>
                  <w:p w14:paraId="23BFD248">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2E093">
    <w:pPr>
      <w:spacing w:line="187" w:lineRule="auto"/>
      <w:ind w:left="437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23" name="文本框 7"/>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4C5F1D8F">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7"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PGgmHVAAAAAwEAAA8AAAAAAAAAAQAgAAAAIgAAAGRycy9k&#10;b3ducmV2LnhtbFBLAQIUABQAAAAIAIdO4kDBMOK4BQIAAPUDAAAOAAAAAAAAAAEAIAAAACQBAABk&#10;cnMvZTJvRG9jLnhtbFBLBQYAAAAABgAGAFkBAACbBQAAAAA=&#10;">
              <v:fill on="f" focussize="0,0"/>
              <v:stroke on="f" weight="0.5pt" joinstyle="round"/>
              <v:imagedata o:title=""/>
              <o:lock v:ext="edit" aspectratio="f"/>
              <v:textbox inset="0mm,0mm,0mm,0mm" style="mso-fit-shape-to-text:t;">
                <w:txbxContent>
                  <w:p w14:paraId="4C5F1D8F">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BC0E4">
    <w:pPr>
      <w:spacing w:line="187" w:lineRule="auto"/>
      <w:ind w:left="4829"/>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26" name="文本框 9"/>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5220F564">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9"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PGgmHVAAAAAwEAAA8AAAAAAAAAAQAgAAAAIgAAAGRycy9k&#10;b3ducmV2LnhtbFBLAQIUABQAAAAIAIdO4kBecHCwBQIAAPUDAAAOAAAAAAAAAAEAIAAAACQBAABk&#10;cnMvZTJvRG9jLnhtbFBLBQYAAAAABgAGAFkBAACbBQAAAAA=&#10;">
              <v:fill on="f" focussize="0,0"/>
              <v:stroke on="f" weight="0.5pt" joinstyle="round"/>
              <v:imagedata o:title=""/>
              <o:lock v:ext="edit" aspectratio="f"/>
              <v:textbox inset="0mm,0mm,0mm,0mm" style="mso-fit-shape-to-text:t;">
                <w:txbxContent>
                  <w:p w14:paraId="5220F564">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B604C">
    <w:pPr>
      <w:spacing w:line="187" w:lineRule="auto"/>
      <w:ind w:left="437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29" name="文本框 11"/>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4A542C01">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1"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LcIbSwEAgAA9gMAAA4AAAAAAAAAAQAgAAAAJAEAAGRy&#10;cy9lMm9Eb2MueG1sUEsFBgAAAAAGAAYAWQEAAJoFAAAAAA==&#10;">
              <v:fill on="f" focussize="0,0"/>
              <v:stroke on="f" weight="0.5pt" joinstyle="round"/>
              <v:imagedata o:title=""/>
              <o:lock v:ext="edit" aspectratio="f"/>
              <v:textbox inset="0mm,0mm,0mm,0mm" style="mso-fit-shape-to-text:t;">
                <w:txbxContent>
                  <w:p w14:paraId="4A542C01">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6F0BA">
    <w:pPr>
      <w:spacing w:line="187" w:lineRule="auto"/>
      <w:ind w:left="437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32" name="文本框 12"/>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333A202E">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2"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O1atB4EAgAA9gMAAA4AAAAAAAAAAQAgAAAAJAEAAGRy&#10;cy9lMm9Eb2MueG1sUEsFBgAAAAAGAAYAWQEAAJoFAAAAAA==&#10;">
              <v:fill on="f" focussize="0,0"/>
              <v:stroke on="f" weight="0.5pt" joinstyle="round"/>
              <v:imagedata o:title=""/>
              <o:lock v:ext="edit" aspectratio="f"/>
              <v:textbox inset="0mm,0mm,0mm,0mm" style="mso-fit-shape-to-text:t;">
                <w:txbxContent>
                  <w:p w14:paraId="333A202E">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70270">
    <w:pPr>
      <w:spacing w:line="187" w:lineRule="auto"/>
      <w:ind w:left="4226"/>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35" name="文本框 13"/>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323C3582">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3"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LwmHXQEAgAA9gMAAA4AAAAAAAAAAQAgAAAAJAEAAGRy&#10;cy9lMm9Eb2MueG1sUEsFBgAAAAAGAAYAWQEAAJoFAAAAAA==&#10;">
              <v:fill on="f" focussize="0,0"/>
              <v:stroke on="f" weight="0.5pt" joinstyle="round"/>
              <v:imagedata o:title=""/>
              <o:lock v:ext="edit" aspectratio="f"/>
              <v:textbox inset="0mm,0mm,0mm,0mm" style="mso-fit-shape-to-text:t;">
                <w:txbxContent>
                  <w:p w14:paraId="323C3582">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E0F97">
    <w:pPr>
      <w:spacing w:line="187" w:lineRule="auto"/>
      <w:ind w:left="4820"/>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38" name="文本框 14"/>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5076D51A">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4"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PGgmHVAAAAAwEAAA8AAAAAAAAAAQAgAAAAIgAAAGRycy9k&#10;b3ducmV2LnhtbFBLAQIUABQAAAAIAIdO4kBcejgrBQIAAPYDAAAOAAAAAAAAAAEAIAAAACQBAABk&#10;cnMvZTJvRG9jLnhtbFBLBQYAAAAABgAGAFkBAACbBQAAAAA=&#10;">
              <v:fill on="f" focussize="0,0"/>
              <v:stroke on="f" weight="0.5pt" joinstyle="round"/>
              <v:imagedata o:title=""/>
              <o:lock v:ext="edit" aspectratio="f"/>
              <v:textbox inset="0mm,0mm,0mm,0mm" style="mso-fit-shape-to-text:t;">
                <w:txbxContent>
                  <w:p w14:paraId="5076D51A">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D7372">
    <w:pPr>
      <w:spacing w:line="187" w:lineRule="auto"/>
      <w:ind w:left="4815"/>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27000" cy="131445"/>
              <wp:effectExtent l="0" t="0" r="0" b="0"/>
              <wp:wrapNone/>
              <wp:docPr id="41" name="文本框 15"/>
              <wp:cNvGraphicFramePr/>
              <a:graphic xmlns:a="http://schemas.openxmlformats.org/drawingml/2006/main">
                <a:graphicData uri="http://schemas.microsoft.com/office/word/2010/wordprocessingShape">
                  <wps:wsp>
                    <wps:cNvSpPr/>
                    <wps:spPr>
                      <a:xfrm>
                        <a:off x="0" y="0"/>
                        <a:ext cx="127101" cy="131559"/>
                      </a:xfrm>
                      <a:prstGeom prst="rect">
                        <a:avLst/>
                      </a:prstGeom>
                      <a:noFill/>
                      <a:ln w="6350" cap="flat" cmpd="sng">
                        <a:noFill/>
                        <a:prstDash val="solid"/>
                        <a:round/>
                      </a:ln>
                    </wps:spPr>
                    <wps:txbx>
                      <w:txbxContent>
                        <w:p w14:paraId="0B714C81">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15" o:spid="_x0000_s1026" o:spt="1" style="position:absolute;left:0pt;margin-top:0pt;height:10.35pt;width:10pt;mso-position-horizontal:center;mso-position-horizontal-relative:margin;mso-wrap-style:none;z-index:251659264;mso-width-relative:page;mso-height-relative:page;" filled="f" stroked="f" coordsize="21600,21600" o:gfxdata="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8aCYdUAAAADAQAADwAAAAAAAAABACAAAAAiAAAAZHJzL2Rv&#10;d25yZXYueG1sUEsBAhQAFAAAAAgAh07iQNArn1QEAgAA9gMAAA4AAAAAAAAAAQAgAAAAJAEAAGRy&#10;cy9lMm9Eb2MueG1sUEsFBgAAAAAGAAYAWQEAAJoFAAAAAA==&#10;">
              <v:fill on="f" focussize="0,0"/>
              <v:stroke on="f" weight="0.5pt" joinstyle="round"/>
              <v:imagedata o:title=""/>
              <o:lock v:ext="edit" aspectratio="f"/>
              <v:textbox inset="0mm,0mm,0mm,0mm" style="mso-fit-shape-to-text:t;">
                <w:txbxContent>
                  <w:p w14:paraId="0B714C81">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305DB">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39C386E">
                          <w:pPr>
                            <w:pStyle w:val="20"/>
                          </w:pPr>
                          <w:r>
                            <w:fldChar w:fldCharType="begin"/>
                          </w:r>
                          <w:r>
                            <w:instrText xml:space="preserve"> PAGE  \* MERGEFORMAT </w:instrText>
                          </w:r>
                          <w:r>
                            <w:fldChar w:fldCharType="separate"/>
                          </w:r>
                          <w:r>
                            <w:t>149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PR+p0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9H6nTICAABlBAAADgAAAAAAAAABACAAAAAfAQAAZHJzL2Uyb0RvYy54bWxQSwUG&#10;AAAAAAYABgBZAQAAwwUAAAAA&#10;">
              <v:fill on="f" focussize="0,0"/>
              <v:stroke on="f" weight="0.5pt"/>
              <v:imagedata o:title=""/>
              <o:lock v:ext="edit" aspectratio="f"/>
              <v:textbox inset="0mm,0mm,0mm,0mm" style="mso-fit-shape-to-text:t;">
                <w:txbxContent>
                  <w:p w14:paraId="739C386E">
                    <w:pPr>
                      <w:pStyle w:val="20"/>
                    </w:pPr>
                    <w:r>
                      <w:fldChar w:fldCharType="begin"/>
                    </w:r>
                    <w:r>
                      <w:instrText xml:space="preserve"> PAGE  \* MERGEFORMAT </w:instrText>
                    </w:r>
                    <w:r>
                      <w:fldChar w:fldCharType="separate"/>
                    </w:r>
                    <w:r>
                      <w:t>149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3493B">
    <w:pPr>
      <w:spacing w:line="186" w:lineRule="auto"/>
      <w:ind w:left="4359"/>
      <w:rPr>
        <w:rFonts w:ascii="Calibri" w:hAnsi="Calibri" w:eastAsia="Calibri" w:cs="Calibri"/>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671ECF">
                          <w:pPr>
                            <w:pStyle w:val="20"/>
                          </w:pPr>
                          <w:r>
                            <w:fldChar w:fldCharType="begin"/>
                          </w:r>
                          <w:r>
                            <w:instrText xml:space="preserve"> PAGE  \* MERGEFORMAT </w:instrText>
                          </w:r>
                          <w:r>
                            <w:fldChar w:fldCharType="separate"/>
                          </w:r>
                          <w:r>
                            <w:t>150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IB2VAyAgAAZA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kgHZUDICAABkBAAADgAAAAAAAAABACAAAAAfAQAAZHJzL2Uyb0RvYy54bWxQSwUG&#10;AAAAAAYABgBZAQAAwwUAAAAA&#10;">
              <v:fill on="f" focussize="0,0"/>
              <v:stroke on="f" weight="0.5pt"/>
              <v:imagedata o:title=""/>
              <o:lock v:ext="edit" aspectratio="f"/>
              <v:textbox inset="0mm,0mm,0mm,0mm" style="mso-fit-shape-to-text:t;">
                <w:txbxContent>
                  <w:p w14:paraId="7C671ECF">
                    <w:pPr>
                      <w:pStyle w:val="20"/>
                    </w:pPr>
                    <w:r>
                      <w:fldChar w:fldCharType="begin"/>
                    </w:r>
                    <w:r>
                      <w:instrText xml:space="preserve"> PAGE  \* MERGEFORMAT </w:instrText>
                    </w:r>
                    <w:r>
                      <w:fldChar w:fldCharType="separate"/>
                    </w:r>
                    <w:r>
                      <w:t>150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D26AB">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85F6DF4">
                          <w:pPr>
                            <w:pStyle w:val="20"/>
                          </w:pPr>
                          <w:r>
                            <w:fldChar w:fldCharType="begin"/>
                          </w:r>
                          <w:r>
                            <w:instrText xml:space="preserve"> PAGE  \* MERGEFORMAT </w:instrText>
                          </w:r>
                          <w:r>
                            <w:fldChar w:fldCharType="separate"/>
                          </w:r>
                          <w:r>
                            <w:t>151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gzL+cz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gzL+czAgAAZQQAAA4AAAAAAAAAAQAgAAAAHwEAAGRycy9lMm9Eb2MueG1sUEsF&#10;BgAAAAAGAAYAWQEAAMQFAAAAAA==&#10;">
              <v:fill on="f" focussize="0,0"/>
              <v:stroke on="f" weight="0.5pt"/>
              <v:imagedata o:title=""/>
              <o:lock v:ext="edit" aspectratio="f"/>
              <v:textbox inset="0mm,0mm,0mm,0mm" style="mso-fit-shape-to-text:t;">
                <w:txbxContent>
                  <w:p w14:paraId="285F6DF4">
                    <w:pPr>
                      <w:pStyle w:val="20"/>
                    </w:pPr>
                    <w:r>
                      <w:fldChar w:fldCharType="begin"/>
                    </w:r>
                    <w:r>
                      <w:instrText xml:space="preserve"> PAGE  \* MERGEFORMAT </w:instrText>
                    </w:r>
                    <w:r>
                      <w:fldChar w:fldCharType="separate"/>
                    </w:r>
                    <w:r>
                      <w:t>151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0C20E">
    <w:pPr>
      <w:spacing w:line="188" w:lineRule="auto"/>
      <w:ind w:left="4466"/>
      <w:rPr>
        <w:rFonts w:ascii="Calibri" w:hAnsi="Calibri" w:eastAsia="Calibri" w:cs="Calibri"/>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FACBE25">
                          <w:pPr>
                            <w:pStyle w:val="20"/>
                          </w:pPr>
                          <w:r>
                            <w:fldChar w:fldCharType="begin"/>
                          </w:r>
                          <w:r>
                            <w:instrText xml:space="preserve"> PAGE  \* MERGEFORMAT </w:instrText>
                          </w:r>
                          <w:r>
                            <w:fldChar w:fldCharType="separate"/>
                          </w:r>
                          <w:r>
                            <w:t>152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9GwDICAABkBAAADgAAAAAAAAABACAAAAAfAQAAZHJzL2Uyb0RvYy54bWxQSwUG&#10;AAAAAAYABgBZAQAAwwUAAAAA&#10;">
              <v:fill on="f" focussize="0,0"/>
              <v:stroke on="f" weight="0.5pt"/>
              <v:imagedata o:title=""/>
              <o:lock v:ext="edit" aspectratio="f"/>
              <v:textbox inset="0mm,0mm,0mm,0mm" style="mso-fit-shape-to-text:t;">
                <w:txbxContent>
                  <w:p w14:paraId="0FACBE25">
                    <w:pPr>
                      <w:pStyle w:val="20"/>
                    </w:pPr>
                    <w:r>
                      <w:fldChar w:fldCharType="begin"/>
                    </w:r>
                    <w:r>
                      <w:instrText xml:space="preserve"> PAGE  \* MERGEFORMAT </w:instrText>
                    </w:r>
                    <w:r>
                      <w:fldChar w:fldCharType="separate"/>
                    </w:r>
                    <w:r>
                      <w:t>152</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5A627">
    <w:pPr>
      <w:spacing w:line="188" w:lineRule="auto"/>
      <w:ind w:left="7337"/>
      <w:rPr>
        <w:rFonts w:ascii="Calibri" w:hAnsi="Calibri" w:eastAsia="Calibri" w:cs="Calibri"/>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1593701">
                          <w:pPr>
                            <w:pStyle w:val="20"/>
                          </w:pPr>
                          <w:r>
                            <w:fldChar w:fldCharType="begin"/>
                          </w:r>
                          <w:r>
                            <w:instrText xml:space="preserve"> PAGE  \* MERGEFORMAT </w:instrText>
                          </w:r>
                          <w:r>
                            <w:fldChar w:fldCharType="separate"/>
                          </w:r>
                          <w:r>
                            <w:t>153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4iF3oz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4iF3ozAgAAZQQAAA4AAAAAAAAAAQAgAAAAHwEAAGRycy9lMm9Eb2MueG1sUEsF&#10;BgAAAAAGAAYAWQEAAMQFAAAAAA==&#10;">
              <v:fill on="f" focussize="0,0"/>
              <v:stroke on="f" weight="0.5pt"/>
              <v:imagedata o:title=""/>
              <o:lock v:ext="edit" aspectratio="f"/>
              <v:textbox inset="0mm,0mm,0mm,0mm" style="mso-fit-shape-to-text:t;">
                <w:txbxContent>
                  <w:p w14:paraId="51593701">
                    <w:pPr>
                      <w:pStyle w:val="20"/>
                    </w:pPr>
                    <w:r>
                      <w:fldChar w:fldCharType="begin"/>
                    </w:r>
                    <w:r>
                      <w:instrText xml:space="preserve"> PAGE  \* MERGEFORMAT </w:instrText>
                    </w:r>
                    <w:r>
                      <w:fldChar w:fldCharType="separate"/>
                    </w:r>
                    <w:r>
                      <w:t>153</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13693">
    <w:pPr>
      <w:spacing w:line="187" w:lineRule="auto"/>
      <w:ind w:left="4803"/>
      <w:rPr>
        <w:rFonts w:ascii="Calibri" w:hAnsi="Calibri" w:eastAsia="Calibri" w:cs="Calibri"/>
        <w:sz w:val="17"/>
        <w:szCs w:val="17"/>
      </w:rPr>
    </w:pPr>
    <w:r>
      <w:rPr>
        <w:sz w:val="17"/>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77" name="文本框 44"/>
              <wp:cNvGraphicFramePr/>
              <a:graphic xmlns:a="http://schemas.openxmlformats.org/drawingml/2006/main">
                <a:graphicData uri="http://schemas.microsoft.com/office/word/2010/wordprocessingShape">
                  <wps:wsp>
                    <wps:cNvSpPr/>
                    <wps:spPr>
                      <a:xfrm>
                        <a:off x="0" y="0"/>
                        <a:ext cx="190652" cy="131559"/>
                      </a:xfrm>
                      <a:prstGeom prst="rect">
                        <a:avLst/>
                      </a:prstGeom>
                      <a:noFill/>
                      <a:ln w="6350" cap="flat" cmpd="sng">
                        <a:noFill/>
                        <a:prstDash val="solid"/>
                        <a:round/>
                      </a:ln>
                    </wps:spPr>
                    <wps:txbx>
                      <w:txbxContent>
                        <w:p w14:paraId="0B05D1A7">
                          <w:pPr>
                            <w:pStyle w:val="2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rect id="文本框 44" o:spid="_x0000_s1026" o:spt="1"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3H4UC1QAAAAMBAAAPAAAAAAAAAAEAIAAAACIAAABkcnMv&#10;ZG93bnJldi54bWxQSwECFAAUAAAACACHTuJAg+K1MQYCAAD2AwAADgAAAAAAAAABACAAAAAkAQAA&#10;ZHJzL2Uyb0RvYy54bWxQSwUGAAAAAAYABgBZAQAAnAUAAAAA&#10;">
              <v:fill on="f" focussize="0,0"/>
              <v:stroke on="f" weight="0.5pt" joinstyle="round"/>
              <v:imagedata o:title=""/>
              <o:lock v:ext="edit" aspectratio="f"/>
              <v:textbox inset="0mm,0mm,0mm,0mm" style="mso-fit-shape-to-text:t;">
                <w:txbxContent>
                  <w:p w14:paraId="0B05D1A7">
                    <w:pPr>
                      <w:pStyle w:val="20"/>
                    </w:pPr>
                    <w:r>
                      <w:fldChar w:fldCharType="begin"/>
                    </w:r>
                    <w:r>
                      <w:instrText xml:space="preserve"> PAGE  \* MERGEFORMAT </w:instrText>
                    </w:r>
                    <w:r>
                      <w:fldChar w:fldCharType="separate"/>
                    </w:r>
                    <w:r>
                      <w:t>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BDDFF">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FCBBA">
    <w:pPr>
      <w:pStyle w:val="21"/>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3A7F3E"/>
    <w:multiLevelType w:val="multilevel"/>
    <w:tmpl w:val="883A7F3E"/>
    <w:lvl w:ilvl="0" w:tentative="0">
      <w:start w:val="1"/>
      <w:numFmt w:val="decimal"/>
      <w:suff w:val="nothing"/>
      <w:lvlText w:val="%1　"/>
      <w:lvlJc w:val="left"/>
      <w:pPr>
        <w:ind w:left="0" w:firstLine="0"/>
      </w:pPr>
      <w:rPr>
        <w:rFonts w:hint="eastAsia" w:ascii="黑体" w:hAnsi="黑体" w:eastAsia="黑体"/>
        <w:b w:val="0"/>
        <w:i w:val="0"/>
        <w:sz w:val="21"/>
        <w:szCs w:val="21"/>
      </w:rPr>
    </w:lvl>
    <w:lvl w:ilvl="1" w:tentative="0">
      <w:start w:val="1"/>
      <w:numFmt w:val="decimal"/>
      <w:suff w:val="nothing"/>
      <w:lvlText w:val="%1.%2　"/>
      <w:lvlJc w:val="left"/>
      <w:pPr>
        <w:ind w:left="0" w:firstLine="0"/>
      </w:pPr>
      <w:rPr>
        <w:rFonts w:hint="eastAsia" w:ascii="黑体" w:hAnsi="黑体" w:eastAsia="黑体" w:cs="Times New Roman"/>
        <w:b w:val="0"/>
        <w:bCs w:val="0"/>
        <w:i w:val="0"/>
        <w:iCs w:val="0"/>
        <w:caps w:val="0"/>
        <w:smallCaps w:val="0"/>
        <w:strike w:val="0"/>
        <w:dstrike w:val="0"/>
        <w:vanish w:val="0"/>
        <w:color w:val="auto"/>
        <w:spacing w:val="0"/>
        <w:kern w:val="0"/>
        <w:position w:val="0"/>
        <w:sz w:val="21"/>
        <w:szCs w:val="21"/>
        <w:u w:val="none"/>
        <w:vertAlign w:val="baseline"/>
      </w:rPr>
    </w:lvl>
    <w:lvl w:ilvl="2" w:tentative="0">
      <w:start w:val="1"/>
      <w:numFmt w:val="decimal"/>
      <w:pStyle w:val="68"/>
      <w:suff w:val="nothing"/>
      <w:lvlText w:val="%1.%2.%3　"/>
      <w:lvlJc w:val="left"/>
      <w:pPr>
        <w:ind w:left="0" w:firstLine="0"/>
      </w:pPr>
      <w:rPr>
        <w:rFonts w:hint="default" w:ascii="黑体" w:hAnsi="黑体" w:eastAsia="黑体"/>
        <w:b w:val="0"/>
        <w:i w:val="0"/>
        <w:color w:val="auto"/>
        <w:sz w:val="21"/>
      </w:rPr>
    </w:lvl>
    <w:lvl w:ilvl="3" w:tentative="0">
      <w:start w:val="1"/>
      <w:numFmt w:val="decimal"/>
      <w:pStyle w:val="70"/>
      <w:suff w:val="nothing"/>
      <w:lvlText w:val="%1.%2.%3.%4　"/>
      <w:lvlJc w:val="left"/>
      <w:pPr>
        <w:ind w:left="0" w:firstLine="0"/>
      </w:pPr>
      <w:rPr>
        <w:rFonts w:hint="eastAsia" w:ascii="黑体" w:hAnsi="黑体" w:eastAsia="黑体"/>
        <w:b w:val="0"/>
        <w:i w:val="0"/>
        <w:sz w:val="21"/>
      </w:rPr>
    </w:lvl>
    <w:lvl w:ilvl="4" w:tentative="0">
      <w:start w:val="1"/>
      <w:numFmt w:val="decimal"/>
      <w:suff w:val="nothing"/>
      <w:lvlText w:val="%1.%2.%3.%4.%5　"/>
      <w:lvlJc w:val="left"/>
      <w:pPr>
        <w:ind w:left="0" w:firstLine="0"/>
      </w:pPr>
      <w:rPr>
        <w:rFonts w:hint="eastAsia" w:ascii="黑体" w:hAnsi="黑体" w:eastAsia="黑体"/>
        <w:b w:val="0"/>
        <w:i w:val="0"/>
        <w:sz w:val="21"/>
      </w:rPr>
    </w:lvl>
    <w:lvl w:ilvl="5" w:tentative="0">
      <w:start w:val="1"/>
      <w:numFmt w:val="decimal"/>
      <w:suff w:val="nothing"/>
      <w:lvlText w:val="%1.%2.%3.%4.%5.%6　"/>
      <w:lvlJc w:val="left"/>
      <w:pPr>
        <w:ind w:left="0" w:firstLine="0"/>
      </w:pPr>
      <w:rPr>
        <w:rFonts w:hint="eastAsia" w:ascii="黑体" w:hAnsi="黑体" w:eastAsia="黑体"/>
        <w:b w:val="0"/>
        <w:i w:val="0"/>
        <w:sz w:val="21"/>
      </w:rPr>
    </w:lvl>
    <w:lvl w:ilvl="6" w:tentative="0">
      <w:start w:val="1"/>
      <w:numFmt w:val="decimal"/>
      <w:suff w:val="nothing"/>
      <w:lvlText w:val="%1%2.%3.%4.%5.%6.%7　"/>
      <w:lvlJc w:val="left"/>
      <w:pPr>
        <w:ind w:left="0" w:firstLine="0"/>
      </w:pPr>
      <w:rPr>
        <w:rFonts w:hint="eastAsia" w:ascii="黑体" w:hAnsi="黑体" w:eastAsia="黑体"/>
        <w:b w:val="0"/>
        <w:i w:val="0"/>
        <w:sz w:val="21"/>
      </w:rPr>
    </w:lvl>
    <w:lvl w:ilvl="7" w:tentative="0">
      <w:start w:val="1"/>
      <w:numFmt w:val="decimal"/>
      <w:lvlText w:val="%1.%2.%3.%4.%5.%6.%7.%8"/>
      <w:lvlJc w:val="left"/>
      <w:pPr>
        <w:ind w:left="3969" w:hanging="1418"/>
      </w:pPr>
      <w:rPr>
        <w:rFonts w:hint="eastAsia"/>
      </w:rPr>
    </w:lvl>
    <w:lvl w:ilvl="8" w:tentative="0">
      <w:start w:val="1"/>
      <w:numFmt w:val="decimal"/>
      <w:lvlText w:val="%1.%2.%3.%4.%5.%6.%7.%8.%9"/>
      <w:lvlJc w:val="left"/>
      <w:pPr>
        <w:ind w:left="4677" w:hanging="1700"/>
      </w:pPr>
      <w:rPr>
        <w:rFonts w:hint="eastAsia"/>
      </w:rPr>
    </w:lvl>
  </w:abstractNum>
  <w:abstractNum w:abstractNumId="1">
    <w:nsid w:val="95DCD3E9"/>
    <w:multiLevelType w:val="multilevel"/>
    <w:tmpl w:val="95DCD3E9"/>
    <w:lvl w:ilvl="0" w:tentative="0">
      <w:start w:val="1"/>
      <w:numFmt w:val="decimal"/>
      <w:isLgl/>
      <w:suff w:val="space"/>
      <w:lvlText w:val="%1"/>
      <w:lvlJc w:val="left"/>
      <w:pPr>
        <w:ind w:left="0" w:firstLine="0"/>
      </w:pPr>
      <w:rPr>
        <w:rFonts w:hint="eastAsia" w:ascii="宋体" w:hAnsi="宋体" w:eastAsia="宋体" w:cs="Arial Unicode MS"/>
        <w:b/>
        <w:i w:val="0"/>
        <w:color w:val="auto"/>
        <w:spacing w:val="0"/>
        <w:w w:val="100"/>
        <w:position w:val="0"/>
        <w:sz w:val="28"/>
        <w:szCs w:val="28"/>
        <w:u w:val="none"/>
      </w:rPr>
    </w:lvl>
    <w:lvl w:ilvl="1" w:tentative="0">
      <w:start w:val="1"/>
      <w:numFmt w:val="decimal"/>
      <w:suff w:val="space"/>
      <w:lvlText w:val="%1.%2"/>
      <w:lvlJc w:val="left"/>
      <w:pPr>
        <w:ind w:left="720" w:hanging="720"/>
      </w:pPr>
      <w:rPr>
        <w:rFonts w:hint="default"/>
      </w:rPr>
    </w:lvl>
    <w:lvl w:ilvl="2" w:tentative="0">
      <w:start w:val="1"/>
      <w:numFmt w:val="decimal"/>
      <w:suff w:val="space"/>
      <w:lvlText w:val="%1.%2.%3"/>
      <w:lvlJc w:val="left"/>
      <w:pPr>
        <w:ind w:left="567" w:hanging="567"/>
      </w:pPr>
      <w:rPr>
        <w:rFonts w:hint="default"/>
      </w:rPr>
    </w:lvl>
    <w:lvl w:ilvl="3" w:tentative="0">
      <w:start w:val="1"/>
      <w:numFmt w:val="decimal"/>
      <w:isLgl/>
      <w:suff w:val="space"/>
      <w:lvlText w:val="%1.%2.%3.%4"/>
      <w:lvlJc w:val="left"/>
      <w:pPr>
        <w:ind w:left="1077" w:hanging="1077"/>
      </w:pPr>
      <w:rPr>
        <w:rFonts w:hint="default"/>
      </w:rPr>
    </w:lvl>
    <w:lvl w:ilvl="4" w:tentative="0">
      <w:start w:val="1"/>
      <w:numFmt w:val="decimal"/>
      <w:pStyle w:val="130"/>
      <w:isLgl/>
      <w:suff w:val="space"/>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520" w:hanging="2520"/>
      </w:pPr>
      <w:rPr>
        <w:rFonts w:hint="default"/>
      </w:rPr>
    </w:lvl>
  </w:abstractNum>
  <w:abstractNum w:abstractNumId="2">
    <w:nsid w:val="961D5905"/>
    <w:multiLevelType w:val="singleLevel"/>
    <w:tmpl w:val="961D5905"/>
    <w:lvl w:ilvl="0" w:tentative="0">
      <w:start w:val="3"/>
      <w:numFmt w:val="decimal"/>
      <w:lvlText w:val="%1."/>
      <w:lvlJc w:val="left"/>
      <w:pPr>
        <w:tabs>
          <w:tab w:val="left" w:pos="312"/>
        </w:tabs>
      </w:pPr>
    </w:lvl>
  </w:abstractNum>
  <w:abstractNum w:abstractNumId="3">
    <w:nsid w:val="BCCC31A0"/>
    <w:multiLevelType w:val="multilevel"/>
    <w:tmpl w:val="BCCC31A0"/>
    <w:lvl w:ilvl="0" w:tentative="0">
      <w:start w:val="1"/>
      <w:numFmt w:val="decimal"/>
      <w:lvlText w:val="%1 "/>
      <w:lvlJc w:val="left"/>
      <w:pPr>
        <w:ind w:left="0" w:firstLine="0"/>
      </w:pPr>
      <w:rPr>
        <w:rFonts w:hint="eastAsia"/>
        <w:b/>
        <w:bCs w:val="0"/>
        <w:i w:val="0"/>
        <w:iCs w:val="0"/>
        <w:caps w:val="0"/>
        <w:smallCaps w:val="0"/>
        <w:strike w:val="0"/>
        <w:dstrike w:val="0"/>
        <w:vanish w:val="0"/>
        <w:color w:val="auto"/>
        <w:spacing w:val="0"/>
        <w:position w:val="0"/>
        <w:u w:val="none"/>
        <w:vertAlign w:val="baseline"/>
      </w:rPr>
    </w:lvl>
    <w:lvl w:ilvl="1" w:tentative="0">
      <w:start w:val="1"/>
      <w:numFmt w:val="decimal"/>
      <w:suff w:val="space"/>
      <w:lvlText w:val="%1.%2"/>
      <w:lvlJc w:val="left"/>
      <w:pPr>
        <w:ind w:left="0" w:firstLine="0"/>
      </w:pPr>
      <w:rPr>
        <w:rFonts w:hint="eastAsia" w:eastAsia="黑体"/>
        <w:color w:val="auto"/>
        <w:szCs w:val="28"/>
      </w:rPr>
    </w:lvl>
    <w:lvl w:ilvl="2" w:tentative="0">
      <w:start w:val="1"/>
      <w:numFmt w:val="decimal"/>
      <w:suff w:val="space"/>
      <w:lvlText w:val="%1.%2.%3"/>
      <w:lvlJc w:val="left"/>
      <w:pPr>
        <w:ind w:left="0" w:firstLine="0"/>
      </w:pPr>
      <w:rPr>
        <w:rFonts w:hint="eastAsia"/>
        <w:color w:val="auto"/>
      </w:rPr>
    </w:lvl>
    <w:lvl w:ilvl="3" w:tentative="0">
      <w:start w:val="1"/>
      <w:numFmt w:val="decimal"/>
      <w:suff w:val="space"/>
      <w:lvlText w:val="%1.%2.%3.%4"/>
      <w:lvlJc w:val="left"/>
      <w:pPr>
        <w:ind w:left="0" w:firstLine="0"/>
      </w:pPr>
      <w:rPr>
        <w:rFonts w:hint="eastAsia" w:ascii="Times New Roman" w:hAnsi="Times New Roman" w:cs="Times New Roman"/>
        <w:b w:val="0"/>
        <w:bCs w:val="0"/>
        <w:i w:val="0"/>
        <w:iCs w:val="0"/>
        <w:caps w:val="0"/>
        <w:smallCaps w:val="0"/>
        <w:strike w:val="0"/>
        <w:dstrike w:val="0"/>
        <w:snapToGrid w:val="0"/>
        <w:vanish w:val="0"/>
        <w:color w:val="000000"/>
        <w:spacing w:val="0"/>
        <w:w w:val="100"/>
        <w:kern w:val="0"/>
        <w:position w:val="0"/>
        <w:sz w:val="2"/>
        <w:szCs w:val="2"/>
        <w:u w:val="none" w:color="000000"/>
        <w:vertAlign w:val="baseline"/>
      </w:rPr>
    </w:lvl>
    <w:lvl w:ilvl="4" w:tentative="0">
      <w:start w:val="1"/>
      <w:numFmt w:val="decimal"/>
      <w:pStyle w:val="7"/>
      <w:lvlText w:val="%5）"/>
      <w:lvlJc w:val="left"/>
      <w:pPr>
        <w:ind w:left="0" w:firstLine="0"/>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5" w:tentative="0">
      <w:start w:val="1"/>
      <w:numFmt w:val="decimal"/>
      <w:pStyle w:val="8"/>
      <w:lvlText w:val="（%6）"/>
      <w:lvlJc w:val="left"/>
      <w:pPr>
        <w:ind w:left="0" w:firstLine="0"/>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6" w:tentative="0">
      <w:start w:val="1"/>
      <w:numFmt w:val="upperLetter"/>
      <w:suff w:val="nothing"/>
      <w:lvlText w:val="%7."/>
      <w:lvlJc w:val="left"/>
      <w:pPr>
        <w:ind w:left="0" w:firstLine="0"/>
      </w:pPr>
      <w:rPr>
        <w:rFonts w:hint="eastAsia"/>
        <w:sz w:val="24"/>
      </w:rPr>
    </w:lvl>
    <w:lvl w:ilvl="7" w:tentative="0">
      <w:start w:val="1"/>
      <w:numFmt w:val="lowerLetter"/>
      <w:suff w:val="nothing"/>
      <w:lvlText w:val="%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
    <w:nsid w:val="BEE4FE75"/>
    <w:multiLevelType w:val="singleLevel"/>
    <w:tmpl w:val="BEE4FE75"/>
    <w:lvl w:ilvl="0" w:tentative="0">
      <w:start w:val="4"/>
      <w:numFmt w:val="decimal"/>
      <w:suff w:val="nothing"/>
      <w:lvlText w:val="%1、"/>
      <w:lvlJc w:val="left"/>
    </w:lvl>
  </w:abstractNum>
  <w:abstractNum w:abstractNumId="5">
    <w:nsid w:val="E755E376"/>
    <w:multiLevelType w:val="multilevel"/>
    <w:tmpl w:val="E755E376"/>
    <w:lvl w:ilvl="0" w:tentative="0">
      <w:start w:val="1"/>
      <w:numFmt w:val="decimal"/>
      <w:lvlText w:val="%1 "/>
      <w:lvlJc w:val="left"/>
      <w:pPr>
        <w:ind w:left="0" w:firstLine="0"/>
      </w:pPr>
      <w:rPr>
        <w:rFonts w:hint="eastAsia"/>
        <w:b/>
        <w:bCs w:val="0"/>
        <w:i w:val="0"/>
        <w:iCs w:val="0"/>
        <w:caps w:val="0"/>
        <w:smallCaps w:val="0"/>
        <w:strike w:val="0"/>
        <w:dstrike w:val="0"/>
        <w:vanish w:val="0"/>
        <w:color w:val="auto"/>
        <w:spacing w:val="0"/>
        <w:position w:val="0"/>
        <w:u w:val="none"/>
        <w:vertAlign w:val="baseline"/>
      </w:rPr>
    </w:lvl>
    <w:lvl w:ilvl="1" w:tentative="0">
      <w:start w:val="1"/>
      <w:numFmt w:val="decimal"/>
      <w:suff w:val="space"/>
      <w:lvlText w:val="%1.%2"/>
      <w:lvlJc w:val="left"/>
      <w:pPr>
        <w:ind w:left="0" w:firstLine="0"/>
      </w:pPr>
      <w:rPr>
        <w:rFonts w:hint="eastAsia" w:eastAsia="黑体"/>
        <w:color w:val="auto"/>
        <w:szCs w:val="28"/>
      </w:rPr>
    </w:lvl>
    <w:lvl w:ilvl="2" w:tentative="0">
      <w:start w:val="1"/>
      <w:numFmt w:val="decimal"/>
      <w:suff w:val="space"/>
      <w:lvlText w:val="%1.%2.%3"/>
      <w:lvlJc w:val="left"/>
      <w:pPr>
        <w:ind w:left="0" w:firstLine="0"/>
      </w:pPr>
      <w:rPr>
        <w:rFonts w:hint="eastAsia"/>
        <w:color w:val="auto"/>
      </w:rPr>
    </w:lvl>
    <w:lvl w:ilvl="3" w:tentative="0">
      <w:start w:val="1"/>
      <w:numFmt w:val="decimal"/>
      <w:suff w:val="space"/>
      <w:lvlText w:val="%1.%2.%3.%4"/>
      <w:lvlJc w:val="left"/>
      <w:pPr>
        <w:ind w:left="0" w:firstLine="0"/>
      </w:pPr>
      <w:rPr>
        <w:rFonts w:hint="eastAsia" w:ascii="Times New Roman" w:hAnsi="Times New Roman" w:cs="Times New Roman"/>
        <w:b w:val="0"/>
        <w:bCs w:val="0"/>
        <w:i w:val="0"/>
        <w:iCs w:val="0"/>
        <w:caps w:val="0"/>
        <w:smallCaps w:val="0"/>
        <w:strike w:val="0"/>
        <w:dstrike w:val="0"/>
        <w:snapToGrid w:val="0"/>
        <w:vanish w:val="0"/>
        <w:color w:val="000000"/>
        <w:spacing w:val="0"/>
        <w:w w:val="100"/>
        <w:kern w:val="0"/>
        <w:position w:val="0"/>
        <w:sz w:val="16"/>
        <w:szCs w:val="2"/>
        <w:u w:val="none" w:color="000000"/>
        <w:vertAlign w:val="baseline"/>
      </w:rPr>
    </w:lvl>
    <w:lvl w:ilvl="4" w:tentative="0">
      <w:start w:val="1"/>
      <w:numFmt w:val="decimal"/>
      <w:pStyle w:val="105"/>
      <w:lvlText w:val="%5）"/>
      <w:lvlJc w:val="left"/>
      <w:pPr>
        <w:ind w:left="0" w:firstLine="0"/>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5" w:tentative="0">
      <w:start w:val="1"/>
      <w:numFmt w:val="decimal"/>
      <w:pStyle w:val="108"/>
      <w:lvlText w:val="（%6）"/>
      <w:lvlJc w:val="left"/>
      <w:pPr>
        <w:ind w:left="0" w:firstLine="0"/>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6" w:tentative="0">
      <w:start w:val="1"/>
      <w:numFmt w:val="upperLetter"/>
      <w:suff w:val="nothing"/>
      <w:lvlText w:val="%7."/>
      <w:lvlJc w:val="left"/>
      <w:pPr>
        <w:ind w:left="0" w:firstLine="0"/>
      </w:pPr>
      <w:rPr>
        <w:rFonts w:hint="eastAsia"/>
        <w:sz w:val="24"/>
      </w:rPr>
    </w:lvl>
    <w:lvl w:ilvl="7" w:tentative="0">
      <w:start w:val="1"/>
      <w:numFmt w:val="lowerLetter"/>
      <w:suff w:val="nothing"/>
      <w:lvlText w:val="%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6">
    <w:nsid w:val="11C31C4A"/>
    <w:multiLevelType w:val="multilevel"/>
    <w:tmpl w:val="11C31C4A"/>
    <w:lvl w:ilvl="0" w:tentative="0">
      <w:start w:val="1"/>
      <w:numFmt w:val="decimal"/>
      <w:suff w:val="nothing"/>
      <w:lvlText w:val="%1"/>
      <w:lvlJc w:val="left"/>
      <w:pPr>
        <w:ind w:left="0" w:firstLine="0"/>
      </w:pPr>
      <w:rPr>
        <w:rFonts w:hint="eastAsia"/>
      </w:rPr>
    </w:lvl>
    <w:lvl w:ilvl="1" w:tentative="0">
      <w:start w:val="1"/>
      <w:numFmt w:val="decimal"/>
      <w:pStyle w:val="3"/>
      <w:suff w:val="nothing"/>
      <w:lvlText w:val="%1.%2"/>
      <w:lvlJc w:val="left"/>
      <w:pPr>
        <w:ind w:left="420" w:hanging="380"/>
      </w:pPr>
      <w:rPr>
        <w:rFonts w:hint="default" w:ascii="Times New Roman" w:hAnsi="Times New Roman" w:cs="Times New Roman"/>
        <w:i w:val="0"/>
        <w:iCs w:val="0"/>
        <w:caps w:val="0"/>
        <w:smallCaps w:val="0"/>
        <w:strike w:val="0"/>
        <w:dstrike w:val="0"/>
        <w:vanish w:val="0"/>
        <w:spacing w:val="0"/>
        <w:position w:val="0"/>
        <w:u w:val="none"/>
        <w:vertAlign w:val="baseline"/>
      </w:rPr>
    </w:lvl>
    <w:lvl w:ilvl="2" w:tentative="0">
      <w:start w:val="1"/>
      <w:numFmt w:val="decimal"/>
      <w:pStyle w:val="5"/>
      <w:suff w:val="nothing"/>
      <w:lvlText w:val="%1.%2.%3"/>
      <w:lvlJc w:val="left"/>
      <w:pPr>
        <w:ind w:left="1702" w:firstLine="0"/>
      </w:pPr>
    </w:lvl>
    <w:lvl w:ilvl="3" w:tentative="0">
      <w:start w:val="1"/>
      <w:numFmt w:val="decimal"/>
      <w:suff w:val="nothing"/>
      <w:lvlText w:val="%1.%2.%3.%4"/>
      <w:lvlJc w:val="left"/>
      <w:pPr>
        <w:ind w:left="0" w:firstLine="0"/>
      </w:pPr>
      <w:rPr>
        <w:rFonts w:hint="default" w:ascii="Times New Roman" w:hAnsi="Times New Roman" w:cs="Times New Roman"/>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7">
    <w:nsid w:val="1958F2BB"/>
    <w:multiLevelType w:val="singleLevel"/>
    <w:tmpl w:val="1958F2BB"/>
    <w:lvl w:ilvl="0" w:tentative="0">
      <w:start w:val="1"/>
      <w:numFmt w:val="decimal"/>
      <w:suff w:val="nothing"/>
      <w:lvlText w:val="（%1）"/>
      <w:lvlJc w:val="left"/>
    </w:lvl>
  </w:abstractNum>
  <w:abstractNum w:abstractNumId="8">
    <w:nsid w:val="19C6A6BD"/>
    <w:multiLevelType w:val="singleLevel"/>
    <w:tmpl w:val="19C6A6BD"/>
    <w:lvl w:ilvl="0" w:tentative="0">
      <w:start w:val="1"/>
      <w:numFmt w:val="decimal"/>
      <w:suff w:val="nothing"/>
      <w:lvlText w:val="（%1）"/>
      <w:lvlJc w:val="left"/>
    </w:lvl>
  </w:abstractNum>
  <w:abstractNum w:abstractNumId="9">
    <w:nsid w:val="25070C8C"/>
    <w:multiLevelType w:val="singleLevel"/>
    <w:tmpl w:val="25070C8C"/>
    <w:lvl w:ilvl="0" w:tentative="0">
      <w:start w:val="2"/>
      <w:numFmt w:val="decimal"/>
      <w:lvlText w:val="(%1)"/>
      <w:lvlJc w:val="left"/>
      <w:pPr>
        <w:tabs>
          <w:tab w:val="left" w:pos="312"/>
        </w:tabs>
      </w:pPr>
    </w:lvl>
  </w:abstractNum>
  <w:abstractNum w:abstractNumId="10">
    <w:nsid w:val="2C8E2175"/>
    <w:multiLevelType w:val="singleLevel"/>
    <w:tmpl w:val="2C8E2175"/>
    <w:lvl w:ilvl="0" w:tentative="0">
      <w:start w:val="2"/>
      <w:numFmt w:val="decimal"/>
      <w:suff w:val="nothing"/>
      <w:lvlText w:val="(%1）"/>
      <w:lvlJc w:val="left"/>
    </w:lvl>
  </w:abstractNum>
  <w:abstractNum w:abstractNumId="11">
    <w:nsid w:val="32363568"/>
    <w:multiLevelType w:val="singleLevel"/>
    <w:tmpl w:val="32363568"/>
    <w:lvl w:ilvl="0" w:tentative="0">
      <w:start w:val="3"/>
      <w:numFmt w:val="decimal"/>
      <w:suff w:val="nothing"/>
      <w:lvlText w:val="（%1）"/>
      <w:lvlJc w:val="left"/>
    </w:lvl>
  </w:abstractNum>
  <w:abstractNum w:abstractNumId="12">
    <w:nsid w:val="6DA17952"/>
    <w:multiLevelType w:val="multilevel"/>
    <w:tmpl w:val="6DA17952"/>
    <w:lvl w:ilvl="0" w:tentative="0">
      <w:start w:val="1"/>
      <w:numFmt w:val="decimal"/>
      <w:lvlText w:val="%1、"/>
      <w:lvlJc w:val="left"/>
      <w:pPr>
        <w:ind w:left="384" w:hanging="384"/>
      </w:pPr>
      <w:rPr>
        <w:rFonts w:hint="default" w:cs="宋体"/>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73345A66"/>
    <w:multiLevelType w:val="singleLevel"/>
    <w:tmpl w:val="73345A66"/>
    <w:lvl w:ilvl="0" w:tentative="0">
      <w:start w:val="1"/>
      <w:numFmt w:val="decimal"/>
      <w:pStyle w:val="12"/>
      <w:lvlText w:val="%1."/>
      <w:lvlJc w:val="left"/>
      <w:pPr>
        <w:tabs>
          <w:tab w:val="left" w:pos="1200"/>
        </w:tabs>
        <w:ind w:left="1200" w:hanging="360"/>
      </w:pPr>
    </w:lvl>
  </w:abstractNum>
  <w:abstractNum w:abstractNumId="14">
    <w:nsid w:val="762416D6"/>
    <w:multiLevelType w:val="multilevel"/>
    <w:tmpl w:val="762416D6"/>
    <w:lvl w:ilvl="0" w:tentative="0">
      <w:start w:val="1"/>
      <w:numFmt w:val="japaneseCounting"/>
      <w:lvlText w:val="第%1章"/>
      <w:lvlJc w:val="left"/>
      <w:pPr>
        <w:ind w:left="1517" w:hanging="1035"/>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6"/>
  </w:num>
  <w:num w:numId="2">
    <w:abstractNumId w:val="3"/>
  </w:num>
  <w:num w:numId="3">
    <w:abstractNumId w:val="13"/>
  </w:num>
  <w:num w:numId="4">
    <w:abstractNumId w:val="0"/>
  </w:num>
  <w:num w:numId="5">
    <w:abstractNumId w:val="5"/>
  </w:num>
  <w:num w:numId="6">
    <w:abstractNumId w:val="1"/>
  </w:num>
  <w:num w:numId="7">
    <w:abstractNumId w:val="11"/>
  </w:num>
  <w:num w:numId="8">
    <w:abstractNumId w:val="8"/>
  </w:num>
  <w:num w:numId="9">
    <w:abstractNumId w:val="4"/>
  </w:num>
  <w:num w:numId="10">
    <w:abstractNumId w:val="7"/>
  </w:num>
  <w:num w:numId="11">
    <w:abstractNumId w:val="14"/>
  </w:num>
  <w:num w:numId="12">
    <w:abstractNumId w:val="10"/>
  </w:num>
  <w:num w:numId="13">
    <w:abstractNumId w:val="9"/>
  </w:num>
  <w:num w:numId="14">
    <w:abstractNumId w:val="12"/>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YTc2ZGZiNzZiNDVlOGViOWVmM2JhOTY0NGJkNjUyYzgifQ=="/>
  </w:docVars>
  <w:rsids>
    <w:rsidRoot w:val="00000000"/>
    <w:rsid w:val="01CC7C78"/>
    <w:rsid w:val="02FF103F"/>
    <w:rsid w:val="041B35EC"/>
    <w:rsid w:val="043F668F"/>
    <w:rsid w:val="0490682C"/>
    <w:rsid w:val="04F27A0F"/>
    <w:rsid w:val="055B4057"/>
    <w:rsid w:val="056E3A92"/>
    <w:rsid w:val="05AB2014"/>
    <w:rsid w:val="062C0283"/>
    <w:rsid w:val="06C74ECC"/>
    <w:rsid w:val="06D14210"/>
    <w:rsid w:val="07503F44"/>
    <w:rsid w:val="080C2DE6"/>
    <w:rsid w:val="0A625918"/>
    <w:rsid w:val="0B8E7E38"/>
    <w:rsid w:val="0BBF2BBB"/>
    <w:rsid w:val="0BEC3898"/>
    <w:rsid w:val="0BF10B1E"/>
    <w:rsid w:val="0CE8253A"/>
    <w:rsid w:val="0D1C7D1F"/>
    <w:rsid w:val="0D2F6B0F"/>
    <w:rsid w:val="0DA25129"/>
    <w:rsid w:val="0E1419ED"/>
    <w:rsid w:val="0E9C3177"/>
    <w:rsid w:val="0EB86F32"/>
    <w:rsid w:val="0F187E33"/>
    <w:rsid w:val="0FC16700"/>
    <w:rsid w:val="0FD9055A"/>
    <w:rsid w:val="10255C41"/>
    <w:rsid w:val="10610F14"/>
    <w:rsid w:val="110A5013"/>
    <w:rsid w:val="11214093"/>
    <w:rsid w:val="11AB7171"/>
    <w:rsid w:val="11E938F1"/>
    <w:rsid w:val="124B069D"/>
    <w:rsid w:val="13196AAF"/>
    <w:rsid w:val="131A358D"/>
    <w:rsid w:val="154645F8"/>
    <w:rsid w:val="16A20B69"/>
    <w:rsid w:val="16B02756"/>
    <w:rsid w:val="17024ED6"/>
    <w:rsid w:val="17126086"/>
    <w:rsid w:val="171264F8"/>
    <w:rsid w:val="17A07AD3"/>
    <w:rsid w:val="17AA6BDF"/>
    <w:rsid w:val="192D19BB"/>
    <w:rsid w:val="1A5C00E0"/>
    <w:rsid w:val="1BAD6994"/>
    <w:rsid w:val="1C4515E3"/>
    <w:rsid w:val="1C9E1531"/>
    <w:rsid w:val="1CAF699C"/>
    <w:rsid w:val="1D0C06B6"/>
    <w:rsid w:val="1D220152"/>
    <w:rsid w:val="1DE93E2E"/>
    <w:rsid w:val="1DF12CD9"/>
    <w:rsid w:val="1E242AE7"/>
    <w:rsid w:val="1EFF79B8"/>
    <w:rsid w:val="1F02564E"/>
    <w:rsid w:val="1F6E2267"/>
    <w:rsid w:val="1FBA7906"/>
    <w:rsid w:val="1FE47E48"/>
    <w:rsid w:val="214D6563"/>
    <w:rsid w:val="219C0FBF"/>
    <w:rsid w:val="230168E6"/>
    <w:rsid w:val="232E0C60"/>
    <w:rsid w:val="23BE7B11"/>
    <w:rsid w:val="23E329F2"/>
    <w:rsid w:val="23ED3D6C"/>
    <w:rsid w:val="24CB37CD"/>
    <w:rsid w:val="24E95BAC"/>
    <w:rsid w:val="252D09BC"/>
    <w:rsid w:val="25C534C1"/>
    <w:rsid w:val="269F5CC7"/>
    <w:rsid w:val="26E27EF9"/>
    <w:rsid w:val="27E0265F"/>
    <w:rsid w:val="29193C4B"/>
    <w:rsid w:val="29B669AE"/>
    <w:rsid w:val="29F85218"/>
    <w:rsid w:val="2B745F75"/>
    <w:rsid w:val="2BB353D0"/>
    <w:rsid w:val="2C1A3732"/>
    <w:rsid w:val="2C70249B"/>
    <w:rsid w:val="2CB031BE"/>
    <w:rsid w:val="2D7B562D"/>
    <w:rsid w:val="2DBA6FCE"/>
    <w:rsid w:val="2DEF248E"/>
    <w:rsid w:val="2EAA029D"/>
    <w:rsid w:val="30EA099E"/>
    <w:rsid w:val="31582857"/>
    <w:rsid w:val="317D0E36"/>
    <w:rsid w:val="31933BF2"/>
    <w:rsid w:val="31AC3642"/>
    <w:rsid w:val="31BC43A8"/>
    <w:rsid w:val="31C43AD1"/>
    <w:rsid w:val="31CA1248"/>
    <w:rsid w:val="32226C17"/>
    <w:rsid w:val="32A66524"/>
    <w:rsid w:val="33F00D0E"/>
    <w:rsid w:val="34D25B08"/>
    <w:rsid w:val="34D45F6B"/>
    <w:rsid w:val="36E1231B"/>
    <w:rsid w:val="37011057"/>
    <w:rsid w:val="37782E71"/>
    <w:rsid w:val="37C34D57"/>
    <w:rsid w:val="383B2265"/>
    <w:rsid w:val="3945228E"/>
    <w:rsid w:val="39511E95"/>
    <w:rsid w:val="39A410F2"/>
    <w:rsid w:val="3A7A3711"/>
    <w:rsid w:val="3AF91BA6"/>
    <w:rsid w:val="3B0B5F92"/>
    <w:rsid w:val="3B3616FD"/>
    <w:rsid w:val="3B9052B1"/>
    <w:rsid w:val="3CDF3CF1"/>
    <w:rsid w:val="3D1C0281"/>
    <w:rsid w:val="3D9011BD"/>
    <w:rsid w:val="3DDB052B"/>
    <w:rsid w:val="3DDD6820"/>
    <w:rsid w:val="3E9B5D89"/>
    <w:rsid w:val="400D6565"/>
    <w:rsid w:val="406867B0"/>
    <w:rsid w:val="40A416A2"/>
    <w:rsid w:val="40B175AF"/>
    <w:rsid w:val="412E3387"/>
    <w:rsid w:val="4135610D"/>
    <w:rsid w:val="4180208D"/>
    <w:rsid w:val="419E5494"/>
    <w:rsid w:val="41D834A3"/>
    <w:rsid w:val="41DB1E56"/>
    <w:rsid w:val="42445268"/>
    <w:rsid w:val="44115A5D"/>
    <w:rsid w:val="446A1937"/>
    <w:rsid w:val="44977CA5"/>
    <w:rsid w:val="45692347"/>
    <w:rsid w:val="459133D2"/>
    <w:rsid w:val="45D733E0"/>
    <w:rsid w:val="46502789"/>
    <w:rsid w:val="47233728"/>
    <w:rsid w:val="480C0F07"/>
    <w:rsid w:val="48CE0B1F"/>
    <w:rsid w:val="49560A35"/>
    <w:rsid w:val="4A0944CB"/>
    <w:rsid w:val="4A7F27AE"/>
    <w:rsid w:val="4B225EDD"/>
    <w:rsid w:val="4B2405D2"/>
    <w:rsid w:val="4BD63303"/>
    <w:rsid w:val="4C49218F"/>
    <w:rsid w:val="4C6D141B"/>
    <w:rsid w:val="4C913162"/>
    <w:rsid w:val="4E7848CC"/>
    <w:rsid w:val="4EA01E83"/>
    <w:rsid w:val="4ECF7A46"/>
    <w:rsid w:val="4F7336A7"/>
    <w:rsid w:val="50F10F7C"/>
    <w:rsid w:val="52370B11"/>
    <w:rsid w:val="52D43E71"/>
    <w:rsid w:val="54420CC5"/>
    <w:rsid w:val="554E13C7"/>
    <w:rsid w:val="55C40C8C"/>
    <w:rsid w:val="56412C14"/>
    <w:rsid w:val="568C4501"/>
    <w:rsid w:val="574A5D0F"/>
    <w:rsid w:val="57EF2EA7"/>
    <w:rsid w:val="58AE5943"/>
    <w:rsid w:val="58C02028"/>
    <w:rsid w:val="59CB7C49"/>
    <w:rsid w:val="5A191F5F"/>
    <w:rsid w:val="5AF93CB6"/>
    <w:rsid w:val="5B1F4527"/>
    <w:rsid w:val="5B5714EF"/>
    <w:rsid w:val="5B8165BB"/>
    <w:rsid w:val="5BE30DF1"/>
    <w:rsid w:val="5C61311E"/>
    <w:rsid w:val="5C772DE6"/>
    <w:rsid w:val="5C9A78E6"/>
    <w:rsid w:val="5DCA2801"/>
    <w:rsid w:val="5E127F33"/>
    <w:rsid w:val="5E6E1DA8"/>
    <w:rsid w:val="5F0128E7"/>
    <w:rsid w:val="5F185697"/>
    <w:rsid w:val="5F571ABE"/>
    <w:rsid w:val="5FEB2D40"/>
    <w:rsid w:val="60C35D0E"/>
    <w:rsid w:val="60E40A76"/>
    <w:rsid w:val="60F17CF0"/>
    <w:rsid w:val="612521FA"/>
    <w:rsid w:val="62C471AD"/>
    <w:rsid w:val="62F52220"/>
    <w:rsid w:val="63406645"/>
    <w:rsid w:val="63C1770B"/>
    <w:rsid w:val="65280996"/>
    <w:rsid w:val="655500D0"/>
    <w:rsid w:val="67605203"/>
    <w:rsid w:val="678C1233"/>
    <w:rsid w:val="686750BD"/>
    <w:rsid w:val="69416A6E"/>
    <w:rsid w:val="6A8F6408"/>
    <w:rsid w:val="6B221F4E"/>
    <w:rsid w:val="6B3165DA"/>
    <w:rsid w:val="6B714839"/>
    <w:rsid w:val="6CC10E67"/>
    <w:rsid w:val="6DC15F29"/>
    <w:rsid w:val="6E777A87"/>
    <w:rsid w:val="6E8C4C83"/>
    <w:rsid w:val="6E9E041A"/>
    <w:rsid w:val="6F2C4C17"/>
    <w:rsid w:val="6F3E45DB"/>
    <w:rsid w:val="6F9E3748"/>
    <w:rsid w:val="6FCD4743"/>
    <w:rsid w:val="6FF33774"/>
    <w:rsid w:val="70690614"/>
    <w:rsid w:val="70760157"/>
    <w:rsid w:val="709D55A0"/>
    <w:rsid w:val="70A469BD"/>
    <w:rsid w:val="72245C39"/>
    <w:rsid w:val="73334E86"/>
    <w:rsid w:val="737F1B27"/>
    <w:rsid w:val="743A5ECB"/>
    <w:rsid w:val="748443A7"/>
    <w:rsid w:val="74AE5158"/>
    <w:rsid w:val="74EE0592"/>
    <w:rsid w:val="7505255E"/>
    <w:rsid w:val="75742D59"/>
    <w:rsid w:val="75BC4DB1"/>
    <w:rsid w:val="76E83DA2"/>
    <w:rsid w:val="778B0965"/>
    <w:rsid w:val="77991099"/>
    <w:rsid w:val="782C5073"/>
    <w:rsid w:val="78B74647"/>
    <w:rsid w:val="78C66B37"/>
    <w:rsid w:val="78CB3DBC"/>
    <w:rsid w:val="79151572"/>
    <w:rsid w:val="79484FF8"/>
    <w:rsid w:val="7A13176D"/>
    <w:rsid w:val="7A293DDD"/>
    <w:rsid w:val="7AB3129D"/>
    <w:rsid w:val="7B2B663D"/>
    <w:rsid w:val="7BA73CC3"/>
    <w:rsid w:val="7C583DB9"/>
    <w:rsid w:val="7C7C363C"/>
    <w:rsid w:val="7D812C45"/>
    <w:rsid w:val="7DC40E24"/>
    <w:rsid w:val="7DF90F0A"/>
    <w:rsid w:val="7F3A13C6"/>
    <w:rsid w:val="7F9C7C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keepLines/>
      <w:numPr>
        <w:ilvl w:val="1"/>
        <w:numId w:val="1"/>
      </w:numPr>
      <w:ind w:left="420" w:hanging="380"/>
      <w:jc w:val="left"/>
      <w:outlineLvl w:val="1"/>
    </w:pPr>
    <w:rPr>
      <w:b/>
      <w:bCs/>
      <w:szCs w:val="32"/>
    </w:rPr>
  </w:style>
  <w:style w:type="paragraph" w:styleId="5">
    <w:name w:val="heading 3"/>
    <w:basedOn w:val="1"/>
    <w:next w:val="1"/>
    <w:link w:val="132"/>
    <w:qFormat/>
    <w:uiPriority w:val="0"/>
    <w:pPr>
      <w:keepNext/>
      <w:keepLines/>
      <w:numPr>
        <w:ilvl w:val="2"/>
        <w:numId w:val="1"/>
      </w:numPr>
      <w:ind w:left="0" w:firstLine="0"/>
      <w:outlineLvl w:val="2"/>
    </w:pPr>
    <w:rPr>
      <w:bCs/>
      <w:sz w:val="24"/>
      <w:szCs w:val="32"/>
    </w:rPr>
  </w:style>
  <w:style w:type="paragraph" w:styleId="6">
    <w:name w:val="heading 4"/>
    <w:basedOn w:val="1"/>
    <w:next w:val="1"/>
    <w:qFormat/>
    <w:uiPriority w:val="0"/>
    <w:pPr>
      <w:keepNext/>
      <w:keepLines/>
      <w:spacing w:before="0" w:after="0" w:line="240" w:lineRule="auto"/>
      <w:outlineLvl w:val="3"/>
    </w:pPr>
    <w:rPr>
      <w:rFonts w:ascii="Cambria" w:hAnsi="Cambria" w:eastAsia="宋体" w:cs="Times New Roman"/>
      <w:b/>
      <w:bCs/>
      <w:sz w:val="24"/>
      <w:szCs w:val="28"/>
    </w:rPr>
  </w:style>
  <w:style w:type="paragraph" w:styleId="7">
    <w:name w:val="heading 5"/>
    <w:basedOn w:val="1"/>
    <w:next w:val="1"/>
    <w:qFormat/>
    <w:uiPriority w:val="0"/>
    <w:pPr>
      <w:numPr>
        <w:ilvl w:val="4"/>
        <w:numId w:val="2"/>
      </w:numPr>
      <w:spacing w:line="360" w:lineRule="auto"/>
      <w:jc w:val="left"/>
      <w:outlineLvl w:val="4"/>
    </w:pPr>
    <w:rPr>
      <w:rFonts w:ascii="宋体" w:hAnsi="宋体"/>
      <w:bCs/>
      <w:sz w:val="24"/>
      <w:szCs w:val="28"/>
    </w:rPr>
  </w:style>
  <w:style w:type="paragraph" w:styleId="8">
    <w:name w:val="heading 6"/>
    <w:basedOn w:val="1"/>
    <w:next w:val="1"/>
    <w:qFormat/>
    <w:uiPriority w:val="0"/>
    <w:pPr>
      <w:numPr>
        <w:ilvl w:val="5"/>
        <w:numId w:val="2"/>
      </w:numPr>
      <w:spacing w:line="360" w:lineRule="auto"/>
      <w:outlineLvl w:val="5"/>
    </w:pPr>
    <w:rPr>
      <w:bCs/>
      <w:sz w:val="24"/>
      <w:szCs w:val="28"/>
    </w:rPr>
  </w:style>
  <w:style w:type="character" w:default="1" w:styleId="33">
    <w:name w:val="Default Paragraph Font"/>
    <w:qFormat/>
    <w:uiPriority w:val="0"/>
  </w:style>
  <w:style w:type="table" w:default="1" w:styleId="31">
    <w:name w:val="Normal Table"/>
    <w:unhideWhenUsed/>
    <w:qFormat/>
    <w:uiPriority w:val="99"/>
    <w:tblPr>
      <w:tblCellMar>
        <w:top w:w="0" w:type="dxa"/>
        <w:left w:w="108" w:type="dxa"/>
        <w:bottom w:w="0" w:type="dxa"/>
        <w:right w:w="108" w:type="dxa"/>
      </w:tblCellMar>
    </w:tblPr>
  </w:style>
  <w:style w:type="paragraph" w:styleId="4">
    <w:name w:val="Normal Indent"/>
    <w:basedOn w:val="1"/>
    <w:qFormat/>
    <w:uiPriority w:val="0"/>
    <w:pPr>
      <w:tabs>
        <w:tab w:val="left" w:pos="560"/>
        <w:tab w:val="left" w:pos="1120"/>
      </w:tabs>
      <w:adjustRightInd w:val="0"/>
      <w:snapToGrid w:val="0"/>
      <w:spacing w:line="480" w:lineRule="atLeast"/>
      <w:ind w:firstLine="547"/>
    </w:pPr>
  </w:style>
  <w:style w:type="paragraph" w:styleId="9">
    <w:name w:val="annotation text"/>
    <w:basedOn w:val="1"/>
    <w:qFormat/>
    <w:uiPriority w:val="0"/>
    <w:pPr>
      <w:widowControl w:val="0"/>
    </w:pPr>
    <w:rPr>
      <w:rFonts w:ascii="Times New Roman" w:hAnsi="Times New Roman" w:eastAsia="宋体" w:cs="Times New Roman"/>
      <w:kern w:val="2"/>
      <w:szCs w:val="24"/>
    </w:rPr>
  </w:style>
  <w:style w:type="paragraph" w:styleId="10">
    <w:name w:val="Body Text"/>
    <w:basedOn w:val="1"/>
    <w:qFormat/>
    <w:uiPriority w:val="0"/>
    <w:pPr>
      <w:spacing w:after="120"/>
    </w:pPr>
    <w:rPr>
      <w:sz w:val="20"/>
    </w:rPr>
  </w:style>
  <w:style w:type="paragraph" w:styleId="11">
    <w:name w:val="Body Text Indent"/>
    <w:basedOn w:val="1"/>
    <w:qFormat/>
    <w:uiPriority w:val="0"/>
    <w:pPr>
      <w:spacing w:line="500" w:lineRule="atLeast"/>
      <w:ind w:firstLine="510"/>
    </w:pPr>
    <w:rPr>
      <w:rFonts w:ascii="仿宋_GB2312" w:eastAsia="仿宋_GB2312"/>
      <w:sz w:val="24"/>
      <w:szCs w:val="20"/>
    </w:rPr>
  </w:style>
  <w:style w:type="paragraph" w:styleId="12">
    <w:name w:val="List Number 3"/>
    <w:basedOn w:val="1"/>
    <w:qFormat/>
    <w:uiPriority w:val="0"/>
    <w:pPr>
      <w:numPr>
        <w:ilvl w:val="0"/>
        <w:numId w:val="3"/>
      </w:numPr>
    </w:pPr>
  </w:style>
  <w:style w:type="paragraph" w:styleId="13">
    <w:name w:val="Block Text"/>
    <w:basedOn w:val="14"/>
    <w:qFormat/>
    <w:uiPriority w:val="0"/>
    <w:pPr>
      <w:adjustRightInd w:val="0"/>
      <w:snapToGrid w:val="0"/>
      <w:spacing w:line="300" w:lineRule="auto"/>
      <w:ind w:left="958" w:right="-120" w:rightChars="-120"/>
      <w:jc w:val="left"/>
    </w:pPr>
    <w:rPr>
      <w:rFonts w:ascii="宋体"/>
      <w:sz w:val="28"/>
      <w:szCs w:val="20"/>
    </w:rPr>
  </w:style>
  <w:style w:type="paragraph" w:customStyle="1" w:styleId="14">
    <w:name w:val="正文_2"/>
    <w:qFormat/>
    <w:uiPriority w:val="0"/>
    <w:pPr>
      <w:widowControl w:val="0"/>
      <w:jc w:val="both"/>
    </w:pPr>
    <w:rPr>
      <w:rFonts w:ascii="Calibri" w:hAnsi="Calibri" w:eastAsia="宋体" w:cs="Times New Roman"/>
      <w:kern w:val="2"/>
      <w:sz w:val="21"/>
      <w:szCs w:val="22"/>
      <w:lang w:val="en-US" w:eastAsia="zh-CN" w:bidi="ar-SA"/>
    </w:rPr>
  </w:style>
  <w:style w:type="paragraph" w:styleId="15">
    <w:name w:val="toc 3"/>
    <w:basedOn w:val="1"/>
    <w:next w:val="1"/>
    <w:qFormat/>
    <w:uiPriority w:val="0"/>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6">
    <w:name w:val="Plain Text"/>
    <w:basedOn w:val="1"/>
    <w:qFormat/>
    <w:uiPriority w:val="0"/>
    <w:pPr>
      <w:spacing w:line="240" w:lineRule="auto"/>
      <w:ind w:firstLine="0"/>
    </w:pPr>
  </w:style>
  <w:style w:type="paragraph" w:styleId="17">
    <w:name w:val="Date"/>
    <w:basedOn w:val="1"/>
    <w:next w:val="1"/>
    <w:qFormat/>
    <w:uiPriority w:val="0"/>
    <w:rPr>
      <w:rFonts w:ascii="宋体" w:hAnsi="宋体"/>
      <w:szCs w:val="20"/>
    </w:rPr>
  </w:style>
  <w:style w:type="paragraph" w:styleId="18">
    <w:name w:val="Body Text Indent 2"/>
    <w:basedOn w:val="1"/>
    <w:qFormat/>
    <w:uiPriority w:val="0"/>
    <w:pPr>
      <w:spacing w:after="120" w:line="480" w:lineRule="auto"/>
      <w:ind w:left="200" w:leftChars="200"/>
    </w:pPr>
  </w:style>
  <w:style w:type="paragraph" w:styleId="19">
    <w:name w:val="Balloon Text"/>
    <w:basedOn w:val="1"/>
    <w:qFormat/>
    <w:uiPriority w:val="0"/>
    <w:rPr>
      <w:sz w:val="18"/>
      <w:szCs w:val="18"/>
    </w:rPr>
  </w:style>
  <w:style w:type="paragraph" w:styleId="20">
    <w:name w:val="footer"/>
    <w:basedOn w:val="1"/>
    <w:qFormat/>
    <w:uiPriority w:val="0"/>
    <w:pPr>
      <w:tabs>
        <w:tab w:val="center" w:pos="4153"/>
        <w:tab w:val="right" w:pos="8306"/>
      </w:tabs>
    </w:pPr>
    <w:rPr>
      <w:sz w:val="18"/>
      <w:szCs w:val="18"/>
    </w:rPr>
  </w:style>
  <w:style w:type="paragraph" w:styleId="21">
    <w:name w:val="header"/>
    <w:basedOn w:val="1"/>
    <w:qFormat/>
    <w:uiPriority w:val="0"/>
    <w:pPr>
      <w:pBdr>
        <w:bottom w:val="single" w:color="auto" w:sz="6" w:space="1"/>
      </w:pBdr>
      <w:tabs>
        <w:tab w:val="center" w:pos="4153"/>
        <w:tab w:val="right" w:pos="8306"/>
      </w:tabs>
      <w:jc w:val="center"/>
    </w:pPr>
    <w:rPr>
      <w:sz w:val="18"/>
      <w:szCs w:val="18"/>
    </w:rPr>
  </w:style>
  <w:style w:type="paragraph" w:styleId="22">
    <w:name w:val="toc 1"/>
    <w:basedOn w:val="1"/>
    <w:next w:val="1"/>
    <w:qFormat/>
    <w:uiPriority w:val="0"/>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23">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4">
    <w:name w:val="toc 6"/>
    <w:basedOn w:val="1"/>
    <w:next w:val="1"/>
    <w:qFormat/>
    <w:uiPriority w:val="0"/>
    <w:pPr>
      <w:widowControl w:val="0"/>
      <w:ind w:left="1050"/>
      <w:jc w:val="both"/>
    </w:pPr>
    <w:rPr>
      <w:rFonts w:ascii="Calibri" w:hAnsi="Calibri" w:eastAsia="宋体" w:cs="Times New Roman"/>
      <w:kern w:val="2"/>
      <w:sz w:val="18"/>
      <w:szCs w:val="18"/>
    </w:rPr>
  </w:style>
  <w:style w:type="paragraph" w:styleId="25">
    <w:name w:val="toc 2"/>
    <w:basedOn w:val="1"/>
    <w:next w:val="1"/>
    <w:qFormat/>
    <w:uiPriority w:val="0"/>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26">
    <w:name w:val="Normal (Web)"/>
    <w:basedOn w:val="1"/>
    <w:qFormat/>
    <w:uiPriority w:val="0"/>
    <w:pPr>
      <w:widowControl/>
      <w:spacing w:before="100" w:beforeAutospacing="1" w:after="100" w:afterAutospacing="1"/>
      <w:jc w:val="left"/>
    </w:pPr>
    <w:rPr>
      <w:kern w:val="0"/>
      <w:sz w:val="24"/>
    </w:rPr>
  </w:style>
  <w:style w:type="paragraph" w:styleId="27">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8">
    <w:name w:val="annotation subject"/>
    <w:basedOn w:val="9"/>
    <w:next w:val="9"/>
    <w:qFormat/>
    <w:uiPriority w:val="0"/>
    <w:rPr>
      <w:b/>
      <w:bCs/>
    </w:rPr>
  </w:style>
  <w:style w:type="paragraph" w:styleId="29">
    <w:name w:val="Body Text First Indent"/>
    <w:basedOn w:val="10"/>
    <w:next w:val="24"/>
    <w:qFormat/>
    <w:uiPriority w:val="0"/>
    <w:pPr>
      <w:ind w:firstLine="100" w:firstLineChars="100"/>
    </w:pPr>
  </w:style>
  <w:style w:type="paragraph" w:styleId="30">
    <w:name w:val="Body Text First Indent 2"/>
    <w:basedOn w:val="11"/>
    <w:qFormat/>
    <w:uiPriority w:val="0"/>
    <w:pPr>
      <w:spacing w:line="200" w:lineRule="atLeast"/>
      <w:ind w:firstLine="420"/>
    </w:pPr>
    <w:rPr>
      <w:rFonts w:ascii="宋体" w:hAnsi="宋体"/>
      <w:spacing w:val="-4"/>
      <w:sz w:val="18"/>
    </w:rPr>
  </w:style>
  <w:style w:type="table" w:styleId="32">
    <w:name w:val="Table Grid"/>
    <w:basedOn w:val="3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qFormat/>
    <w:uiPriority w:val="0"/>
    <w:rPr>
      <w:b/>
      <w:bCs/>
    </w:rPr>
  </w:style>
  <w:style w:type="character" w:styleId="35">
    <w:name w:val="page number"/>
    <w:basedOn w:val="33"/>
    <w:qFormat/>
    <w:uiPriority w:val="0"/>
  </w:style>
  <w:style w:type="character" w:styleId="36">
    <w:name w:val="FollowedHyperlink"/>
    <w:qFormat/>
    <w:uiPriority w:val="0"/>
    <w:rPr>
      <w:color w:val="800080"/>
      <w:u w:val="none"/>
    </w:rPr>
  </w:style>
  <w:style w:type="character" w:styleId="37">
    <w:name w:val="Hyperlink"/>
    <w:qFormat/>
    <w:uiPriority w:val="0"/>
    <w:rPr>
      <w:color w:val="0000FF"/>
      <w:u w:val="single"/>
    </w:rPr>
  </w:style>
  <w:style w:type="character" w:styleId="38">
    <w:name w:val="annotation reference"/>
    <w:qFormat/>
    <w:uiPriority w:val="0"/>
    <w:rPr>
      <w:sz w:val="21"/>
      <w:szCs w:val="21"/>
    </w:rPr>
  </w:style>
  <w:style w:type="paragraph" w:customStyle="1" w:styleId="39">
    <w:name w:val="样式 标题 3 + (中文) 黑体 小四 非加粗 段前: 7.8 磅 段后: 0 磅 行距: 固定值 20 磅_0"/>
    <w:basedOn w:val="40"/>
    <w:qFormat/>
    <w:uiPriority w:val="0"/>
    <w:pPr>
      <w:spacing w:before="0" w:after="0" w:line="400" w:lineRule="exact"/>
    </w:pPr>
    <w:rPr>
      <w:rFonts w:ascii="Times New Roman" w:hAnsi="Times New Roman" w:eastAsia="黑体" w:cs="宋体"/>
      <w:b w:val="0"/>
      <w:bCs w:val="0"/>
      <w:sz w:val="21"/>
      <w:szCs w:val="20"/>
    </w:rPr>
  </w:style>
  <w:style w:type="paragraph" w:customStyle="1" w:styleId="40">
    <w:name w:val="标题 3_0"/>
    <w:basedOn w:val="41"/>
    <w:next w:val="42"/>
    <w:qFormat/>
    <w:uiPriority w:val="0"/>
    <w:pPr>
      <w:keepNext/>
      <w:keepLines/>
      <w:spacing w:before="260" w:after="260" w:line="416" w:lineRule="auto"/>
      <w:outlineLvl w:val="2"/>
    </w:pPr>
    <w:rPr>
      <w:rFonts w:ascii="Calibri" w:hAnsi="Calibri" w:eastAsia="宋体"/>
      <w:b/>
      <w:bCs/>
      <w:sz w:val="32"/>
      <w:szCs w:val="32"/>
    </w:rPr>
  </w:style>
  <w:style w:type="paragraph" w:customStyle="1" w:styleId="41">
    <w:name w:val="正文_0"/>
    <w:basedOn w:val="1"/>
    <w:next w:val="30"/>
    <w:qFormat/>
    <w:uiPriority w:val="0"/>
    <w:pPr>
      <w:keepNext w:val="0"/>
      <w:keepLines w:val="0"/>
      <w:widowControl w:val="0"/>
      <w:suppressLineNumbers w:val="0"/>
      <w:spacing w:before="0" w:beforeAutospacing="0" w:after="0" w:afterAutospacing="0"/>
      <w:ind w:left="0" w:right="0"/>
      <w:jc w:val="both"/>
    </w:pPr>
    <w:rPr>
      <w:rFonts w:ascii="Times New Roman" w:hAnsi="Times New Roman" w:eastAsia="宋体" w:cs="Times New Roman"/>
      <w:kern w:val="2"/>
      <w:sz w:val="21"/>
      <w:szCs w:val="22"/>
      <w:lang w:val="en-US" w:eastAsia="zh-CN"/>
    </w:rPr>
  </w:style>
  <w:style w:type="paragraph" w:customStyle="1" w:styleId="42">
    <w:name w:val="正文_1"/>
    <w:next w:val="30"/>
    <w:qFormat/>
    <w:uiPriority w:val="0"/>
    <w:pPr>
      <w:widowControl w:val="0"/>
      <w:jc w:val="both"/>
    </w:pPr>
    <w:rPr>
      <w:rFonts w:ascii="Calibri" w:hAnsi="Calibri" w:eastAsia="仿宋_GB2312" w:cs="Times New Roman"/>
      <w:kern w:val="2"/>
      <w:sz w:val="21"/>
      <w:szCs w:val="22"/>
      <w:lang w:val="en-US" w:eastAsia="zh-CN" w:bidi="ar-SA"/>
    </w:rPr>
  </w:style>
  <w:style w:type="character" w:customStyle="1" w:styleId="43">
    <w:name w:val="heading 3 Char"/>
    <w:basedOn w:val="33"/>
    <w:link w:val="5"/>
    <w:qFormat/>
    <w:uiPriority w:val="0"/>
    <w:rPr>
      <w:rFonts w:ascii="Arial" w:hAnsi="Arial" w:eastAsia="Arial" w:cs="Arial"/>
      <w:bCs/>
      <w:snapToGrid w:val="0"/>
      <w:color w:val="000000"/>
      <w:sz w:val="24"/>
      <w:szCs w:val="32"/>
      <w:lang w:val="en-US" w:eastAsia="zh-CN" w:bidi="ar-SA"/>
    </w:rPr>
  </w:style>
  <w:style w:type="paragraph" w:customStyle="1" w:styleId="44">
    <w:name w:val="Heading1"/>
    <w:basedOn w:val="1"/>
    <w:next w:val="1"/>
    <w:qFormat/>
    <w:uiPriority w:val="0"/>
    <w:pPr>
      <w:keepNext/>
      <w:keepLines/>
      <w:spacing w:before="340" w:after="330" w:line="576" w:lineRule="auto"/>
    </w:pPr>
    <w:rPr>
      <w:b/>
      <w:bCs/>
      <w:kern w:val="44"/>
      <w:sz w:val="44"/>
      <w:szCs w:val="44"/>
    </w:rPr>
  </w:style>
  <w:style w:type="character" w:customStyle="1" w:styleId="45">
    <w:name w:val="批注文字 Char"/>
    <w:qFormat/>
    <w:uiPriority w:val="0"/>
    <w:rPr>
      <w:rFonts w:ascii="Arial" w:hAnsi="Arial" w:eastAsia="Arial" w:cs="Arial"/>
      <w:snapToGrid w:val="0"/>
      <w:color w:val="000000"/>
      <w:sz w:val="21"/>
      <w:szCs w:val="21"/>
    </w:rPr>
  </w:style>
  <w:style w:type="paragraph" w:customStyle="1" w:styleId="46">
    <w:name w:val="TOC 标题1"/>
    <w:basedOn w:val="2"/>
    <w:next w:val="1"/>
    <w:qFormat/>
    <w:uiPriority w:val="0"/>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47">
    <w:name w:val="正文，首行缩进:"/>
    <w:basedOn w:val="1"/>
    <w:qFormat/>
    <w:uiPriority w:val="0"/>
    <w:pPr>
      <w:spacing w:line="460" w:lineRule="exact"/>
      <w:ind w:firstLine="200" w:firstLineChars="200"/>
    </w:pPr>
    <w:rPr>
      <w:rFonts w:ascii="宋体" w:hAnsi="宋体" w:cs="宋体"/>
    </w:rPr>
  </w:style>
  <w:style w:type="paragraph" w:customStyle="1" w:styleId="48">
    <w:name w:val="Table Paragraph"/>
    <w:basedOn w:val="1"/>
    <w:qFormat/>
    <w:uiPriority w:val="0"/>
    <w:pPr>
      <w:ind w:firstLine="60" w:firstLineChars="60"/>
    </w:pPr>
  </w:style>
  <w:style w:type="paragraph" w:styleId="49">
    <w:name w:val="List Paragraph"/>
    <w:basedOn w:val="1"/>
    <w:qFormat/>
    <w:uiPriority w:val="0"/>
    <w:pPr>
      <w:spacing w:line="440" w:lineRule="exact"/>
      <w:ind w:firstLine="200" w:firstLineChars="200"/>
    </w:pPr>
    <w:rPr>
      <w:szCs w:val="20"/>
    </w:rPr>
  </w:style>
  <w:style w:type="paragraph" w:customStyle="1" w:styleId="50">
    <w:name w:val="正文1"/>
    <w:qFormat/>
    <w:uiPriority w:val="0"/>
    <w:pPr>
      <w:jc w:val="both"/>
    </w:pPr>
    <w:rPr>
      <w:rFonts w:ascii="Calibri" w:hAnsi="Calibri" w:eastAsia="宋体" w:cs="Calibri"/>
      <w:kern w:val="2"/>
      <w:sz w:val="21"/>
      <w:szCs w:val="21"/>
      <w:lang w:val="en-US" w:eastAsia="zh-CN" w:bidi="ar-SA"/>
    </w:rPr>
  </w:style>
  <w:style w:type="paragraph" w:customStyle="1" w:styleId="51">
    <w:name w:val="修订1"/>
    <w:qFormat/>
    <w:uiPriority w:val="0"/>
    <w:rPr>
      <w:rFonts w:ascii="Arial" w:hAnsi="Arial" w:eastAsia="Arial" w:cs="Arial"/>
      <w:snapToGrid w:val="0"/>
      <w:color w:val="000000"/>
      <w:sz w:val="21"/>
      <w:szCs w:val="21"/>
      <w:lang w:val="en-US" w:eastAsia="zh-CN" w:bidi="ar-SA"/>
    </w:rPr>
  </w:style>
  <w:style w:type="paragraph" w:customStyle="1" w:styleId="52">
    <w:name w:val="普通(网站)_0"/>
    <w:basedOn w:val="41"/>
    <w:qFormat/>
    <w:uiPriority w:val="0"/>
    <w:pPr>
      <w:keepNext w:val="0"/>
      <w:keepLines w:val="0"/>
      <w:widowControl w:val="0"/>
      <w:suppressLineNumbers w:val="0"/>
      <w:spacing w:before="0" w:beforeAutospacing="0" w:after="0" w:afterAutospacing="0"/>
      <w:ind w:left="0" w:right="0"/>
      <w:jc w:val="both"/>
    </w:pPr>
    <w:rPr>
      <w:rFonts w:ascii="Calibri" w:hAnsi="Calibri" w:eastAsia="宋体" w:cs="Times New Roman"/>
      <w:kern w:val="2"/>
      <w:sz w:val="24"/>
      <w:szCs w:val="22"/>
      <w:lang w:val="en-US" w:eastAsia="zh-CN"/>
    </w:rPr>
  </w:style>
  <w:style w:type="paragraph" w:customStyle="1" w:styleId="53">
    <w:name w:val="正文文本_0"/>
    <w:basedOn w:val="41"/>
    <w:qFormat/>
    <w:uiPriority w:val="0"/>
    <w:pPr>
      <w:spacing w:after="120"/>
    </w:pPr>
    <w:rPr>
      <w:rFonts w:ascii="Calibri" w:hAnsi="Calibri"/>
    </w:rPr>
  </w:style>
  <w:style w:type="paragraph" w:customStyle="1" w:styleId="54">
    <w:name w:val="正文_4"/>
    <w:next w:val="55"/>
    <w:qFormat/>
    <w:uiPriority w:val="0"/>
    <w:pPr>
      <w:widowControl w:val="0"/>
      <w:jc w:val="both"/>
    </w:pPr>
    <w:rPr>
      <w:rFonts w:ascii="Calibri" w:hAnsi="Calibri" w:eastAsia="宋体" w:cs="Times New Roman"/>
      <w:kern w:val="2"/>
      <w:sz w:val="21"/>
      <w:szCs w:val="22"/>
      <w:lang w:val="en-US" w:eastAsia="zh-CN" w:bidi="ar-SA"/>
    </w:rPr>
  </w:style>
  <w:style w:type="paragraph" w:customStyle="1" w:styleId="55">
    <w:name w:val="标题_0"/>
    <w:basedOn w:val="54"/>
    <w:next w:val="54"/>
    <w:autoRedefine/>
    <w:qFormat/>
    <w:uiPriority w:val="0"/>
    <w:pPr>
      <w:spacing w:before="240" w:after="60"/>
      <w:ind w:firstLine="0"/>
      <w:jc w:val="center"/>
      <w:outlineLvl w:val="0"/>
    </w:pPr>
    <w:rPr>
      <w:rFonts w:ascii="Cambria" w:hAnsi="Cambria" w:eastAsia="宋体" w:cs="Times New Roman"/>
      <w:b/>
      <w:sz w:val="36"/>
      <w:szCs w:val="32"/>
    </w:rPr>
  </w:style>
  <w:style w:type="paragraph" w:customStyle="1" w:styleId="56">
    <w:name w:val="样式 宋体 小四 首行缩进:  0.93 厘米 段前: 11.15 磅 段后: 11.15 磅1"/>
    <w:basedOn w:val="1"/>
    <w:qFormat/>
    <w:uiPriority w:val="0"/>
    <w:pPr>
      <w:adjustRightInd w:val="0"/>
      <w:snapToGrid w:val="0"/>
      <w:ind w:left="200" w:leftChars="200"/>
    </w:pPr>
    <w:rPr>
      <w:rFonts w:ascii="宋体" w:hAnsi="宋体" w:cs="宋体"/>
      <w:sz w:val="24"/>
    </w:rPr>
  </w:style>
  <w:style w:type="paragraph" w:customStyle="1" w:styleId="57">
    <w:name w:val="正文－wj"/>
    <w:basedOn w:val="56"/>
    <w:qFormat/>
    <w:uiPriority w:val="0"/>
    <w:rPr>
      <w:sz w:val="21"/>
      <w:szCs w:val="21"/>
    </w:rPr>
  </w:style>
  <w:style w:type="paragraph" w:customStyle="1" w:styleId="58">
    <w:name w:val="正文－zlb"/>
    <w:basedOn w:val="57"/>
    <w:qFormat/>
    <w:uiPriority w:val="0"/>
    <w:pPr>
      <w:adjustRightInd w:val="0"/>
      <w:snapToGrid w:val="0"/>
      <w:spacing w:line="360" w:lineRule="auto"/>
      <w:ind w:firstLine="420"/>
    </w:pPr>
    <w:rPr>
      <w:rFonts w:ascii="宋体" w:hAnsi="宋体"/>
      <w:sz w:val="24"/>
      <w:szCs w:val="24"/>
    </w:rPr>
  </w:style>
  <w:style w:type="paragraph" w:customStyle="1" w:styleId="59">
    <w:name w:val="纯文本_1"/>
    <w:basedOn w:val="14"/>
    <w:qFormat/>
    <w:uiPriority w:val="0"/>
    <w:rPr>
      <w:rFonts w:ascii="宋体" w:cs="Courier New"/>
      <w:szCs w:val="21"/>
    </w:rPr>
  </w:style>
  <w:style w:type="paragraph" w:customStyle="1" w:styleId="60">
    <w:name w:val="正文缩进_0"/>
    <w:basedOn w:val="14"/>
    <w:qFormat/>
    <w:uiPriority w:val="0"/>
    <w:pPr>
      <w:ind w:firstLine="200" w:firstLineChars="200"/>
    </w:pPr>
    <w:rPr>
      <w:rFonts w:ascii="Calibri" w:hAnsi="Calibri"/>
      <w:kern w:val="0"/>
      <w:sz w:val="20"/>
      <w:szCs w:val="20"/>
    </w:rPr>
  </w:style>
  <w:style w:type="paragraph" w:customStyle="1" w:styleId="61">
    <w:name w:val="样式 文本块 + 宋体 五号 左侧:  0 厘米 右侧:  0 厘米"/>
    <w:basedOn w:val="13"/>
    <w:qFormat/>
    <w:uiPriority w:val="0"/>
    <w:pPr>
      <w:adjustRightInd w:val="0"/>
      <w:snapToGrid/>
      <w:spacing w:line="360" w:lineRule="auto"/>
      <w:ind w:left="0" w:right="-120" w:rightChars="0" w:firstLine="200" w:firstLineChars="200"/>
      <w:jc w:val="both"/>
      <w:textAlignment w:val="baseline"/>
    </w:pPr>
    <w:rPr>
      <w:rFonts w:ascii="Calibri" w:hAnsi="Calibri" w:cs="宋体"/>
      <w:color w:val="000000"/>
      <w:kern w:val="32"/>
      <w:sz w:val="24"/>
    </w:rPr>
  </w:style>
  <w:style w:type="paragraph" w:customStyle="1" w:styleId="62">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3">
    <w:name w:val="标题4"/>
    <w:basedOn w:val="14"/>
    <w:qFormat/>
    <w:uiPriority w:val="0"/>
    <w:pPr>
      <w:snapToGrid w:val="0"/>
      <w:spacing w:before="100" w:beforeLines="100" w:after="100" w:afterLines="100" w:line="360" w:lineRule="auto"/>
      <w:jc w:val="left"/>
    </w:pPr>
    <w:rPr>
      <w:rFonts w:ascii="宋体" w:cs="宋体"/>
      <w:szCs w:val="21"/>
      <w:shd w:val="clear" w:color="auto" w:fill="FFFFFF"/>
    </w:rPr>
  </w:style>
  <w:style w:type="paragraph" w:customStyle="1" w:styleId="64">
    <w:name w:val="样式 正文缩进 + 首行缩进:  2 字符 段前: 1 行 段后: 1 行"/>
    <w:basedOn w:val="60"/>
    <w:qFormat/>
    <w:uiPriority w:val="0"/>
    <w:pPr>
      <w:spacing w:before="100" w:beforeLines="100" w:after="100" w:afterLines="100" w:line="360" w:lineRule="auto"/>
    </w:pPr>
    <w:rPr>
      <w:rFonts w:ascii="Times New Roman" w:hAnsi="Times New Roman" w:cs="宋体"/>
      <w:szCs w:val="20"/>
    </w:rPr>
  </w:style>
  <w:style w:type="paragraph" w:customStyle="1" w:styleId="65">
    <w:name w:val="表格_0"/>
    <w:basedOn w:val="60"/>
    <w:next w:val="60"/>
    <w:qFormat/>
    <w:uiPriority w:val="0"/>
    <w:pPr>
      <w:jc w:val="center"/>
      <w:textAlignment w:val="center"/>
    </w:pPr>
    <w:rPr>
      <w:rFonts w:ascii="华文细黑" w:hAnsi="华文细黑"/>
      <w:kern w:val="0"/>
      <w:szCs w:val="20"/>
    </w:rPr>
  </w:style>
  <w:style w:type="paragraph" w:customStyle="1" w:styleId="66">
    <w:name w:val="一级条标题"/>
    <w:next w:val="67"/>
    <w:qFormat/>
    <w:uiPriority w:val="0"/>
    <w:pPr>
      <w:spacing w:line="360" w:lineRule="auto"/>
      <w:ind w:firstLine="200" w:firstLineChars="200"/>
      <w:outlineLvl w:val="1"/>
    </w:pPr>
    <w:rPr>
      <w:rFonts w:ascii="宋体" w:hAnsi="Times New Roman" w:eastAsia="宋体" w:cs="Times New Roman"/>
      <w:sz w:val="24"/>
      <w:szCs w:val="21"/>
      <w:lang w:val="en-US" w:eastAsia="zh-CN" w:bidi="ar-SA"/>
    </w:rPr>
  </w:style>
  <w:style w:type="paragraph" w:customStyle="1" w:styleId="67">
    <w:name w:val="段"/>
    <w:qFormat/>
    <w:uiPriority w:val="0"/>
    <w:pPr>
      <w:autoSpaceDE w:val="0"/>
      <w:autoSpaceDN w:val="0"/>
      <w:spacing w:line="440" w:lineRule="exact"/>
      <w:ind w:firstLine="200" w:firstLineChars="200"/>
      <w:jc w:val="both"/>
    </w:pPr>
    <w:rPr>
      <w:rFonts w:ascii="宋体" w:hAnsi="Times New Roman" w:eastAsia="宋体" w:cs="Times New Roman"/>
      <w:sz w:val="21"/>
      <w:szCs w:val="20"/>
      <w:lang w:val="en-US" w:eastAsia="zh-CN" w:bidi="ar-SA"/>
    </w:rPr>
  </w:style>
  <w:style w:type="paragraph" w:customStyle="1" w:styleId="68">
    <w:name w:val="二级条标题"/>
    <w:basedOn w:val="66"/>
    <w:next w:val="67"/>
    <w:qFormat/>
    <w:uiPriority w:val="0"/>
    <w:pPr>
      <w:numPr>
        <w:ilvl w:val="2"/>
        <w:numId w:val="4"/>
      </w:numPr>
      <w:ind w:firstLineChars="0"/>
      <w:outlineLvl w:val="3"/>
    </w:pPr>
  </w:style>
  <w:style w:type="paragraph" w:customStyle="1" w:styleId="69">
    <w:name w:val="二级无"/>
    <w:basedOn w:val="68"/>
    <w:qFormat/>
    <w:uiPriority w:val="0"/>
    <w:rPr>
      <w:rFonts w:ascii="宋体" w:eastAsia="宋体"/>
    </w:rPr>
  </w:style>
  <w:style w:type="paragraph" w:customStyle="1" w:styleId="70">
    <w:name w:val="三级条标题"/>
    <w:basedOn w:val="68"/>
    <w:next w:val="67"/>
    <w:qFormat/>
    <w:uiPriority w:val="0"/>
    <w:pPr>
      <w:numPr>
        <w:ilvl w:val="3"/>
        <w:numId w:val="4"/>
      </w:numPr>
      <w:outlineLvl w:val="4"/>
    </w:pPr>
  </w:style>
  <w:style w:type="paragraph" w:customStyle="1" w:styleId="71">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72">
    <w:name w:val="*正文"/>
    <w:basedOn w:val="71"/>
    <w:qFormat/>
    <w:uiPriority w:val="0"/>
    <w:pPr>
      <w:widowControl/>
      <w:spacing w:line="360" w:lineRule="auto"/>
      <w:ind w:firstLine="200" w:firstLineChars="200"/>
      <w:jc w:val="left"/>
    </w:pPr>
    <w:rPr>
      <w:rFonts w:ascii="宋体"/>
      <w:kern w:val="0"/>
      <w:sz w:val="24"/>
      <w:szCs w:val="24"/>
    </w:rPr>
  </w:style>
  <w:style w:type="character" w:customStyle="1" w:styleId="73">
    <w:name w:val="批注引用_0"/>
    <w:qFormat/>
    <w:uiPriority w:val="0"/>
    <w:rPr>
      <w:rFonts w:ascii="Calibri" w:hAnsi="Calibri"/>
      <w:sz w:val="21"/>
      <w:szCs w:val="21"/>
    </w:rPr>
  </w:style>
  <w:style w:type="paragraph" w:customStyle="1" w:styleId="74">
    <w:name w:val="表格样式"/>
    <w:basedOn w:val="1"/>
    <w:next w:val="1"/>
    <w:qFormat/>
    <w:uiPriority w:val="0"/>
    <w:pPr>
      <w:jc w:val="left"/>
    </w:pPr>
    <w:rPr>
      <w:rFonts w:cs="宋体"/>
      <w:szCs w:val="24"/>
    </w:rPr>
  </w:style>
  <w:style w:type="paragraph" w:customStyle="1" w:styleId="75">
    <w:name w:val="正文_2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76">
    <w:name w:val="正文_1_0_1"/>
    <w:basedOn w:val="75"/>
    <w:qFormat/>
    <w:uiPriority w:val="0"/>
    <w:rPr>
      <w:rFonts w:ascii="Calibri" w:hAnsi="Calibri" w:eastAsia="宋体"/>
      <w:szCs w:val="21"/>
    </w:rPr>
  </w:style>
  <w:style w:type="paragraph" w:customStyle="1" w:styleId="77">
    <w:name w:val="标题 3_0_0_0"/>
    <w:basedOn w:val="76"/>
    <w:next w:val="76"/>
    <w:qFormat/>
    <w:uiPriority w:val="0"/>
    <w:pPr>
      <w:keepNext/>
      <w:keepLines/>
      <w:widowControl w:val="0"/>
      <w:spacing w:before="260" w:after="260" w:line="415" w:lineRule="auto"/>
      <w:outlineLvl w:val="2"/>
    </w:pPr>
    <w:rPr>
      <w:rFonts w:ascii="Times New Roman" w:hAnsi="Times New Roman" w:eastAsia="宋体"/>
      <w:b/>
      <w:bCs/>
      <w:sz w:val="32"/>
      <w:szCs w:val="32"/>
    </w:rPr>
  </w:style>
  <w:style w:type="paragraph" w:customStyle="1" w:styleId="78">
    <w:name w:val="正文_2_2"/>
    <w:next w:val="79"/>
    <w:qFormat/>
    <w:uiPriority w:val="0"/>
    <w:pPr>
      <w:widowControl w:val="0"/>
      <w:jc w:val="both"/>
    </w:pPr>
    <w:rPr>
      <w:rFonts w:ascii="Calibri" w:hAnsi="Calibri" w:eastAsia="宋体" w:cs="Times New Roman"/>
      <w:kern w:val="2"/>
      <w:sz w:val="21"/>
      <w:szCs w:val="22"/>
      <w:lang w:val="en-US" w:eastAsia="zh-CN" w:bidi="ar-SA"/>
    </w:rPr>
  </w:style>
  <w:style w:type="paragraph" w:customStyle="1" w:styleId="79">
    <w:name w:val="正文首行缩进_2"/>
    <w:basedOn w:val="80"/>
    <w:qFormat/>
    <w:uiPriority w:val="0"/>
    <w:pPr>
      <w:ind w:firstLine="100" w:firstLineChars="100"/>
    </w:pPr>
    <w:rPr>
      <w:rFonts w:ascii="Times New Roman" w:hAnsi="Times New Roman"/>
      <w:szCs w:val="24"/>
    </w:rPr>
  </w:style>
  <w:style w:type="paragraph" w:customStyle="1" w:styleId="80">
    <w:name w:val="正文文本_2"/>
    <w:basedOn w:val="78"/>
    <w:qFormat/>
    <w:uiPriority w:val="0"/>
    <w:pPr>
      <w:spacing w:after="120"/>
    </w:pPr>
    <w:rPr>
      <w:rFonts w:ascii="Times New Roman" w:hAnsi="Times New Roman"/>
      <w:szCs w:val="24"/>
    </w:rPr>
  </w:style>
  <w:style w:type="paragraph" w:customStyle="1" w:styleId="81">
    <w:name w:val="正文_2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2">
    <w:name w:val="正文_1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3">
    <w:name w:val="Normal_7"/>
    <w:qFormat/>
    <w:uiPriority w:val="0"/>
    <w:rPr>
      <w:rFonts w:ascii="黑体" w:hAnsi="Times New Roman" w:eastAsia="黑体" w:cs="Times New Roman"/>
      <w:b/>
      <w:sz w:val="32"/>
      <w:szCs w:val="24"/>
      <w:lang w:val="en-US" w:eastAsia="zh-CN" w:bidi="ar-SA"/>
    </w:rPr>
  </w:style>
  <w:style w:type="paragraph" w:customStyle="1" w:styleId="84">
    <w:name w:val="正文_4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5">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6">
    <w:name w:val="日期_0_0"/>
    <w:basedOn w:val="85"/>
    <w:next w:val="84"/>
    <w:qFormat/>
    <w:uiPriority w:val="0"/>
    <w:rPr>
      <w:rFonts w:ascii="Times New Roman" w:hAnsi="Times New Roman" w:eastAsia="仿宋_GB2312"/>
      <w:sz w:val="28"/>
      <w:szCs w:val="20"/>
    </w:rPr>
  </w:style>
  <w:style w:type="paragraph" w:customStyle="1" w:styleId="87">
    <w:name w:val="正文_6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8">
    <w:name w:val="正文_6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9">
    <w:name w:val="Normal_9"/>
    <w:qFormat/>
    <w:uiPriority w:val="0"/>
    <w:rPr>
      <w:rFonts w:ascii="黑体" w:hAnsi="Times New Roman" w:eastAsia="黑体" w:cs="Times New Roman"/>
      <w:b/>
      <w:sz w:val="32"/>
      <w:szCs w:val="24"/>
      <w:lang w:val="en-US" w:eastAsia="zh-CN" w:bidi="ar-SA"/>
    </w:rPr>
  </w:style>
  <w:style w:type="paragraph" w:customStyle="1" w:styleId="90">
    <w:name w:val="正文_14"/>
    <w:next w:val="91"/>
    <w:qFormat/>
    <w:uiPriority w:val="0"/>
    <w:pPr>
      <w:widowControl w:val="0"/>
      <w:jc w:val="both"/>
    </w:pPr>
    <w:rPr>
      <w:rFonts w:ascii="Calibri" w:hAnsi="Calibri" w:eastAsia="宋体" w:cs="Times New Roman"/>
      <w:kern w:val="2"/>
      <w:sz w:val="21"/>
      <w:szCs w:val="22"/>
      <w:lang w:val="en-US" w:eastAsia="zh-CN" w:bidi="ar-SA"/>
    </w:rPr>
  </w:style>
  <w:style w:type="paragraph" w:customStyle="1" w:styleId="91">
    <w:name w:val="正文_13"/>
    <w:qFormat/>
    <w:uiPriority w:val="0"/>
    <w:pPr>
      <w:widowControl w:val="0"/>
      <w:jc w:val="both"/>
    </w:pPr>
    <w:rPr>
      <w:rFonts w:ascii="Calibri" w:hAnsi="Calibri" w:eastAsia="宋体" w:cs="Times New Roman"/>
      <w:kern w:val="2"/>
      <w:sz w:val="21"/>
      <w:szCs w:val="22"/>
      <w:lang w:val="en-US" w:eastAsia="zh-CN" w:bidi="ar-SA"/>
    </w:rPr>
  </w:style>
  <w:style w:type="paragraph" w:customStyle="1" w:styleId="92">
    <w:name w:val="正文文本_4"/>
    <w:basedOn w:val="90"/>
    <w:qFormat/>
    <w:uiPriority w:val="0"/>
    <w:pPr>
      <w:spacing w:after="120"/>
    </w:pPr>
    <w:rPr>
      <w:rFonts w:ascii="Times New Roman" w:hAnsi="Times New Roman" w:eastAsia="宋体"/>
      <w:szCs w:val="24"/>
    </w:rPr>
  </w:style>
  <w:style w:type="paragraph" w:customStyle="1" w:styleId="93">
    <w:name w:val="Table Paragraph_5"/>
    <w:basedOn w:val="91"/>
    <w:qFormat/>
    <w:uiPriority w:val="0"/>
    <w:pPr>
      <w:autoSpaceDE w:val="0"/>
      <w:autoSpaceDN w:val="0"/>
      <w:jc w:val="left"/>
    </w:pPr>
    <w:rPr>
      <w:rFonts w:ascii="宋体" w:eastAsia="宋体" w:cs="宋体"/>
      <w:kern w:val="0"/>
      <w:sz w:val="22"/>
      <w:lang w:val="zh-CN" w:bidi="zh-CN"/>
    </w:rPr>
  </w:style>
  <w:style w:type="paragraph" w:customStyle="1" w:styleId="94">
    <w:name w:val="WPSOffice手动目录 1"/>
    <w:qFormat/>
    <w:uiPriority w:val="0"/>
    <w:rPr>
      <w:rFonts w:ascii="Times New Roman" w:hAnsi="Times New Roman" w:eastAsia="宋体" w:cs="Times New Roman"/>
      <w:sz w:val="20"/>
      <w:szCs w:val="20"/>
      <w:lang w:val="en-US" w:eastAsia="zh-CN" w:bidi="ar-SA"/>
    </w:rPr>
  </w:style>
  <w:style w:type="paragraph" w:customStyle="1" w:styleId="95">
    <w:name w:val="WPSOffice手动目录 2"/>
    <w:qFormat/>
    <w:uiPriority w:val="0"/>
    <w:pPr>
      <w:ind w:left="200" w:leftChars="200"/>
    </w:pPr>
    <w:rPr>
      <w:rFonts w:ascii="Times New Roman" w:hAnsi="Times New Roman" w:eastAsia="宋体" w:cs="Times New Roman"/>
      <w:sz w:val="20"/>
      <w:szCs w:val="20"/>
      <w:lang w:val="en-US" w:eastAsia="zh-CN" w:bidi="ar-SA"/>
    </w:rPr>
  </w:style>
  <w:style w:type="paragraph" w:customStyle="1" w:styleId="96">
    <w:name w:val="_Style 89"/>
    <w:qFormat/>
    <w:uiPriority w:val="0"/>
    <w:rPr>
      <w:rFonts w:ascii="Arial" w:hAnsi="Arial" w:eastAsia="Arial" w:cs="Arial"/>
      <w:snapToGrid w:val="0"/>
      <w:color w:val="000000"/>
      <w:sz w:val="21"/>
      <w:szCs w:val="21"/>
      <w:lang w:val="en-US" w:eastAsia="zh-CN" w:bidi="ar-SA"/>
    </w:rPr>
  </w:style>
  <w:style w:type="character" w:customStyle="1" w:styleId="97">
    <w:name w:val="正文缩进 字符"/>
    <w:autoRedefine/>
    <w:qFormat/>
    <w:uiPriority w:val="0"/>
    <w:rPr>
      <w:rFonts w:eastAsia="宋体"/>
      <w:kern w:val="2"/>
      <w:sz w:val="21"/>
      <w:szCs w:val="24"/>
      <w:lang w:val="en-US" w:eastAsia="zh-CN" w:bidi="ar-SA"/>
    </w:rPr>
  </w:style>
  <w:style w:type="paragraph" w:customStyle="1" w:styleId="98">
    <w:name w:val="样式1_0"/>
    <w:basedOn w:val="54"/>
    <w:autoRedefine/>
    <w:qFormat/>
    <w:uiPriority w:val="0"/>
    <w:pPr>
      <w:spacing w:line="360" w:lineRule="auto"/>
      <w:ind w:firstLine="200" w:firstLineChars="200"/>
    </w:pPr>
    <w:rPr>
      <w:sz w:val="24"/>
    </w:rPr>
  </w:style>
  <w:style w:type="paragraph" w:customStyle="1" w:styleId="99">
    <w:name w:val="1正文文本"/>
    <w:basedOn w:val="98"/>
    <w:autoRedefine/>
    <w:qFormat/>
    <w:uiPriority w:val="0"/>
  </w:style>
  <w:style w:type="paragraph" w:customStyle="1" w:styleId="100">
    <w:name w:val="样式1"/>
    <w:basedOn w:val="1"/>
    <w:autoRedefine/>
    <w:qFormat/>
    <w:uiPriority w:val="0"/>
    <w:pPr>
      <w:spacing w:line="360" w:lineRule="auto"/>
      <w:ind w:firstLine="200" w:firstLineChars="200"/>
    </w:pPr>
    <w:rPr>
      <w:sz w:val="24"/>
    </w:rPr>
  </w:style>
  <w:style w:type="paragraph" w:customStyle="1" w:styleId="101">
    <w:name w:val="表格文字图表文字居中"/>
    <w:basedOn w:val="1"/>
    <w:autoRedefine/>
    <w:qFormat/>
    <w:uiPriority w:val="0"/>
    <w:pPr>
      <w:adjustRightInd w:val="0"/>
      <w:snapToGrid w:val="0"/>
      <w:spacing w:before="100" w:after="60"/>
      <w:contextualSpacing/>
      <w:jc w:val="center"/>
    </w:pPr>
    <w:rPr>
      <w:rFonts w:eastAsia="黑体"/>
      <w:sz w:val="24"/>
    </w:rPr>
  </w:style>
  <w:style w:type="paragraph" w:customStyle="1" w:styleId="102">
    <w:name w:val="1表头"/>
    <w:basedOn w:val="101"/>
    <w:autoRedefine/>
    <w:qFormat/>
    <w:uiPriority w:val="0"/>
  </w:style>
  <w:style w:type="paragraph" w:customStyle="1" w:styleId="103">
    <w:name w:val="表格图片名称"/>
    <w:basedOn w:val="101"/>
    <w:next w:val="8"/>
    <w:autoRedefine/>
    <w:qFormat/>
    <w:uiPriority w:val="0"/>
    <w:pPr>
      <w:adjustRightInd w:val="0"/>
      <w:snapToGrid w:val="0"/>
      <w:spacing w:before="0" w:after="0"/>
      <w:contextualSpacing w:val="0"/>
      <w:textAlignment w:val="center"/>
    </w:pPr>
    <w:rPr>
      <w:rFonts w:eastAsia="宋体"/>
      <w:sz w:val="21"/>
    </w:rPr>
  </w:style>
  <w:style w:type="paragraph" w:customStyle="1" w:styleId="104">
    <w:name w:val="表内"/>
    <w:basedOn w:val="54"/>
    <w:autoRedefine/>
    <w:qFormat/>
    <w:uiPriority w:val="0"/>
    <w:pPr>
      <w:widowControl/>
      <w:jc w:val="center"/>
    </w:pPr>
    <w:rPr>
      <w:rFonts w:ascii="宋体" w:cs="宋体"/>
      <w:kern w:val="0"/>
      <w:sz w:val="22"/>
      <w:szCs w:val="22"/>
    </w:rPr>
  </w:style>
  <w:style w:type="paragraph" w:customStyle="1" w:styleId="105">
    <w:name w:val="标题 5_0"/>
    <w:basedOn w:val="54"/>
    <w:next w:val="54"/>
    <w:autoRedefine/>
    <w:qFormat/>
    <w:uiPriority w:val="0"/>
    <w:pPr>
      <w:numPr>
        <w:ilvl w:val="4"/>
        <w:numId w:val="5"/>
      </w:numPr>
      <w:spacing w:line="360" w:lineRule="auto"/>
      <w:jc w:val="left"/>
      <w:outlineLvl w:val="4"/>
    </w:pPr>
    <w:rPr>
      <w:rFonts w:ascii="宋体"/>
      <w:bCs/>
      <w:sz w:val="24"/>
      <w:szCs w:val="28"/>
    </w:rPr>
  </w:style>
  <w:style w:type="paragraph" w:customStyle="1" w:styleId="106">
    <w:name w:val="1正文11111"/>
    <w:basedOn w:val="105"/>
    <w:autoRedefine/>
    <w:qFormat/>
    <w:uiPriority w:val="0"/>
  </w:style>
  <w:style w:type="paragraph" w:customStyle="1" w:styleId="107">
    <w:name w:val="表格"/>
    <w:basedOn w:val="4"/>
    <w:autoRedefine/>
    <w:qFormat/>
    <w:uiPriority w:val="0"/>
    <w:pPr>
      <w:adjustRightInd w:val="0"/>
      <w:snapToGrid/>
      <w:spacing w:line="400" w:lineRule="exact"/>
      <w:ind w:firstLine="0"/>
      <w:jc w:val="center"/>
    </w:pPr>
    <w:rPr>
      <w:szCs w:val="20"/>
    </w:rPr>
  </w:style>
  <w:style w:type="paragraph" w:customStyle="1" w:styleId="108">
    <w:name w:val="标题 6_0"/>
    <w:basedOn w:val="54"/>
    <w:next w:val="54"/>
    <w:autoRedefine/>
    <w:qFormat/>
    <w:uiPriority w:val="0"/>
    <w:pPr>
      <w:numPr>
        <w:ilvl w:val="5"/>
        <w:numId w:val="5"/>
      </w:numPr>
      <w:spacing w:line="360" w:lineRule="auto"/>
      <w:outlineLvl w:val="5"/>
    </w:pPr>
    <w:rPr>
      <w:bCs/>
      <w:sz w:val="24"/>
      <w:szCs w:val="28"/>
    </w:rPr>
  </w:style>
  <w:style w:type="paragraph" w:customStyle="1" w:styleId="109">
    <w:name w:val="1正文2"/>
    <w:basedOn w:val="108"/>
    <w:autoRedefine/>
    <w:qFormat/>
    <w:uiPriority w:val="0"/>
    <w:pPr>
      <w:outlineLvl w:val="9"/>
    </w:pPr>
  </w:style>
  <w:style w:type="paragraph" w:customStyle="1" w:styleId="110">
    <w:name w:val="2级标题X.X"/>
    <w:basedOn w:val="3"/>
    <w:autoRedefine/>
    <w:qFormat/>
    <w:uiPriority w:val="0"/>
  </w:style>
  <w:style w:type="paragraph" w:customStyle="1" w:styleId="111">
    <w:name w:val="正文11"/>
    <w:basedOn w:val="1"/>
    <w:autoRedefine/>
    <w:qFormat/>
    <w:uiPriority w:val="0"/>
    <w:pPr>
      <w:spacing w:line="360" w:lineRule="auto"/>
      <w:ind w:firstLine="420"/>
    </w:pPr>
    <w:rPr>
      <w:rFonts w:ascii="Calibri" w:hAnsi="Calibri" w:eastAsia="宋体" w:cs="Arial"/>
      <w:sz w:val="24"/>
    </w:rPr>
  </w:style>
  <w:style w:type="character" w:customStyle="1" w:styleId="112">
    <w:name w:val="font01"/>
    <w:basedOn w:val="33"/>
    <w:autoRedefine/>
    <w:qFormat/>
    <w:uiPriority w:val="0"/>
    <w:rPr>
      <w:rFonts w:ascii="宋体" w:eastAsia="宋体" w:cs="宋体"/>
      <w:color w:val="000000"/>
      <w:sz w:val="22"/>
      <w:szCs w:val="22"/>
      <w:u w:val="none"/>
    </w:rPr>
  </w:style>
  <w:style w:type="character" w:customStyle="1" w:styleId="113">
    <w:name w:val="font71"/>
    <w:basedOn w:val="33"/>
    <w:autoRedefine/>
    <w:qFormat/>
    <w:uiPriority w:val="0"/>
    <w:rPr>
      <w:rFonts w:ascii="宋体" w:eastAsia="宋体" w:cs="宋体"/>
      <w:color w:val="000000"/>
      <w:sz w:val="21"/>
      <w:szCs w:val="21"/>
      <w:u w:val="none"/>
    </w:rPr>
  </w:style>
  <w:style w:type="paragraph" w:customStyle="1" w:styleId="114">
    <w:name w:val="(1)"/>
    <w:basedOn w:val="1"/>
    <w:autoRedefine/>
    <w:qFormat/>
    <w:uiPriority w:val="0"/>
    <w:pPr>
      <w:tabs>
        <w:tab w:val="left" w:pos="1134"/>
      </w:tabs>
      <w:spacing w:line="360" w:lineRule="auto"/>
      <w:ind w:firstLine="200" w:firstLineChars="200"/>
    </w:pPr>
    <w:rPr>
      <w:kern w:val="0"/>
      <w:sz w:val="24"/>
      <w:lang w:val="zh-CN"/>
    </w:rPr>
  </w:style>
  <w:style w:type="character" w:customStyle="1" w:styleId="115">
    <w:name w:val="不明显强调1"/>
    <w:autoRedefine/>
    <w:qFormat/>
    <w:uiPriority w:val="0"/>
    <w:rPr>
      <w:i/>
      <w:iCs/>
      <w:color w:val="808080"/>
    </w:rPr>
  </w:style>
  <w:style w:type="paragraph" w:customStyle="1" w:styleId="116">
    <w:name w:val="Default"/>
    <w:next w:val="117"/>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7">
    <w:name w:val="目录 71"/>
    <w:next w:val="1"/>
    <w:qFormat/>
    <w:uiPriority w:val="0"/>
    <w:pPr>
      <w:wordWrap w:val="0"/>
      <w:ind w:left="2550"/>
      <w:jc w:val="both"/>
    </w:pPr>
    <w:rPr>
      <w:rFonts w:ascii="宋体" w:hAnsi="宋体" w:eastAsia="Times New Roman" w:cs="Times New Roman"/>
      <w:sz w:val="21"/>
      <w:lang w:val="en-US" w:eastAsia="zh-CN" w:bidi="ar-SA"/>
    </w:rPr>
  </w:style>
  <w:style w:type="paragraph" w:customStyle="1" w:styleId="118">
    <w:name w:val="正文－wjnew"/>
    <w:basedOn w:val="57"/>
    <w:qFormat/>
    <w:uiPriority w:val="0"/>
    <w:pPr>
      <w:spacing w:line="360" w:lineRule="auto"/>
      <w:ind w:left="0" w:leftChars="0" w:firstLine="420"/>
    </w:pPr>
  </w:style>
  <w:style w:type="paragraph" w:customStyle="1" w:styleId="119">
    <w:name w:val="无编号正文"/>
    <w:basedOn w:val="10"/>
    <w:next w:val="1"/>
    <w:qFormat/>
    <w:uiPriority w:val="0"/>
    <w:pPr>
      <w:spacing w:after="0" w:line="360" w:lineRule="auto"/>
      <w:ind w:left="200" w:leftChars="200" w:firstLine="200" w:firstLineChars="200"/>
    </w:pPr>
    <w:rPr>
      <w:rFonts w:ascii="宋体" w:hAnsi="宋体"/>
      <w:sz w:val="24"/>
    </w:rPr>
  </w:style>
  <w:style w:type="paragraph" w:customStyle="1" w:styleId="120">
    <w:name w:val="hs-编号 (1)"/>
    <w:basedOn w:val="1"/>
    <w:qFormat/>
    <w:uiPriority w:val="0"/>
    <w:pPr>
      <w:spacing w:line="360" w:lineRule="auto"/>
      <w:ind w:firstLine="200" w:firstLineChars="200"/>
    </w:pPr>
    <w:rPr>
      <w:rFonts w:cs="Arial"/>
      <w:sz w:val="24"/>
      <w:szCs w:val="22"/>
    </w:rPr>
  </w:style>
  <w:style w:type="paragraph" w:customStyle="1" w:styleId="121">
    <w:name w:val="列出段落1"/>
    <w:basedOn w:val="1"/>
    <w:qFormat/>
    <w:uiPriority w:val="0"/>
    <w:pPr>
      <w:ind w:firstLine="200" w:firstLineChars="200"/>
    </w:pPr>
    <w:rPr>
      <w:rFonts w:ascii="Calibri" w:hAnsi="Calibri"/>
      <w:szCs w:val="22"/>
    </w:rPr>
  </w:style>
  <w:style w:type="paragraph" w:customStyle="1" w:styleId="122">
    <w:name w:val="无间隔1"/>
    <w:qFormat/>
    <w:uiPriority w:val="0"/>
    <w:rPr>
      <w:rFonts w:ascii="Calibri" w:hAnsi="Calibri" w:eastAsia="宋体" w:cs="Times New Roman"/>
      <w:sz w:val="22"/>
      <w:szCs w:val="22"/>
      <w:lang w:val="en-US" w:eastAsia="zh-CN" w:bidi="ar-SA"/>
    </w:rPr>
  </w:style>
  <w:style w:type="paragraph" w:customStyle="1" w:styleId="123">
    <w:name w:val="样式 标题 3 + 宋体 小四"/>
    <w:basedOn w:val="5"/>
    <w:link w:val="124"/>
    <w:qFormat/>
    <w:uiPriority w:val="0"/>
    <w:pPr>
      <w:keepNext w:val="0"/>
      <w:keepLines w:val="0"/>
      <w:widowControl w:val="0"/>
      <w:tabs>
        <w:tab w:val="left" w:pos="360"/>
        <w:tab w:val="left" w:pos="1004"/>
      </w:tabs>
      <w:spacing w:after="50" w:line="360" w:lineRule="auto"/>
      <w:ind w:left="360" w:hanging="360"/>
    </w:pPr>
    <w:rPr>
      <w:bCs w:val="0"/>
      <w:kern w:val="0"/>
      <w:sz w:val="24"/>
    </w:rPr>
  </w:style>
  <w:style w:type="character" w:customStyle="1" w:styleId="124">
    <w:name w:val="样式 标题 3 + 宋体 小四 Char"/>
    <w:basedOn w:val="43"/>
    <w:link w:val="123"/>
    <w:qFormat/>
    <w:uiPriority w:val="0"/>
    <w:rPr>
      <w:bCs w:val="0"/>
      <w:kern w:val="0"/>
      <w:sz w:val="24"/>
    </w:rPr>
  </w:style>
  <w:style w:type="paragraph" w:customStyle="1" w:styleId="125">
    <w:name w:val="hs-编号 1)"/>
    <w:basedOn w:val="1"/>
    <w:qFormat/>
    <w:uiPriority w:val="0"/>
    <w:pPr>
      <w:spacing w:line="360" w:lineRule="auto"/>
      <w:ind w:firstLine="200" w:firstLineChars="200"/>
    </w:pPr>
    <w:rPr>
      <w:rFonts w:cs="Arial"/>
      <w:sz w:val="24"/>
      <w:szCs w:val="22"/>
    </w:rPr>
  </w:style>
  <w:style w:type="paragraph" w:customStyle="1" w:styleId="126">
    <w:name w:val="hs-文本段落"/>
    <w:basedOn w:val="1"/>
    <w:qFormat/>
    <w:uiPriority w:val="0"/>
    <w:pPr>
      <w:spacing w:line="360" w:lineRule="auto"/>
      <w:ind w:firstLine="200" w:firstLineChars="200"/>
    </w:pPr>
    <w:rPr>
      <w:rFonts w:cs="Arial"/>
      <w:sz w:val="24"/>
      <w:szCs w:val="22"/>
    </w:rPr>
  </w:style>
  <w:style w:type="character" w:customStyle="1" w:styleId="127">
    <w:name w:val="书籍标题1"/>
    <w:qFormat/>
    <w:uiPriority w:val="0"/>
    <w:rPr>
      <w:b/>
      <w:bCs/>
      <w:smallCaps/>
      <w:spacing w:val="5"/>
    </w:rPr>
  </w:style>
  <w:style w:type="paragraph" w:customStyle="1" w:styleId="128">
    <w:name w:val="hs-编号 a."/>
    <w:basedOn w:val="1"/>
    <w:qFormat/>
    <w:uiPriority w:val="0"/>
    <w:pPr>
      <w:spacing w:line="360" w:lineRule="auto"/>
      <w:ind w:firstLine="200" w:firstLineChars="200"/>
    </w:pPr>
    <w:rPr>
      <w:rFonts w:cs="Arial"/>
      <w:sz w:val="24"/>
      <w:szCs w:val="22"/>
    </w:rPr>
  </w:style>
  <w:style w:type="paragraph" w:customStyle="1" w:styleId="129">
    <w:name w:val="正文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0">
    <w:name w:val="标题5"/>
    <w:basedOn w:val="4"/>
    <w:next w:val="1"/>
    <w:qFormat/>
    <w:uiPriority w:val="0"/>
    <w:pPr>
      <w:widowControl/>
      <w:numPr>
        <w:ilvl w:val="4"/>
        <w:numId w:val="6"/>
      </w:numPr>
      <w:tabs>
        <w:tab w:val="left" w:pos="0"/>
        <w:tab w:val="clear" w:pos="560"/>
        <w:tab w:val="clear" w:pos="1120"/>
      </w:tabs>
      <w:adjustRightInd w:val="0"/>
      <w:snapToGrid w:val="0"/>
      <w:spacing w:before="50" w:beforeLines="50" w:after="50" w:afterLines="50" w:line="480" w:lineRule="exact"/>
      <w:textAlignment w:val="auto"/>
      <w:outlineLvl w:val="3"/>
    </w:pPr>
    <w:rPr>
      <w:bCs/>
      <w:color w:val="000000"/>
      <w:sz w:val="21"/>
      <w:szCs w:val="21"/>
    </w:rPr>
  </w:style>
  <w:style w:type="paragraph" w:customStyle="1" w:styleId="131">
    <w:name w:val="hs-表格文本"/>
    <w:basedOn w:val="1"/>
    <w:qFormat/>
    <w:uiPriority w:val="0"/>
    <w:pPr>
      <w:spacing w:before="25" w:beforeLines="25" w:after="25" w:afterLines="25"/>
      <w:jc w:val="center"/>
    </w:pPr>
    <w:rPr>
      <w:rFonts w:cs="Arial"/>
      <w:szCs w:val="22"/>
    </w:rPr>
  </w:style>
  <w:style w:type="character" w:customStyle="1" w:styleId="132">
    <w:name w:val="标题 3 Char"/>
    <w:basedOn w:val="33"/>
    <w:link w:val="5"/>
    <w:qFormat/>
    <w:uiPriority w:val="0"/>
    <w:rPr>
      <w:rFonts w:ascii="Arial" w:hAnsi="Arial" w:eastAsia="Arial" w:cs="Arial"/>
      <w:bCs/>
      <w:snapToGrid w:val="0"/>
      <w:color w:val="000000"/>
      <w:sz w:val="24"/>
      <w:szCs w:val="32"/>
      <w:lang w:val="en-US" w:eastAsia="zh-CN" w:bidi="ar-SA"/>
    </w:rPr>
  </w:style>
  <w:style w:type="paragraph" w:customStyle="1" w:styleId="133">
    <w:name w:val="[Normal]"/>
    <w:basedOn w:val="1"/>
    <w:qFormat/>
    <w:uiPriority w:val="0"/>
    <w:pPr>
      <w:widowControl/>
      <w:autoSpaceDE/>
      <w:autoSpaceDN/>
      <w:adjustRightInd/>
    </w:pPr>
    <w:rPr>
      <w:rFonts w:ascii="宋体" w:hAnsi="宋体"/>
    </w:rPr>
  </w:style>
  <w:style w:type="paragraph" w:customStyle="1" w:styleId="134">
    <w:name w:val="正文_7"/>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
    <w:name w:val="标书_正文"/>
    <w:qFormat/>
    <w:uiPriority w:val="0"/>
    <w:pPr>
      <w:widowControl w:val="0"/>
      <w:adjustRightInd w:val="0"/>
      <w:snapToGrid w:val="0"/>
      <w:spacing w:line="400" w:lineRule="exact"/>
      <w:ind w:firstLine="560" w:firstLineChars="200"/>
      <w:jc w:val="both"/>
    </w:pPr>
    <w:rPr>
      <w:rFonts w:ascii="仿宋_GB2312" w:hAnsi="Times New Roman" w:eastAsia="仿宋_GB2312" w:cs="Times New Roman"/>
      <w:bCs/>
      <w:color w:val="000000"/>
      <w:sz w:val="28"/>
      <w:szCs w:val="28"/>
      <w:lang w:val="en-US" w:eastAsia="zh-CN" w:bidi="ar-SA"/>
    </w:rPr>
  </w:style>
  <w:style w:type="paragraph" w:customStyle="1" w:styleId="136">
    <w:name w:val="自动更正"/>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7">
    <w:name w:val="font31"/>
    <w:qFormat/>
    <w:uiPriority w:val="0"/>
    <w:rPr>
      <w:rFonts w:hint="eastAsia" w:ascii="仿宋" w:hAnsi="仿宋" w:eastAsia="仿宋" w:cs="仿宋"/>
      <w:color w:val="000000"/>
      <w:sz w:val="24"/>
      <w:szCs w:val="24"/>
      <w:u w:val="single"/>
      <w:vertAlign w:val="subscript"/>
    </w:rPr>
  </w:style>
  <w:style w:type="paragraph" w:customStyle="1" w:styleId="138">
    <w:name w:val="标题 4 + 宋体"/>
    <w:qFormat/>
    <w:uiPriority w:val="0"/>
    <w:pPr>
      <w:widowControl w:val="0"/>
      <w:adjustRightInd w:val="0"/>
      <w:ind w:firstLine="315" w:firstLineChars="150"/>
      <w:jc w:val="both"/>
    </w:pPr>
    <w:rPr>
      <w:rFonts w:ascii="Times New Roman" w:hAnsi="Times New Roman" w:eastAsia="宋体" w:cs="Times New Roman"/>
      <w:kern w:val="2"/>
      <w:sz w:val="21"/>
      <w:szCs w:val="24"/>
      <w:lang w:val="en-US" w:eastAsia="zh-CN" w:bidi="ar-SA"/>
    </w:rPr>
  </w:style>
  <w:style w:type="paragraph" w:customStyle="1" w:styleId="139">
    <w:name w:val="正文段"/>
    <w:qFormat/>
    <w:uiPriority w:val="0"/>
    <w:pPr>
      <w:widowControl/>
      <w:adjustRightInd w:val="0"/>
      <w:snapToGrid w:val="0"/>
      <w:spacing w:afterLines="50"/>
      <w:ind w:firstLine="200" w:firstLineChars="200"/>
      <w:jc w:val="both"/>
    </w:pPr>
    <w:rPr>
      <w:rFonts w:ascii="Times New Roman" w:hAnsi="Times New Roman" w:eastAsia="宋体" w:cs="Times New Roman"/>
      <w:kern w:val="0"/>
      <w:sz w:val="24"/>
      <w:szCs w:val="20"/>
      <w:lang w:val="en-US" w:eastAsia="zh-CN" w:bidi="ar-SA"/>
    </w:rPr>
  </w:style>
  <w:style w:type="paragraph" w:customStyle="1" w:styleId="140">
    <w:name w:val="正文首行缩进 21"/>
    <w:qFormat/>
    <w:uiPriority w:val="0"/>
    <w:pPr>
      <w:widowControl w:val="0"/>
      <w:adjustRightInd w:val="0"/>
      <w:spacing w:after="120" w:line="360" w:lineRule="auto"/>
      <w:ind w:left="420" w:leftChars="200" w:firstLine="420"/>
      <w:jc w:val="both"/>
    </w:pPr>
    <w:rPr>
      <w:rFonts w:ascii="Times New Roman" w:hAnsi="Times New Roman" w:eastAsia="宋体" w:cs="宋体"/>
      <w:color w:val="000000"/>
      <w:kern w:val="0"/>
      <w:sz w:val="20"/>
      <w:szCs w:val="21"/>
      <w:lang w:val="en-US" w:eastAsia="zh-CN" w:bidi="ar-SA"/>
    </w:rPr>
  </w:style>
  <w:style w:type="character" w:customStyle="1" w:styleId="141">
    <w:name w:val="font11"/>
    <w:basedOn w:val="33"/>
    <w:qFormat/>
    <w:uiPriority w:val="0"/>
    <w:rPr>
      <w:rFonts w:hint="eastAsia" w:ascii="宋体" w:hAnsi="宋体" w:eastAsia="宋体" w:cs="宋体"/>
      <w:color w:val="000000"/>
      <w:sz w:val="24"/>
      <w:szCs w:val="24"/>
      <w:u w:val="none"/>
    </w:rPr>
  </w:style>
  <w:style w:type="paragraph" w:customStyle="1" w:styleId="142">
    <w:name w:val="正文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9.xml"/><Relationship Id="rId22" Type="http://schemas.openxmlformats.org/officeDocument/2006/relationships/header" Target="header2.xml"/><Relationship Id="rId21" Type="http://schemas.openxmlformats.org/officeDocument/2006/relationships/footer" Target="footer18.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c5604b7f-02dc-4f4f-aec1-9e67933316af</errorID>
      <errorWord>“/</errorWord>
      <group>L1_Punc</group>
      <groupName>标点问题</groupName>
      <ability>L2_Punc</ability>
      <abilityName>标点符号检查</abilityName>
      <candidateList>
        <item>“</item>
      </candidateList>
      <explain/>
      <paraID>19288675</paraID>
      <start>72</start>
      <end>74</end>
      <status>unmodified</status>
      <modifiedWord/>
      <trackRevisions>false</trackRevisions>
    </reviewItem>
    <reviewItem>
      <errorID>ca4d136c-f46a-4862-a0bf-71b0615dcc01</errorID>
      <errorWord>：/；</errorWord>
      <group>L1_Punc</group>
      <groupName>标点问题</groupName>
      <ability>L2_Punc</ability>
      <abilityName>标点符号检查</abilityName>
      <candidateList>
        <item>：</item>
      </candidateList>
      <explain/>
      <paraID>4BD8BC3C</paraID>
      <start>35</start>
      <end>38</end>
      <status>unmodified</status>
      <modifiedWord/>
      <trackRevisions>false</trackRevisions>
    </reviewItem>
    <reviewItem>
      <errorID>6135f078-8383-43a0-9786-75153107b4b3</errorID>
      <errorWord>间</errorWord>
      <group>L1_Word</group>
      <groupName>字词问题</groupName>
      <ability>L2_Typo</ability>
      <abilityName>字词错误</abilityName>
      <candidateList>
        <item>间为</item>
      </candidateList>
      <explain/>
      <paraID>6AE8CCCC</paraID>
      <start>11</start>
      <end>12</end>
      <status>unmodified</status>
      <modifiedWord/>
      <trackRevisions>false</trackRevisions>
    </reviewItem>
    <reviewItem>
      <errorID>97df25fd-c5b7-4ba4-b493-08e3cb9aa4b2</errorID>
      <errorWord>招</errorWord>
      <group>L1_Word</group>
      <groupName>字词问题</groupName>
      <ability>L2_Typo</ability>
      <abilityName>字词错误</abilityName>
      <candidateList>
        <item>招标</item>
      </candidateList>
      <explain/>
      <paraID> 88B7CE9</paraID>
      <start>28</start>
      <end>29</end>
      <status>unmodified</status>
      <modifiedWord/>
      <trackRevisions>false</trackRevisions>
    </reviewItem>
    <reviewItem>
      <errorID>7fdc2367-d4be-470b-b592-79beb979fcc4</errorID>
      <errorWord>：/</errorWord>
      <group>L1_Punc</group>
      <groupName>标点问题</groupName>
      <ability>L2_Punc</ability>
      <abilityName>标点符号检查</abilityName>
      <candidateList>
        <item>：</item>
      </candidateList>
      <explain/>
      <paraID>77DBD084</paraID>
      <start>4</start>
      <end>6</end>
      <status>unmodified</status>
      <modifiedWord/>
      <trackRevisions>false</trackRevisions>
    </reviewItem>
    <reviewItem>
      <errorID>24fba099-b63c-4766-889f-dca8c1917107</errorID>
      <errorWord>/）</errorWord>
      <group>L1_Punc</group>
      <groupName>标点问题</groupName>
      <ability>L2_Punc</ability>
      <abilityName>标点符号检查</abilityName>
      <candidateList>
        <item>）</item>
      </candidateList>
      <explain/>
      <paraID>5285FB65</paraID>
      <start>40</start>
      <end>42</end>
      <status>unmodified</status>
      <modifiedWord/>
      <trackRevisions>false</trackRevisions>
    </reviewItem>
    <reviewItem>
      <errorID>183be88c-6046-453d-bf67-af988678f4b7</errorID>
      <errorWord>年</errorWord>
      <group>L1_Word</group>
      <groupName>字词问题</groupName>
      <ability>L2_Typo</ability>
      <abilityName>字词错误</abilityName>
      <candidateList>
        <item>年来</item>
      </candidateList>
      <explain/>
      <paraID>3676E2D6</paraID>
      <start>1</start>
      <end>2</end>
      <status>unmodified</status>
      <modifiedWord/>
      <trackRevisions>false</trackRevisions>
    </reviewItem>
    <reviewItem>
      <errorID>9e9c353d-e19b-4210-8b7d-b2cb9002e976</errorID>
      <errorWord>一、二条</errorWord>
      <group>L1_Knowledge</group>
      <groupName>知识性问题</groupName>
      <ability>L2_Knowledge</ability>
      <abilityName>其他知识</abilityName>
      <candidateList>
        <item>一二条</item>
      </candidateList>
      <explain>根据国标GB/T 15834-2011《标点符号用法》中的4.5.3.4节，相邻或相近两数字连用表概数时，通常不使用顿号。如“只能看到八九公里范围内的地面”。</explain>
      <paraID> AA5EF49</paraID>
      <start>2</start>
      <end>6</end>
      <status>unmodified</status>
      <modifiedWord/>
      <trackRevisions>false</trackRevisions>
    </reviewItem>
    <reviewItem>
      <errorID>7a1360d5-fe59-44b3-ad0a-6f4e41c2f0ad</errorID>
      <errorWord>法律、法规</errorWord>
      <group>L1_Word</group>
      <groupName>字词问题</groupName>
      <ability>L2_Typo</ability>
      <abilityName>字词错误</abilityName>
      <candidateList>
        <item>法律法规</item>
      </candidateList>
      <explain/>
      <paraID>5BBE4ECD</paraID>
      <start>5</start>
      <end>10</end>
      <status>unmodified</status>
      <modifiedWord/>
      <trackRevisions>false</trackRevisions>
    </reviewItem>
    <reviewItem>
      <errorID>005e5ae7-8dd0-429b-a77e-9bf8e81397c7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585407F3</paraID>
      <start>0</start>
      <end>2</end>
      <status>unmodified</status>
      <modifiedWord/>
      <trackRevisions>false</trackRevisions>
    </reviewItem>
    <reviewItem>
      <errorID>125ae01f-b065-4eb6-b91f-2a2b2bb3a460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302DA95E</paraID>
      <start>0</start>
      <end>2</end>
      <status>unmodified</status>
      <modifiedWord/>
      <trackRevisions>false</trackRevisions>
    </reviewItem>
    <reviewItem>
      <errorID>4149031c-ec0c-4624-82ae-eaecd8738344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7CDBD67E</paraID>
      <start>0</start>
      <end>2</end>
      <status>unmodified</status>
      <modifiedWord/>
      <trackRevisions>false</trackRevisions>
    </reviewItem>
    <reviewItem>
      <errorID>2afd59c9-5fcd-4d94-bc04-68dca285eca7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7F195D00</paraID>
      <start>0</start>
      <end>2</end>
      <status>unmodified</status>
      <modifiedWord/>
      <trackRevisions>false</trackRevisions>
    </reviewItem>
    <reviewItem>
      <errorID>99ee9dde-ec0d-43b9-83f9-fb1df22f5600</errorID>
      <errorWord>；</errorWord>
      <group>L1_Word</group>
      <groupName>字词问题</groupName>
      <ability>L2_Typo</ability>
      <abilityName>字词错误</abilityName>
      <candidateList>
        <item>；在</item>
      </candidateList>
      <explain/>
      <paraID> BD7BC8C</paraID>
      <start>41</start>
      <end>42</end>
      <status>unmodified</status>
      <modifiedWord/>
      <trackRevisions>false</trackRevisions>
    </reviewItem>
    <reviewItem>
      <errorID>55d71712-e44f-44db-9609-58ffee09472c</errorID>
      <errorWord>定</errorWord>
      <group>L1_Word</group>
      <groupName>字词问题</groupName>
      <ability>L2_Typo</ability>
      <abilityName>字词错误</abilityName>
      <candidateList>
        <item>定和</item>
      </candidateList>
      <explain/>
      <paraID> 8548468</paraID>
      <start>27</start>
      <end>28</end>
      <status>unmodified</status>
      <modifiedWord/>
      <trackRevisions>false</trackRevisions>
    </reviewItem>
    <reviewItem>
      <errorID>04f5efc6-fcc8-4f68-941a-352a74407058</errorID>
      <errorWord>做出</errorWord>
      <group>L1_Word</group>
      <groupName>字词问题</groupName>
      <ability>L2_Typo</ability>
      <abilityName>字词错误</abilityName>
      <candidateList>
        <item>作出</item>
      </candidateList>
      <explain/>
      <paraID>57774729</paraID>
      <start>47</start>
      <end>49</end>
      <status>unmodified</status>
      <modifiedWord/>
      <trackRevisions>false</trackRevisions>
    </reviewItem>
    <reviewItem>
      <errorID>f6427451-9db9-4d3b-bcf2-70b15fdc46ef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687CCAE4</paraID>
      <start>30</start>
      <end>31</end>
      <status>unmodified</status>
      <modifiedWord/>
      <trackRevisions>false</trackRevisions>
    </reviewItem>
    <reviewItem>
      <errorID>4c32896a-5040-4146-9f26-c420313dc206</errorID>
      <errorWord>保证金的</errorWord>
      <group>L1_Word</group>
      <groupName>字词问题</groupName>
      <ability>L2_Typo</ability>
      <abilityName>字词错误</abilityName>
      <candidateList>
        <item>保证金</item>
      </candidateList>
      <explain/>
      <paraID> AF7DC0E</paraID>
      <start>22</start>
      <end>26</end>
      <status>unmodified</status>
      <modifiedWord/>
      <trackRevisions>false</trackRevisions>
    </reviewItem>
    <reviewItem>
      <errorID>21136a48-b50a-4f68-bcb5-2d96602be11c</errorID>
      <errorWord>法律、法规</errorWord>
      <group>L1_Word</group>
      <groupName>字词问题</groupName>
      <ability>L2_Typo</ability>
      <abilityName>字词错误</abilityName>
      <candidateList>
        <item>法律法规</item>
      </candidateList>
      <explain/>
      <paraID>11C1A277</paraID>
      <start>5</start>
      <end>10</end>
      <status>unmodified</status>
      <modifiedWord/>
      <trackRevisions>false</trackRevisions>
    </reviewItem>
    <reviewItem>
      <errorID>24d8bf09-e354-4dd1-b38a-a04643fd4d38</errorID>
      <errorWord>：/；</errorWord>
      <group>L1_Punc</group>
      <groupName>标点问题</groupName>
      <ability>L2_Punc</ability>
      <abilityName>标点符号检查</abilityName>
      <candidateList>
        <item>：</item>
      </candidateList>
      <explain/>
      <paraID>3FDAB97B</paraID>
      <start>39</start>
      <end>42</end>
      <status>unmodified</status>
      <modifiedWord/>
      <trackRevisions>false</trackRevisions>
    </reviewItem>
    <reviewItem>
      <errorID>9031836d-97b8-4b3a-819f-af963c886e9d</errorID>
      <errorWord>：/；</errorWord>
      <group>L1_Punc</group>
      <groupName>标点问题</groupName>
      <ability>L2_Punc</ability>
      <abilityName>标点符号检查</abilityName>
      <candidateList>
        <item>：</item>
      </candidateList>
      <explain/>
      <paraID>454838EA</paraID>
      <start>53</start>
      <end>56</end>
      <status>unmodified</status>
      <modifiedWord/>
      <trackRevisions>false</trackRevisions>
    </reviewItem>
    <reviewItem>
      <errorID>c8a7cf5e-44c3-4342-b06e-8f9bf4f2f651</errorID>
      <errorWord>./</errorWord>
      <group>L1_Punc</group>
      <groupName>标点问题</groupName>
      <ability>L2_Punc</ability>
      <abilityName>标点符号检查</abilityName>
      <candidateList>
        <item>.</item>
      </candidateList>
      <explain/>
      <paraID>439B311B</paraID>
      <start>1</start>
      <end>3</end>
      <status>unmodified</status>
      <modifiedWord/>
      <trackRevisions>false</trackRevisions>
    </reviewItem>
    <reviewItem>
      <errorID>6b5d2b6b-b7dd-42bf-bd40-0533807992d2</errorID>
      <errorWord>一一</errorWord>
      <group>L1_Word</group>
      <groupName>字词问题</groupName>
      <ability>L2_Typo</ability>
      <abilityName>字词错误</abilityName>
      <candidateList>
        <item>一</item>
      </candidateList>
      <explain/>
      <paraID>464822EB</paraID>
      <start>83</start>
      <end>85</end>
      <status>unmodified</status>
      <modifiedWord/>
      <trackRevisions>false</trackRevisions>
    </reviewItem>
    <reviewItem>
      <errorID>7ba33810-c224-47f5-a683-4d85830dedb5</errorID>
      <errorWord>市政服办</errorWord>
      <group>L1_Knowledge</group>
      <groupName>知识性问题</groupName>
      <ability>L2_Organization</ability>
      <abilityName>机构检查</abilityName>
      <candidateList>
        <item>市政务服务办</item>
      </candidateList>
      <explain>机关单位全简称表述错误</explain>
      <paraID>21643A4D</paraID>
      <start>92</start>
      <end>96</end>
      <status>unmodified</status>
      <modifiedWord/>
      <trackRevisions>false</trackRevisions>
    </reviewItem>
    <reviewItem>
      <errorID>849e69db-ece1-444a-821e-9e34f9b59d0b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4172375D</paraID>
      <start>20</start>
      <end>23</end>
      <status>unmodified</status>
      <modifiedWord/>
      <trackRevisions>false</trackRevisions>
    </reviewItem>
    <reviewItem>
      <errorID>218db60b-1d2c-4575-8d20-c61840cf67a0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4172375D</paraID>
      <start>39</start>
      <end>42</end>
      <status>unmodified</status>
      <modifiedWord/>
      <trackRevisions>false</trackRevisions>
    </reviewItem>
    <reviewItem>
      <errorID>354203d9-b348-4475-914b-d9e3d796fa1a</errorID>
      <errorWord>法律、法规</errorWord>
      <group>L1_Word</group>
      <groupName>字词问题</groupName>
      <ability>L2_Typo</ability>
      <abilityName>字词错误</abilityName>
      <candidateList>
        <item>法律法规</item>
      </candidateList>
      <explain/>
      <paraID>4172375D</paraID>
      <start>60</start>
      <end>65</end>
      <status>unmodified</status>
      <modifiedWord/>
      <trackRevisions>false</trackRevisions>
    </reviewItem>
    <reviewItem>
      <errorID>2263cb76-0519-41c5-a5fb-e5276bc89991</errorID>
      <errorWord>(</errorWord>
      <group>L1_Format</group>
      <groupName>格式问题</groupName>
      <ability>L2_HalfPunc</ability>
      <abilityName>全半角检查</abilityName>
      <candidateList>
        <item>（</item>
      </candidateList>
      <explain>文本全半角错误。</explain>
      <paraID>79A2E83C</paraID>
      <start>1</start>
      <end>2</end>
      <status>unmodified</status>
      <modifiedWord/>
      <trackRevisions>false</trackRevisions>
    </reviewItem>
    <reviewItem>
      <errorID>a96defa0-44df-4a1c-a9d5-9a9682891d44</errorID>
      <errorWord>(</errorWord>
      <group>L1_Format</group>
      <groupName>格式问题</groupName>
      <ability>L2_HalfPunc</ability>
      <abilityName>全半角检查</abilityName>
      <candidateList>
        <item>（</item>
      </candidateList>
      <explain>文本全半角错误。</explain>
      <paraID>533A307B</paraID>
      <start>1</start>
      <end>2</end>
      <status>unmodified</status>
      <modifiedWord/>
      <trackRevisions>false</trackRevisions>
    </reviewItem>
    <reviewItem>
      <errorID>8628937d-231d-4d59-aa8b-4e7459fb83e1</errorID>
      <errorWord>(</errorWord>
      <group>L1_Format</group>
      <groupName>格式问题</groupName>
      <ability>L2_HalfPunc</ability>
      <abilityName>全半角检查</abilityName>
      <candidateList>
        <item>（</item>
      </candidateList>
      <explain>文本全半角错误。</explain>
      <paraID>3112789E</paraID>
      <start>1</start>
      <end>2</end>
      <status>unmodified</status>
      <modifiedWord/>
      <trackRevisions>false</trackRevisions>
    </reviewItem>
    <reviewItem>
      <errorID>20e0551c-5496-4e45-b586-621e0e4ca8df</errorID>
      <errorWord>(</errorWord>
      <group>L1_Format</group>
      <groupName>格式问题</groupName>
      <ability>L2_HalfPunc</ability>
      <abilityName>全半角检查</abilityName>
      <candidateList>
        <item>（</item>
      </candidateList>
      <explain>文本全半角错误。</explain>
      <paraID>6B06F492</paraID>
      <start>1</start>
      <end>2</end>
      <status>unmodified</status>
      <modifiedWord/>
      <trackRevisions>false</trackRevisions>
    </reviewItem>
    <reviewItem>
      <errorID>9d77d86e-c64b-4ac9-9c2a-c2f77b6a2d9e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54B52D77</paraID>
      <start>27</start>
      <end>28</end>
      <status>unmodified</status>
      <modifiedWord/>
      <trackRevisions>false</trackRevisions>
    </reviewItem>
    <reviewItem>
      <errorID>156c1578-723a-42d7-a547-b62e03e14b4f</errorID>
      <errorWord>(</errorWord>
      <group>L1_Format</group>
      <groupName>格式问题</groupName>
      <ability>L2_HalfPunc</ability>
      <abilityName>全半角检查</abilityName>
      <candidateList>
        <item>（</item>
      </candidateList>
      <explain>文本全半角错误。</explain>
      <paraID>6DD9F4C0</paraID>
      <start>1</start>
      <end>2</end>
      <status>unmodified</status>
      <modifiedWord/>
      <trackRevisions>false</trackRevisions>
    </reviewItem>
    <reviewItem>
      <errorID>7ea92240-14da-485f-bb4a-c2d3ddd2cf01</errorID>
      <errorWord>(</errorWord>
      <group>L1_Format</group>
      <groupName>格式问题</groupName>
      <ability>L2_HalfPunc</ability>
      <abilityName>全半角检查</abilityName>
      <candidateList>
        <item>（</item>
      </candidateList>
      <explain>文本全半角错误。</explain>
      <paraID>2F85421C</paraID>
      <start>1</start>
      <end>2</end>
      <status>unmodified</status>
      <modifiedWord/>
      <trackRevisions>false</trackRevisions>
    </reviewItem>
    <reviewItem>
      <errorID>88decec2-6670-4aa6-85cf-59b2e501f26b</errorID>
      <errorWord>(</errorWord>
      <group>L1_Format</group>
      <groupName>格式问题</groupName>
      <ability>L2_HalfPunc</ability>
      <abilityName>全半角检查</abilityName>
      <candidateList>
        <item>（</item>
      </candidateList>
      <explain>文本全半角错误。</explain>
      <paraID>3B5858E5</paraID>
      <start>1</start>
      <end>2</end>
      <status>unmodified</status>
      <modifiedWord/>
      <trackRevisions>false</trackRevisions>
    </reviewItem>
    <reviewItem>
      <errorID>5b4b5ec2-711d-47ea-bc0f-bdb5296d83f0</errorID>
      <errorWord>(</errorWord>
      <group>L1_Format</group>
      <groupName>格式问题</groupName>
      <ability>L2_HalfPunc</ability>
      <abilityName>全半角检查</abilityName>
      <candidateList>
        <item>（</item>
      </candidateList>
      <explain>文本全半角错误。</explain>
      <paraID>39940C7C</paraID>
      <start>1</start>
      <end>2</end>
      <status>unmodified</status>
      <modifiedWord/>
      <trackRevisions>false</trackRevisions>
    </reviewItem>
    <reviewItem>
      <errorID>6076cbba-8ae6-4ca9-a62d-fbdd1d453095</errorID>
      <errorWord>(</errorWord>
      <group>L1_Format</group>
      <groupName>格式问题</groupName>
      <ability>L2_HalfPunc</ability>
      <abilityName>全半角检查</abilityName>
      <candidateList>
        <item>（</item>
      </candidateList>
      <explain>文本全半角错误。</explain>
      <paraID>6CE15081</paraID>
      <start>1</start>
      <end>2</end>
      <status>unmodified</status>
      <modifiedWord/>
      <trackRevisions>false</trackRevisions>
    </reviewItem>
    <reviewItem>
      <errorID>319a18fa-4af7-4344-8815-7b8c3569a2d0</errorID>
      <errorWord>(</errorWord>
      <group>L1_Format</group>
      <groupName>格式问题</groupName>
      <ability>L2_HalfPunc</ability>
      <abilityName>全半角检查</abilityName>
      <candidateList>
        <item>（</item>
      </candidateList>
      <explain>文本全半角错误。</explain>
      <paraID>7029D472</paraID>
      <start>1</start>
      <end>2</end>
      <status>unmodified</status>
      <modifiedWord/>
      <trackRevisions>false</trackRevisions>
    </reviewItem>
    <reviewItem>
      <errorID>f63caa3c-2553-400b-96e9-93f6f84e69a6</errorID>
      <errorWord>(</errorWord>
      <group>L1_Format</group>
      <groupName>格式问题</groupName>
      <ability>L2_HalfPunc</ability>
      <abilityName>全半角检查</abilityName>
      <candidateList>
        <item>（</item>
      </candidateList>
      <explain>文本全半角错误。</explain>
      <paraID>2B5B1428</paraID>
      <start>1</start>
      <end>2</end>
      <status>unmodified</status>
      <modifiedWord/>
      <trackRevisions>false</trackRevisions>
    </reviewItem>
    <reviewItem>
      <errorID>4aa0da4c-84d2-47f2-b92d-3f88b37dab62</errorID>
      <errorWord>(</errorWord>
      <group>L1_Format</group>
      <groupName>格式问题</groupName>
      <ability>L2_HalfPunc</ability>
      <abilityName>全半角检查</abilityName>
      <candidateList>
        <item>（</item>
      </candidateList>
      <explain>文本全半角错误。</explain>
      <paraID>137BDD79</paraID>
      <start>1</start>
      <end>2</end>
      <status>unmodified</status>
      <modifiedWord/>
      <trackRevisions>false</trackRevisions>
    </reviewItem>
    <reviewItem>
      <errorID>fc00bda3-fbca-46d0-af72-7f433ccfe671</errorID>
      <errorWord>(</errorWord>
      <group>L1_Format</group>
      <groupName>格式问题</groupName>
      <ability>L2_HalfPunc</ability>
      <abilityName>全半角检查</abilityName>
      <candidateList>
        <item>（</item>
      </candidateList>
      <explain>文本全半角错误。</explain>
      <paraID>4E5BA561</paraID>
      <start>1</start>
      <end>2</end>
      <status>unmodified</status>
      <modifiedWord/>
      <trackRevisions>false</trackRevisions>
    </reviewItem>
    <reviewItem>
      <errorID>8d955a93-2ad1-49cc-8b7f-560e563663db</errorID>
      <errorWord>(</errorWord>
      <group>L1_Format</group>
      <groupName>格式问题</groupName>
      <ability>L2_HalfPunc</ability>
      <abilityName>全半角检查</abilityName>
      <candidateList>
        <item>（</item>
      </candidateList>
      <explain>文本全半角错误。</explain>
      <paraID>10EF5ED6</paraID>
      <start>1</start>
      <end>2</end>
      <status>unmodified</status>
      <modifiedWord/>
      <trackRevisions>false</trackRevisions>
    </reviewItem>
    <reviewItem>
      <errorID>f34ccbf1-ff7c-4fff-9b47-9085ddb6a1c7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27C9AD5F</paraID>
      <start>27</start>
      <end>28</end>
      <status>unmodified</status>
      <modifiedWord/>
      <trackRevisions>false</trackRevisions>
    </reviewItem>
    <reviewItem>
      <errorID>7f7446ad-17bf-4807-ae39-5e79d38f8890</errorID>
      <errorWord>年</errorWord>
      <group>L1_Word</group>
      <groupName>字词问题</groupName>
      <ability>L2_Typo</ability>
      <abilityName>字词错误</abilityName>
      <candidateList>
        <item>年来</item>
      </candidateList>
      <explain/>
      <paraID>77AA65AB</paraID>
      <start>7</start>
      <end>8</end>
      <status>unmodified</status>
      <modifiedWord/>
      <trackRevisions>false</trackRevisions>
    </reviewItem>
    <reviewItem>
      <errorID>37ed09fa-e4de-45d1-9aa0-ffed1ea29051</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6A3C55FB</paraID>
      <start>64</start>
      <end>66</end>
      <status>unmodified</status>
      <modifiedWord/>
      <trackRevisions>false</trackRevisions>
    </reviewItem>
    <reviewItem>
      <errorID>860f0a60-c7d2-4343-8a15-e55f209c4a1f</errorID>
      <errorWord>；</errorWord>
      <group>L1_Word</group>
      <groupName>字词问题</groupName>
      <ability>L2_Typo</ability>
      <abilityName>字词错误</abilityName>
      <candidateList>
        <item>；在</item>
      </candidateList>
      <explain/>
      <paraID>6B0E5FEA</paraID>
      <start>30</start>
      <end>31</end>
      <status>unmodified</status>
      <modifiedWord/>
      <trackRevisions>false</trackRevisions>
    </reviewItem>
    <reviewItem>
      <errorID>13d6df0c-f39a-4473-b86b-2e7c8326a215</errorID>
      <errorWord>间</errorWord>
      <group>L1_Word</group>
      <groupName>字词问题</groupName>
      <ability>L2_Typo</ability>
      <abilityName>字词错误</abilityName>
      <candidateList>
        <item>间之</item>
      </candidateList>
      <explain/>
      <paraID>6B0E5FEA</paraID>
      <start>36</start>
      <end>37</end>
      <status>unmodified</status>
      <modifiedWord/>
      <trackRevisions>false</trackRevisions>
    </reviewItem>
    <reviewItem>
      <errorID>17bbcb47-e58f-4209-9d77-f748af69466e</errorID>
      <errorWord>市政服办</errorWord>
      <group>L1_Knowledge</group>
      <groupName>知识性问题</groupName>
      <ability>L2_Organization</ability>
      <abilityName>机构检查</abilityName>
      <candidateList>
        <item>市政务服务办</item>
      </candidateList>
      <explain>机关单位全简称表述错误</explain>
      <paraID>6917553C</paraID>
      <start>84</start>
      <end>88</end>
      <status>unmodified</status>
      <modifiedWord/>
      <trackRevisions>false</trackRevisions>
    </reviewItem>
    <reviewItem>
      <errorID>e6630d8b-d0cf-459c-aa21-8b3b05ef02a9</errorID>
      <errorWord>年</errorWord>
      <group>L1_Word</group>
      <groupName>字词问题</groupName>
      <ability>L2_Typo</ability>
      <abilityName>字词错误</abilityName>
      <candidateList>
        <item>年来</item>
      </candidateList>
      <explain/>
      <paraID>66D57DE9</paraID>
      <start>32</start>
      <end>33</end>
      <status>unmodified</status>
      <modifiedWord/>
      <trackRevisions>false</trackRevisions>
    </reviewItem>
    <reviewItem>
      <errorID>adb1a9a2-6cec-42ec-a7ef-829a520da3dd</errorID>
      <errorWord>及</errorWord>
      <group>L1_Word</group>
      <groupName>字词问题</groupName>
      <ability>L2_Typo</ability>
      <abilityName>字词错误</abilityName>
      <candidateList>
        <item>及与</item>
      </candidateList>
      <explain/>
      <paraID>5B922312</paraID>
      <start>58</start>
      <end>59</end>
      <status>unmodified</status>
      <modifiedWord/>
      <trackRevisions>false</trackRevisions>
    </reviewItem>
    <reviewItem>
      <errorID>6166de42-f1d6-4357-ad74-77b7d0e408e0</errorID>
      <errorWord>:</errorWord>
      <group>L1_Format</group>
      <groupName>格式问题</groupName>
      <ability>L2_HalfPunc</ability>
      <abilityName>全半角检查</abilityName>
      <candidateList>
        <item>：</item>
      </candidateList>
      <explain>文本全半角错误。</explain>
      <paraID>6819A0C5</paraID>
      <start>8</start>
      <end>9</end>
      <status>unmodified</status>
      <modifiedWord/>
      <trackRevisions>false</trackRevisions>
    </reviewItem>
    <reviewItem>
      <errorID>7d668dbb-ceec-4254-a3ee-597d63ab3b7e</errorID>
      <errorWord>:</errorWord>
      <group>L1_Format</group>
      <groupName>格式问题</groupName>
      <ability>L2_HalfPunc</ability>
      <abilityName>全半角检查</abilityName>
      <candidateList>
        <item>：</item>
      </candidateList>
      <explain>文本全半角错误。</explain>
      <paraID>2610AEF9</paraID>
      <start>8</start>
      <end>9</end>
      <status>unmodified</status>
      <modifiedWord/>
      <trackRevisions>false</trackRevisions>
    </reviewItem>
    <reviewItem>
      <errorID>4c2cb926-b838-4b86-a7ff-fc6f5c1a1f92</errorID>
      <errorWord>市政服办</errorWord>
      <group>L1_Knowledge</group>
      <groupName>知识性问题</groupName>
      <ability>L2_Organization</ability>
      <abilityName>机构检查</abilityName>
      <candidateList>
        <item>市政务服务办</item>
      </candidateList>
      <explain>机关单位全简称表述错误</explain>
      <paraID>50EBCABB</paraID>
      <start>90</start>
      <end>94</end>
      <status>unmodified</status>
      <modifiedWord/>
      <trackRevisions>false</trackRevisions>
    </reviewItem>
    <reviewItem>
      <errorID>806f8eb9-05b1-4cad-bbf0-bd67f7520687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15</start>
      <end>18</end>
      <status>unmodified</status>
      <modifiedWord/>
      <trackRevisions>false</trackRevisions>
    </reviewItem>
    <reviewItem>
      <errorID>152cd7e0-cedb-4f6c-9752-a7e9d714af0f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34</start>
      <end>37</end>
      <status>unmodified</status>
      <modifiedWord/>
      <trackRevisions>false</trackRevisions>
    </reviewItem>
    <reviewItem>
      <errorID>261e1822-bb26-4cb0-893b-22599a311133</errorID>
      <errorWord>浙江省招标投标条例</errorWord>
      <group>L1_Knowledge</group>
      <groupName>知识性问题</groupName>
      <ability>L2_Knowledge</ability>
      <abilityName>其他知识</abilityName>
      <candidateList/>
      <explain>该法规已废止，请注意检查引用是否正确。</explain>
      <paraID>6A9A5E6E</paraID>
      <start>37</start>
      <end>46</end>
      <status>unmodified</status>
      <modifiedWord/>
      <trackRevisions>false</trackRevisions>
    </reviewItem>
    <reviewItem>
      <errorID>4643a600-8066-46b1-ada0-4354f503bf8c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46</start>
      <end>49</end>
      <status>unmodified</status>
      <modifiedWord/>
      <trackRevisions>false</trackRevisions>
    </reviewItem>
    <reviewItem>
      <errorID>8e8b717b-a815-41c3-a4e3-6fcce22b8784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63</start>
      <end>66</end>
      <status>unmodified</status>
      <modifiedWord/>
      <trackRevisions>false</trackRevisions>
    </reviewItem>
    <reviewItem>
      <errorID>d8f05314-57cb-4c84-9973-e10be75172fc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6A9A5E6E</paraID>
      <start>80</start>
      <end>83</end>
      <status>unmodified</status>
      <modifiedWord/>
      <trackRevisions>false</trackRevisions>
    </reviewItem>
    <reviewItem>
      <errorID>41f2f8e4-4862-4263-a2a3-d486781fd904</errorID>
      <errorWord>法律、法规</errorWord>
      <group>L1_Word</group>
      <groupName>字词问题</groupName>
      <ability>L2_Typo</ability>
      <abilityName>字词错误</abilityName>
      <candidateList>
        <item>法律法规</item>
      </candidateList>
      <explain/>
      <paraID>6FDADBB8</paraID>
      <start>24</start>
      <end>29</end>
      <status>unmodified</status>
      <modifiedWord/>
      <trackRevisions>false</trackRevisions>
    </reviewItem>
    <reviewItem>
      <errorID>b3401f94-d016-450d-99bf-5af13833b5fe</errorID>
      <errorWord>做出</errorWord>
      <group>L1_Word</group>
      <groupName>字词问题</groupName>
      <ability>L2_Typo</ability>
      <abilityName>字词错误</abilityName>
      <candidateList>
        <item>作出</item>
      </candidateList>
      <explain/>
      <paraID>42631F94</paraID>
      <start>11</start>
      <end>13</end>
      <status>unmodified</status>
      <modifiedWord/>
      <trackRevisions>false</trackRevisions>
    </reviewItem>
    <reviewItem>
      <errorID>df8bc00a-0f2e-4e97-a7f8-8d395220409b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2752BA18</paraID>
      <start>15</start>
      <end>18</end>
      <status>unmodified</status>
      <modifiedWord/>
      <trackRevisions>false</trackRevisions>
    </reviewItem>
    <reviewItem>
      <errorID>67015991-b5b9-407e-9e18-73f3bd564c38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2752BA18</paraID>
      <start>34</start>
      <end>37</end>
      <status>unmodified</status>
      <modifiedWord/>
      <trackRevisions>false</trackRevisions>
    </reviewItem>
    <reviewItem>
      <errorID>4bda03f1-7c17-4eb4-8026-67dcc955eeb8</errorID>
      <errorWord>浙江省招标投标条例</errorWord>
      <group>L1_Knowledge</group>
      <groupName>知识性问题</groupName>
      <ability>L2_Knowledge</ability>
      <abilityName>其他知识</abilityName>
      <candidateList/>
      <explain>该法规已废止，请注意检查引用是否正确。</explain>
      <paraID>2752BA18</paraID>
      <start>37</start>
      <end>46</end>
      <status>unmodified</status>
      <modifiedWord/>
      <trackRevisions>false</trackRevisions>
    </reviewItem>
    <reviewItem>
      <errorID>94ef4de5-b7b4-4def-a445-9905b163811b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2752BA18</paraID>
      <start>46</start>
      <end>49</end>
      <status>unmodified</status>
      <modifiedWord/>
      <trackRevisions>false</trackRevisions>
    </reviewItem>
    <reviewItem>
      <errorID>2a2204fc-35d6-4c0b-8b0c-8ab7bf7c4cba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2752BA18</paraID>
      <start>63</start>
      <end>66</end>
      <status>unmodified</status>
      <modifiedWord/>
      <trackRevisions>false</trackRevisions>
    </reviewItem>
    <reviewItem>
      <errorID>be19861f-ee6b-43b8-a406-4c879ed07f24</errorID>
      <errorWord>法律、法规</errorWord>
      <group>L1_Word</group>
      <groupName>字词问题</groupName>
      <ability>L2_Typo</ability>
      <abilityName>字词错误</abilityName>
      <candidateList>
        <item>法律法规</item>
      </candidateList>
      <explain/>
      <paraID>65C9AD96</paraID>
      <start>24</start>
      <end>29</end>
      <status>unmodified</status>
      <modifiedWord/>
      <trackRevisions>false</trackRevisions>
    </reviewItem>
    <reviewItem>
      <errorID>ca7e6d47-880a-467b-bba3-ff7867199d53</errorID>
      <errorWord>做出</errorWord>
      <group>L1_Word</group>
      <groupName>字词问题</groupName>
      <ability>L2_Typo</ability>
      <abilityName>字词错误</abilityName>
      <candidateList>
        <item>作出</item>
      </candidateList>
      <explain/>
      <paraID> 2637BED</paraID>
      <start>11</start>
      <end>13</end>
      <status>unmodified</status>
      <modifiedWord/>
      <trackRevisions>false</trackRevisions>
    </reviewItem>
    <reviewItem>
      <errorID>a10db0b9-0366-4a90-91af-6b7631a74904</errorID>
      <errorWord>文件的</errorWord>
      <group>L1_Word</group>
      <groupName>字词问题</groupName>
      <ability>L2_Typo</ability>
      <abilityName>字词错误</abilityName>
      <candidateList>
        <item>文件</item>
      </candidateList>
      <explain/>
      <paraID> 197077B</paraID>
      <start>15</start>
      <end>18</end>
      <status>unmodified</status>
      <modifiedWord/>
      <trackRevisions>false</trackRevisions>
    </reviewItem>
    <reviewItem>
      <errorID>690c9e3f-19bc-4318-a1fb-7341d8330eba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1D8D9D33</paraID>
      <start>52</start>
      <end>53</end>
      <status>unmodified</status>
      <modifiedWord/>
      <trackRevisions>false</trackRevisions>
    </reviewItem>
    <reviewItem>
      <errorID>b0d8805e-6a04-4665-a864-1da1227301c4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1D8D9D33</paraID>
      <start>61</start>
      <end>62</end>
      <status>unmodified</status>
      <modifiedWord/>
      <trackRevisions>false</trackRevisions>
    </reviewItem>
    <reviewItem>
      <errorID>cae29f38-aec0-4f70-ad94-d5f583db3027</errorID>
      <errorWord>效</errorWord>
      <group>L1_Word</group>
      <groupName>字词问题</groupName>
      <ability>L2_Typo</ability>
      <abilityName>字词错误</abilityName>
      <candidateList>
        <item>效投</item>
      </candidateList>
      <explain/>
      <paraID> C5C7DFC</paraID>
      <start>87</start>
      <end>88</end>
      <status>unmodified</status>
      <modifiedWord/>
      <trackRevisions>false</trackRevisions>
    </reviewItem>
    <reviewItem>
      <errorID>78f19f21-8c14-49da-aaf6-1ffb5cca630d</errorID>
      <errorWord>效</errorWord>
      <group>L1_Word</group>
      <groupName>字词问题</groupName>
      <ability>L2_Typo</ability>
      <abilityName>字词错误</abilityName>
      <candidateList>
        <item>效投</item>
      </candidateList>
      <explain/>
      <paraID>7CA38BC8</paraID>
      <start>80</start>
      <end>81</end>
      <status>unmodified</status>
      <modifiedWord/>
      <trackRevisions>false</trackRevisions>
    </reviewItem>
    <reviewItem>
      <errorID>de539e73-9fda-4cc7-a809-6b052b79003d</errorID>
      <errorWord>效</errorWord>
      <group>L1_Word</group>
      <groupName>字词问题</groupName>
      <ability>L2_Typo</ability>
      <abilityName>字词错误</abilityName>
      <candidateList>
        <item>效投</item>
      </candidateList>
      <explain/>
      <paraID> EA1DC3A</paraID>
      <start>82</start>
      <end>83</end>
      <status>unmodified</status>
      <modifiedWord/>
      <trackRevisions>false</trackRevisions>
    </reviewItem>
    <reviewItem>
      <errorID>5dfe9527-69f9-4646-8040-c8f18cce9199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1C34CAF1</paraID>
      <start>18</start>
      <end>19</end>
      <status>unmodified</status>
      <modifiedWord/>
      <trackRevisions>false</trackRevisions>
    </reviewItem>
    <reviewItem>
      <errorID>15884ca2-2a55-4ac4-8e78-a86245da7406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382421BC</paraID>
      <start>1</start>
      <end>2</end>
      <status>unmodified</status>
      <modifiedWord/>
      <trackRevisions>false</trackRevisions>
    </reviewItem>
    <reviewItem>
      <errorID>004c378c-f0fb-4f7d-8472-e986d6eb0b00</errorID>
      <errorWord>0%-10%</errorWord>
      <group>L1_Knowledge</group>
      <groupName>知识性问题</groupName>
      <ability>L2_Knowledge</ability>
      <abilityName>其他知识</abilityName>
      <candidateList>
        <item>0%—10%</item>
      </candidateList>
      <explain>1. “0%-10%”中的单位“%”仅出现在后一个数字上，容易引起歧义；根据《现代汉语标点符号数字用法规范手册》，数字表示范围两边需要使用统一的格式。2. 根据标点国标 4.13 中的规则，数字、时间或地域连接符应使用（视觉上更长的）“—”或“～”。</explain>
      <paraID>786E04A0</paraID>
      <start>62</start>
      <end>68</end>
      <status>unmodified</status>
      <modifiedWord/>
      <trackRevisions>false</trackRevisions>
    </reviewItem>
    <reviewItem>
      <errorID>c36e4e5f-3631-44f0-bc61-a0ab1724efc0</errorID>
      <errorWord>(</errorWord>
      <group>L1_Format</group>
      <groupName>格式问题</groupName>
      <ability>L2_HalfPunc</ability>
      <abilityName>全半角检查</abilityName>
      <candidateList>
        <item>（</item>
      </candidateList>
      <explain>文本全半角错误。</explain>
      <paraID>5BB9F750</paraID>
      <start>12</start>
      <end>13</end>
      <status>unmodified</status>
      <modifiedWord/>
      <trackRevisions>false</trackRevisions>
    </reviewItem>
    <reviewItem>
      <errorID>7feff470-2b5c-45c4-898b-66747837f54e</errorID>
      <errorWord>接受</errorWord>
      <group>L1_Word</group>
      <groupName>字词问题</groupName>
      <ability>L2_Typo</ability>
      <abilityName>字词错误</abilityName>
      <candidateList>
        <item>接收</item>
      </candidateList>
      <explain>存在发音相同字词的误用。</explain>
      <paraID>484FE8B5</paraID>
      <start>42</start>
      <end>44</end>
      <status>unmodified</status>
      <modifiedWord/>
      <trackRevisions>false</trackRevisions>
    </reviewItem>
    <reviewItem>
      <errorID>585481c8-ce91-4cd2-a73d-3e864d931fc2</errorID>
      <errorWord>位</errorWord>
      <group>L1_Word</group>
      <groupName>字词问题</groupName>
      <ability>L2_Typo</ability>
      <abilityName>字词错误</abilityName>
      <candidateList>
        <item>位公</item>
      </candidateList>
      <explain/>
      <paraID>15532EC2</paraID>
      <start>75</start>
      <end>76</end>
      <status>unmodified</status>
      <modifiedWord/>
      <trackRevisions>false</trackRevisions>
    </reviewItem>
    <reviewItem>
      <errorID>c07ad698-a000-4b69-b195-b7d2531e0a58</errorID>
      <errorWord>自负</errorWord>
      <group>L1_Word</group>
      <groupName>字词问题</groupName>
      <ability>L2_Typo</ability>
      <abilityName>字词错误</abilityName>
      <candidateList>
        <item>自付</item>
      </candidateList>
      <explain/>
      <paraID>50393D2D</paraID>
      <start>67</start>
      <end>69</end>
      <status>unmodified</status>
      <modifiedWord/>
      <trackRevisions>false</trackRevisions>
    </reviewItem>
    <reviewItem>
      <errorID>c4ffc228-d9ce-4ebe-b0b0-9fb0114a8439</errorID>
      <errorWord>自负</errorWord>
      <group>L1_Word</group>
      <groupName>字词问题</groupName>
      <ability>L2_Typo</ability>
      <abilityName>字词错误</abilityName>
      <candidateList>
        <item>自付</item>
      </candidateList>
      <explain/>
      <paraID>51EA6BFB</paraID>
      <start>28</start>
      <end>30</end>
      <status>unmodified</status>
      <modifiedWord/>
      <trackRevisions>false</trackRevisions>
    </reviewItem>
    <reviewItem>
      <errorID>1d6f9159-3cec-4d7e-9418-7de0355ae441</errorID>
      <errorWord>是由于买方原因造成的</errorWord>
      <group>L1_Grammar</group>
      <groupName>语法问题</groupName>
      <ability>L2_Grammar</ability>
      <abilityName>语法错误</abilityName>
      <candidateList>
        <item>是由于买方原因</item>
      </candidateList>
      <explain/>
      <paraID>51EA6BFB</paraID>
      <start>111</start>
      <end>121</end>
      <status>unmodified</status>
      <modifiedWord/>
      <trackRevisions>false</trackRevisions>
    </reviewItem>
    <reviewItem>
      <errorID>a333178a-ae63-4b4c-af81-9efd5a299408</errorID>
      <errorWord>自负</errorWord>
      <group>L1_Word</group>
      <groupName>字词问题</groupName>
      <ability>L2_Typo</ability>
      <abilityName>字词错误</abilityName>
      <candidateList>
        <item>自付</item>
      </candidateList>
      <explain/>
      <paraID>266D3D03</paraID>
      <start>70</start>
      <end>72</end>
      <status>unmodified</status>
      <modifiedWord/>
      <trackRevisions>false</trackRevisions>
    </reviewItem>
    <reviewItem>
      <errorID>7af60611-8fd7-4f81-83cf-a15bc84621f4</errorID>
      <errorWord>接受</errorWord>
      <group>L1_Word</group>
      <groupName>字词问题</groupName>
      <ability>L2_Typo</ability>
      <abilityName>字词错误</abilityName>
      <candidateList>
        <item>接收</item>
      </candidateList>
      <explain>存在发音相同字词的误用。</explain>
      <paraID>54743017</paraID>
      <start>3</start>
      <end>5</end>
      <status>unmodified</status>
      <modifiedWord/>
      <trackRevisions>false</trackRevisions>
    </reviewItem>
    <reviewItem>
      <errorID>982d9248-8ca4-44a5-aec9-f9c925116f8a</errorID>
      <errorWord>（</errorWord>
      <group>L1_Punc</group>
      <groupName>标点问题</groupName>
      <ability>L2_Punc</ability>
      <abilityName>标点符号检查</abilityName>
      <candidateList/>
      <explain>同一形式括号套用。</explain>
      <paraID>4520EF1A</paraID>
      <start>41</start>
      <end>42</end>
      <status>unmodified</status>
      <modifiedWord/>
      <trackRevisions>false</trackRevisions>
    </reviewItem>
    <reviewItem>
      <errorID>cbd77dd8-e0ed-49d4-a75a-dd422691d01b</errorID>
      <errorWord>）</errorWord>
      <group>L1_Punc</group>
      <groupName>标点问题</groupName>
      <ability>L2_Punc</ability>
      <abilityName>标点符号检查</abilityName>
      <candidateList/>
      <explain>同一形式括号套用。</explain>
      <paraID>4520EF1A</paraID>
      <start>44</start>
      <end>45</end>
      <status>unmodified</status>
      <modifiedWord/>
      <trackRevisions>false</trackRevisions>
    </reviewItem>
    <reviewItem>
      <errorID>7189481f-ff88-4eb8-9653-75c37fd6ab90</errorID>
      <errorWord>留</errorWord>
      <group>L1_Word</group>
      <groupName>字词问题</groupName>
      <ability>L2_Typo</ability>
      <abilityName>字词错误</abilityName>
      <candidateList>
        <item>留在</item>
      </candidateList>
      <explain/>
      <paraID>2639BC9A</paraID>
      <start>6</start>
      <end>7</end>
      <status>unmodified</status>
      <modifiedWord/>
      <trackRevisions>false</trackRevisions>
    </reviewItem>
    <reviewItem>
      <errorID>24cdca95-e60b-496f-98c9-532e51c86f4e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46E57F</paraID>
      <start>8</start>
      <end>11</end>
      <status>unmodified</status>
      <modifiedWord/>
      <trackRevisions>false</trackRevisions>
    </reviewItem>
    <reviewItem>
      <errorID>069a46ce-b2d2-42e0-aff9-98af1e7142c2</errorID>
      <errorWord>，</errorWord>
      <group>L1_Word</group>
      <groupName>字词问题</groupName>
      <ability>L2_Typo</ability>
      <abilityName>字词错误</abilityName>
      <candidateList>
        <item>，并</item>
      </candidateList>
      <explain/>
      <paraID>14ABC663</paraID>
      <start>157</start>
      <end>158</end>
      <status>unmodified</status>
      <modifiedWord/>
      <trackRevisions>false</trackRevisions>
    </reviewItem>
    <reviewItem>
      <errorID>be2cecbc-ff7d-4863-9bf9-ac68292b2467</errorID>
      <errorWord>所有的</errorWord>
      <group>L1_Word</group>
      <groupName>字词问题</groupName>
      <ability>L2_Typo</ability>
      <abilityName>字词错误</abilityName>
      <candidateList>
        <item>所有</item>
      </candidateList>
      <explain/>
      <paraID>639548FA</paraID>
      <start>0</start>
      <end>3</end>
      <status>unmodified</status>
      <modifiedWord/>
      <trackRevisions>false</trackRevisions>
    </reviewItem>
    <reviewItem>
      <errorID>9fd94ce9-8389-4bdc-bfaa-5f3e6201b989</errorID>
      <errorWord>二个</errorWord>
      <group>L1_Word</group>
      <groupName>字词问题</groupName>
      <ability>L2_Typo</ability>
      <abilityName>字词错误</abilityName>
      <candidateList>
        <item>两个</item>
      </candidateList>
      <explain/>
      <paraID>32D640E3</paraID>
      <start>36</start>
      <end>38</end>
      <status>unmodified</status>
      <modifiedWord/>
      <trackRevisions>false</trackRevisions>
    </reviewItem>
    <reviewItem>
      <errorID>50dc4430-ef7f-461c-9f5b-96e8d2e501d5</errorID>
      <errorWord>二个</errorWord>
      <group>L1_Word</group>
      <groupName>字词问题</groupName>
      <ability>L2_Typo</ability>
      <abilityName>字词错误</abilityName>
      <candidateList>
        <item>两个</item>
      </candidateList>
      <explain/>
      <paraID>7082DE1C</paraID>
      <start>18</start>
      <end>20</end>
      <status>unmodified</status>
      <modifiedWord/>
      <trackRevisions>false</trackRevisions>
    </reviewItem>
    <reviewItem>
      <errorID>ee99c962-619b-4d85-ad76-7aad6f1aae77</errorID>
      <errorWord>现场在</errorWord>
      <group>L1_Word</group>
      <groupName>字词问题</groupName>
      <ability>L2_Typo</ability>
      <abilityName>字词错误</abilityName>
      <candidateList>
        <item>现场</item>
      </candidateList>
      <explain/>
      <paraID>23D5ADC3</paraID>
      <start>97</start>
      <end>100</end>
      <status>unmodified</status>
      <modifiedWord/>
      <trackRevisions>false</trackRevisions>
    </reviewItem>
    <reviewItem>
      <errorID>6a69f628-cba5-4267-b3d6-d245ebdfdec3</errorID>
      <errorWord>以及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38A20CF8</paraID>
      <start>15</start>
      <end>17</end>
      <status>unmodified</status>
      <modifiedWord/>
      <trackRevisions>false</trackRevisions>
    </reviewItem>
    <reviewItem>
      <errorID>b199f24a-e79f-44c4-9d57-41dc5e9e7d6c</errorID>
      <errorWord>做出</errorWord>
      <group>L1_Word</group>
      <groupName>字词问题</groupName>
      <ability>L2_Typo</ability>
      <abilityName>字词错误</abilityName>
      <candidateList>
        <item>作出</item>
      </candidateList>
      <explain/>
      <paraID>38A20CF8</paraID>
      <start>63</start>
      <end>65</end>
      <status>unmodified</status>
      <modifiedWord/>
      <trackRevisions>false</trackRevisions>
    </reviewItem>
    <reviewItem>
      <errorID>75b2dd6a-0dda-4f76-8029-44105b782583</errorID>
      <errorWord>提出质疑</errorWord>
      <group>L1_Grammar</group>
      <groupName>语法问题</groupName>
      <ability>L2_Grammar</ability>
      <abilityName>语法错误</abilityName>
      <candidateList>
        <item>质疑</item>
      </candidateList>
      <explain>〈动〉提出疑问：～问难。</explain>
      <paraID>512F0BDF</paraID>
      <start>72</start>
      <end>76</end>
      <status>unmodified</status>
      <modifiedWord/>
      <trackRevisions>false</trackRevisions>
    </reviewItem>
    <reviewItem>
      <errorID>fdac24b0-5df7-4346-917a-45464cbb4ddb</errorID>
      <errorWord>项目项目</errorWord>
      <group>L1_Word</group>
      <groupName>字词问题</groupName>
      <ability>L2_Typo</ability>
      <abilityName>字词错误</abilityName>
      <candidateList>
        <item>项目</item>
      </candidateList>
      <explain>〈名〉事物分成的门类：服务～｜体育～｜建设～。</explain>
      <paraID>5141CD9F</paraID>
      <start>20</start>
      <end>24</end>
      <status>unmodified</status>
      <modifiedWord/>
      <trackRevisions>false</trackRevisions>
    </reviewItem>
    <reviewItem>
      <errorID>21e41bef-27e4-4afc-a02e-edc72fc4e548</errorID>
      <errorWord>并具</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3F7DB36F</paraID>
      <start>93</start>
      <end>95</end>
      <status>unmodified</status>
      <modifiedWord/>
      <trackRevisions>false</trackRevisions>
    </reviewItem>
    <reviewItem>
      <errorID>0e283652-060a-4944-a869-cbf762111378</errorID>
      <errorWord>工作的</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 90D9525</paraID>
      <start>8</start>
      <end>11</end>
      <status>unmodified</status>
      <modifiedWord/>
      <trackRevisions>false</trackRevisions>
    </reviewItem>
    <reviewItem>
      <errorID>b3e5b535-db7b-4464-954a-214fdc5db131</errorID>
      <errorWord>(</errorWord>
      <group>L1_Format</group>
      <groupName>格式问题</groupName>
      <ability>L2_HalfPunc</ability>
      <abilityName>全半角检查</abilityName>
      <candidateList>
        <item>（</item>
      </candidateList>
      <explain>文本全半角错误。</explain>
      <paraID>65CE32EC</paraID>
      <start>1</start>
      <end>2</end>
      <status>unmodified</status>
      <modifiedWord/>
      <trackRevisions>false</trackRevisions>
    </reviewItem>
    <reviewItem>
      <errorID>ecab5e47-2a72-432e-b053-7fe80d66d35b</errorID>
      <errorWord>(</errorWord>
      <group>L1_Format</group>
      <groupName>格式问题</groupName>
      <ability>L2_HalfPunc</ability>
      <abilityName>全半角检查</abilityName>
      <candidateList>
        <item>（</item>
      </candidateList>
      <explain>文本全半角错误。</explain>
      <paraID>252F1F0E</paraID>
      <start>1</start>
      <end>2</end>
      <status>unmodified</status>
      <modifiedWord/>
      <trackRevisions>false</trackRevisions>
    </reviewItem>
    <reviewItem>
      <errorID>329ef642-32ff-49ff-89d2-a683e0e52a34</errorID>
      <errorWord>(</errorWord>
      <group>L1_Format</group>
      <groupName>格式问题</groupName>
      <ability>L2_HalfPunc</ability>
      <abilityName>全半角检查</abilityName>
      <candidateList>
        <item>（</item>
      </candidateList>
      <explain>文本全半角错误。</explain>
      <paraID>454592F5</paraID>
      <start>1</start>
      <end>2</end>
      <status>unmodified</status>
      <modifiedWord/>
      <trackRevisions>false</trackRevisions>
    </reviewItem>
    <reviewItem>
      <errorID>70495c19-a672-4d1c-8ee5-e88a8d268500</errorID>
      <errorWord>(</errorWord>
      <group>L1_Format</group>
      <groupName>格式问题</groupName>
      <ability>L2_HalfPunc</ability>
      <abilityName>全半角检查</abilityName>
      <candidateList>
        <item>（</item>
      </candidateList>
      <explain>文本全半角错误。</explain>
      <paraID>289D16A9</paraID>
      <start>0</start>
      <end>1</end>
      <status>unmodified</status>
      <modifiedWord/>
      <trackRevisions>false</trackRevisions>
    </reviewItem>
    <reviewItem>
      <errorID>54e23853-d4b2-42d4-8f1c-bf90f3f167e2</errorID>
      <errorWord>(</errorWord>
      <group>L1_Format</group>
      <groupName>格式问题</groupName>
      <ability>L2_HalfPunc</ability>
      <abilityName>全半角检查</abilityName>
      <candidateList>
        <item>（</item>
      </candidateList>
      <explain>文本全半角错误。</explain>
      <paraID> BDAF9A2</paraID>
      <start>0</start>
      <end>1</end>
      <status>unmodified</status>
      <modifiedWord/>
      <trackRevisions>false</trackRevisions>
    </reviewItem>
    <reviewItem>
      <errorID>6ae8a375-31fd-46f2-b6fe-8c1c74db19da</errorID>
      <errorWord>(</errorWord>
      <group>L1_Format</group>
      <groupName>格式问题</groupName>
      <ability>L2_HalfPunc</ability>
      <abilityName>全半角检查</abilityName>
      <candidateList>
        <item>（</item>
      </candidateList>
      <explain>文本全半角错误。</explain>
      <paraID>67F15EC7</paraID>
      <start>1</start>
      <end>2</end>
      <status>unmodified</status>
      <modifiedWord/>
      <trackRevisions>false</trackRevisions>
    </reviewItem>
    <reviewItem>
      <errorID>9a1a00e0-2f24-49d0-8c24-c2299a7b8f01</errorID>
      <errorWord>(</errorWord>
      <group>L1_Format</group>
      <groupName>格式问题</groupName>
      <ability>L2_HalfPunc</ability>
      <abilityName>全半角检查</abilityName>
      <candidateList>
        <item>（</item>
      </candidateList>
      <explain>文本全半角错误。</explain>
      <paraID>3FB3647D</paraID>
      <start>0</start>
      <end>1</end>
      <status>unmodified</status>
      <modifiedWord/>
      <trackRevisions>false</trackRevisions>
    </reviewItem>
    <reviewItem>
      <errorID>73046ab9-48fc-4cb4-9650-411fd569db9e</errorID>
      <errorWord>(</errorWord>
      <group>L1_Format</group>
      <groupName>格式问题</groupName>
      <ability>L2_HalfPunc</ability>
      <abilityName>全半角检查</abilityName>
      <candidateList>
        <item>（</item>
      </candidateList>
      <explain>文本全半角错误。</explain>
      <paraID>1F97456D</paraID>
      <start>3</start>
      <end>4</end>
      <status>unmodified</status>
      <modifiedWord/>
      <trackRevisions>false</trackRevisions>
    </reviewItem>
    <reviewItem>
      <errorID>2da117e3-d48e-4348-9f7b-dcd05a0a275a</errorID>
      <errorWord>(</errorWord>
      <group>L1_Format</group>
      <groupName>格式问题</groupName>
      <ability>L2_HalfPunc</ability>
      <abilityName>全半角检查</abilityName>
      <candidateList>
        <item>（</item>
      </candidateList>
      <explain>文本全半角错误。</explain>
      <paraID>55CB7E9C</paraID>
      <start>2</start>
      <end>3</end>
      <status>unmodified</status>
      <modifiedWord/>
      <trackRevisions>false</trackRevisions>
    </reviewItem>
    <reviewItem>
      <errorID>4cd030e2-8da6-4e79-bcc8-ebabb09ad298</errorID>
      <errorWord>(</errorWord>
      <group>L1_Format</group>
      <groupName>格式问题</groupName>
      <ability>L2_HalfPunc</ability>
      <abilityName>全半角检查</abilityName>
      <candidateList>
        <item>（</item>
      </candidateList>
      <explain>文本全半角错误。</explain>
      <paraID>625CEE66</paraID>
      <start>1</start>
      <end>2</end>
      <status>unmodified</status>
      <modifiedWord/>
      <trackRevisions>false</trackRevisions>
    </reviewItem>
    <reviewItem>
      <errorID>abfc7f6d-fb7a-4744-9ed6-1e9f410a5af2</errorID>
      <errorWord>(</errorWord>
      <group>L1_Format</group>
      <groupName>格式问题</groupName>
      <ability>L2_HalfPunc</ability>
      <abilityName>全半角检查</abilityName>
      <candidateList>
        <item>（</item>
      </candidateList>
      <explain>文本全半角错误。</explain>
      <paraID> 85BE367</paraID>
      <start>0</start>
      <end>1</end>
      <status>unmodified</status>
      <modifiedWord/>
      <trackRevisions>false</trackRevisions>
    </reviewItem>
    <reviewItem>
      <errorID>fd355ad5-3e5b-4fcc-8ca6-7be87104e22e</errorID>
      <errorWord>(</errorWord>
      <group>L1_Format</group>
      <groupName>格式问题</groupName>
      <ability>L2_HalfPunc</ability>
      <abilityName>全半角检查</abilityName>
      <candidateList>
        <item>（</item>
      </candidateList>
      <explain>文本全半角错误。</explain>
      <paraID>23427EB2</paraID>
      <start>1</start>
      <end>2</end>
      <status>unmodified</status>
      <modifiedWord/>
      <trackRevisions>false</trackRevisions>
    </reviewItem>
    <reviewItem>
      <errorID>91f3d447-3a80-40aa-b08b-92ba54ad21a9</errorID>
      <errorWord>(</errorWord>
      <group>L1_Format</group>
      <groupName>格式问题</groupName>
      <ability>L2_HalfPunc</ability>
      <abilityName>全半角检查</abilityName>
      <candidateList>
        <item>（</item>
      </candidateList>
      <explain>文本全半角错误。</explain>
      <paraID> AF3D78C</paraID>
      <start>1</start>
      <end>2</end>
      <status>unmodified</status>
      <modifiedWord/>
      <trackRevisions>false</trackRevisions>
    </reviewItem>
    <reviewItem>
      <errorID>502c585c-8096-4f29-bf7d-54b3c3ae4ac3</errorID>
      <errorWord>(</errorWord>
      <group>L1_Format</group>
      <groupName>格式问题</groupName>
      <ability>L2_HalfPunc</ability>
      <abilityName>全半角检查</abilityName>
      <candidateList>
        <item>（</item>
      </candidateList>
      <explain>文本全半角错误。</explain>
      <paraID> 5164C9A</paraID>
      <start>1</start>
      <end>2</end>
      <status>unmodified</status>
      <modifiedWord/>
      <trackRevisions>false</trackRevisions>
    </reviewItem>
    <reviewItem>
      <errorID>01102f0e-b42b-4f89-a881-eacd62a5e893</errorID>
      <errorWord>(</errorWord>
      <group>L1_Format</group>
      <groupName>格式问题</groupName>
      <ability>L2_HalfPunc</ability>
      <abilityName>全半角检查</abilityName>
      <candidateList>
        <item>（</item>
      </candidateList>
      <explain>文本全半角错误。</explain>
      <paraID>6923DBDF</paraID>
      <start>1</start>
      <end>2</end>
      <status>unmodified</status>
      <modifiedWord/>
      <trackRevisions>false</trackRevisions>
    </reviewItem>
    <reviewItem>
      <errorID>fa30fd0f-df25-4c02-af28-51c1232270e2</errorID>
      <errorWord>(</errorWord>
      <group>L1_Format</group>
      <groupName>格式问题</groupName>
      <ability>L2_HalfPunc</ability>
      <abilityName>全半角检查</abilityName>
      <candidateList>
        <item>（</item>
      </candidateList>
      <explain>文本全半角错误。</explain>
      <paraID> FDFFB17</paraID>
      <start>1</start>
      <end>2</end>
      <status>unmodified</status>
      <modifiedWord/>
      <trackRevisions>false</trackRevisions>
    </reviewItem>
    <reviewItem>
      <errorID>6593b3ab-4951-44cf-bd8e-c37554156a82</errorID>
      <errorWord>(</errorWord>
      <group>L1_Format</group>
      <groupName>格式问题</groupName>
      <ability>L2_HalfPunc</ability>
      <abilityName>全半角检查</abilityName>
      <candidateList>
        <item>（</item>
      </candidateList>
      <explain>文本全半角错误。</explain>
      <paraID>6480025B</paraID>
      <start>1</start>
      <end>2</end>
      <status>unmodified</status>
      <modifiedWord/>
      <trackRevisions>false</trackRevisions>
    </reviewItem>
    <reviewItem>
      <errorID>03d78c54-2216-425f-9891-3c2ed818a76f</errorID>
      <errorWord>(</errorWord>
      <group>L1_Format</group>
      <groupName>格式问题</groupName>
      <ability>L2_HalfPunc</ability>
      <abilityName>全半角检查</abilityName>
      <candidateList>
        <item>（</item>
      </candidateList>
      <explain>文本全半角错误。</explain>
      <paraID>  6C6DA7</paraID>
      <start>1</start>
      <end>2</end>
      <status>unmodified</status>
      <modifiedWord/>
      <trackRevisions>false</trackRevisions>
    </reviewItem>
    <reviewItem>
      <errorID>e280fecf-4ca8-4239-858c-95158c62af0a</errorID>
      <errorWord>(</errorWord>
      <group>L1_Format</group>
      <groupName>格式问题</groupName>
      <ability>L2_HalfPunc</ability>
      <abilityName>全半角检查</abilityName>
      <candidateList>
        <item>（</item>
      </candidateList>
      <explain>文本全半角错误。</explain>
      <paraID>55B6771A</paraID>
      <start>1</start>
      <end>2</end>
      <status>unmodified</status>
      <modifiedWord/>
      <trackRevisions>false</trackRevisions>
    </reviewItem>
    <reviewItem>
      <errorID>8bb1f13e-bb97-42a8-8ef0-284e87d0e9a8</errorID>
      <errorWord>(</errorWord>
      <group>L1_Format</group>
      <groupName>格式问题</groupName>
      <ability>L2_HalfPunc</ability>
      <abilityName>全半角检查</abilityName>
      <candidateList>
        <item>（</item>
      </candidateList>
      <explain>文本全半角错误。</explain>
      <paraID>40051BE4</paraID>
      <start>46</start>
      <end>47</end>
      <status>unmodified</status>
      <modifiedWord/>
      <trackRevisions>false</trackRevisions>
    </reviewItem>
    <reviewItem>
      <errorID>9c0c667c-a2b9-494b-81fb-493c9a66dc5b</errorID>
      <errorWord>(</errorWord>
      <group>L1_Format</group>
      <groupName>格式问题</groupName>
      <ability>L2_HalfPunc</ability>
      <abilityName>全半角检查</abilityName>
      <candidateList>
        <item>（</item>
      </candidateList>
      <explain>文本全半角错误。</explain>
      <paraID>4FD78A61</paraID>
      <start>1</start>
      <end>2</end>
      <status>unmodified</status>
      <modifiedWord/>
      <trackRevisions>false</trackRevisions>
    </reviewItem>
    <reviewItem>
      <errorID>82697e8c-ecd4-4bca-95c9-a7ca82e613ec</errorID>
      <errorWord>(</errorWord>
      <group>L1_Format</group>
      <groupName>格式问题</groupName>
      <ability>L2_HalfPunc</ability>
      <abilityName>全半角检查</abilityName>
      <candidateList>
        <item>（</item>
      </candidateList>
      <explain>文本全半角错误。</explain>
      <paraID>2CDA2500</paraID>
      <start>1</start>
      <end>2</end>
      <status>unmodified</status>
      <modifiedWord/>
      <trackRevisions>false</trackRevisions>
    </reviewItem>
    <reviewItem>
      <errorID>edc5e6e0-83e6-448d-b92a-6b573bf4fe39</errorID>
      <errorWord>(</errorWord>
      <group>L1_Format</group>
      <groupName>格式问题</groupName>
      <ability>L2_HalfPunc</ability>
      <abilityName>全半角检查</abilityName>
      <candidateList>
        <item>（</item>
      </candidateList>
      <explain>文本全半角错误。</explain>
      <paraID> C7E31B4</paraID>
      <start>1</start>
      <end>2</end>
      <status>unmodified</status>
      <modifiedWord/>
      <trackRevisions>false</trackRevisions>
    </reviewItem>
    <reviewItem>
      <errorID>b20506d4-2335-4f7a-aef6-fb8690d57b52</errorID>
      <errorWord>(</errorWord>
      <group>L1_Format</group>
      <groupName>格式问题</groupName>
      <ability>L2_HalfPunc</ability>
      <abilityName>全半角检查</abilityName>
      <candidateList>
        <item>（</item>
      </candidateList>
      <explain>文本全半角错误。</explain>
      <paraID>440429C8</paraID>
      <start>1</start>
      <end>2</end>
      <status>unmodified</status>
      <modifiedWord/>
      <trackRevisions>false</trackRevisions>
    </reviewItem>
    <reviewItem>
      <errorID>a4ce4139-186a-4a11-b0c3-8167541588f7</errorID>
      <errorWord>(</errorWord>
      <group>L1_Format</group>
      <groupName>格式问题</groupName>
      <ability>L2_HalfPunc</ability>
      <abilityName>全半角检查</abilityName>
      <candidateList>
        <item>（</item>
      </candidateList>
      <explain>文本全半角错误。</explain>
      <paraID>  8D4DE3</paraID>
      <start>1</start>
      <end>2</end>
      <status>unmodified</status>
      <modifiedWord/>
      <trackRevisions>false</trackRevisions>
    </reviewItem>
    <reviewItem>
      <errorID>7a9a5cbd-4ddf-4e4f-b6bd-c16d23d23cd8</errorID>
      <errorWord>(</errorWord>
      <group>L1_Format</group>
      <groupName>格式问题</groupName>
      <ability>L2_HalfPunc</ability>
      <abilityName>全半角检查</abilityName>
      <candidateList>
        <item>（</item>
      </candidateList>
      <explain>文本全半角错误。</explain>
      <paraID>6A2C0879</paraID>
      <start>1</start>
      <end>2</end>
      <status>unmodified</status>
      <modifiedWord/>
      <trackRevisions>false</trackRevisions>
    </reviewItem>
    <reviewItem>
      <errorID>3cff18e0-c7f8-44a0-aac5-b011d508f103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1042A9CE</paraID>
      <start>15</start>
      <end>16</end>
      <status>unmodified</status>
      <modifiedWord/>
      <trackRevisions>false</trackRevisions>
    </reviewItem>
    <reviewItem>
      <errorID>29d93f87-013d-4902-8232-72ffd50817d1</errorID>
      <errorWord>JB</errorWord>
      <group>L1_Sensitive</group>
      <groupName>敏感问题</groupName>
      <ability>L2_Abuse</ability>
      <abilityName>侮辱言辞</abilityName>
      <candidateList/>
      <explain>【侮辱言辞】句中涉及侮辱性的敏感内容，请注意甄别。</explain>
      <paraID>7F3FD48B</paraID>
      <start>4</start>
      <end>6</end>
      <status>unmodified</status>
      <modifiedWord/>
      <trackRevisions>false</trackRevisions>
    </reviewItem>
    <reviewItem>
      <errorID>0a75487f-986b-4350-8107-0f23177d805f</errorID>
      <errorWord>表</errorWord>
      <group>L1_Word</group>
      <groupName>字词问题</groupName>
      <ability>L2_Typo</ability>
      <abilityName>字词错误</abilityName>
      <candidateList>
        <item>表人</item>
      </candidateList>
      <explain/>
      <paraID> F1204CF</paraID>
      <start>3</start>
      <end>4</end>
      <status>unmodified</status>
      <modifiedWord/>
      <trackRevisions>false</trackRevisions>
    </reviewItem>
    <reviewItem>
      <errorID>9c48c06d-a26b-4d68-b79d-28968b37f061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75ACEAD3</paraID>
      <start>22</start>
      <end>25</end>
      <status>unmodified</status>
      <modifiedWord/>
      <trackRevisions>false</trackRevisions>
    </reviewItem>
    <reviewItem>
      <errorID>86406165-256a-4ea0-8138-82a5d9b5f743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2A272C1</paraID>
      <start>0</start>
      <end>2</end>
      <status>unmodified</status>
      <modifiedWord/>
      <trackRevisions>false</trackRevisions>
    </reviewItem>
    <reviewItem>
      <errorID>a5069946-e171-4290-aa00-ffb3778b8f74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1A121D5</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e373d44-8163-4640-86e2-55ce5d8049b4}">
  <ds:schemaRefs/>
</ds:datastoreItem>
</file>

<file path=docProps/app.xml><?xml version="1.0" encoding="utf-8"?>
<Properties xmlns="http://schemas.openxmlformats.org/officeDocument/2006/extended-properties" xmlns:vt="http://schemas.openxmlformats.org/officeDocument/2006/docPropsVTypes">
  <Template>Normal.eit</Template>
  <Pages>112</Pages>
  <Words>5240</Words>
  <Characters>5863</Characters>
  <Lines>1</Lines>
  <Paragraphs>1</Paragraphs>
  <TotalTime>42</TotalTime>
  <ScaleCrop>false</ScaleCrop>
  <LinksUpToDate>false</LinksUpToDate>
  <CharactersWithSpaces>6028</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2024-10-21T06:57:00Z</dcterms:created>
  <dc:creator>微软系统</dc:creator>
  <cp:lastModifiedBy>WPS_1651590551</cp:lastModifiedBy>
  <cp:lastPrinted>2023-11-27T06:41:00Z</cp:lastPrinted>
  <dcterms:modified xsi:type="dcterms:W3CDTF">2026-05-22T08:30:34Z</dcterms:modified>
  <dc:title>（项目名称）         标段服务招标</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2023-06-16T16:00:00Z</vt:filetime>
  </property>
  <property fmtid="{D5CDD505-2E9C-101B-9397-08002B2CF9AE}" pid="4" name="KSOProductBuildVer">
    <vt:lpwstr>2052-12.1.0.26375</vt:lpwstr>
  </property>
  <property fmtid="{D5CDD505-2E9C-101B-9397-08002B2CF9AE}" pid="5" name="ICV">
    <vt:lpwstr>63D4733C9A57415DB4AB175128536E7A_13</vt:lpwstr>
  </property>
  <property fmtid="{D5CDD505-2E9C-101B-9397-08002B2CF9AE}" pid="6" name="KSOTemplateDocerSaveRecord">
    <vt:lpwstr>eyJoZGlkIjoiNmZmZTY4OGM1ZDY2NTYyNDQwNDhhMWZkMzc5OThiOTciLCJ1c2VySWQiOiIxMzcwODI5NzExIn0=</vt:lpwstr>
  </property>
</Properties>
</file>