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D537BA">
      <w:pPr>
        <w:pStyle w:val="20"/>
        <w:ind w:firstLine="210"/>
        <w:rPr>
          <w:i w:val="0"/>
          <w:iCs w:val="0"/>
          <w:color w:val="auto"/>
          <w:highlight w:val="none"/>
        </w:rPr>
      </w:pPr>
    </w:p>
    <w:p w14:paraId="1011A742">
      <w:pPr>
        <w:pStyle w:val="16"/>
        <w:ind w:left="2400"/>
        <w:rPr>
          <w:i w:val="0"/>
          <w:iCs w:val="0"/>
          <w:color w:val="auto"/>
          <w:highlight w:val="none"/>
        </w:rPr>
      </w:pPr>
    </w:p>
    <w:p w14:paraId="02784AB2">
      <w:pPr>
        <w:jc w:val="center"/>
        <w:rPr>
          <w:b/>
          <w:i w:val="0"/>
          <w:iCs w:val="0"/>
          <w:color w:val="auto"/>
          <w:sz w:val="44"/>
          <w:szCs w:val="44"/>
          <w:highlight w:val="none"/>
        </w:rPr>
      </w:pPr>
    </w:p>
    <w:p w14:paraId="65BD8893">
      <w:pPr>
        <w:pStyle w:val="14"/>
        <w:rPr>
          <w:rFonts w:hint="eastAsia"/>
          <w:i w:val="0"/>
          <w:iCs w:val="0"/>
          <w:color w:val="auto"/>
          <w:highlight w:val="none"/>
        </w:rPr>
      </w:pPr>
    </w:p>
    <w:p w14:paraId="3CCE30C8">
      <w:pPr>
        <w:jc w:val="center"/>
        <w:rPr>
          <w:b/>
          <w:i w:val="0"/>
          <w:iCs w:val="0"/>
          <w:color w:val="auto"/>
          <w:sz w:val="44"/>
          <w:szCs w:val="44"/>
          <w:highlight w:val="none"/>
        </w:rPr>
      </w:pPr>
    </w:p>
    <w:p w14:paraId="4ACEF582">
      <w:pPr>
        <w:jc w:val="center"/>
        <w:outlineLvl w:val="0"/>
        <w:rPr>
          <w:rFonts w:hint="eastAsia" w:ascii="方正小标宋简体" w:eastAsia="方正小标宋简体"/>
          <w:i w:val="0"/>
          <w:iCs w:val="0"/>
          <w:color w:val="auto"/>
          <w:sz w:val="48"/>
          <w:szCs w:val="48"/>
          <w:highlight w:val="none"/>
        </w:rPr>
      </w:pPr>
      <w:bookmarkStart w:id="0" w:name="_Toc25662"/>
      <w:r>
        <w:rPr>
          <w:rFonts w:hint="eastAsia" w:ascii="方正小标宋简体" w:hAnsi="宋体" w:eastAsia="方正小标宋简体"/>
          <w:i w:val="0"/>
          <w:iCs w:val="0"/>
          <w:color w:val="auto"/>
          <w:sz w:val="48"/>
          <w:szCs w:val="48"/>
          <w:highlight w:val="none"/>
        </w:rPr>
        <w:t>浙江省房屋建筑和市政基础设施</w:t>
      </w:r>
      <w:bookmarkEnd w:id="0"/>
    </w:p>
    <w:p w14:paraId="7235AEC7">
      <w:pPr>
        <w:jc w:val="center"/>
        <w:outlineLvl w:val="0"/>
        <w:rPr>
          <w:rFonts w:hint="eastAsia" w:ascii="方正小标宋简体" w:eastAsia="方正小标宋简体"/>
          <w:i w:val="0"/>
          <w:iCs w:val="0"/>
          <w:color w:val="auto"/>
          <w:sz w:val="48"/>
          <w:szCs w:val="48"/>
          <w:highlight w:val="none"/>
        </w:rPr>
      </w:pPr>
      <w:bookmarkStart w:id="1" w:name="_Toc4309"/>
      <w:r>
        <w:rPr>
          <w:rFonts w:hint="eastAsia" w:ascii="方正小标宋简体" w:hAnsi="宋体" w:eastAsia="方正小标宋简体"/>
          <w:i w:val="0"/>
          <w:iCs w:val="0"/>
          <w:color w:val="auto"/>
          <w:sz w:val="48"/>
          <w:szCs w:val="48"/>
          <w:highlight w:val="none"/>
        </w:rPr>
        <w:t>施工招标文件示范文本</w:t>
      </w:r>
      <w:bookmarkEnd w:id="1"/>
    </w:p>
    <w:p w14:paraId="04CF7EA0">
      <w:pPr>
        <w:jc w:val="center"/>
        <w:rPr>
          <w:rFonts w:hint="default" w:eastAsia="方正小标宋简体"/>
          <w:i w:val="0"/>
          <w:iCs w:val="0"/>
          <w:color w:val="auto"/>
          <w:sz w:val="48"/>
          <w:szCs w:val="48"/>
          <w:highlight w:val="none"/>
          <w:lang w:val="en-US" w:eastAsia="zh-CN"/>
        </w:rPr>
      </w:pPr>
      <w:r>
        <w:rPr>
          <w:rFonts w:eastAsia="方正小标宋简体"/>
          <w:b/>
          <w:bCs/>
          <w:i w:val="0"/>
          <w:iCs w:val="0"/>
          <w:color w:val="auto"/>
          <w:sz w:val="48"/>
          <w:szCs w:val="48"/>
          <w:highlight w:val="none"/>
        </w:rPr>
        <w:t>（2023版）-20241</w:t>
      </w:r>
      <w:r>
        <w:rPr>
          <w:rFonts w:hint="eastAsia" w:eastAsia="方正小标宋简体"/>
          <w:b/>
          <w:bCs/>
          <w:i w:val="0"/>
          <w:iCs w:val="0"/>
          <w:color w:val="auto"/>
          <w:sz w:val="48"/>
          <w:szCs w:val="48"/>
          <w:highlight w:val="none"/>
          <w:lang w:val="en-US" w:eastAsia="zh-CN"/>
        </w:rPr>
        <w:t>101</w:t>
      </w:r>
    </w:p>
    <w:p w14:paraId="73C93CE1">
      <w:pPr>
        <w:jc w:val="center"/>
        <w:rPr>
          <w:b/>
          <w:i w:val="0"/>
          <w:iCs w:val="0"/>
          <w:color w:val="auto"/>
          <w:sz w:val="48"/>
          <w:szCs w:val="48"/>
          <w:highlight w:val="none"/>
        </w:rPr>
      </w:pPr>
    </w:p>
    <w:p w14:paraId="00769824">
      <w:pPr>
        <w:jc w:val="center"/>
        <w:rPr>
          <w:b/>
          <w:i w:val="0"/>
          <w:iCs w:val="0"/>
          <w:color w:val="auto"/>
          <w:sz w:val="48"/>
          <w:szCs w:val="48"/>
          <w:highlight w:val="none"/>
        </w:rPr>
      </w:pPr>
    </w:p>
    <w:p w14:paraId="1A9ABE70">
      <w:pPr>
        <w:jc w:val="center"/>
        <w:rPr>
          <w:b/>
          <w:i w:val="0"/>
          <w:iCs w:val="0"/>
          <w:color w:val="auto"/>
          <w:sz w:val="48"/>
          <w:szCs w:val="48"/>
          <w:highlight w:val="none"/>
        </w:rPr>
      </w:pPr>
    </w:p>
    <w:p w14:paraId="3988F5EB">
      <w:pPr>
        <w:jc w:val="center"/>
        <w:rPr>
          <w:b/>
          <w:i w:val="0"/>
          <w:iCs w:val="0"/>
          <w:color w:val="auto"/>
          <w:sz w:val="48"/>
          <w:szCs w:val="48"/>
          <w:highlight w:val="none"/>
        </w:rPr>
      </w:pPr>
    </w:p>
    <w:p w14:paraId="082A4033">
      <w:pPr>
        <w:pStyle w:val="14"/>
        <w:rPr>
          <w:rFonts w:hint="eastAsia"/>
          <w:i w:val="0"/>
          <w:iCs w:val="0"/>
          <w:color w:val="auto"/>
          <w:highlight w:val="none"/>
        </w:rPr>
      </w:pPr>
    </w:p>
    <w:p w14:paraId="2C78DB59">
      <w:pPr>
        <w:rPr>
          <w:i w:val="0"/>
          <w:iCs w:val="0"/>
          <w:color w:val="auto"/>
          <w:highlight w:val="none"/>
        </w:rPr>
      </w:pPr>
    </w:p>
    <w:p w14:paraId="16EDC048">
      <w:pPr>
        <w:jc w:val="center"/>
        <w:rPr>
          <w:b/>
          <w:i w:val="0"/>
          <w:iCs w:val="0"/>
          <w:color w:val="auto"/>
          <w:sz w:val="48"/>
          <w:szCs w:val="48"/>
          <w:highlight w:val="none"/>
        </w:rPr>
      </w:pPr>
    </w:p>
    <w:p w14:paraId="1ACB738E">
      <w:pPr>
        <w:jc w:val="center"/>
        <w:rPr>
          <w:b/>
          <w:i w:val="0"/>
          <w:iCs w:val="0"/>
          <w:color w:val="auto"/>
          <w:sz w:val="48"/>
          <w:szCs w:val="48"/>
          <w:highlight w:val="none"/>
        </w:rPr>
      </w:pPr>
    </w:p>
    <w:p w14:paraId="6A8DBDDA">
      <w:pPr>
        <w:jc w:val="center"/>
        <w:rPr>
          <w:b/>
          <w:i w:val="0"/>
          <w:iCs w:val="0"/>
          <w:color w:val="auto"/>
          <w:sz w:val="48"/>
          <w:szCs w:val="48"/>
          <w:highlight w:val="none"/>
        </w:rPr>
      </w:pPr>
    </w:p>
    <w:p w14:paraId="5E913534">
      <w:pPr>
        <w:jc w:val="center"/>
        <w:rPr>
          <w:b/>
          <w:i w:val="0"/>
          <w:iCs w:val="0"/>
          <w:color w:val="auto"/>
          <w:sz w:val="48"/>
          <w:szCs w:val="48"/>
          <w:highlight w:val="none"/>
        </w:rPr>
      </w:pPr>
    </w:p>
    <w:p w14:paraId="51DF686D">
      <w:pPr>
        <w:pStyle w:val="14"/>
        <w:rPr>
          <w:rFonts w:hint="eastAsia" w:ascii="楷体_GB2312" w:hAnsi="宋体" w:eastAsia="楷体_GB2312"/>
          <w:b w:val="0"/>
          <w:i w:val="0"/>
          <w:iCs w:val="0"/>
          <w:color w:val="auto"/>
          <w:sz w:val="36"/>
          <w:szCs w:val="36"/>
          <w:highlight w:val="none"/>
        </w:rPr>
      </w:pPr>
      <w:r>
        <w:rPr>
          <w:rFonts w:hint="eastAsia" w:ascii="楷体_GB2312" w:hAnsi="宋体" w:eastAsia="楷体_GB2312"/>
          <w:b w:val="0"/>
          <w:i w:val="0"/>
          <w:iCs w:val="0"/>
          <w:color w:val="auto"/>
          <w:sz w:val="36"/>
          <w:szCs w:val="36"/>
          <w:highlight w:val="none"/>
        </w:rPr>
        <w:t>浙江省住房和城乡建设厅</w:t>
      </w:r>
    </w:p>
    <w:p w14:paraId="1F8FA4F8">
      <w:pPr>
        <w:pStyle w:val="14"/>
        <w:rPr>
          <w:rFonts w:hint="eastAsia" w:ascii="楷体_GB2312" w:eastAsia="楷体_GB2312"/>
          <w:b w:val="0"/>
          <w:i w:val="0"/>
          <w:iCs w:val="0"/>
          <w:color w:val="auto"/>
          <w:highlight w:val="none"/>
        </w:rPr>
      </w:pPr>
      <w:r>
        <w:rPr>
          <w:rFonts w:hint="eastAsia" w:ascii="楷体_GB2312" w:hAnsi="宋体" w:eastAsia="楷体_GB2312"/>
          <w:b w:val="0"/>
          <w:i w:val="0"/>
          <w:iCs w:val="0"/>
          <w:color w:val="auto"/>
          <w:sz w:val="36"/>
          <w:szCs w:val="36"/>
          <w:highlight w:val="none"/>
        </w:rPr>
        <w:t>浙江省发展和改革委员会</w:t>
      </w:r>
    </w:p>
    <w:p w14:paraId="0A7F6501">
      <w:pPr>
        <w:jc w:val="center"/>
        <w:rPr>
          <w:rFonts w:hint="eastAsia" w:ascii="楷体_GB2312" w:hAnsi="宋体" w:eastAsia="楷体_GB2312"/>
          <w:i w:val="0"/>
          <w:iCs w:val="0"/>
          <w:color w:val="auto"/>
          <w:sz w:val="36"/>
          <w:szCs w:val="36"/>
          <w:highlight w:val="none"/>
        </w:rPr>
      </w:pPr>
    </w:p>
    <w:p w14:paraId="6EEF5C64">
      <w:pPr>
        <w:jc w:val="center"/>
        <w:rPr>
          <w:rFonts w:eastAsia="楷体_GB2312"/>
          <w:i w:val="0"/>
          <w:iCs w:val="0"/>
          <w:color w:val="auto"/>
          <w:sz w:val="36"/>
          <w:szCs w:val="36"/>
          <w:highlight w:val="none"/>
        </w:rPr>
      </w:pPr>
      <w:r>
        <w:rPr>
          <w:rFonts w:eastAsia="楷体_GB2312"/>
          <w:i w:val="0"/>
          <w:iCs w:val="0"/>
          <w:color w:val="auto"/>
          <w:sz w:val="36"/>
          <w:szCs w:val="36"/>
          <w:highlight w:val="none"/>
        </w:rPr>
        <w:t>二O二</w:t>
      </w:r>
      <w:r>
        <w:rPr>
          <w:rFonts w:hint="eastAsia" w:eastAsia="楷体_GB2312"/>
          <w:i w:val="0"/>
          <w:iCs w:val="0"/>
          <w:color w:val="auto"/>
          <w:sz w:val="36"/>
          <w:szCs w:val="36"/>
          <w:highlight w:val="none"/>
        </w:rPr>
        <w:t>三</w:t>
      </w:r>
      <w:r>
        <w:rPr>
          <w:rFonts w:eastAsia="楷体_GB2312"/>
          <w:i w:val="0"/>
          <w:iCs w:val="0"/>
          <w:color w:val="auto"/>
          <w:sz w:val="36"/>
          <w:szCs w:val="36"/>
          <w:highlight w:val="none"/>
        </w:rPr>
        <w:t>年十二月</w:t>
      </w:r>
    </w:p>
    <w:p w14:paraId="1D39E94E">
      <w:pPr>
        <w:jc w:val="center"/>
        <w:rPr>
          <w:rFonts w:ascii="黑体" w:hAnsi="黑体" w:eastAsia="黑体"/>
          <w:i w:val="0"/>
          <w:iCs w:val="0"/>
          <w:color w:val="auto"/>
          <w:sz w:val="44"/>
          <w:szCs w:val="44"/>
          <w:highlight w:val="none"/>
        </w:rPr>
      </w:pPr>
      <w:r>
        <w:rPr>
          <w:b/>
          <w:i w:val="0"/>
          <w:iCs w:val="0"/>
          <w:color w:val="auto"/>
          <w:sz w:val="48"/>
          <w:szCs w:val="48"/>
          <w:highlight w:val="none"/>
        </w:rPr>
        <w:br w:type="page"/>
      </w:r>
      <w:bookmarkStart w:id="2" w:name="_Toc45697218"/>
      <w:bookmarkEnd w:id="2"/>
      <w:r>
        <w:rPr>
          <w:rFonts w:hint="eastAsia" w:ascii="黑体" w:hAnsi="黑体" w:eastAsia="黑体"/>
          <w:i w:val="0"/>
          <w:iCs w:val="0"/>
          <w:color w:val="auto"/>
          <w:sz w:val="44"/>
          <w:szCs w:val="44"/>
          <w:highlight w:val="none"/>
        </w:rPr>
        <w:t>使用指南</w:t>
      </w:r>
    </w:p>
    <w:p w14:paraId="2AF928D2">
      <w:pPr>
        <w:pStyle w:val="41"/>
        <w:numPr>
          <w:ilvl w:val="0"/>
          <w:numId w:val="1"/>
        </w:numPr>
        <w:spacing w:line="360" w:lineRule="auto"/>
        <w:ind w:left="0" w:firstLine="482"/>
        <w:jc w:val="left"/>
        <w:rPr>
          <w:rFonts w:ascii="宋体" w:hAnsi="宋体"/>
          <w:b/>
          <w:i w:val="0"/>
          <w:iCs w:val="0"/>
          <w:color w:val="auto"/>
          <w:kern w:val="0"/>
          <w:sz w:val="24"/>
          <w:szCs w:val="24"/>
          <w:highlight w:val="none"/>
        </w:rPr>
      </w:pPr>
      <w:bookmarkStart w:id="3" w:name="_Hlk25926924"/>
      <w:bookmarkEnd w:id="3"/>
      <w:r>
        <w:rPr>
          <w:rFonts w:hint="eastAsia" w:ascii="宋体" w:hAnsi="宋体"/>
          <w:b/>
          <w:i w:val="0"/>
          <w:iCs w:val="0"/>
          <w:color w:val="auto"/>
          <w:kern w:val="0"/>
          <w:sz w:val="24"/>
          <w:szCs w:val="24"/>
          <w:highlight w:val="none"/>
        </w:rPr>
        <w:t>总体要求</w:t>
      </w:r>
    </w:p>
    <w:p w14:paraId="06904970">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在绍兴市行政区域内依法必须招标的房屋建筑和市政基础设施工程施工招标采用资格后审的，招标人应使用本示范文本编制招标文件。</w:t>
      </w:r>
    </w:p>
    <w:p w14:paraId="3AD930BE">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有下划线和投标人须知前附表空白部分，由招标人根据招标项目实际情况和国家有关法律法规规定进行填写，文字应采用斜体字；确实不需要填写内容的，用“/”标示。</w:t>
      </w:r>
    </w:p>
    <w:p w14:paraId="1431F344">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除可选择部分、下划线空白部分由招标人根据以上两项进行选择或填写外，其他文字不得改动。</w:t>
      </w:r>
    </w:p>
    <w:p w14:paraId="17310C72">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采用公开招标方式的，在招标文件送有关行政监督部门备案前，招标人应在交易平台或省公共资源交易服务平台向社会公众公示不少于３日。</w:t>
      </w:r>
    </w:p>
    <w:p w14:paraId="059C56B7">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合同条款及格式的协议书、通用合同条款，同住房和城乡建设部、工商总局《建设工程施工合同（示范文本）》（GF-2017-0201）的对应部分，本示范文本不再誊抄。</w:t>
      </w:r>
    </w:p>
    <w:p w14:paraId="3436720A">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超过400万元的工程采购项目中适宜由中小企业提供的，招标人应依法依规预留该部分采购项目预算总额规定的比例专门面向中小企业采购。</w:t>
      </w:r>
    </w:p>
    <w:p w14:paraId="2A5833D0">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招标文件应由具备编制招标文件相应能力的专业人员（具有与招标项目规模和复杂程度相适应的技术、经济等方面的专业人员）撰写。</w:t>
      </w:r>
      <w:r>
        <w:rPr>
          <w:rFonts w:hAnsi="宋体"/>
          <w:i w:val="0"/>
          <w:iCs w:val="0"/>
          <w:color w:val="auto"/>
          <w:sz w:val="24"/>
          <w:szCs w:val="24"/>
          <w:highlight w:val="none"/>
        </w:rPr>
        <w:t>招标人宜选择信用评价等级较高的造价咨询企业、招标代理机构及其从业人员开展招标控制价编制、招标代理业务；招标人选用信用评价等级较低的，应向行政监督部门提交选用的说明；无省级信用评价标准的，具体标准由招投标主管部门确定。</w:t>
      </w:r>
      <w:r>
        <w:rPr>
          <w:rFonts w:hint="eastAsia" w:hAnsi="宋体"/>
          <w:i w:val="0"/>
          <w:iCs w:val="0"/>
          <w:color w:val="auto"/>
          <w:sz w:val="24"/>
          <w:szCs w:val="24"/>
          <w:highlight w:val="none"/>
        </w:rPr>
        <w:t>工</w:t>
      </w:r>
      <w:r>
        <w:rPr>
          <w:rFonts w:hAnsi="宋体"/>
          <w:i w:val="0"/>
          <w:iCs w:val="0"/>
          <w:color w:val="auto"/>
          <w:sz w:val="24"/>
          <w:szCs w:val="24"/>
          <w:highlight w:val="none"/>
        </w:rPr>
        <w:t>程项目招标应科学编制招标控制价，招标控制价中的各项费用组成应与招标文件中承包人所需承担的工作内容和范围相一致。</w:t>
      </w:r>
    </w:p>
    <w:p w14:paraId="2DF590C8">
      <w:pPr>
        <w:pStyle w:val="41"/>
        <w:numPr>
          <w:ilvl w:val="0"/>
          <w:numId w:val="2"/>
        </w:numPr>
        <w:spacing w:line="360" w:lineRule="auto"/>
        <w:ind w:left="0" w:firstLine="480"/>
        <w:jc w:val="left"/>
        <w:rPr>
          <w:rFonts w:ascii="宋体" w:hAnsi="宋体"/>
          <w:i w:val="0"/>
          <w:iCs w:val="0"/>
          <w:color w:val="auto"/>
          <w:sz w:val="24"/>
          <w:szCs w:val="24"/>
          <w:highlight w:val="none"/>
        </w:rPr>
      </w:pPr>
      <w:r>
        <w:rPr>
          <w:rFonts w:hAnsi="宋体"/>
          <w:i w:val="0"/>
          <w:iCs w:val="0"/>
          <w:color w:val="auto"/>
          <w:sz w:val="24"/>
          <w:szCs w:val="24"/>
          <w:highlight w:val="none"/>
        </w:rPr>
        <w:t>招标人不得将工程项目肢解发包、规避招标</w:t>
      </w:r>
      <w:r>
        <w:rPr>
          <w:rFonts w:hint="eastAsia" w:hAnsi="宋体"/>
          <w:i w:val="0"/>
          <w:iCs w:val="0"/>
          <w:color w:val="auto"/>
          <w:sz w:val="24"/>
          <w:szCs w:val="24"/>
          <w:highlight w:val="none"/>
        </w:rPr>
        <w:t>。</w:t>
      </w:r>
    </w:p>
    <w:p w14:paraId="2C5F1AA0">
      <w:pPr>
        <w:pStyle w:val="41"/>
        <w:numPr>
          <w:ilvl w:val="0"/>
          <w:numId w:val="2"/>
        </w:numPr>
        <w:spacing w:line="360" w:lineRule="auto"/>
        <w:ind w:left="0" w:firstLine="480"/>
        <w:jc w:val="left"/>
        <w:rPr>
          <w:rFonts w:ascii="宋体" w:hAnsi="宋体"/>
          <w:i w:val="0"/>
          <w:iCs w:val="0"/>
          <w:color w:val="auto"/>
          <w:sz w:val="24"/>
          <w:szCs w:val="24"/>
          <w:highlight w:val="none"/>
        </w:rPr>
      </w:pPr>
      <w:r>
        <w:rPr>
          <w:rFonts w:hAnsi="宋体"/>
          <w:i w:val="0"/>
          <w:iCs w:val="0"/>
          <w:color w:val="auto"/>
          <w:sz w:val="24"/>
          <w:szCs w:val="24"/>
          <w:highlight w:val="none"/>
        </w:rPr>
        <w:t>招标人应坚持充分竞争的原则，对潜在投标人的资质、业绩、人员执业资格等资格条件和资信标评审因素等招标要求的整体设置进行合理性预估，确保具备同等竞争条件的潜在投标人</w:t>
      </w:r>
      <w:r>
        <w:rPr>
          <w:rFonts w:hint="eastAsia" w:hAnsi="宋体"/>
          <w:i w:val="0"/>
          <w:iCs w:val="0"/>
          <w:color w:val="auto"/>
          <w:sz w:val="24"/>
          <w:szCs w:val="24"/>
          <w:highlight w:val="none"/>
        </w:rPr>
        <w:t>的</w:t>
      </w:r>
      <w:r>
        <w:rPr>
          <w:rFonts w:hAnsi="宋体"/>
          <w:i w:val="0"/>
          <w:iCs w:val="0"/>
          <w:color w:val="auto"/>
          <w:sz w:val="24"/>
          <w:szCs w:val="24"/>
          <w:highlight w:val="none"/>
        </w:rPr>
        <w:t>数量</w:t>
      </w:r>
      <w:r>
        <w:rPr>
          <w:rFonts w:hint="eastAsia" w:hAnsi="宋体"/>
          <w:i w:val="0"/>
          <w:iCs w:val="0"/>
          <w:color w:val="auto"/>
          <w:sz w:val="24"/>
          <w:szCs w:val="24"/>
          <w:highlight w:val="none"/>
        </w:rPr>
        <w:t>，保障项目招投标</w:t>
      </w:r>
      <w:r>
        <w:rPr>
          <w:rFonts w:hAnsi="宋体"/>
          <w:i w:val="0"/>
          <w:iCs w:val="0"/>
          <w:color w:val="auto"/>
          <w:sz w:val="24"/>
          <w:szCs w:val="24"/>
          <w:highlight w:val="none"/>
        </w:rPr>
        <w:t>具有</w:t>
      </w:r>
      <w:r>
        <w:rPr>
          <w:rFonts w:hint="eastAsia" w:hAnsi="宋体"/>
          <w:i w:val="0"/>
          <w:iCs w:val="0"/>
          <w:color w:val="auto"/>
          <w:sz w:val="24"/>
          <w:szCs w:val="24"/>
          <w:highlight w:val="none"/>
        </w:rPr>
        <w:t>充分</w:t>
      </w:r>
      <w:r>
        <w:rPr>
          <w:rFonts w:hAnsi="宋体"/>
          <w:i w:val="0"/>
          <w:iCs w:val="0"/>
          <w:color w:val="auto"/>
          <w:sz w:val="24"/>
          <w:szCs w:val="24"/>
          <w:highlight w:val="none"/>
        </w:rPr>
        <w:t>竞争性。</w:t>
      </w:r>
    </w:p>
    <w:p w14:paraId="70895698">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技术特别复杂或设计有特别要求的国有投资项目，经有关行业主管部门认定并取得有关行政监督部门同意后，可以实行招标资格预审。</w:t>
      </w:r>
    </w:p>
    <w:p w14:paraId="28DB5762">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投标人资质条件应满足资质标准要求，并提供“资质动态核查结果证明”；招标人在制定招标文件时，应明确投标人需提供的“资质动态核查结果证明”发布的时间节点，充分给予投标人编制投标文件时间。</w:t>
      </w:r>
    </w:p>
    <w:p w14:paraId="5AC0388E">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5BAD6277">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鼓励招标人开展“不见面开标”、“电子远程异地评标”、“智能筛查”、“数智见证”、“数据预警”、“数据碰撞”等电子化、数字化手段在招投标运用。</w:t>
      </w:r>
    </w:p>
    <w:p w14:paraId="6908F337">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采用邀请招标、资格预审的项目原则上不应使用“评定分离”，如需使用“评定分离”按照《浙江省工程建设项目招标投标“评定分离”操作指引（试行）》等相关规定执行。</w:t>
      </w:r>
    </w:p>
    <w:p w14:paraId="54080310">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hAnsi="宋体"/>
          <w:i w:val="0"/>
          <w:iCs w:val="0"/>
          <w:color w:val="auto"/>
          <w:sz w:val="24"/>
          <w:szCs w:val="24"/>
          <w:highlight w:val="none"/>
        </w:rPr>
        <w:t>招标</w:t>
      </w:r>
      <w:r>
        <w:rPr>
          <w:rFonts w:hAnsi="宋体"/>
          <w:i w:val="0"/>
          <w:iCs w:val="0"/>
          <w:color w:val="auto"/>
          <w:sz w:val="24"/>
          <w:szCs w:val="24"/>
          <w:highlight w:val="none"/>
        </w:rPr>
        <w:t>人有优质工程的要求，在编制招标控制价时按暂列金额的方式计列优质工程增加费，作为创优工程成本费用补偿，同时发承包双方</w:t>
      </w:r>
      <w:r>
        <w:rPr>
          <w:rFonts w:hint="eastAsia" w:hAnsi="宋体"/>
          <w:i w:val="0"/>
          <w:iCs w:val="0"/>
          <w:color w:val="auto"/>
          <w:sz w:val="24"/>
          <w:szCs w:val="24"/>
          <w:highlight w:val="none"/>
        </w:rPr>
        <w:t>宜</w:t>
      </w:r>
      <w:r>
        <w:rPr>
          <w:rFonts w:hAnsi="宋体"/>
          <w:i w:val="0"/>
          <w:iCs w:val="0"/>
          <w:color w:val="auto"/>
          <w:sz w:val="24"/>
          <w:szCs w:val="24"/>
          <w:highlight w:val="none"/>
        </w:rPr>
        <w:t>在合同中另行约定对等的奖罚条款。</w:t>
      </w:r>
    </w:p>
    <w:p w14:paraId="5F36124D">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cs="宋体"/>
          <w:i w:val="0"/>
          <w:iCs w:val="0"/>
          <w:color w:val="auto"/>
          <w:kern w:val="0"/>
          <w:sz w:val="24"/>
          <w:szCs w:val="24"/>
          <w:highlight w:val="none"/>
          <w:shd w:val="clear" w:color="auto" w:fill="FFFFFF"/>
          <w:lang w:bidi="ar"/>
        </w:rPr>
        <w:t>招标人应在招标文件</w:t>
      </w:r>
      <w:r>
        <w:rPr>
          <w:rFonts w:hint="eastAsia" w:hAnsi="宋体"/>
          <w:i w:val="0"/>
          <w:iCs w:val="0"/>
          <w:color w:val="auto"/>
          <w:sz w:val="24"/>
          <w:szCs w:val="24"/>
          <w:highlight w:val="none"/>
        </w:rPr>
        <w:t>投标人须知前附表10.5中</w:t>
      </w:r>
      <w:r>
        <w:rPr>
          <w:rFonts w:hint="eastAsia" w:ascii="宋体" w:hAnsi="宋体" w:cs="宋体"/>
          <w:i w:val="0"/>
          <w:iCs w:val="0"/>
          <w:color w:val="auto"/>
          <w:kern w:val="0"/>
          <w:sz w:val="24"/>
          <w:szCs w:val="24"/>
          <w:highlight w:val="none"/>
          <w:shd w:val="clear" w:color="auto" w:fill="FFFFFF"/>
          <w:lang w:bidi="ar"/>
        </w:rPr>
        <w:t>集中载明否决投标条款。</w:t>
      </w:r>
    </w:p>
    <w:p w14:paraId="168504CB">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招标人可根据项目情况采用技术标暗标形式，暗标相应规则可由招投标主管部门制定，涉及暗标否决其投标条款应依法设定，并在投标人须知前附表</w:t>
      </w:r>
      <w:r>
        <w:rPr>
          <w:i w:val="0"/>
          <w:iCs w:val="0"/>
          <w:color w:val="auto"/>
          <w:sz w:val="24"/>
          <w:szCs w:val="24"/>
          <w:highlight w:val="none"/>
        </w:rPr>
        <w:t>10.5</w:t>
      </w:r>
      <w:r>
        <w:rPr>
          <w:rFonts w:hint="eastAsia" w:ascii="宋体" w:hAnsi="宋体"/>
          <w:i w:val="0"/>
          <w:iCs w:val="0"/>
          <w:color w:val="auto"/>
          <w:sz w:val="24"/>
          <w:szCs w:val="24"/>
          <w:highlight w:val="none"/>
        </w:rPr>
        <w:t>中集中载明。</w:t>
      </w:r>
    </w:p>
    <w:p w14:paraId="7DB8DA9E">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i w:val="0"/>
          <w:iCs w:val="0"/>
          <w:color w:val="auto"/>
          <w:sz w:val="24"/>
          <w:szCs w:val="24"/>
          <w:highlight w:val="none"/>
        </w:rPr>
        <w:t>评标基准价计算方法，由招投标主管部门确定并向社会公布，招标人在开标现场随机确定。</w:t>
      </w:r>
    </w:p>
    <w:p w14:paraId="05870045">
      <w:pPr>
        <w:pStyle w:val="41"/>
        <w:numPr>
          <w:ilvl w:val="0"/>
          <w:numId w:val="2"/>
        </w:numPr>
        <w:spacing w:line="360" w:lineRule="auto"/>
        <w:ind w:left="0" w:firstLine="480"/>
        <w:jc w:val="left"/>
        <w:rPr>
          <w:rFonts w:ascii="宋体" w:hAnsi="宋体"/>
          <w:i w:val="0"/>
          <w:iCs w:val="0"/>
          <w:color w:val="auto"/>
          <w:sz w:val="24"/>
          <w:szCs w:val="24"/>
          <w:highlight w:val="none"/>
        </w:rPr>
      </w:pPr>
      <w:r>
        <w:rPr>
          <w:rFonts w:hint="eastAsia" w:ascii="宋体" w:hAnsi="宋体"/>
          <w:i w:val="0"/>
          <w:iCs w:val="0"/>
          <w:color w:val="auto"/>
          <w:sz w:val="24"/>
          <w:szCs w:val="24"/>
          <w:highlight w:val="none"/>
        </w:rPr>
        <w:t>政府投资项目工程进度款支付比例不低于85%，宜按月支付工程进度款，发包人应当按约定的付款节点根据实际完成工程量及时足额支付工程进度款。</w:t>
      </w:r>
    </w:p>
    <w:p w14:paraId="318E9834">
      <w:pPr>
        <w:pStyle w:val="41"/>
        <w:numPr>
          <w:ilvl w:val="0"/>
          <w:numId w:val="1"/>
        </w:numPr>
        <w:spacing w:line="360" w:lineRule="auto"/>
        <w:ind w:left="0" w:firstLine="482"/>
        <w:jc w:val="left"/>
        <w:rPr>
          <w:rFonts w:ascii="宋体" w:hAnsi="宋体"/>
          <w:b/>
          <w:i w:val="0"/>
          <w:iCs w:val="0"/>
          <w:color w:val="auto"/>
          <w:highlight w:val="none"/>
        </w:rPr>
      </w:pPr>
      <w:r>
        <w:rPr>
          <w:rFonts w:hint="eastAsia" w:ascii="宋体" w:hAnsi="宋体"/>
          <w:b/>
          <w:i w:val="0"/>
          <w:iCs w:val="0"/>
          <w:color w:val="auto"/>
          <w:kern w:val="0"/>
          <w:sz w:val="24"/>
          <w:szCs w:val="24"/>
          <w:highlight w:val="none"/>
        </w:rPr>
        <w:t>招标公告（或投标邀请书）部分</w:t>
      </w:r>
    </w:p>
    <w:p w14:paraId="2145BFC3">
      <w:pPr>
        <w:pStyle w:val="42"/>
        <w:numPr>
          <w:ilvl w:val="0"/>
          <w:numId w:val="3"/>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招标项目基本信息</w:t>
      </w:r>
    </w:p>
    <w:p w14:paraId="20635FE9">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项目名称、审批文号。项目名称、审批文号应与批复等前期审批资料内容一致。</w:t>
      </w:r>
    </w:p>
    <w:p w14:paraId="203DB14B">
      <w:pPr>
        <w:pStyle w:val="42"/>
        <w:numPr>
          <w:ilvl w:val="0"/>
          <w:numId w:val="4"/>
        </w:numPr>
        <w:spacing w:line="360" w:lineRule="auto"/>
        <w:ind w:left="0" w:firstLine="480" w:firstLineChars="200"/>
        <w:rPr>
          <w:rFonts w:ascii="宋体" w:hAnsi="宋体"/>
          <w:b/>
          <w:bCs/>
          <w:i w:val="0"/>
          <w:iCs w:val="0"/>
          <w:color w:val="auto"/>
          <w:highlight w:val="none"/>
        </w:rPr>
      </w:pPr>
      <w:r>
        <w:rPr>
          <w:rFonts w:hint="eastAsia" w:ascii="宋体" w:hAnsi="宋体"/>
          <w:i w:val="0"/>
          <w:iCs w:val="0"/>
          <w:color w:val="auto"/>
          <w:highlight w:val="none"/>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14:paraId="655BF7EC">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资金来源、投资比例。按项目建议书、可行性研究报告、初步设计批复等前期审批资料填写。</w:t>
      </w:r>
    </w:p>
    <w:p w14:paraId="52873990">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项目业主。即招标项目的法人或其他组织，一般是招标项目建设单位。</w:t>
      </w:r>
    </w:p>
    <w:p w14:paraId="70CFEBD6">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招标人。</w:t>
      </w:r>
      <w:r>
        <w:rPr>
          <w:rFonts w:ascii="宋体" w:hAnsi="宋体" w:cs="Arial"/>
          <w:i w:val="0"/>
          <w:iCs w:val="0"/>
          <w:color w:val="auto"/>
          <w:highlight w:val="none"/>
        </w:rPr>
        <w:t>依照</w:t>
      </w:r>
      <w:r>
        <w:rPr>
          <w:rFonts w:hint="eastAsia" w:ascii="宋体" w:hAnsi="宋体" w:cs="Arial"/>
          <w:i w:val="0"/>
          <w:iCs w:val="0"/>
          <w:color w:val="auto"/>
          <w:highlight w:val="none"/>
        </w:rPr>
        <w:t>《中华人民共和国招标投标法》</w:t>
      </w:r>
      <w:r>
        <w:rPr>
          <w:rFonts w:ascii="宋体" w:hAnsi="宋体" w:cs="Arial"/>
          <w:i w:val="0"/>
          <w:iCs w:val="0"/>
          <w:color w:val="auto"/>
          <w:highlight w:val="none"/>
        </w:rPr>
        <w:t>规定提出招标项目、进行招标的法人或者其他组织。</w:t>
      </w:r>
    </w:p>
    <w:p w14:paraId="2BB3D538">
      <w:pPr>
        <w:pStyle w:val="42"/>
        <w:numPr>
          <w:ilvl w:val="0"/>
          <w:numId w:val="4"/>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代理机构。为本次招标提供招标代理服务的机构。自行招标的，相关的代理内容应删除。</w:t>
      </w:r>
    </w:p>
    <w:p w14:paraId="04867A69">
      <w:pPr>
        <w:pStyle w:val="42"/>
        <w:numPr>
          <w:ilvl w:val="0"/>
          <w:numId w:val="4"/>
        </w:numPr>
        <w:spacing w:line="360" w:lineRule="auto"/>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招标人应合理规划项目建设。经相关部门审批后实施分阶段（标段）招标的，招标项目的工程名称应体现本次招标内容。</w:t>
      </w:r>
    </w:p>
    <w:p w14:paraId="01020E94">
      <w:pPr>
        <w:pStyle w:val="42"/>
        <w:numPr>
          <w:ilvl w:val="0"/>
          <w:numId w:val="3"/>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本次招标范围</w:t>
      </w:r>
    </w:p>
    <w:p w14:paraId="433AC47F">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应与工程量清单编制说明中招标范围相一致。</w:t>
      </w:r>
    </w:p>
    <w:p w14:paraId="75145CC5">
      <w:pPr>
        <w:pStyle w:val="42"/>
        <w:numPr>
          <w:ilvl w:val="0"/>
          <w:numId w:val="3"/>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投标资格条件、要求</w:t>
      </w:r>
    </w:p>
    <w:p w14:paraId="5B11B596">
      <w:pPr>
        <w:pStyle w:val="42"/>
        <w:numPr>
          <w:ilvl w:val="0"/>
          <w:numId w:val="5"/>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企业资质要求。根据本次招标内容和建筑业企业资质标准的有关规定，按照完成本次招标工程所需的最低资质条件设置投标人资质及等级要求，不得以不合理的条件限制、排斥投标人或潜在投标人。</w:t>
      </w:r>
    </w:p>
    <w:p w14:paraId="4D961274">
      <w:pPr>
        <w:pStyle w:val="42"/>
        <w:numPr>
          <w:ilvl w:val="0"/>
          <w:numId w:val="5"/>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联合体。如完成本次招标工程需要投标人同时具备2项或以上资质时，不得排斥联合体投标人。</w:t>
      </w:r>
      <w:r>
        <w:rPr>
          <w:rFonts w:hint="eastAsia" w:hAnsi="宋体"/>
          <w:i w:val="0"/>
          <w:iCs w:val="0"/>
          <w:color w:val="auto"/>
          <w:highlight w:val="none"/>
        </w:rPr>
        <w:t>鼓励建筑业企业与优质企业合作，积极采用联合体投标方式承建项目。</w:t>
      </w:r>
    </w:p>
    <w:p w14:paraId="3181C277">
      <w:pPr>
        <w:pStyle w:val="42"/>
        <w:numPr>
          <w:ilvl w:val="0"/>
          <w:numId w:val="5"/>
        </w:numPr>
        <w:spacing w:line="360" w:lineRule="auto"/>
        <w:ind w:left="0" w:firstLine="480" w:firstLineChars="200"/>
        <w:rPr>
          <w:rFonts w:hint="eastAsia" w:ascii="宋体" w:hAnsi="宋体"/>
          <w:i w:val="0"/>
          <w:iCs w:val="0"/>
          <w:color w:val="auto"/>
          <w:highlight w:val="none"/>
        </w:rPr>
      </w:pPr>
      <w:r>
        <w:rPr>
          <w:rFonts w:hint="eastAsia" w:ascii="宋体" w:hAnsi="宋体"/>
          <w:i w:val="0"/>
          <w:iCs w:val="0"/>
          <w:color w:val="auto"/>
          <w:highlight w:val="none"/>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14:paraId="6076A145">
      <w:pPr>
        <w:pStyle w:val="42"/>
        <w:numPr>
          <w:ilvl w:val="0"/>
          <w:numId w:val="5"/>
        </w:numPr>
        <w:spacing w:line="360" w:lineRule="auto"/>
        <w:ind w:left="0" w:firstLine="480" w:firstLineChars="200"/>
        <w:rPr>
          <w:rFonts w:hint="eastAsia" w:ascii="宋体" w:hAnsi="宋体"/>
          <w:i w:val="0"/>
          <w:iCs w:val="0"/>
          <w:color w:val="auto"/>
          <w:highlight w:val="none"/>
        </w:rPr>
      </w:pPr>
      <w:r>
        <w:rPr>
          <w:rFonts w:hint="eastAsia" w:ascii="宋体" w:hAnsi="宋体"/>
          <w:i w:val="0"/>
          <w:iCs w:val="0"/>
          <w:color w:val="auto"/>
          <w:highlight w:val="none"/>
        </w:rPr>
        <w:t>业绩要求。招标人确需投标人或项目负责人具备类似工程业绩的，数量不得超过一个，</w:t>
      </w:r>
      <w:r>
        <w:rPr>
          <w:rFonts w:hAnsi="宋体"/>
          <w:i w:val="0"/>
          <w:iCs w:val="0"/>
          <w:color w:val="auto"/>
          <w:highlight w:val="none"/>
        </w:rPr>
        <w:t>工程业绩设置</w:t>
      </w:r>
      <w:r>
        <w:rPr>
          <w:rFonts w:hint="eastAsia" w:hAnsi="宋体"/>
          <w:i w:val="0"/>
          <w:iCs w:val="0"/>
          <w:color w:val="auto"/>
          <w:highlight w:val="none"/>
        </w:rPr>
        <w:t>指标</w:t>
      </w:r>
      <w:r>
        <w:rPr>
          <w:rFonts w:hAnsi="宋体"/>
          <w:i w:val="0"/>
          <w:iCs w:val="0"/>
          <w:color w:val="auto"/>
          <w:highlight w:val="none"/>
        </w:rPr>
        <w:t>条件原则上</w:t>
      </w:r>
      <w:r>
        <w:rPr>
          <w:rFonts w:hint="eastAsia" w:hAnsi="宋体"/>
          <w:i w:val="0"/>
          <w:iCs w:val="0"/>
          <w:color w:val="auto"/>
          <w:highlight w:val="none"/>
        </w:rPr>
        <w:t>不超过两</w:t>
      </w:r>
      <w:r>
        <w:rPr>
          <w:rFonts w:hAnsi="宋体"/>
          <w:i w:val="0"/>
          <w:iCs w:val="0"/>
          <w:color w:val="auto"/>
          <w:highlight w:val="none"/>
        </w:rPr>
        <w:t>个。设置的业绩条件不得高于该标段相关指标要求</w:t>
      </w:r>
      <w:r>
        <w:rPr>
          <w:rFonts w:hint="eastAsia" w:hAnsi="宋体"/>
          <w:i w:val="0"/>
          <w:iCs w:val="0"/>
          <w:color w:val="auto"/>
          <w:highlight w:val="none"/>
        </w:rPr>
        <w:t>（其中，以建筑面积和合同金额作为业绩指标条件的，不超过</w:t>
      </w:r>
      <w:r>
        <w:rPr>
          <w:rFonts w:hAnsi="宋体"/>
          <w:i w:val="0"/>
          <w:iCs w:val="0"/>
          <w:color w:val="auto"/>
          <w:highlight w:val="none"/>
        </w:rPr>
        <w:t>该标段相关指标</w:t>
      </w:r>
      <w:r>
        <w:rPr>
          <w:rFonts w:hint="eastAsia" w:hAnsi="宋体"/>
          <w:i w:val="0"/>
          <w:iCs w:val="0"/>
          <w:color w:val="auto"/>
          <w:highlight w:val="none"/>
        </w:rPr>
        <w:t>的</w:t>
      </w:r>
      <w:r>
        <w:rPr>
          <w:rFonts w:hint="eastAsia" w:hAnsi="宋体"/>
          <w:b/>
          <w:bCs/>
          <w:i w:val="0"/>
          <w:iCs w:val="0"/>
          <w:color w:val="auto"/>
          <w:highlight w:val="none"/>
        </w:rPr>
        <w:t>80%</w:t>
      </w:r>
      <w:r>
        <w:rPr>
          <w:rFonts w:hint="eastAsia" w:hAnsi="宋体"/>
          <w:i w:val="0"/>
          <w:iCs w:val="0"/>
          <w:color w:val="auto"/>
          <w:highlight w:val="none"/>
        </w:rPr>
        <w:t>）</w:t>
      </w:r>
      <w:r>
        <w:rPr>
          <w:rFonts w:hint="eastAsia" w:ascii="宋体" w:hAnsi="宋体"/>
          <w:i w:val="0"/>
          <w:iCs w:val="0"/>
          <w:color w:val="auto"/>
          <w:highlight w:val="none"/>
        </w:rPr>
        <w:t>，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并明确证明材料载明信息不一致时的认定顺序。</w:t>
      </w:r>
    </w:p>
    <w:p w14:paraId="18188275">
      <w:pPr>
        <w:pStyle w:val="42"/>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为推进装配化装饰发展，对包含装配化装修的工程招标中，在建装配化装修工程可作为装配化装修工程类似业绩。</w:t>
      </w:r>
    </w:p>
    <w:p w14:paraId="00BE8727">
      <w:pPr>
        <w:pStyle w:val="42"/>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分包工程业绩经“浙江省建筑市场监管公共服务系统”采集录入的，且符合招标业绩条件要求，应予以认可。</w:t>
      </w:r>
    </w:p>
    <w:p w14:paraId="106A70C8">
      <w:pPr>
        <w:pStyle w:val="42"/>
        <w:numPr>
          <w:ilvl w:val="0"/>
          <w:numId w:val="3"/>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招标文件的获取</w:t>
      </w:r>
    </w:p>
    <w:p w14:paraId="1F250017">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14:paraId="63FEEA2E">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疑问提交时间。由招标人依法设定，具体时间应充分考虑投标人获取、阅读招标文件、提出疑问的时间，同时要为答疑预留一定的时间。</w:t>
      </w:r>
    </w:p>
    <w:p w14:paraId="1F09D0B3">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补充（答疑、澄清）招标文件发布日期。为招标人最迟可能发出补充文件的时间，应充分考虑在投标截止时间前可能发生的变化。</w:t>
      </w:r>
    </w:p>
    <w:p w14:paraId="7A56FDBE">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31AC31B2">
      <w:pPr>
        <w:pStyle w:val="42"/>
        <w:numPr>
          <w:ilvl w:val="0"/>
          <w:numId w:val="6"/>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投标文件的递交方式为电子网上传输提交形式。招标人应在招标公告（或投标邀请书）及招标文件中明确投标文件递交方式及时间，还应明确是否需要同时递交纸质投标文件。</w:t>
      </w:r>
    </w:p>
    <w:p w14:paraId="3D8DEEFF">
      <w:pPr>
        <w:pStyle w:val="41"/>
        <w:numPr>
          <w:ilvl w:val="0"/>
          <w:numId w:val="1"/>
        </w:numPr>
        <w:spacing w:line="360" w:lineRule="auto"/>
        <w:ind w:left="0" w:firstLine="482"/>
        <w:jc w:val="left"/>
        <w:rPr>
          <w:rFonts w:ascii="宋体" w:hAnsi="宋体"/>
          <w:b/>
          <w:i w:val="0"/>
          <w:iCs w:val="0"/>
          <w:color w:val="auto"/>
          <w:highlight w:val="none"/>
        </w:rPr>
      </w:pPr>
      <w:r>
        <w:rPr>
          <w:rFonts w:hint="eastAsia" w:ascii="宋体" w:hAnsi="宋体"/>
          <w:b/>
          <w:i w:val="0"/>
          <w:iCs w:val="0"/>
          <w:color w:val="auto"/>
          <w:kern w:val="0"/>
          <w:sz w:val="24"/>
          <w:szCs w:val="24"/>
          <w:highlight w:val="none"/>
        </w:rPr>
        <w:t>投标人须知前附表部分</w:t>
      </w:r>
    </w:p>
    <w:p w14:paraId="67FC0A48">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条款号1.1.2—1.2.2。应与招标公告（或投标邀请书）相关内容填写一致。</w:t>
      </w:r>
    </w:p>
    <w:p w14:paraId="1F51AD2D">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招标范围。应与招标公告（或投标邀请书）中招标内容一致，具体描述可详见公告。</w:t>
      </w:r>
    </w:p>
    <w:p w14:paraId="60A18E89">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14:paraId="50739A2B">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条款号1.4.1-2.1。根据本次招标的具体情况和要求，按示范文本提示内容选择或填写。</w:t>
      </w:r>
    </w:p>
    <w:p w14:paraId="1B916F71">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投标截止时间。应与招标公告（或投标邀请书）规定的投标截止时间一致。</w:t>
      </w:r>
    </w:p>
    <w:p w14:paraId="4078C55A">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条款号2.2.1-3.4.4。根据本次招标的具体情况和要求，按示范文本提示内容选择或填写。</w:t>
      </w:r>
    </w:p>
    <w:p w14:paraId="7CF1E768">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条款号3.5-4.2.5。根据本次招标的情况填写。</w:t>
      </w:r>
    </w:p>
    <w:p w14:paraId="2DEF90C0">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条款号6.3-8.1。根据实际情况填写。</w:t>
      </w:r>
    </w:p>
    <w:p w14:paraId="499B1251">
      <w:pPr>
        <w:pStyle w:val="42"/>
        <w:numPr>
          <w:ilvl w:val="0"/>
          <w:numId w:val="7"/>
        </w:numPr>
        <w:spacing w:line="360" w:lineRule="auto"/>
        <w:ind w:left="0" w:firstLine="420"/>
        <w:rPr>
          <w:rFonts w:ascii="宋体" w:hAnsi="宋体"/>
          <w:i w:val="0"/>
          <w:iCs w:val="0"/>
          <w:color w:val="auto"/>
          <w:highlight w:val="none"/>
        </w:rPr>
      </w:pPr>
      <w:r>
        <w:rPr>
          <w:rFonts w:hint="eastAsia" w:ascii="宋体" w:hAnsi="宋体"/>
          <w:i w:val="0"/>
          <w:iCs w:val="0"/>
          <w:color w:val="auto"/>
          <w:highlight w:val="none"/>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14:paraId="593718F9">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评标办法。应根据本次招标的实际情况合理选定评标办法。</w:t>
      </w:r>
    </w:p>
    <w:p w14:paraId="1A034D68">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使用的电子招标工具应及时更新，并选择与本项目相匹配的招标工具模式（如：评标办法、技术明（暗）标、电子标书递交方式等）。</w:t>
      </w:r>
    </w:p>
    <w:p w14:paraId="6A7DF2D4">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条款号6.4-9.5。根据实际情况填写。</w:t>
      </w:r>
    </w:p>
    <w:p w14:paraId="78FBBF23">
      <w:pPr>
        <w:pStyle w:val="42"/>
        <w:numPr>
          <w:ilvl w:val="0"/>
          <w:numId w:val="7"/>
        </w:numPr>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根据实际情况需要补充的其他内容，应集中在第10条，并在10.2条后依次排序，如10.3、10.4…</w:t>
      </w:r>
    </w:p>
    <w:p w14:paraId="0CBA29E5">
      <w:pPr>
        <w:pStyle w:val="41"/>
        <w:numPr>
          <w:ilvl w:val="0"/>
          <w:numId w:val="1"/>
        </w:numPr>
        <w:spacing w:line="360" w:lineRule="auto"/>
        <w:ind w:left="0" w:firstLine="482"/>
        <w:jc w:val="left"/>
        <w:rPr>
          <w:rFonts w:hint="eastAsia" w:ascii="宋体" w:hAnsi="宋体"/>
          <w:b/>
          <w:i w:val="0"/>
          <w:iCs w:val="0"/>
          <w:color w:val="auto"/>
          <w:kern w:val="0"/>
          <w:sz w:val="24"/>
          <w:szCs w:val="24"/>
          <w:highlight w:val="none"/>
        </w:rPr>
      </w:pPr>
      <w:r>
        <w:rPr>
          <w:rFonts w:hint="eastAsia" w:ascii="宋体" w:hAnsi="宋体"/>
          <w:b/>
          <w:i w:val="0"/>
          <w:iCs w:val="0"/>
          <w:color w:val="auto"/>
          <w:kern w:val="0"/>
          <w:sz w:val="24"/>
          <w:szCs w:val="24"/>
          <w:highlight w:val="none"/>
        </w:rPr>
        <w:t>评标办法</w:t>
      </w:r>
    </w:p>
    <w:p w14:paraId="722F6BF1">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经评审的最低投标价法：适用于具有通用技术标准或者招标人对其技术、性能没有特殊要求的一般房屋建筑和市政基础设施工程施工招标；</w:t>
      </w:r>
    </w:p>
    <w:p w14:paraId="55F0B814">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技术标通过制的综合评估法：适用于一般房屋建筑和市政基础设施工程施工招标（包括适用于经评审的最低投标价法的工程）；</w:t>
      </w:r>
    </w:p>
    <w:p w14:paraId="787D3FCF">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技术标打分制的综合评估法：适用于采用新工艺、技术复杂或具有特殊专业技术要求的房屋建筑和市政基础设施工程施工招标；</w:t>
      </w:r>
    </w:p>
    <w:p w14:paraId="5D600DC7">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其他：符合相关法律法规的方法。</w:t>
      </w:r>
    </w:p>
    <w:p w14:paraId="25576594">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招标人应根据招标的实际情况合理选定评标办法，谨慎选用经评审的最低投标价法，鼓励选用技术标通过制的综合评估法，控制选用技术标打分制的综合评估法。</w:t>
      </w:r>
    </w:p>
    <w:p w14:paraId="0F0CCD38">
      <w:pPr>
        <w:spacing w:line="360" w:lineRule="auto"/>
        <w:ind w:firstLine="480" w:firstLineChars="200"/>
        <w:rPr>
          <w:rFonts w:hint="eastAsia" w:ascii="宋体" w:hAnsi="宋体"/>
          <w:i w:val="0"/>
          <w:iCs w:val="0"/>
          <w:color w:val="auto"/>
          <w:highlight w:val="none"/>
        </w:rPr>
      </w:pPr>
      <w:r>
        <w:rPr>
          <w:rFonts w:ascii="宋体" w:hAnsi="宋体"/>
          <w:i w:val="0"/>
          <w:iCs w:val="0"/>
          <w:color w:val="auto"/>
          <w:highlight w:val="none"/>
        </w:rPr>
        <w:t>选用“技术标打分制的综合评估法”的项目标准由当地招投标主管部门确定，但规模标准须符合下表数值范围</w:t>
      </w:r>
      <w:r>
        <w:rPr>
          <w:rFonts w:hint="eastAsia" w:ascii="宋体" w:hAnsi="宋体"/>
          <w:i w:val="0"/>
          <w:iCs w:val="0"/>
          <w:color w:val="auto"/>
          <w:highlight w:val="none"/>
        </w:rPr>
        <w:t>，</w:t>
      </w:r>
      <w:r>
        <w:rPr>
          <w:rFonts w:ascii="宋体" w:hAnsi="宋体"/>
          <w:i w:val="0"/>
          <w:iCs w:val="0"/>
          <w:color w:val="auto"/>
          <w:highlight w:val="none"/>
        </w:rPr>
        <w:t>下表数值</w:t>
      </w:r>
      <w:r>
        <w:rPr>
          <w:rFonts w:hint="eastAsia" w:ascii="宋体" w:hAnsi="宋体"/>
          <w:i w:val="0"/>
          <w:iCs w:val="0"/>
          <w:color w:val="auto"/>
          <w:highlight w:val="none"/>
        </w:rPr>
        <w:t>为我省技术复杂项目最低标准</w:t>
      </w:r>
      <w:r>
        <w:rPr>
          <w:rFonts w:ascii="宋体" w:hAnsi="宋体"/>
          <w:i w:val="0"/>
          <w:iCs w:val="0"/>
          <w:color w:val="auto"/>
          <w:highlight w:val="none"/>
        </w:rPr>
        <w:t>。</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5"/>
        <w:gridCol w:w="1661"/>
        <w:gridCol w:w="6429"/>
      </w:tblGrid>
      <w:tr w14:paraId="766D6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2" w:hRule="atLeast"/>
          <w:jc w:val="center"/>
        </w:trPr>
        <w:tc>
          <w:tcPr>
            <w:tcW w:w="755" w:type="dxa"/>
            <w:noWrap w:val="0"/>
            <w:vAlign w:val="center"/>
          </w:tcPr>
          <w:p w14:paraId="653AF584">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行业</w:t>
            </w:r>
          </w:p>
        </w:tc>
        <w:tc>
          <w:tcPr>
            <w:tcW w:w="1661" w:type="dxa"/>
            <w:noWrap w:val="0"/>
            <w:vAlign w:val="center"/>
          </w:tcPr>
          <w:p w14:paraId="2FC081B7">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工程类别</w:t>
            </w:r>
          </w:p>
        </w:tc>
        <w:tc>
          <w:tcPr>
            <w:tcW w:w="6429" w:type="dxa"/>
            <w:noWrap w:val="0"/>
            <w:vAlign w:val="center"/>
          </w:tcPr>
          <w:p w14:paraId="275D6DEC">
            <w:pPr>
              <w:keepNext w:val="0"/>
              <w:keepLines w:val="0"/>
              <w:suppressLineNumbers w:val="0"/>
              <w:adjustRightInd/>
              <w:spacing w:before="0" w:beforeAutospacing="0" w:after="0" w:afterAutospacing="0"/>
              <w:ind w:left="0" w:right="0"/>
              <w:jc w:val="center"/>
              <w:rPr>
                <w:rFonts w:hint="eastAsia"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标段规模</w:t>
            </w:r>
          </w:p>
        </w:tc>
      </w:tr>
      <w:tr w14:paraId="6397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83" w:hRule="atLeast"/>
          <w:jc w:val="center"/>
        </w:trPr>
        <w:tc>
          <w:tcPr>
            <w:tcW w:w="755" w:type="dxa"/>
            <w:vMerge w:val="restart"/>
            <w:noWrap w:val="0"/>
            <w:vAlign w:val="center"/>
          </w:tcPr>
          <w:p w14:paraId="24E5D6D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rPr>
              <w:t>房屋建筑工程</w:t>
            </w:r>
          </w:p>
        </w:tc>
        <w:tc>
          <w:tcPr>
            <w:tcW w:w="1661" w:type="dxa"/>
            <w:noWrap w:val="0"/>
            <w:vAlign w:val="center"/>
          </w:tcPr>
          <w:p w14:paraId="53F1CC07">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一般房屋建筑工程</w:t>
            </w:r>
          </w:p>
        </w:tc>
        <w:tc>
          <w:tcPr>
            <w:tcW w:w="6429" w:type="dxa"/>
            <w:noWrap w:val="0"/>
            <w:vAlign w:val="center"/>
          </w:tcPr>
          <w:p w14:paraId="0ADD19C9">
            <w:pPr>
              <w:keepNext w:val="0"/>
              <w:keepLines w:val="0"/>
              <w:suppressLineNumbers w:val="0"/>
              <w:adjustRightInd/>
              <w:spacing w:before="0" w:beforeAutospacing="0" w:after="0" w:afterAutospacing="0"/>
              <w:ind w:left="0" w:right="0"/>
              <w:jc w:val="both"/>
              <w:textAlignment w:val="center"/>
              <w:rPr>
                <w:rStyle w:val="56"/>
                <w:rFonts w:hint="default" w:ascii="Times New Roman" w:hAnsi="Times New Roman" w:cs="Times New Roman"/>
                <w:i w:val="0"/>
                <w:iCs w:val="0"/>
                <w:color w:val="auto"/>
                <w:sz w:val="21"/>
                <w:szCs w:val="21"/>
                <w:highlight w:val="none"/>
                <w:lang w:bidi="ar"/>
              </w:rPr>
            </w:pPr>
            <w:r>
              <w:rPr>
                <w:rStyle w:val="56"/>
                <w:rFonts w:hint="default" w:ascii="Times New Roman" w:cs="Times New Roman"/>
                <w:i w:val="0"/>
                <w:iCs w:val="0"/>
                <w:color w:val="auto"/>
                <w:sz w:val="21"/>
                <w:szCs w:val="21"/>
                <w:highlight w:val="none"/>
                <w:lang w:bidi="ar"/>
              </w:rPr>
              <w:t>工业、民用与公共建筑工程：建筑物层数</w:t>
            </w:r>
            <w:r>
              <w:rPr>
                <w:rStyle w:val="56"/>
                <w:rFonts w:hint="default" w:ascii="Times New Roman" w:hAnsi="Times New Roman" w:cs="Times New Roman"/>
                <w:i w:val="0"/>
                <w:iCs w:val="0"/>
                <w:color w:val="auto"/>
                <w:sz w:val="21"/>
                <w:szCs w:val="21"/>
                <w:highlight w:val="none"/>
                <w:lang w:bidi="ar"/>
              </w:rPr>
              <w:t>≥</w:t>
            </w:r>
            <w:r>
              <w:rPr>
                <w:rStyle w:val="56"/>
                <w:rFonts w:hint="default" w:ascii="Times New Roman" w:hAnsi="Times New Roman" w:cs="Times New Roman"/>
                <w:b/>
                <w:bCs/>
                <w:i w:val="0"/>
                <w:iCs w:val="0"/>
                <w:color w:val="auto"/>
                <w:sz w:val="21"/>
                <w:szCs w:val="21"/>
                <w:highlight w:val="none"/>
                <w:lang w:bidi="ar"/>
              </w:rPr>
              <w:t>25</w:t>
            </w:r>
            <w:r>
              <w:rPr>
                <w:rStyle w:val="56"/>
                <w:rFonts w:hint="default" w:ascii="Times New Roman" w:cs="Times New Roman"/>
                <w:i w:val="0"/>
                <w:iCs w:val="0"/>
                <w:color w:val="auto"/>
                <w:sz w:val="21"/>
                <w:szCs w:val="21"/>
                <w:highlight w:val="none"/>
                <w:lang w:bidi="ar"/>
              </w:rPr>
              <w:t>层，或建筑物高度</w:t>
            </w:r>
            <w:r>
              <w:rPr>
                <w:rStyle w:val="56"/>
                <w:rFonts w:hint="default" w:ascii="Times New Roman" w:hAnsi="Times New Roman" w:cs="Times New Roman"/>
                <w:i w:val="0"/>
                <w:iCs w:val="0"/>
                <w:color w:val="auto"/>
                <w:sz w:val="21"/>
                <w:szCs w:val="21"/>
                <w:highlight w:val="none"/>
                <w:lang w:bidi="ar"/>
              </w:rPr>
              <w:t>≥8</w:t>
            </w:r>
            <w:r>
              <w:rPr>
                <w:rStyle w:val="57"/>
                <w:rFonts w:hint="default" w:ascii="Times New Roman" w:hAnsi="Times New Roman" w:cs="Times New Roman"/>
                <w:i w:val="0"/>
                <w:iCs w:val="0"/>
                <w:color w:val="auto"/>
                <w:sz w:val="21"/>
                <w:szCs w:val="21"/>
                <w:highlight w:val="none"/>
                <w:lang w:bidi="ar"/>
              </w:rPr>
              <w:t>0</w:t>
            </w:r>
            <w:r>
              <w:rPr>
                <w:rStyle w:val="57"/>
                <w:rFonts w:hint="default" w:ascii="Times New Roman" w:cs="Times New Roman"/>
                <w:i w:val="0"/>
                <w:iCs w:val="0"/>
                <w:color w:val="auto"/>
                <w:sz w:val="21"/>
                <w:szCs w:val="21"/>
                <w:highlight w:val="none"/>
                <w:lang w:bidi="ar"/>
              </w:rPr>
              <w:t>米，</w:t>
            </w:r>
            <w:r>
              <w:rPr>
                <w:rStyle w:val="56"/>
                <w:rFonts w:hint="default" w:ascii="Times New Roman" w:cs="Times New Roman"/>
                <w:i w:val="0"/>
                <w:iCs w:val="0"/>
                <w:color w:val="auto"/>
                <w:sz w:val="21"/>
                <w:szCs w:val="21"/>
                <w:highlight w:val="none"/>
                <w:lang w:bidi="ar"/>
              </w:rPr>
              <w:t>或单跨跨度</w:t>
            </w:r>
            <w:r>
              <w:rPr>
                <w:rStyle w:val="56"/>
                <w:rFonts w:hint="default" w:ascii="Times New Roman" w:hAnsi="Times New Roman" w:cs="Times New Roman"/>
                <w:i w:val="0"/>
                <w:iCs w:val="0"/>
                <w:color w:val="auto"/>
                <w:sz w:val="21"/>
                <w:szCs w:val="21"/>
                <w:highlight w:val="none"/>
                <w:lang w:bidi="ar"/>
              </w:rPr>
              <w:t>≥</w:t>
            </w:r>
            <w:r>
              <w:rPr>
                <w:rStyle w:val="58"/>
                <w:rFonts w:hint="default" w:ascii="Times New Roman" w:hAnsi="Times New Roman" w:cs="Times New Roman"/>
                <w:b/>
                <w:bCs/>
                <w:i w:val="0"/>
                <w:iCs w:val="0"/>
                <w:color w:val="auto"/>
                <w:sz w:val="21"/>
                <w:szCs w:val="21"/>
                <w:highlight w:val="none"/>
                <w:lang w:bidi="ar"/>
              </w:rPr>
              <w:t>30</w:t>
            </w:r>
            <w:r>
              <w:rPr>
                <w:rStyle w:val="58"/>
                <w:rFonts w:hint="default" w:ascii="Times New Roman" w:cs="Times New Roman"/>
                <w:i w:val="0"/>
                <w:iCs w:val="0"/>
                <w:color w:val="auto"/>
                <w:sz w:val="21"/>
                <w:szCs w:val="21"/>
                <w:highlight w:val="none"/>
                <w:lang w:bidi="ar"/>
              </w:rPr>
              <w:t>米，或单体建筑面积</w:t>
            </w:r>
            <w:r>
              <w:rPr>
                <w:rStyle w:val="56"/>
                <w:rFonts w:hint="default" w:ascii="Times New Roman" w:hAnsi="Times New Roman" w:cs="Times New Roman"/>
                <w:i w:val="0"/>
                <w:iCs w:val="0"/>
                <w:color w:val="auto"/>
                <w:sz w:val="21"/>
                <w:szCs w:val="21"/>
                <w:highlight w:val="none"/>
                <w:lang w:bidi="ar"/>
              </w:rPr>
              <w:t>≥30000平方米；</w:t>
            </w:r>
          </w:p>
          <w:p w14:paraId="1531DA37">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Style w:val="56"/>
                <w:rFonts w:hint="default" w:ascii="Times New Roman" w:hAnsi="Times New Roman" w:cs="Times New Roman"/>
                <w:i w:val="0"/>
                <w:iCs w:val="0"/>
                <w:color w:val="auto"/>
                <w:sz w:val="21"/>
                <w:szCs w:val="21"/>
                <w:highlight w:val="none"/>
                <w:lang w:bidi="ar"/>
              </w:rPr>
              <w:t>住宅小区或建筑群体工程：建筑群建筑面积≥100000平方米。</w:t>
            </w:r>
          </w:p>
        </w:tc>
      </w:tr>
      <w:tr w14:paraId="21D77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245F8B1B">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7FCB1F7A">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高耸构筑物工程</w:t>
            </w:r>
          </w:p>
        </w:tc>
        <w:tc>
          <w:tcPr>
            <w:tcW w:w="6429" w:type="dxa"/>
            <w:noWrap w:val="0"/>
            <w:vAlign w:val="center"/>
          </w:tcPr>
          <w:p w14:paraId="0BB91CF3">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构筑物高度</w:t>
            </w:r>
            <w:r>
              <w:rPr>
                <w:rFonts w:hint="default" w:ascii="Times New Roman" w:hAnsi="Times New Roman" w:eastAsia="Times New Roman" w:cs="Times New Roman"/>
                <w:i w:val="0"/>
                <w:iCs w:val="0"/>
                <w:color w:val="auto"/>
                <w:sz w:val="21"/>
                <w:szCs w:val="21"/>
                <w:highlight w:val="none"/>
                <w:lang w:bidi="ar"/>
              </w:rPr>
              <w:t>≥100</w:t>
            </w:r>
            <w:r>
              <w:rPr>
                <w:rFonts w:hint="default" w:ascii="Times New Roman" w:hAnsi="宋体" w:eastAsia="Times New Roman" w:cs="Times New Roman"/>
                <w:i w:val="0"/>
                <w:iCs w:val="0"/>
                <w:color w:val="auto"/>
                <w:sz w:val="21"/>
                <w:szCs w:val="21"/>
                <w:highlight w:val="none"/>
                <w:lang w:bidi="ar"/>
              </w:rPr>
              <w:t>米</w:t>
            </w:r>
            <w:r>
              <w:rPr>
                <w:rFonts w:hint="eastAsia" w:ascii="Times New Roman" w:hAnsi="宋体" w:eastAsia="Times New Roman" w:cs="Times New Roman"/>
                <w:i w:val="0"/>
                <w:iCs w:val="0"/>
                <w:color w:val="auto"/>
                <w:sz w:val="21"/>
                <w:szCs w:val="21"/>
                <w:highlight w:val="none"/>
                <w:lang w:bidi="ar"/>
              </w:rPr>
              <w:t>，或淋水面积＞3500平方米的冷却塔及附属工程。</w:t>
            </w:r>
          </w:p>
        </w:tc>
      </w:tr>
      <w:tr w14:paraId="13E1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6" w:hRule="atLeast"/>
          <w:jc w:val="center"/>
        </w:trPr>
        <w:tc>
          <w:tcPr>
            <w:tcW w:w="755" w:type="dxa"/>
            <w:vMerge w:val="continue"/>
            <w:noWrap w:val="0"/>
            <w:vAlign w:val="center"/>
          </w:tcPr>
          <w:p w14:paraId="469C7D4A">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12A0F763">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地基与基础工程</w:t>
            </w:r>
          </w:p>
        </w:tc>
        <w:tc>
          <w:tcPr>
            <w:tcW w:w="6429" w:type="dxa"/>
            <w:noWrap w:val="0"/>
            <w:vAlign w:val="center"/>
          </w:tcPr>
          <w:p w14:paraId="25C21B55">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基坑深度</w:t>
            </w:r>
            <w:r>
              <w:rPr>
                <w:rFonts w:hint="default" w:ascii="Times New Roman" w:hAnsi="Times New Roman" w:eastAsia="Times New Roman" w:cs="Times New Roman"/>
                <w:i w:val="0"/>
                <w:iCs w:val="0"/>
                <w:color w:val="auto"/>
                <w:sz w:val="21"/>
                <w:szCs w:val="21"/>
                <w:highlight w:val="none"/>
                <w:lang w:bidi="ar"/>
              </w:rPr>
              <w:t>≥8</w:t>
            </w:r>
            <w:r>
              <w:rPr>
                <w:rFonts w:hint="default" w:ascii="Times New Roman" w:hAnsi="宋体" w:eastAsia="Times New Roman" w:cs="Times New Roman"/>
                <w:i w:val="0"/>
                <w:iCs w:val="0"/>
                <w:color w:val="auto"/>
                <w:sz w:val="21"/>
                <w:szCs w:val="21"/>
                <w:highlight w:val="none"/>
                <w:lang w:bidi="ar"/>
              </w:rPr>
              <w:t>米</w:t>
            </w:r>
          </w:p>
        </w:tc>
      </w:tr>
      <w:tr w14:paraId="7A59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342" w:hRule="atLeast"/>
          <w:jc w:val="center"/>
        </w:trPr>
        <w:tc>
          <w:tcPr>
            <w:tcW w:w="755" w:type="dxa"/>
            <w:vMerge w:val="continue"/>
            <w:noWrap w:val="0"/>
            <w:vAlign w:val="center"/>
          </w:tcPr>
          <w:p w14:paraId="6F1AF489">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357D9B34">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钢结构工程</w:t>
            </w:r>
          </w:p>
        </w:tc>
        <w:tc>
          <w:tcPr>
            <w:tcW w:w="6429" w:type="dxa"/>
            <w:noWrap w:val="0"/>
            <w:vAlign w:val="center"/>
          </w:tcPr>
          <w:p w14:paraId="7369E0A4">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钢结构建筑物或构筑物工程：跨度</w:t>
            </w:r>
            <w:r>
              <w:rPr>
                <w:rFonts w:hint="default" w:ascii="Times New Roman" w:hAnsi="Times New Roman" w:eastAsia="Times New Roman" w:cs="Times New Roman"/>
                <w:i w:val="0"/>
                <w:iCs w:val="0"/>
                <w:color w:val="auto"/>
                <w:sz w:val="21"/>
                <w:szCs w:val="21"/>
                <w:highlight w:val="none"/>
                <w:lang w:bidi="ar"/>
              </w:rPr>
              <w:t>≥</w:t>
            </w:r>
            <w:r>
              <w:rPr>
                <w:rFonts w:hint="default" w:ascii="Times New Roman" w:hAnsi="Times New Roman" w:eastAsia="Times New Roman" w:cs="Times New Roman"/>
                <w:b/>
                <w:bCs/>
                <w:i w:val="0"/>
                <w:iCs w:val="0"/>
                <w:color w:val="auto"/>
                <w:sz w:val="21"/>
                <w:szCs w:val="21"/>
                <w:highlight w:val="none"/>
                <w:lang w:bidi="ar"/>
              </w:rPr>
              <w:t>3</w:t>
            </w:r>
            <w:r>
              <w:rPr>
                <w:rFonts w:hint="eastAsia" w:ascii="Times New Roman" w:hAnsi="Times New Roman" w:eastAsia="Times New Roman" w:cs="Times New Roman"/>
                <w:b/>
                <w:bCs/>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米</w:t>
            </w:r>
            <w:r>
              <w:rPr>
                <w:rFonts w:hint="eastAsia" w:ascii="Times New Roman" w:hAnsi="宋体" w:eastAsia="Times New Roman" w:cs="Times New Roman"/>
                <w:i w:val="0"/>
                <w:iCs w:val="0"/>
                <w:color w:val="auto"/>
                <w:sz w:val="21"/>
                <w:szCs w:val="21"/>
                <w:highlight w:val="none"/>
                <w:lang w:bidi="ar"/>
              </w:rPr>
              <w:t>，或总重量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1000吨，或单体建筑面积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20000平方米；</w:t>
            </w:r>
          </w:p>
          <w:p w14:paraId="7724F3EE">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Times New Roman" w:eastAsia="Times New Roman" w:cs="Times New Roman"/>
                <w:i w:val="0"/>
                <w:iCs w:val="0"/>
                <w:color w:val="auto"/>
                <w:sz w:val="21"/>
                <w:szCs w:val="21"/>
                <w:highlight w:val="none"/>
                <w:lang w:bidi="ar"/>
              </w:rPr>
              <w:t>网架结构的制作安装工程</w:t>
            </w:r>
            <w:r>
              <w:rPr>
                <w:rFonts w:hint="eastAsia" w:ascii="Times New Roman" w:hAnsi="Times New Roman" w:eastAsia="Times New Roman" w:cs="Times New Roman"/>
                <w:i w:val="0"/>
                <w:iCs w:val="0"/>
                <w:color w:val="auto"/>
                <w:sz w:val="21"/>
                <w:szCs w:val="21"/>
                <w:highlight w:val="none"/>
                <w:lang w:bidi="ar"/>
              </w:rPr>
              <w:t>：网架工程边长</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70米，或总重量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300吨。</w:t>
            </w:r>
          </w:p>
        </w:tc>
      </w:tr>
      <w:tr w14:paraId="7990F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37" w:hRule="atLeast"/>
          <w:jc w:val="center"/>
        </w:trPr>
        <w:tc>
          <w:tcPr>
            <w:tcW w:w="755" w:type="dxa"/>
            <w:vMerge w:val="continue"/>
            <w:noWrap w:val="0"/>
            <w:vAlign w:val="center"/>
          </w:tcPr>
          <w:p w14:paraId="216D69E8">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699CAFBF">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lang w:bidi="ar"/>
              </w:rPr>
              <w:t>体育场地设施工程</w:t>
            </w:r>
          </w:p>
        </w:tc>
        <w:tc>
          <w:tcPr>
            <w:tcW w:w="6429" w:type="dxa"/>
            <w:noWrap w:val="0"/>
            <w:vAlign w:val="center"/>
          </w:tcPr>
          <w:p w14:paraId="19E4CEF2">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lang w:bidi="ar"/>
              </w:rPr>
              <w:t>体育场田径场地设施</w:t>
            </w:r>
            <w:r>
              <w:rPr>
                <w:rFonts w:hint="eastAsia" w:ascii="Times New Roman" w:hAnsi="Times New Roman" w:eastAsia="Times New Roman" w:cs="Times New Roman"/>
                <w:i w:val="0"/>
                <w:iCs w:val="0"/>
                <w:color w:val="auto"/>
                <w:sz w:val="21"/>
                <w:szCs w:val="21"/>
                <w:highlight w:val="none"/>
                <w:lang w:bidi="ar"/>
              </w:rPr>
              <w:t>：容纳人数</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2万人；</w:t>
            </w:r>
          </w:p>
          <w:p w14:paraId="0C0C66BE">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lang w:bidi="ar"/>
              </w:rPr>
              <w:t>体育馆</w:t>
            </w:r>
            <w:r>
              <w:rPr>
                <w:rFonts w:hint="eastAsia" w:ascii="Times New Roman" w:hAnsi="Times New Roman" w:eastAsia="Times New Roman" w:cs="Times New Roman"/>
                <w:i w:val="0"/>
                <w:iCs w:val="0"/>
                <w:color w:val="auto"/>
                <w:sz w:val="21"/>
                <w:szCs w:val="21"/>
                <w:highlight w:val="none"/>
                <w:lang w:bidi="ar"/>
              </w:rPr>
              <w:t>：容纳人数</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5000人；</w:t>
            </w:r>
          </w:p>
          <w:p w14:paraId="4A658434">
            <w:pPr>
              <w:keepNext w:val="0"/>
              <w:keepLines w:val="0"/>
              <w:suppressLineNumbers w:val="0"/>
              <w:adjustRightInd/>
              <w:spacing w:before="0" w:beforeAutospacing="0" w:after="0" w:afterAutospacing="0"/>
              <w:ind w:left="0" w:right="0"/>
              <w:jc w:val="both"/>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Times New Roman" w:eastAsia="Times New Roman" w:cs="Times New Roman"/>
                <w:i w:val="0"/>
                <w:iCs w:val="0"/>
                <w:color w:val="auto"/>
                <w:sz w:val="21"/>
                <w:szCs w:val="21"/>
                <w:highlight w:val="none"/>
                <w:lang w:bidi="ar"/>
              </w:rPr>
              <w:t>球场</w:t>
            </w:r>
            <w:r>
              <w:rPr>
                <w:rFonts w:hint="default" w:ascii="Times New Roman" w:hAnsi="Times New Roman" w:eastAsia="Times New Roman" w:cs="Times New Roman"/>
                <w:i w:val="0"/>
                <w:iCs w:val="0"/>
                <w:color w:val="auto"/>
                <w:sz w:val="21"/>
                <w:szCs w:val="21"/>
                <w:highlight w:val="none"/>
                <w:lang w:bidi="ar"/>
              </w:rPr>
              <w:t>合成面层</w:t>
            </w:r>
            <w:r>
              <w:rPr>
                <w:rFonts w:hint="eastAsia" w:ascii="Times New Roman" w:hAnsi="Times New Roman" w:eastAsia="Times New Roman" w:cs="Times New Roman"/>
                <w:i w:val="0"/>
                <w:iCs w:val="0"/>
                <w:color w:val="auto"/>
                <w:sz w:val="21"/>
                <w:szCs w:val="21"/>
                <w:highlight w:val="none"/>
                <w:lang w:bidi="ar"/>
              </w:rPr>
              <w:t>：建筑面积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7000平方米。</w:t>
            </w:r>
          </w:p>
        </w:tc>
      </w:tr>
      <w:tr w14:paraId="688C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81" w:hRule="atLeast"/>
          <w:jc w:val="center"/>
        </w:trPr>
        <w:tc>
          <w:tcPr>
            <w:tcW w:w="755" w:type="dxa"/>
            <w:vMerge w:val="continue"/>
            <w:noWrap w:val="0"/>
            <w:vAlign w:val="center"/>
          </w:tcPr>
          <w:p w14:paraId="2F6FE01C">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4CBC9058">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室外附属工程</w:t>
            </w:r>
          </w:p>
        </w:tc>
        <w:tc>
          <w:tcPr>
            <w:tcW w:w="6429" w:type="dxa"/>
            <w:noWrap w:val="0"/>
            <w:vAlign w:val="center"/>
          </w:tcPr>
          <w:p w14:paraId="5C6537AC">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新建项目单体工程建筑面积</w:t>
            </w:r>
            <w:r>
              <w:rPr>
                <w:rFonts w:hint="default" w:ascii="Times New Roman" w:hAnsi="Times New Roman" w:eastAsia="Times New Roman" w:cs="Times New Roman"/>
                <w:i w:val="0"/>
                <w:iCs w:val="0"/>
                <w:color w:val="auto"/>
                <w:sz w:val="21"/>
                <w:szCs w:val="21"/>
                <w:highlight w:val="none"/>
                <w:lang w:bidi="ar"/>
              </w:rPr>
              <w:t>≥3</w:t>
            </w:r>
            <w:r>
              <w:rPr>
                <w:rFonts w:hint="default" w:ascii="Times New Roman" w:hAnsi="宋体" w:eastAsia="Times New Roman" w:cs="Times New Roman"/>
                <w:i w:val="0"/>
                <w:iCs w:val="0"/>
                <w:color w:val="auto"/>
                <w:sz w:val="21"/>
                <w:szCs w:val="21"/>
                <w:highlight w:val="none"/>
                <w:lang w:bidi="ar"/>
              </w:rPr>
              <w:t>万平方米的室外附属工程</w:t>
            </w:r>
          </w:p>
        </w:tc>
      </w:tr>
      <w:tr w14:paraId="6478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46" w:hRule="atLeast"/>
          <w:jc w:val="center"/>
        </w:trPr>
        <w:tc>
          <w:tcPr>
            <w:tcW w:w="755" w:type="dxa"/>
            <w:vMerge w:val="continue"/>
            <w:noWrap w:val="0"/>
            <w:vAlign w:val="center"/>
          </w:tcPr>
          <w:p w14:paraId="46F04402">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3DADD375">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装配式建筑工程</w:t>
            </w:r>
          </w:p>
        </w:tc>
        <w:tc>
          <w:tcPr>
            <w:tcW w:w="6429" w:type="dxa"/>
            <w:noWrap w:val="0"/>
            <w:vAlign w:val="center"/>
          </w:tcPr>
          <w:p w14:paraId="53F44A58">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eastAsia" w:ascii="Times New Roman" w:hAnsi="宋体" w:eastAsia="Times New Roman" w:cs="Times New Roman"/>
                <w:i w:val="0"/>
                <w:iCs w:val="0"/>
                <w:color w:val="auto"/>
                <w:sz w:val="21"/>
                <w:szCs w:val="21"/>
                <w:highlight w:val="none"/>
                <w:lang w:bidi="ar"/>
              </w:rPr>
              <w:t>符合</w:t>
            </w:r>
            <w:r>
              <w:rPr>
                <w:rFonts w:hint="default" w:ascii="Times New Roman" w:hAnsi="宋体" w:eastAsia="Times New Roman" w:cs="Times New Roman"/>
                <w:i w:val="0"/>
                <w:iCs w:val="0"/>
                <w:color w:val="auto"/>
                <w:sz w:val="21"/>
                <w:szCs w:val="21"/>
                <w:highlight w:val="none"/>
                <w:lang w:bidi="ar"/>
              </w:rPr>
              <w:t>装配式建筑</w:t>
            </w:r>
            <w:r>
              <w:rPr>
                <w:rFonts w:hint="eastAsia" w:ascii="Times New Roman" w:hAnsi="宋体" w:eastAsia="Times New Roman" w:cs="Times New Roman"/>
                <w:i w:val="0"/>
                <w:iCs w:val="0"/>
                <w:color w:val="auto"/>
                <w:sz w:val="21"/>
                <w:szCs w:val="21"/>
                <w:highlight w:val="none"/>
                <w:lang w:bidi="ar"/>
              </w:rPr>
              <w:t>标准的装配式建筑工程</w:t>
            </w:r>
            <w:r>
              <w:rPr>
                <w:rFonts w:hint="default" w:ascii="Times New Roman" w:hAnsi="宋体" w:eastAsia="Times New Roman" w:cs="Times New Roman"/>
                <w:i w:val="0"/>
                <w:iCs w:val="0"/>
                <w:color w:val="auto"/>
                <w:sz w:val="21"/>
                <w:szCs w:val="21"/>
                <w:highlight w:val="none"/>
                <w:lang w:bidi="ar"/>
              </w:rPr>
              <w:t>。</w:t>
            </w:r>
          </w:p>
        </w:tc>
      </w:tr>
      <w:tr w14:paraId="762B4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14815AE5">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3222F227">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含有装配化装修的</w:t>
            </w:r>
            <w:r>
              <w:rPr>
                <w:rFonts w:hint="default" w:ascii="Times New Roman" w:hAnsi="宋体" w:eastAsia="Times New Roman" w:cs="Times New Roman"/>
                <w:i w:val="0"/>
                <w:iCs w:val="0"/>
                <w:color w:val="auto"/>
                <w:sz w:val="21"/>
                <w:szCs w:val="21"/>
                <w:highlight w:val="none"/>
                <w:lang w:bidi="ar"/>
              </w:rPr>
              <w:t>建筑工程</w:t>
            </w:r>
          </w:p>
        </w:tc>
        <w:tc>
          <w:tcPr>
            <w:tcW w:w="6429" w:type="dxa"/>
            <w:noWrap w:val="0"/>
            <w:vAlign w:val="center"/>
          </w:tcPr>
          <w:p w14:paraId="219DE06F">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宋体" w:hAnsi="宋体" w:cs="宋体"/>
                <w:i w:val="0"/>
                <w:iCs w:val="0"/>
                <w:color w:val="auto"/>
                <w:sz w:val="21"/>
                <w:szCs w:val="21"/>
                <w:highlight w:val="none"/>
                <w:lang w:bidi="ar"/>
              </w:rPr>
              <w:t>符合装配式装修相关标准的装配式装修工程</w:t>
            </w:r>
          </w:p>
        </w:tc>
      </w:tr>
      <w:tr w14:paraId="308FB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485902F7">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2E14A396">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古建筑、保护性建筑修缮工程</w:t>
            </w:r>
          </w:p>
        </w:tc>
        <w:tc>
          <w:tcPr>
            <w:tcW w:w="6429" w:type="dxa"/>
            <w:noWrap w:val="0"/>
            <w:vAlign w:val="center"/>
          </w:tcPr>
          <w:p w14:paraId="0A24B816">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仿古建筑工程、园林建筑工程：单体建筑面积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800平方米；</w:t>
            </w:r>
          </w:p>
          <w:p w14:paraId="37BADA48">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Times New Roman" w:eastAsia="Times New Roman" w:cs="Times New Roman"/>
                <w:i w:val="0"/>
                <w:iCs w:val="0"/>
                <w:color w:val="auto"/>
                <w:sz w:val="21"/>
                <w:szCs w:val="21"/>
                <w:highlight w:val="none"/>
                <w:lang w:bidi="ar"/>
              </w:rPr>
              <w:t>国家级重点文物保护单位的古建筑修缮工程</w:t>
            </w:r>
            <w:r>
              <w:rPr>
                <w:rFonts w:hint="eastAsia" w:ascii="Times New Roman" w:hAnsi="Times New Roman" w:eastAsia="Times New Roman" w:cs="Times New Roman"/>
                <w:i w:val="0"/>
                <w:iCs w:val="0"/>
                <w:color w:val="auto"/>
                <w:sz w:val="21"/>
                <w:szCs w:val="21"/>
                <w:highlight w:val="none"/>
                <w:lang w:bidi="ar"/>
              </w:rPr>
              <w:t>：修缮建筑面积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200平方米；</w:t>
            </w:r>
            <w:r>
              <w:rPr>
                <w:rFonts w:hint="default" w:ascii="Times New Roman" w:hAnsi="Times New Roman" w:eastAsia="Times New Roman" w:cs="Times New Roman"/>
                <w:i w:val="0"/>
                <w:iCs w:val="0"/>
                <w:color w:val="auto"/>
                <w:sz w:val="21"/>
                <w:szCs w:val="21"/>
                <w:highlight w:val="none"/>
                <w:lang w:bidi="ar"/>
              </w:rPr>
              <w:t>省级重点文物保护单位的古建筑修缮工程</w:t>
            </w:r>
            <w:r>
              <w:rPr>
                <w:rFonts w:hint="eastAsia" w:ascii="Times New Roman" w:hAnsi="Times New Roman" w:eastAsia="Times New Roman" w:cs="Times New Roman"/>
                <w:i w:val="0"/>
                <w:iCs w:val="0"/>
                <w:color w:val="auto"/>
                <w:sz w:val="21"/>
                <w:szCs w:val="21"/>
                <w:highlight w:val="none"/>
                <w:lang w:bidi="ar"/>
              </w:rPr>
              <w:t>：修缮建筑面积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300平方米。</w:t>
            </w:r>
          </w:p>
        </w:tc>
      </w:tr>
      <w:tr w14:paraId="30A7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324B3D5B">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485A940E">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其他房屋建筑工程</w:t>
            </w:r>
          </w:p>
        </w:tc>
        <w:tc>
          <w:tcPr>
            <w:tcW w:w="6429" w:type="dxa"/>
            <w:noWrap w:val="0"/>
            <w:vAlign w:val="center"/>
          </w:tcPr>
          <w:p w14:paraId="3730B563">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涉及地铁保护、名胜古迹保护的房屋建筑工程（以相关部门批复为准）</w:t>
            </w:r>
          </w:p>
        </w:tc>
      </w:tr>
      <w:tr w14:paraId="76CC2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37" w:hRule="atLeast"/>
          <w:jc w:val="center"/>
        </w:trPr>
        <w:tc>
          <w:tcPr>
            <w:tcW w:w="755" w:type="dxa"/>
            <w:noWrap w:val="0"/>
            <w:vAlign w:val="center"/>
          </w:tcPr>
          <w:p w14:paraId="6F6B117F">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行业</w:t>
            </w:r>
          </w:p>
        </w:tc>
        <w:tc>
          <w:tcPr>
            <w:tcW w:w="1661" w:type="dxa"/>
            <w:noWrap w:val="0"/>
            <w:vAlign w:val="center"/>
          </w:tcPr>
          <w:p w14:paraId="211822D3">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工程类别</w:t>
            </w:r>
          </w:p>
        </w:tc>
        <w:tc>
          <w:tcPr>
            <w:tcW w:w="6429" w:type="dxa"/>
            <w:noWrap w:val="0"/>
            <w:vAlign w:val="center"/>
          </w:tcPr>
          <w:p w14:paraId="313CD7A5">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标段规模</w:t>
            </w:r>
          </w:p>
        </w:tc>
      </w:tr>
      <w:tr w14:paraId="66C6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restart"/>
            <w:noWrap w:val="0"/>
            <w:vAlign w:val="center"/>
          </w:tcPr>
          <w:p w14:paraId="2F505074">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rPr>
              <w:t>市政公用工程</w:t>
            </w:r>
          </w:p>
        </w:tc>
        <w:tc>
          <w:tcPr>
            <w:tcW w:w="1661" w:type="dxa"/>
            <w:noWrap w:val="0"/>
            <w:vAlign w:val="center"/>
          </w:tcPr>
          <w:p w14:paraId="766185D0">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城市道路</w:t>
            </w:r>
          </w:p>
        </w:tc>
        <w:tc>
          <w:tcPr>
            <w:tcW w:w="6429" w:type="dxa"/>
            <w:noWrap w:val="0"/>
            <w:vAlign w:val="center"/>
          </w:tcPr>
          <w:p w14:paraId="03CF6750">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城市快速路、主干道路≥</w:t>
            </w:r>
            <w:r>
              <w:rPr>
                <w:rFonts w:hint="eastAsia" w:ascii="Times New Roman" w:hAnsi="宋体" w:eastAsia="Times New Roman" w:cs="Times New Roman"/>
                <w:b/>
                <w:bCs/>
                <w:i w:val="0"/>
                <w:iCs w:val="0"/>
                <w:color w:val="auto"/>
                <w:sz w:val="21"/>
                <w:szCs w:val="21"/>
                <w:highlight w:val="none"/>
                <w:lang w:bidi="ar"/>
              </w:rPr>
              <w:t>5</w:t>
            </w:r>
            <w:r>
              <w:rPr>
                <w:rFonts w:hint="default" w:ascii="Times New Roman" w:hAnsi="宋体" w:eastAsia="Times New Roman" w:cs="Times New Roman"/>
                <w:i w:val="0"/>
                <w:iCs w:val="0"/>
                <w:color w:val="auto"/>
                <w:sz w:val="21"/>
                <w:szCs w:val="21"/>
                <w:highlight w:val="none"/>
                <w:lang w:bidi="ar"/>
              </w:rPr>
              <w:t>千米；或城市快速路、主干道路面积≥</w:t>
            </w:r>
            <w:r>
              <w:rPr>
                <w:rFonts w:hint="default" w:ascii="Times New Roman" w:hAnsi="宋体" w:eastAsia="Times New Roman" w:cs="Times New Roman"/>
                <w:b/>
                <w:bCs/>
                <w:i w:val="0"/>
                <w:iCs w:val="0"/>
                <w:color w:val="auto"/>
                <w:sz w:val="21"/>
                <w:szCs w:val="21"/>
                <w:highlight w:val="none"/>
                <w:lang w:bidi="ar"/>
              </w:rPr>
              <w:t>1</w:t>
            </w:r>
            <w:r>
              <w:rPr>
                <w:rFonts w:hint="eastAsia" w:ascii="Times New Roman" w:hAnsi="宋体" w:eastAsia="Times New Roman" w:cs="Times New Roman"/>
                <w:b/>
                <w:bCs/>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万平方米</w:t>
            </w:r>
          </w:p>
        </w:tc>
      </w:tr>
      <w:tr w14:paraId="121BD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5509CFC0">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4EB9A7E4">
            <w:pPr>
              <w:keepNext w:val="0"/>
              <w:keepLines w:val="0"/>
              <w:suppressLineNumbers w:val="0"/>
              <w:snapToGrid w:val="0"/>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城市公共广场</w:t>
            </w:r>
          </w:p>
          <w:p w14:paraId="4E46DE27">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（含体育场）</w:t>
            </w:r>
          </w:p>
        </w:tc>
        <w:tc>
          <w:tcPr>
            <w:tcW w:w="6429" w:type="dxa"/>
            <w:noWrap w:val="0"/>
            <w:vAlign w:val="center"/>
          </w:tcPr>
          <w:p w14:paraId="5BA1AABF">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广场面积≥</w:t>
            </w:r>
            <w:r>
              <w:rPr>
                <w:rFonts w:hint="eastAsia" w:ascii="Times New Roman" w:hAnsi="宋体" w:eastAsia="Times New Roman" w:cs="Times New Roman"/>
                <w:b/>
                <w:bCs/>
                <w:i w:val="0"/>
                <w:iCs w:val="0"/>
                <w:color w:val="auto"/>
                <w:sz w:val="21"/>
                <w:szCs w:val="21"/>
                <w:highlight w:val="none"/>
                <w:lang w:bidi="ar"/>
              </w:rPr>
              <w:t>5</w:t>
            </w:r>
            <w:r>
              <w:rPr>
                <w:rFonts w:hint="default" w:ascii="Times New Roman" w:hAnsi="宋体" w:eastAsia="Times New Roman" w:cs="Times New Roman"/>
                <w:i w:val="0"/>
                <w:iCs w:val="0"/>
                <w:color w:val="auto"/>
                <w:sz w:val="21"/>
                <w:szCs w:val="21"/>
                <w:highlight w:val="none"/>
                <w:lang w:bidi="ar"/>
              </w:rPr>
              <w:t>万平方米</w:t>
            </w:r>
          </w:p>
        </w:tc>
      </w:tr>
      <w:tr w14:paraId="05A9A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275A1760">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3A810F39">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桥梁工程</w:t>
            </w:r>
          </w:p>
        </w:tc>
        <w:tc>
          <w:tcPr>
            <w:tcW w:w="6429" w:type="dxa"/>
            <w:noWrap w:val="0"/>
            <w:vAlign w:val="center"/>
          </w:tcPr>
          <w:p w14:paraId="5A59CE90">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单跨跨度≥</w:t>
            </w:r>
            <w:r>
              <w:rPr>
                <w:rFonts w:hint="eastAsia" w:ascii="Times New Roman" w:hAnsi="宋体" w:eastAsia="Times New Roman" w:cs="Times New Roman"/>
                <w:i w:val="0"/>
                <w:iCs w:val="0"/>
                <w:color w:val="auto"/>
                <w:sz w:val="21"/>
                <w:szCs w:val="21"/>
                <w:highlight w:val="none"/>
                <w:lang w:bidi="ar"/>
              </w:rPr>
              <w:t>40</w:t>
            </w:r>
            <w:r>
              <w:rPr>
                <w:rFonts w:hint="default" w:ascii="Times New Roman" w:hAnsi="宋体" w:eastAsia="Times New Roman" w:cs="Times New Roman"/>
                <w:i w:val="0"/>
                <w:iCs w:val="0"/>
                <w:color w:val="auto"/>
                <w:sz w:val="21"/>
                <w:szCs w:val="21"/>
                <w:highlight w:val="none"/>
                <w:lang w:bidi="ar"/>
              </w:rPr>
              <w:t>米</w:t>
            </w:r>
            <w:r>
              <w:rPr>
                <w:rFonts w:hint="eastAsia" w:ascii="Times New Roman" w:hAnsi="宋体" w:eastAsia="Times New Roman" w:cs="Times New Roman"/>
                <w:i w:val="0"/>
                <w:iCs w:val="0"/>
                <w:color w:val="auto"/>
                <w:sz w:val="21"/>
                <w:szCs w:val="21"/>
                <w:highlight w:val="none"/>
                <w:lang w:bidi="ar"/>
              </w:rPr>
              <w:t>，或总长</w:t>
            </w:r>
            <w:r>
              <w:rPr>
                <w:rFonts w:hint="default" w:ascii="Times New Roman" w:hAnsi="宋体"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100米</w:t>
            </w:r>
            <w:r>
              <w:rPr>
                <w:rFonts w:hint="default" w:ascii="Times New Roman" w:hAnsi="宋体" w:eastAsia="Times New Roman" w:cs="Times New Roman"/>
                <w:i w:val="0"/>
                <w:iCs w:val="0"/>
                <w:color w:val="auto"/>
                <w:sz w:val="21"/>
                <w:szCs w:val="21"/>
                <w:highlight w:val="none"/>
                <w:lang w:bidi="ar"/>
              </w:rPr>
              <w:t>；或墩高≥40米的桥梁；或铺装面积≥8000平方米的装配式桥梁</w:t>
            </w:r>
          </w:p>
        </w:tc>
      </w:tr>
      <w:tr w14:paraId="1E25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3115" w:hRule="atLeast"/>
          <w:jc w:val="center"/>
        </w:trPr>
        <w:tc>
          <w:tcPr>
            <w:tcW w:w="755" w:type="dxa"/>
            <w:vMerge w:val="continue"/>
            <w:noWrap w:val="0"/>
            <w:vAlign w:val="center"/>
          </w:tcPr>
          <w:p w14:paraId="351449AC">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677FEB30">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地下交通</w:t>
            </w:r>
          </w:p>
        </w:tc>
        <w:tc>
          <w:tcPr>
            <w:tcW w:w="6429" w:type="dxa"/>
            <w:noWrap w:val="0"/>
            <w:vAlign w:val="center"/>
          </w:tcPr>
          <w:p w14:paraId="3788D2EB">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隧道工程：内径≥</w:t>
            </w:r>
            <w:r>
              <w:rPr>
                <w:rFonts w:hint="eastAsia" w:ascii="Times New Roman" w:hAnsi="宋体" w:eastAsia="Times New Roman" w:cs="Times New Roman"/>
                <w:i w:val="0"/>
                <w:iCs w:val="0"/>
                <w:color w:val="auto"/>
                <w:sz w:val="21"/>
                <w:szCs w:val="21"/>
                <w:highlight w:val="none"/>
                <w:lang w:bidi="ar"/>
              </w:rPr>
              <w:t>5米，或单洞洞长≥1000米，或单洞断面面积≥40平方米；</w:t>
            </w:r>
          </w:p>
          <w:p w14:paraId="4DF0CC6F">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车站工程：基坑深度≥</w:t>
            </w:r>
            <w:r>
              <w:rPr>
                <w:rFonts w:hint="eastAsia" w:ascii="Times New Roman" w:hAnsi="宋体" w:eastAsia="Times New Roman" w:cs="Times New Roman"/>
                <w:i w:val="0"/>
                <w:iCs w:val="0"/>
                <w:color w:val="auto"/>
                <w:sz w:val="21"/>
                <w:szCs w:val="21"/>
                <w:highlight w:val="none"/>
                <w:lang w:bidi="ar"/>
              </w:rPr>
              <w:t>8米；</w:t>
            </w:r>
          </w:p>
          <w:p w14:paraId="6F72731E">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深基坑工程：基坑深度≥</w:t>
            </w:r>
            <w:r>
              <w:rPr>
                <w:rFonts w:hint="eastAsia" w:ascii="Times New Roman" w:hAnsi="宋体" w:eastAsia="Times New Roman" w:cs="Times New Roman"/>
                <w:i w:val="0"/>
                <w:iCs w:val="0"/>
                <w:color w:val="auto"/>
                <w:sz w:val="21"/>
                <w:szCs w:val="21"/>
                <w:highlight w:val="none"/>
                <w:lang w:bidi="ar"/>
              </w:rPr>
              <w:t>8米；</w:t>
            </w:r>
          </w:p>
          <w:p w14:paraId="4BC169C3">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临近既有线路</w:t>
            </w:r>
            <w:r>
              <w:rPr>
                <w:rFonts w:hint="eastAsia" w:ascii="Times New Roman" w:hAnsi="宋体" w:eastAsia="Times New Roman" w:cs="Times New Roman"/>
                <w:i w:val="0"/>
                <w:iCs w:val="0"/>
                <w:color w:val="auto"/>
                <w:sz w:val="21"/>
                <w:szCs w:val="21"/>
                <w:highlight w:val="none"/>
                <w:lang w:bidi="ar"/>
              </w:rPr>
              <w:t>30m范围内的基坑工程、地基处理工程、隧道工程等：基坑与轨道交通结构外边线的净距≤30米的旁侧基坑工程；</w:t>
            </w:r>
          </w:p>
          <w:p w14:paraId="0B7D5384">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基坑深度≥</w:t>
            </w:r>
            <w:r>
              <w:rPr>
                <w:rFonts w:hint="eastAsia" w:ascii="Times New Roman" w:hAnsi="宋体" w:eastAsia="Times New Roman" w:cs="Times New Roman"/>
                <w:i w:val="0"/>
                <w:iCs w:val="0"/>
                <w:color w:val="auto"/>
                <w:sz w:val="21"/>
                <w:szCs w:val="21"/>
                <w:highlight w:val="none"/>
                <w:lang w:bidi="ar"/>
              </w:rPr>
              <w:t>2米的轨道交通上方基坑工程；</w:t>
            </w:r>
          </w:p>
          <w:p w14:paraId="75C284B5">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涉轨道交通的穿越工程（桥涵、隧道、地下管线工程）；</w:t>
            </w:r>
          </w:p>
          <w:p w14:paraId="4A487559">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净距≤</w:t>
            </w:r>
            <w:r>
              <w:rPr>
                <w:rFonts w:hint="eastAsia" w:ascii="Times New Roman" w:hAnsi="宋体" w:eastAsia="Times New Roman" w:cs="Times New Roman"/>
                <w:i w:val="0"/>
                <w:iCs w:val="0"/>
                <w:color w:val="auto"/>
                <w:sz w:val="21"/>
                <w:szCs w:val="21"/>
                <w:highlight w:val="none"/>
                <w:lang w:bidi="ar"/>
              </w:rPr>
              <w:t>30米的涉轨道交通的并行工程（桥涵、隧道、地下管线</w:t>
            </w:r>
            <w:r>
              <w:rPr>
                <w:rFonts w:hint="default" w:ascii="Times New Roman" w:hAnsi="宋体" w:eastAsia="Times New Roman" w:cs="Times New Roman"/>
                <w:i w:val="0"/>
                <w:iCs w:val="0"/>
                <w:color w:val="auto"/>
                <w:sz w:val="21"/>
                <w:szCs w:val="21"/>
                <w:highlight w:val="none"/>
                <w:lang w:bidi="ar"/>
              </w:rPr>
              <w:t>工程）</w:t>
            </w:r>
          </w:p>
        </w:tc>
      </w:tr>
      <w:tr w14:paraId="43BC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67292E29">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4F8BB904">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其他地下工程</w:t>
            </w:r>
          </w:p>
        </w:tc>
        <w:tc>
          <w:tcPr>
            <w:tcW w:w="6429" w:type="dxa"/>
            <w:noWrap w:val="0"/>
            <w:vAlign w:val="center"/>
          </w:tcPr>
          <w:p w14:paraId="2C276A2D">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城市综合管廊工程</w:t>
            </w:r>
          </w:p>
        </w:tc>
      </w:tr>
      <w:tr w14:paraId="6E62F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1F037326">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048A3DEC">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城市供水</w:t>
            </w:r>
          </w:p>
        </w:tc>
        <w:tc>
          <w:tcPr>
            <w:tcW w:w="6429" w:type="dxa"/>
            <w:noWrap w:val="0"/>
            <w:vAlign w:val="center"/>
          </w:tcPr>
          <w:p w14:paraId="26DEDC21">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日处理量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5</w:t>
            </w:r>
            <w:r>
              <w:rPr>
                <w:rFonts w:hint="default" w:ascii="Times New Roman" w:hAnsi="宋体" w:eastAsia="Times New Roman" w:cs="Times New Roman"/>
                <w:i w:val="0"/>
                <w:iCs w:val="0"/>
                <w:color w:val="auto"/>
                <w:sz w:val="21"/>
                <w:szCs w:val="21"/>
                <w:highlight w:val="none"/>
                <w:lang w:bidi="ar"/>
              </w:rPr>
              <w:t>万吨的供水厂，或管径</w:t>
            </w:r>
            <w:r>
              <w:rPr>
                <w:rFonts w:hint="default" w:ascii="Times New Roman" w:hAnsi="Times New Roman" w:eastAsia="Times New Roman" w:cs="Times New Roman"/>
                <w:i w:val="0"/>
                <w:iCs w:val="0"/>
                <w:color w:val="auto"/>
                <w:sz w:val="21"/>
                <w:szCs w:val="21"/>
                <w:highlight w:val="none"/>
                <w:lang w:bidi="ar"/>
              </w:rPr>
              <w:t>≥1.5</w:t>
            </w:r>
            <w:r>
              <w:rPr>
                <w:rFonts w:hint="default" w:ascii="Times New Roman" w:hAnsi="宋体" w:eastAsia="Times New Roman" w:cs="Times New Roman"/>
                <w:i w:val="0"/>
                <w:iCs w:val="0"/>
                <w:color w:val="auto"/>
                <w:sz w:val="21"/>
                <w:szCs w:val="21"/>
                <w:highlight w:val="none"/>
                <w:lang w:bidi="ar"/>
              </w:rPr>
              <w:t>米的供水管道工程</w:t>
            </w:r>
          </w:p>
        </w:tc>
      </w:tr>
      <w:tr w14:paraId="7F0E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7ED539B0">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41434E22">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城市排水</w:t>
            </w:r>
          </w:p>
        </w:tc>
        <w:tc>
          <w:tcPr>
            <w:tcW w:w="6429" w:type="dxa"/>
            <w:noWrap w:val="0"/>
            <w:vAlign w:val="center"/>
          </w:tcPr>
          <w:p w14:paraId="3C28B76F">
            <w:pPr>
              <w:keepNext w:val="0"/>
              <w:keepLines w:val="0"/>
              <w:suppressLineNumbers w:val="0"/>
              <w:snapToGrid w:val="0"/>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日处理量≥</w:t>
            </w:r>
            <w:r>
              <w:rPr>
                <w:rFonts w:hint="eastAsia" w:ascii="Times New Roman" w:hAnsi="宋体" w:eastAsia="Times New Roman" w:cs="Times New Roman"/>
                <w:i w:val="0"/>
                <w:iCs w:val="0"/>
                <w:color w:val="auto"/>
                <w:sz w:val="21"/>
                <w:szCs w:val="21"/>
                <w:highlight w:val="none"/>
                <w:lang w:bidi="ar"/>
              </w:rPr>
              <w:t>5</w:t>
            </w:r>
            <w:r>
              <w:rPr>
                <w:rFonts w:hint="default" w:ascii="Times New Roman" w:hAnsi="宋体" w:eastAsia="Times New Roman" w:cs="Times New Roman"/>
                <w:i w:val="0"/>
                <w:iCs w:val="0"/>
                <w:color w:val="auto"/>
                <w:sz w:val="21"/>
                <w:szCs w:val="21"/>
                <w:highlight w:val="none"/>
                <w:lang w:bidi="ar"/>
              </w:rPr>
              <w:t>万吨的污水处理厂，或管径≥1.5米的排水管道工程</w:t>
            </w:r>
          </w:p>
        </w:tc>
      </w:tr>
      <w:tr w14:paraId="37B0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1BEFE62E">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22A658FF">
            <w:pPr>
              <w:keepNext w:val="0"/>
              <w:keepLines w:val="0"/>
              <w:suppressLineNumbers w:val="0"/>
              <w:snapToGrid w:val="0"/>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热力工程</w:t>
            </w:r>
          </w:p>
        </w:tc>
        <w:tc>
          <w:tcPr>
            <w:tcW w:w="6429" w:type="dxa"/>
            <w:noWrap w:val="0"/>
            <w:vAlign w:val="center"/>
          </w:tcPr>
          <w:p w14:paraId="0B8FF1A2">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热源工程：产热量</w:t>
            </w:r>
            <w:r>
              <w:rPr>
                <w:rFonts w:hint="default" w:ascii="Times New Roman" w:hAnsi="宋体"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250吨/小时或供热面积＞30万平方米；热力管道工程：</w:t>
            </w:r>
            <w:r>
              <w:rPr>
                <w:rFonts w:hint="default" w:ascii="Times New Roman" w:hAnsi="宋体" w:eastAsia="Times New Roman" w:cs="Times New Roman"/>
                <w:i w:val="0"/>
                <w:iCs w:val="0"/>
                <w:color w:val="auto"/>
                <w:sz w:val="21"/>
                <w:szCs w:val="21"/>
                <w:highlight w:val="none"/>
                <w:lang w:bidi="ar"/>
              </w:rPr>
              <w:t>管径≥</w:t>
            </w:r>
            <w:r>
              <w:rPr>
                <w:rFonts w:hint="eastAsia" w:ascii="Times New Roman" w:hAnsi="宋体"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.5米</w:t>
            </w:r>
          </w:p>
        </w:tc>
      </w:tr>
      <w:tr w14:paraId="17CC9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871" w:hRule="atLeast"/>
          <w:jc w:val="center"/>
        </w:trPr>
        <w:tc>
          <w:tcPr>
            <w:tcW w:w="755" w:type="dxa"/>
            <w:vMerge w:val="continue"/>
            <w:noWrap w:val="0"/>
            <w:vAlign w:val="center"/>
          </w:tcPr>
          <w:p w14:paraId="6C9A8471">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78604469">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城市供气</w:t>
            </w:r>
          </w:p>
        </w:tc>
        <w:tc>
          <w:tcPr>
            <w:tcW w:w="6429" w:type="dxa"/>
            <w:noWrap w:val="0"/>
            <w:vAlign w:val="center"/>
          </w:tcPr>
          <w:p w14:paraId="162C3403">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燃气源工程：日产气量</w:t>
            </w:r>
            <w:r>
              <w:rPr>
                <w:rFonts w:hint="default" w:ascii="Times New Roman" w:hAnsi="宋体"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30万立方米；</w:t>
            </w:r>
          </w:p>
          <w:p w14:paraId="544B1723">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燃气管道工程：高压</w:t>
            </w:r>
            <w:r>
              <w:rPr>
                <w:rFonts w:hint="eastAsia" w:ascii="Times New Roman" w:hAnsi="宋体" w:eastAsia="Times New Roman" w:cs="Times New Roman"/>
                <w:i w:val="0"/>
                <w:iCs w:val="0"/>
                <w:color w:val="auto"/>
                <w:sz w:val="21"/>
                <w:szCs w:val="21"/>
                <w:highlight w:val="none"/>
                <w:lang w:bidi="ar"/>
              </w:rPr>
              <w:t>以上</w:t>
            </w:r>
            <w:r>
              <w:rPr>
                <w:rFonts w:hint="default" w:ascii="Times New Roman" w:hAnsi="宋体" w:eastAsia="Times New Roman" w:cs="Times New Roman"/>
                <w:i w:val="0"/>
                <w:iCs w:val="0"/>
                <w:color w:val="auto"/>
                <w:sz w:val="21"/>
                <w:szCs w:val="21"/>
                <w:highlight w:val="none"/>
                <w:lang w:bidi="ar"/>
              </w:rPr>
              <w:t>管道；</w:t>
            </w:r>
          </w:p>
          <w:p w14:paraId="19440166">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储备厂（站）工程：设计压力≥</w:t>
            </w:r>
            <w:r>
              <w:rPr>
                <w:rFonts w:hint="eastAsia" w:ascii="Times New Roman" w:hAnsi="宋体" w:eastAsia="Times New Roman" w:cs="Times New Roman"/>
                <w:i w:val="0"/>
                <w:iCs w:val="0"/>
                <w:color w:val="auto"/>
                <w:sz w:val="21"/>
                <w:szCs w:val="21"/>
                <w:highlight w:val="none"/>
                <w:lang w:bidi="ar"/>
              </w:rPr>
              <w:t>2.5</w:t>
            </w:r>
            <w:r>
              <w:rPr>
                <w:rFonts w:hint="default" w:ascii="Times New Roman" w:hAnsi="宋体" w:eastAsia="Times New Roman" w:cs="Times New Roman"/>
                <w:i w:val="0"/>
                <w:iCs w:val="0"/>
                <w:color w:val="auto"/>
                <w:sz w:val="21"/>
                <w:szCs w:val="21"/>
                <w:highlight w:val="none"/>
                <w:lang w:bidi="ar"/>
              </w:rPr>
              <w:t>兆帕、或总贮存容量≥1</w:t>
            </w:r>
            <w:r>
              <w:rPr>
                <w:rFonts w:hint="eastAsia" w:ascii="Times New Roman" w:hAnsi="宋体"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00立方米的液化石油气贮罐厂（站）、或总贮存容量≥400立方米的液化天然气贮罐厂（站）、或供气规模≥</w:t>
            </w:r>
            <w:r>
              <w:rPr>
                <w:rFonts w:hint="eastAsia" w:ascii="Times New Roman" w:hAnsi="宋体" w:eastAsia="Times New Roman" w:cs="Times New Roman"/>
                <w:i w:val="0"/>
                <w:iCs w:val="0"/>
                <w:color w:val="auto"/>
                <w:sz w:val="21"/>
                <w:szCs w:val="21"/>
                <w:highlight w:val="none"/>
                <w:lang w:bidi="ar"/>
              </w:rPr>
              <w:t>15</w:t>
            </w:r>
            <w:r>
              <w:rPr>
                <w:rFonts w:hint="default" w:ascii="Times New Roman" w:hAnsi="宋体" w:eastAsia="Times New Roman" w:cs="Times New Roman"/>
                <w:i w:val="0"/>
                <w:iCs w:val="0"/>
                <w:color w:val="auto"/>
                <w:sz w:val="21"/>
                <w:szCs w:val="21"/>
                <w:highlight w:val="none"/>
                <w:lang w:bidi="ar"/>
              </w:rPr>
              <w:t>万立方米/日的燃气工程</w:t>
            </w:r>
          </w:p>
        </w:tc>
      </w:tr>
      <w:tr w14:paraId="58C9C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134" w:hRule="atLeast"/>
          <w:jc w:val="center"/>
        </w:trPr>
        <w:tc>
          <w:tcPr>
            <w:tcW w:w="755" w:type="dxa"/>
            <w:vMerge w:val="continue"/>
            <w:noWrap w:val="0"/>
            <w:vAlign w:val="center"/>
          </w:tcPr>
          <w:p w14:paraId="76389CB4">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54D2BCB3">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生活垃圾</w:t>
            </w:r>
          </w:p>
        </w:tc>
        <w:tc>
          <w:tcPr>
            <w:tcW w:w="6429" w:type="dxa"/>
            <w:noWrap w:val="0"/>
            <w:vAlign w:val="center"/>
          </w:tcPr>
          <w:p w14:paraId="7E062778">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填埋场工程：日处理量≥500吨</w:t>
            </w:r>
            <w:r>
              <w:rPr>
                <w:rFonts w:hint="eastAsia" w:ascii="Times New Roman" w:hAnsi="宋体" w:eastAsia="Times New Roman" w:cs="Times New Roman"/>
                <w:i w:val="0"/>
                <w:iCs w:val="0"/>
                <w:color w:val="auto"/>
                <w:sz w:val="21"/>
                <w:szCs w:val="21"/>
                <w:highlight w:val="none"/>
                <w:lang w:bidi="ar"/>
              </w:rPr>
              <w:t xml:space="preserve"> 或封场库容</w:t>
            </w:r>
            <w:r>
              <w:rPr>
                <w:rFonts w:hint="default" w:ascii="Times New Roman" w:hAnsi="宋体" w:eastAsia="Times New Roman" w:cs="Times New Roman"/>
                <w:i w:val="0"/>
                <w:iCs w:val="0"/>
                <w:color w:val="auto"/>
                <w:sz w:val="21"/>
                <w:szCs w:val="21"/>
                <w:highlight w:val="none"/>
                <w:lang w:bidi="ar"/>
              </w:rPr>
              <w:t>≥500</w:t>
            </w:r>
            <w:r>
              <w:rPr>
                <w:rFonts w:hint="eastAsia" w:ascii="Times New Roman" w:hAnsi="宋体"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立方米；</w:t>
            </w:r>
          </w:p>
          <w:p w14:paraId="68AADF80">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焚烧厂工程：日处理量≥100吨；</w:t>
            </w:r>
          </w:p>
          <w:p w14:paraId="59AD608B">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餐厨（厨余）垃圾处理工程：日处理量≥100吨</w:t>
            </w:r>
          </w:p>
        </w:tc>
      </w:tr>
      <w:tr w14:paraId="05C5D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567" w:hRule="atLeast"/>
          <w:jc w:val="center"/>
        </w:trPr>
        <w:tc>
          <w:tcPr>
            <w:tcW w:w="755" w:type="dxa"/>
            <w:vMerge w:val="continue"/>
            <w:noWrap w:val="0"/>
            <w:vAlign w:val="center"/>
          </w:tcPr>
          <w:p w14:paraId="05E34C14">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1" w:type="dxa"/>
            <w:noWrap w:val="0"/>
            <w:vAlign w:val="center"/>
          </w:tcPr>
          <w:p w14:paraId="651865F7">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轻轨交通</w:t>
            </w:r>
          </w:p>
        </w:tc>
        <w:tc>
          <w:tcPr>
            <w:tcW w:w="6429" w:type="dxa"/>
            <w:noWrap w:val="0"/>
            <w:vAlign w:val="center"/>
          </w:tcPr>
          <w:p w14:paraId="72C36937">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单跨跨度</w:t>
            </w:r>
            <w:r>
              <w:rPr>
                <w:rFonts w:hint="default" w:ascii="Times New Roman" w:hAnsi="Times New Roman" w:eastAsia="Times New Roman" w:cs="Times New Roman"/>
                <w:i w:val="0"/>
                <w:iCs w:val="0"/>
                <w:color w:val="auto"/>
                <w:sz w:val="21"/>
                <w:szCs w:val="21"/>
                <w:highlight w:val="none"/>
                <w:lang w:bidi="ar"/>
              </w:rPr>
              <w:t>≥4</w:t>
            </w:r>
            <w:r>
              <w:rPr>
                <w:rFonts w:hint="eastAsia" w:ascii="Times New Roman" w:hAnsi="Times New Roman"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米的桥涵工程</w:t>
            </w:r>
          </w:p>
        </w:tc>
      </w:tr>
    </w:tbl>
    <w:p w14:paraId="3FE1C1FE">
      <w:pPr>
        <w:snapToGrid w:val="0"/>
        <w:rPr>
          <w:rFonts w:ascii="宋体" w:hAnsi="宋体"/>
          <w:i w:val="0"/>
          <w:iCs w:val="0"/>
          <w:color w:val="auto"/>
          <w:sz w:val="8"/>
          <w:szCs w:val="8"/>
          <w:highlight w:val="none"/>
        </w:rPr>
      </w:pP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0"/>
        <w:gridCol w:w="1664"/>
        <w:gridCol w:w="6431"/>
      </w:tblGrid>
      <w:tr w14:paraId="6C1E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18AE27B8">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行业</w:t>
            </w:r>
          </w:p>
        </w:tc>
        <w:tc>
          <w:tcPr>
            <w:tcW w:w="1664" w:type="dxa"/>
            <w:noWrap w:val="0"/>
            <w:vAlign w:val="center"/>
          </w:tcPr>
          <w:p w14:paraId="68F1395F">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工程类别</w:t>
            </w:r>
          </w:p>
        </w:tc>
        <w:tc>
          <w:tcPr>
            <w:tcW w:w="6431" w:type="dxa"/>
            <w:noWrap w:val="0"/>
            <w:vAlign w:val="center"/>
          </w:tcPr>
          <w:p w14:paraId="33D2B7D0">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i w:val="0"/>
                <w:iCs w:val="0"/>
                <w:color w:val="auto"/>
                <w:highlight w:val="none"/>
              </w:rPr>
            </w:pPr>
            <w:r>
              <w:rPr>
                <w:rFonts w:hint="default" w:ascii="Times New Roman" w:hAnsi="黑体" w:eastAsia="黑体" w:cs="Times New Roman"/>
                <w:i w:val="0"/>
                <w:iCs w:val="0"/>
                <w:color w:val="auto"/>
                <w:highlight w:val="none"/>
              </w:rPr>
              <w:t>标段规模</w:t>
            </w:r>
          </w:p>
        </w:tc>
      </w:tr>
      <w:tr w14:paraId="77BF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0ED48B79">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rPr>
              <w:t>机电安装工程</w:t>
            </w:r>
          </w:p>
        </w:tc>
        <w:tc>
          <w:tcPr>
            <w:tcW w:w="1664" w:type="dxa"/>
            <w:noWrap w:val="0"/>
            <w:vAlign w:val="center"/>
          </w:tcPr>
          <w:p w14:paraId="31AE1FE0">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一般工民建工程</w:t>
            </w:r>
          </w:p>
        </w:tc>
        <w:tc>
          <w:tcPr>
            <w:tcW w:w="6431" w:type="dxa"/>
            <w:noWrap w:val="0"/>
            <w:vAlign w:val="center"/>
          </w:tcPr>
          <w:p w14:paraId="1B2E0B3E">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通风空调工程：</w:t>
            </w:r>
            <w:r>
              <w:rPr>
                <w:rFonts w:hint="eastAsia" w:ascii="Times New Roman" w:hAnsi="宋体" w:eastAsia="Times New Roman" w:cs="Times New Roman"/>
                <w:i w:val="0"/>
                <w:iCs w:val="0"/>
                <w:color w:val="auto"/>
                <w:sz w:val="21"/>
                <w:szCs w:val="21"/>
                <w:highlight w:val="none"/>
                <w:lang w:bidi="ar"/>
              </w:rPr>
              <w:t>建筑面积＞2万平方米，或</w:t>
            </w:r>
            <w:r>
              <w:rPr>
                <w:rFonts w:hint="default" w:ascii="Times New Roman" w:hAnsi="宋体" w:eastAsia="Times New Roman" w:cs="Times New Roman"/>
                <w:i w:val="0"/>
                <w:iCs w:val="0"/>
                <w:color w:val="auto"/>
                <w:sz w:val="21"/>
                <w:szCs w:val="21"/>
                <w:highlight w:val="none"/>
                <w:lang w:bidi="ar"/>
              </w:rPr>
              <w:t>空调制冷量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8</w:t>
            </w:r>
            <w:r>
              <w:rPr>
                <w:rFonts w:hint="default" w:ascii="Times New Roman" w:hAnsi="Times New Roman" w:eastAsia="Times New Roman" w:cs="Times New Roman"/>
                <w:i w:val="0"/>
                <w:iCs w:val="0"/>
                <w:color w:val="auto"/>
                <w:sz w:val="21"/>
                <w:szCs w:val="21"/>
                <w:highlight w:val="none"/>
                <w:lang w:bidi="ar"/>
              </w:rPr>
              <w:t>00</w:t>
            </w:r>
            <w:r>
              <w:rPr>
                <w:rFonts w:hint="default" w:ascii="Times New Roman" w:hAnsi="宋体" w:eastAsia="Times New Roman" w:cs="Times New Roman"/>
                <w:i w:val="0"/>
                <w:iCs w:val="0"/>
                <w:color w:val="auto"/>
                <w:sz w:val="21"/>
                <w:szCs w:val="21"/>
                <w:highlight w:val="none"/>
                <w:lang w:bidi="ar"/>
              </w:rPr>
              <w:t>冷吨；</w:t>
            </w:r>
          </w:p>
          <w:p w14:paraId="66C97453">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消防工程：建筑面积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2</w:t>
            </w:r>
            <w:r>
              <w:rPr>
                <w:rFonts w:hint="default" w:ascii="Times New Roman" w:hAnsi="宋体" w:eastAsia="Times New Roman" w:cs="Times New Roman"/>
                <w:i w:val="0"/>
                <w:iCs w:val="0"/>
                <w:color w:val="auto"/>
                <w:sz w:val="21"/>
                <w:szCs w:val="21"/>
                <w:highlight w:val="none"/>
                <w:lang w:bidi="ar"/>
              </w:rPr>
              <w:t>万平方米；</w:t>
            </w:r>
          </w:p>
          <w:p w14:paraId="20AA426E">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自动控制系统工程：计算机或可编程控制器</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3</w:t>
            </w:r>
            <w:r>
              <w:rPr>
                <w:rFonts w:hint="default" w:ascii="Times New Roman" w:hAnsi="Times New Roman"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台（套）；</w:t>
            </w:r>
          </w:p>
          <w:p w14:paraId="6EBC963B">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建筑智能化工程：智能化系统</w:t>
            </w:r>
            <w:r>
              <w:rPr>
                <w:rFonts w:hint="default" w:ascii="Times New Roman" w:hAnsi="Times New Roman" w:eastAsia="Times New Roman" w:cs="Times New Roman"/>
                <w:i w:val="0"/>
                <w:iCs w:val="0"/>
                <w:color w:val="auto"/>
                <w:sz w:val="21"/>
                <w:szCs w:val="21"/>
                <w:highlight w:val="none"/>
                <w:lang w:bidi="ar"/>
              </w:rPr>
              <w:t>≥12</w:t>
            </w:r>
            <w:r>
              <w:rPr>
                <w:rFonts w:hint="default" w:ascii="Times New Roman" w:hAnsi="宋体" w:eastAsia="Times New Roman" w:cs="Times New Roman"/>
                <w:i w:val="0"/>
                <w:iCs w:val="0"/>
                <w:color w:val="auto"/>
                <w:sz w:val="21"/>
                <w:szCs w:val="21"/>
                <w:highlight w:val="none"/>
                <w:lang w:bidi="ar"/>
              </w:rPr>
              <w:t>个</w:t>
            </w:r>
          </w:p>
          <w:p w14:paraId="73FDD33A">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非标设备制安工程</w:t>
            </w:r>
            <w:r>
              <w:rPr>
                <w:rFonts w:hint="default" w:ascii="Times New Roman" w:hAnsi="宋体"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300吨；</w:t>
            </w:r>
          </w:p>
          <w:p w14:paraId="2C9C6893">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i w:val="0"/>
                <w:iCs w:val="0"/>
                <w:color w:val="auto"/>
                <w:sz w:val="21"/>
                <w:szCs w:val="21"/>
                <w:highlight w:val="none"/>
                <w:lang w:bidi="ar"/>
              </w:rPr>
            </w:pPr>
            <w:r>
              <w:rPr>
                <w:rFonts w:hint="eastAsia" w:ascii="Times New Roman" w:hAnsi="Times New Roman" w:eastAsia="Times New Roman" w:cs="Times New Roman"/>
                <w:i w:val="0"/>
                <w:iCs w:val="0"/>
                <w:color w:val="auto"/>
                <w:sz w:val="21"/>
                <w:szCs w:val="21"/>
                <w:highlight w:val="none"/>
                <w:lang w:bidi="ar"/>
              </w:rPr>
              <w:t>管道安装工程：长度</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10000米；</w:t>
            </w:r>
          </w:p>
          <w:p w14:paraId="2B9CA5DD">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变配电站工程：电压10～35kv，且容量＞5000kvA  ；</w:t>
            </w:r>
          </w:p>
        </w:tc>
      </w:tr>
      <w:tr w14:paraId="5F857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5FC46E27">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2A46774C">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净化工程</w:t>
            </w:r>
          </w:p>
        </w:tc>
        <w:tc>
          <w:tcPr>
            <w:tcW w:w="6431" w:type="dxa"/>
            <w:noWrap w:val="0"/>
            <w:vAlign w:val="center"/>
          </w:tcPr>
          <w:p w14:paraId="438D4A18">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洁净等级</w:t>
            </w:r>
            <w:r>
              <w:rPr>
                <w:rFonts w:hint="eastAsia" w:ascii="Times New Roman" w:hAnsi="宋体" w:eastAsia="Times New Roman" w:cs="Times New Roman"/>
                <w:i w:val="0"/>
                <w:iCs w:val="0"/>
                <w:color w:val="auto"/>
                <w:sz w:val="21"/>
                <w:szCs w:val="21"/>
                <w:highlight w:val="none"/>
                <w:lang w:bidi="ar"/>
              </w:rPr>
              <w:t>高于6</w:t>
            </w:r>
            <w:r>
              <w:rPr>
                <w:rFonts w:hint="default" w:ascii="Times New Roman" w:hAnsi="宋体" w:eastAsia="Times New Roman" w:cs="Times New Roman"/>
                <w:i w:val="0"/>
                <w:iCs w:val="0"/>
                <w:color w:val="auto"/>
                <w:sz w:val="21"/>
                <w:szCs w:val="21"/>
                <w:highlight w:val="none"/>
                <w:lang w:bidi="ar"/>
              </w:rPr>
              <w:t>级</w:t>
            </w:r>
            <w:r>
              <w:rPr>
                <w:rFonts w:hint="eastAsia" w:ascii="Times New Roman" w:hAnsi="宋体" w:eastAsia="Times New Roman" w:cs="Times New Roman"/>
                <w:i w:val="0"/>
                <w:iCs w:val="0"/>
                <w:color w:val="auto"/>
                <w:sz w:val="21"/>
                <w:szCs w:val="21"/>
                <w:highlight w:val="none"/>
                <w:lang w:bidi="ar"/>
              </w:rPr>
              <w:t>（含）</w:t>
            </w:r>
          </w:p>
        </w:tc>
      </w:tr>
      <w:tr w14:paraId="2EEB9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7BEC7DBE">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2D4FF38C">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动力安装工程</w:t>
            </w:r>
          </w:p>
        </w:tc>
        <w:tc>
          <w:tcPr>
            <w:tcW w:w="6431" w:type="dxa"/>
            <w:noWrap w:val="0"/>
            <w:vAlign w:val="center"/>
          </w:tcPr>
          <w:p w14:paraId="3301DC14">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锅炉房</w:t>
            </w:r>
            <w:r>
              <w:rPr>
                <w:rFonts w:hint="eastAsia" w:ascii="Times New Roman" w:hAnsi="宋体" w:eastAsia="Times New Roman" w:cs="Times New Roman"/>
                <w:i w:val="0"/>
                <w:iCs w:val="0"/>
                <w:color w:val="auto"/>
                <w:sz w:val="21"/>
                <w:szCs w:val="21"/>
                <w:highlight w:val="none"/>
                <w:lang w:bidi="ar"/>
              </w:rPr>
              <w:t>：压力＞2.5MPa，且蒸发量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75t/h；</w:t>
            </w:r>
          </w:p>
          <w:p w14:paraId="3B1D5ADB">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氧气站：制氧量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宋体" w:eastAsia="Times New Roman" w:cs="Times New Roman"/>
                <w:i w:val="0"/>
                <w:iCs w:val="0"/>
                <w:color w:val="auto"/>
                <w:sz w:val="21"/>
                <w:szCs w:val="21"/>
                <w:highlight w:val="none"/>
                <w:lang w:bidi="ar"/>
              </w:rPr>
              <w:t>6000立方米/小时。</w:t>
            </w:r>
          </w:p>
        </w:tc>
      </w:tr>
      <w:tr w14:paraId="78DF6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2754FC25">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46DA6845">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起重设备安装工程</w:t>
            </w:r>
          </w:p>
        </w:tc>
        <w:tc>
          <w:tcPr>
            <w:tcW w:w="6431" w:type="dxa"/>
            <w:noWrap w:val="0"/>
            <w:vAlign w:val="center"/>
          </w:tcPr>
          <w:p w14:paraId="7C5EFE85">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起重量</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1000千牛</w:t>
            </w:r>
            <w:r>
              <w:rPr>
                <w:rFonts w:hint="default" w:ascii="Arial" w:hAnsi="Arial" w:eastAsia="Times New Roman" w:cs="Arial"/>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米。</w:t>
            </w:r>
          </w:p>
        </w:tc>
      </w:tr>
      <w:tr w14:paraId="6F396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0FCE7B49">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776EE4A2">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环保工程</w:t>
            </w:r>
          </w:p>
        </w:tc>
        <w:tc>
          <w:tcPr>
            <w:tcW w:w="6431" w:type="dxa"/>
            <w:noWrap w:val="0"/>
            <w:vAlign w:val="center"/>
          </w:tcPr>
          <w:p w14:paraId="72777482">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单池容积＞400立方米的粪便沼气池，或单池容积＞500立方米的厌氧生化处理池，或二乙以上医院的</w:t>
            </w:r>
            <w:r>
              <w:rPr>
                <w:rFonts w:hint="default" w:ascii="Times New Roman" w:hAnsi="宋体" w:eastAsia="Times New Roman" w:cs="Times New Roman"/>
                <w:i w:val="0"/>
                <w:iCs w:val="0"/>
                <w:color w:val="auto"/>
                <w:sz w:val="21"/>
                <w:szCs w:val="21"/>
                <w:highlight w:val="none"/>
                <w:lang w:bidi="ar"/>
              </w:rPr>
              <w:t>医疗污水处理工程</w:t>
            </w:r>
            <w:r>
              <w:rPr>
                <w:rFonts w:hint="eastAsia" w:ascii="Times New Roman" w:hAnsi="宋体" w:eastAsia="Times New Roman" w:cs="Times New Roman"/>
                <w:i w:val="0"/>
                <w:iCs w:val="0"/>
                <w:color w:val="auto"/>
                <w:sz w:val="21"/>
                <w:szCs w:val="21"/>
                <w:highlight w:val="none"/>
                <w:lang w:bidi="ar"/>
              </w:rPr>
              <w:t>。</w:t>
            </w:r>
          </w:p>
        </w:tc>
      </w:tr>
      <w:tr w14:paraId="208B5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restart"/>
            <w:noWrap w:val="0"/>
            <w:vAlign w:val="center"/>
          </w:tcPr>
          <w:p w14:paraId="708F01A5">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rPr>
              <w:t>装饰装修工程</w:t>
            </w:r>
          </w:p>
        </w:tc>
        <w:tc>
          <w:tcPr>
            <w:tcW w:w="1664" w:type="dxa"/>
            <w:noWrap w:val="0"/>
            <w:vAlign w:val="center"/>
          </w:tcPr>
          <w:p w14:paraId="5AFC4CB1">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装饰装修工程</w:t>
            </w:r>
          </w:p>
        </w:tc>
        <w:tc>
          <w:tcPr>
            <w:tcW w:w="6431" w:type="dxa"/>
            <w:noWrap w:val="0"/>
            <w:vAlign w:val="center"/>
          </w:tcPr>
          <w:p w14:paraId="703D9B1B">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单项装修面积</w:t>
            </w:r>
            <w:r>
              <w:rPr>
                <w:rFonts w:hint="default" w:ascii="Times New Roman" w:hAnsi="Times New Roman" w:eastAsia="Times New Roman" w:cs="Times New Roman"/>
                <w:i w:val="0"/>
                <w:iCs w:val="0"/>
                <w:color w:val="auto"/>
                <w:sz w:val="21"/>
                <w:szCs w:val="21"/>
                <w:highlight w:val="none"/>
                <w:lang w:bidi="ar"/>
              </w:rPr>
              <w:t>≥20000</w:t>
            </w:r>
            <w:r>
              <w:rPr>
                <w:rFonts w:hint="default" w:ascii="Times New Roman" w:hAnsi="宋体" w:eastAsia="Times New Roman" w:cs="Times New Roman"/>
                <w:i w:val="0"/>
                <w:iCs w:val="0"/>
                <w:color w:val="auto"/>
                <w:sz w:val="21"/>
                <w:szCs w:val="21"/>
                <w:highlight w:val="none"/>
                <w:lang w:bidi="ar"/>
              </w:rPr>
              <w:t>平方米</w:t>
            </w:r>
          </w:p>
        </w:tc>
      </w:tr>
      <w:tr w14:paraId="2557F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60EC69B2">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465B7AA0">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幕墙工程</w:t>
            </w:r>
          </w:p>
        </w:tc>
        <w:tc>
          <w:tcPr>
            <w:tcW w:w="6431" w:type="dxa"/>
            <w:noWrap w:val="0"/>
            <w:vAlign w:val="center"/>
          </w:tcPr>
          <w:p w14:paraId="364ACB8B">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单体建筑幕墙高度</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6</w:t>
            </w:r>
            <w:r>
              <w:rPr>
                <w:rFonts w:hint="default" w:ascii="Times New Roman" w:hAnsi="Times New Roman"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米，或面积</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6</w:t>
            </w:r>
            <w:r>
              <w:rPr>
                <w:rFonts w:hint="default" w:ascii="Times New Roman" w:hAnsi="Times New Roman" w:eastAsia="Times New Roman" w:cs="Times New Roman"/>
                <w:i w:val="0"/>
                <w:iCs w:val="0"/>
                <w:color w:val="auto"/>
                <w:sz w:val="21"/>
                <w:szCs w:val="21"/>
                <w:highlight w:val="none"/>
                <w:lang w:bidi="ar"/>
              </w:rPr>
              <w:t>000</w:t>
            </w:r>
            <w:r>
              <w:rPr>
                <w:rFonts w:hint="default" w:ascii="Times New Roman" w:hAnsi="宋体" w:eastAsia="Times New Roman" w:cs="Times New Roman"/>
                <w:i w:val="0"/>
                <w:iCs w:val="0"/>
                <w:color w:val="auto"/>
                <w:sz w:val="21"/>
                <w:szCs w:val="21"/>
                <w:highlight w:val="none"/>
                <w:lang w:bidi="ar"/>
              </w:rPr>
              <w:t>平方米</w:t>
            </w:r>
          </w:p>
        </w:tc>
      </w:tr>
      <w:tr w14:paraId="20AFF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65943F5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rPr>
            </w:pPr>
          </w:p>
        </w:tc>
        <w:tc>
          <w:tcPr>
            <w:tcW w:w="1664" w:type="dxa"/>
            <w:noWrap w:val="0"/>
            <w:vAlign w:val="center"/>
          </w:tcPr>
          <w:p w14:paraId="62228923">
            <w:pPr>
              <w:keepNext w:val="0"/>
              <w:keepLines w:val="0"/>
              <w:suppressLineNumbers w:val="0"/>
              <w:adjustRightInd/>
              <w:spacing w:before="0" w:beforeAutospacing="0" w:after="0" w:afterAutospacing="0"/>
              <w:ind w:left="0" w:right="0"/>
              <w:jc w:val="center"/>
              <w:textAlignment w:val="center"/>
              <w:rPr>
                <w:rFonts w:hint="default" w:ascii="Times New Roman" w:hAnsi="宋体" w:cs="Times New Roman"/>
                <w:i w:val="0"/>
                <w:iCs w:val="0"/>
                <w:color w:val="auto"/>
                <w:sz w:val="21"/>
                <w:szCs w:val="21"/>
                <w:highlight w:val="none"/>
                <w:lang w:bidi="ar"/>
              </w:rPr>
            </w:pPr>
            <w:r>
              <w:rPr>
                <w:rFonts w:hint="eastAsia" w:ascii="Times New Roman" w:hAnsi="宋体" w:eastAsia="Times New Roman" w:cs="Times New Roman"/>
                <w:i w:val="0"/>
                <w:iCs w:val="0"/>
                <w:color w:val="auto"/>
                <w:sz w:val="21"/>
                <w:szCs w:val="21"/>
                <w:highlight w:val="none"/>
                <w:lang w:bidi="ar"/>
              </w:rPr>
              <w:t>装配化装修</w:t>
            </w:r>
          </w:p>
        </w:tc>
        <w:tc>
          <w:tcPr>
            <w:tcW w:w="6431" w:type="dxa"/>
            <w:noWrap w:val="0"/>
            <w:vAlign w:val="center"/>
          </w:tcPr>
          <w:p w14:paraId="639AAF1D">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符合装配</w:t>
            </w:r>
            <w:r>
              <w:rPr>
                <w:rFonts w:hint="eastAsia" w:ascii="Times New Roman" w:hAnsi="宋体" w:eastAsia="Times New Roman" w:cs="Times New Roman"/>
                <w:i w:val="0"/>
                <w:iCs w:val="0"/>
                <w:color w:val="auto"/>
                <w:sz w:val="21"/>
                <w:szCs w:val="21"/>
                <w:highlight w:val="none"/>
                <w:lang w:bidi="ar"/>
              </w:rPr>
              <w:t>化装修相关</w:t>
            </w:r>
            <w:r>
              <w:rPr>
                <w:rFonts w:hint="default" w:ascii="Times New Roman" w:hAnsi="宋体" w:eastAsia="Times New Roman" w:cs="Times New Roman"/>
                <w:i w:val="0"/>
                <w:iCs w:val="0"/>
                <w:color w:val="auto"/>
                <w:sz w:val="21"/>
                <w:szCs w:val="21"/>
                <w:highlight w:val="none"/>
                <w:lang w:bidi="ar"/>
              </w:rPr>
              <w:t>标准的装配式</w:t>
            </w:r>
            <w:r>
              <w:rPr>
                <w:rFonts w:hint="eastAsia" w:ascii="Times New Roman" w:hAnsi="宋体" w:eastAsia="Times New Roman" w:cs="Times New Roman"/>
                <w:i w:val="0"/>
                <w:iCs w:val="0"/>
                <w:color w:val="auto"/>
                <w:sz w:val="21"/>
                <w:szCs w:val="21"/>
                <w:highlight w:val="none"/>
                <w:lang w:bidi="ar"/>
              </w:rPr>
              <w:t>装修</w:t>
            </w:r>
            <w:r>
              <w:rPr>
                <w:rFonts w:hint="default" w:ascii="Times New Roman" w:hAnsi="宋体" w:eastAsia="Times New Roman" w:cs="Times New Roman"/>
                <w:i w:val="0"/>
                <w:iCs w:val="0"/>
                <w:color w:val="auto"/>
                <w:sz w:val="21"/>
                <w:szCs w:val="21"/>
                <w:highlight w:val="none"/>
                <w:lang w:bidi="ar"/>
              </w:rPr>
              <w:t>工程</w:t>
            </w:r>
          </w:p>
        </w:tc>
      </w:tr>
      <w:tr w14:paraId="76EEF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2662EB5A">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rPr>
            </w:pPr>
            <w:r>
              <w:rPr>
                <w:rFonts w:hint="default" w:ascii="Times New Roman" w:hAnsi="宋体" w:eastAsia="Times New Roman" w:cs="Times New Roman"/>
                <w:i w:val="0"/>
                <w:iCs w:val="0"/>
                <w:color w:val="auto"/>
                <w:sz w:val="21"/>
                <w:szCs w:val="21"/>
                <w:highlight w:val="none"/>
                <w:lang w:bidi="ar"/>
              </w:rPr>
              <w:t>特种工程</w:t>
            </w:r>
          </w:p>
        </w:tc>
        <w:tc>
          <w:tcPr>
            <w:tcW w:w="1664" w:type="dxa"/>
            <w:noWrap w:val="0"/>
            <w:vAlign w:val="center"/>
          </w:tcPr>
          <w:p w14:paraId="016F7B90">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特种工程</w:t>
            </w:r>
          </w:p>
        </w:tc>
        <w:tc>
          <w:tcPr>
            <w:tcW w:w="6431" w:type="dxa"/>
            <w:noWrap w:val="0"/>
            <w:vAlign w:val="center"/>
          </w:tcPr>
          <w:p w14:paraId="16F48E99">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特殊专业工程（建筑物纠偏和平移、结构补强、特殊设备起重吊装、特种防雷等特殊工程</w:t>
            </w:r>
          </w:p>
        </w:tc>
      </w:tr>
      <w:tr w14:paraId="64BC0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63DFF2A8">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其他专业工程</w:t>
            </w:r>
          </w:p>
        </w:tc>
        <w:tc>
          <w:tcPr>
            <w:tcW w:w="1664" w:type="dxa"/>
            <w:noWrap w:val="0"/>
            <w:vAlign w:val="center"/>
          </w:tcPr>
          <w:p w14:paraId="32FCD57C">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石油天然气工程</w:t>
            </w:r>
          </w:p>
        </w:tc>
        <w:tc>
          <w:tcPr>
            <w:tcW w:w="6431" w:type="dxa"/>
            <w:noWrap w:val="0"/>
            <w:vAlign w:val="center"/>
          </w:tcPr>
          <w:p w14:paraId="7035B170">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大型石油化工工程主体工程（具体标准按照《建筑业企业资质标准》确定）</w:t>
            </w:r>
          </w:p>
        </w:tc>
      </w:tr>
      <w:tr w14:paraId="67A7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607D664E">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p>
        </w:tc>
        <w:tc>
          <w:tcPr>
            <w:tcW w:w="1664" w:type="dxa"/>
            <w:noWrap w:val="0"/>
            <w:vAlign w:val="center"/>
          </w:tcPr>
          <w:p w14:paraId="3B3133BE">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穿跨越工程</w:t>
            </w:r>
          </w:p>
        </w:tc>
        <w:tc>
          <w:tcPr>
            <w:tcW w:w="6431" w:type="dxa"/>
            <w:noWrap w:val="0"/>
            <w:vAlign w:val="center"/>
          </w:tcPr>
          <w:p w14:paraId="6FB366BC">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顶管工程：单条穿越长度</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5</w:t>
            </w:r>
            <w:r>
              <w:rPr>
                <w:rFonts w:hint="default" w:ascii="Times New Roman" w:hAnsi="Times New Roman" w:eastAsia="Times New Roman" w:cs="Times New Roman"/>
                <w:i w:val="0"/>
                <w:iCs w:val="0"/>
                <w:color w:val="auto"/>
                <w:sz w:val="21"/>
                <w:szCs w:val="21"/>
                <w:highlight w:val="none"/>
                <w:lang w:bidi="ar"/>
              </w:rPr>
              <w:t>0</w:t>
            </w:r>
            <w:r>
              <w:rPr>
                <w:rFonts w:hint="default" w:ascii="Times New Roman" w:hAnsi="宋体" w:eastAsia="Times New Roman" w:cs="Times New Roman"/>
                <w:i w:val="0"/>
                <w:iCs w:val="0"/>
                <w:color w:val="auto"/>
                <w:sz w:val="21"/>
                <w:szCs w:val="21"/>
                <w:highlight w:val="none"/>
                <w:lang w:bidi="ar"/>
              </w:rPr>
              <w:t>米，或工作井深度</w:t>
            </w:r>
            <w:r>
              <w:rPr>
                <w:rFonts w:hint="default" w:ascii="Times New Roman" w:hAnsi="Times New Roman" w:eastAsia="Times New Roman" w:cs="Times New Roman"/>
                <w:i w:val="0"/>
                <w:iCs w:val="0"/>
                <w:color w:val="auto"/>
                <w:sz w:val="21"/>
                <w:szCs w:val="21"/>
                <w:highlight w:val="none"/>
                <w:lang w:bidi="ar"/>
              </w:rPr>
              <w:t>≥8</w:t>
            </w:r>
            <w:r>
              <w:rPr>
                <w:rFonts w:hint="default" w:ascii="Times New Roman" w:hAnsi="宋体" w:eastAsia="Times New Roman" w:cs="Times New Roman"/>
                <w:i w:val="0"/>
                <w:iCs w:val="0"/>
                <w:color w:val="auto"/>
                <w:sz w:val="21"/>
                <w:szCs w:val="21"/>
                <w:highlight w:val="none"/>
                <w:lang w:bidi="ar"/>
              </w:rPr>
              <w:t>米；</w:t>
            </w:r>
          </w:p>
          <w:p w14:paraId="6CD0AD0F">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隧道穿越工程：单洞洞长</w:t>
            </w:r>
            <w:r>
              <w:rPr>
                <w:rFonts w:hint="default" w:ascii="Times New Roman" w:hAnsi="Times New Roman" w:eastAsia="Times New Roman" w:cs="Times New Roman"/>
                <w:i w:val="0"/>
                <w:iCs w:val="0"/>
                <w:color w:val="auto"/>
                <w:sz w:val="21"/>
                <w:szCs w:val="21"/>
                <w:highlight w:val="none"/>
                <w:lang w:bidi="ar"/>
              </w:rPr>
              <w:t>≥1</w:t>
            </w:r>
            <w:r>
              <w:rPr>
                <w:rFonts w:hint="eastAsia" w:ascii="Times New Roman" w:hAnsi="Times New Roman" w:eastAsia="Times New Roman" w:cs="Times New Roman"/>
                <w:i w:val="0"/>
                <w:iCs w:val="0"/>
                <w:color w:val="auto"/>
                <w:sz w:val="21"/>
                <w:szCs w:val="21"/>
                <w:highlight w:val="none"/>
                <w:lang w:bidi="ar"/>
              </w:rPr>
              <w:t>0</w:t>
            </w:r>
            <w:r>
              <w:rPr>
                <w:rFonts w:hint="default" w:ascii="Times New Roman" w:hAnsi="Times New Roman" w:eastAsia="Times New Roman" w:cs="Times New Roman"/>
                <w:i w:val="0"/>
                <w:iCs w:val="0"/>
                <w:color w:val="auto"/>
                <w:sz w:val="21"/>
                <w:szCs w:val="21"/>
                <w:highlight w:val="none"/>
                <w:lang w:bidi="ar"/>
              </w:rPr>
              <w:t>00</w:t>
            </w:r>
            <w:r>
              <w:rPr>
                <w:rFonts w:hint="default" w:ascii="Times New Roman" w:hAnsi="宋体" w:eastAsia="Times New Roman" w:cs="Times New Roman"/>
                <w:i w:val="0"/>
                <w:iCs w:val="0"/>
                <w:color w:val="auto"/>
                <w:sz w:val="21"/>
                <w:szCs w:val="21"/>
                <w:highlight w:val="none"/>
                <w:lang w:bidi="ar"/>
              </w:rPr>
              <w:t>米；</w:t>
            </w:r>
          </w:p>
          <w:p w14:paraId="07D9B9C7">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定向钻穿越工程：单条穿越长度</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5</w:t>
            </w:r>
            <w:r>
              <w:rPr>
                <w:rFonts w:hint="default" w:ascii="Times New Roman" w:hAnsi="Times New Roman" w:eastAsia="Times New Roman" w:cs="Times New Roman"/>
                <w:i w:val="0"/>
                <w:iCs w:val="0"/>
                <w:color w:val="auto"/>
                <w:sz w:val="21"/>
                <w:szCs w:val="21"/>
                <w:highlight w:val="none"/>
                <w:lang w:bidi="ar"/>
              </w:rPr>
              <w:t>00</w:t>
            </w:r>
            <w:r>
              <w:rPr>
                <w:rFonts w:hint="default" w:ascii="Times New Roman" w:hAnsi="宋体" w:eastAsia="Times New Roman" w:cs="Times New Roman"/>
                <w:i w:val="0"/>
                <w:iCs w:val="0"/>
                <w:color w:val="auto"/>
                <w:sz w:val="21"/>
                <w:szCs w:val="21"/>
                <w:highlight w:val="none"/>
                <w:lang w:bidi="ar"/>
              </w:rPr>
              <w:t>米，或者穿越地质为卵石层、松散状砂土或者粗砂层与破碎岩石层</w:t>
            </w:r>
          </w:p>
        </w:tc>
      </w:tr>
      <w:tr w14:paraId="5DAA5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3D85AFE0">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p>
        </w:tc>
        <w:tc>
          <w:tcPr>
            <w:tcW w:w="1664" w:type="dxa"/>
            <w:noWrap w:val="0"/>
            <w:vAlign w:val="center"/>
          </w:tcPr>
          <w:p w14:paraId="199960D2">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rPr>
              <w:t>爆破与拆除工程</w:t>
            </w:r>
          </w:p>
        </w:tc>
        <w:tc>
          <w:tcPr>
            <w:tcW w:w="6431" w:type="dxa"/>
            <w:noWrap w:val="0"/>
            <w:vAlign w:val="top"/>
          </w:tcPr>
          <w:p w14:paraId="7ED313A0">
            <w:pPr>
              <w:keepNext w:val="0"/>
              <w:keepLines w:val="0"/>
              <w:suppressLineNumbers w:val="0"/>
              <w:adjustRightInd/>
              <w:spacing w:before="0" w:beforeAutospacing="0" w:after="0" w:afterAutospacing="0"/>
              <w:ind w:left="0" w:right="0"/>
              <w:jc w:val="both"/>
              <w:rPr>
                <w:rFonts w:hint="default" w:ascii="Times New Roman" w:hAnsi="Times New Roman"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rPr>
              <w:t>C</w:t>
            </w:r>
            <w:r>
              <w:rPr>
                <w:rFonts w:hint="default" w:ascii="Times New Roman" w:hAnsi="宋体" w:eastAsia="Times New Roman" w:cs="Times New Roman"/>
                <w:i w:val="0"/>
                <w:iCs w:val="0"/>
                <w:color w:val="auto"/>
                <w:sz w:val="21"/>
                <w:szCs w:val="21"/>
                <w:highlight w:val="none"/>
              </w:rPr>
              <w:t>级以上大爆破工程、</w:t>
            </w:r>
            <w:r>
              <w:rPr>
                <w:rFonts w:hint="default" w:ascii="Times New Roman" w:hAnsi="Times New Roman" w:eastAsia="Times New Roman" w:cs="Times New Roman"/>
                <w:i w:val="0"/>
                <w:iCs w:val="0"/>
                <w:color w:val="auto"/>
                <w:sz w:val="21"/>
                <w:szCs w:val="21"/>
                <w:highlight w:val="none"/>
              </w:rPr>
              <w:t>B</w:t>
            </w:r>
            <w:r>
              <w:rPr>
                <w:rFonts w:hint="default" w:ascii="Times New Roman" w:hAnsi="宋体" w:eastAsia="Times New Roman" w:cs="Times New Roman"/>
                <w:i w:val="0"/>
                <w:iCs w:val="0"/>
                <w:color w:val="auto"/>
                <w:sz w:val="21"/>
                <w:szCs w:val="21"/>
                <w:highlight w:val="none"/>
              </w:rPr>
              <w:t>级以上复杂环境深孔爆破、拆除爆破及城市控制爆破及其他爆破拆除工程</w:t>
            </w:r>
          </w:p>
        </w:tc>
      </w:tr>
      <w:tr w14:paraId="391EE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6B22D864">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p>
        </w:tc>
        <w:tc>
          <w:tcPr>
            <w:tcW w:w="1664" w:type="dxa"/>
            <w:noWrap w:val="0"/>
            <w:vAlign w:val="center"/>
          </w:tcPr>
          <w:p w14:paraId="4995D550">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盾构隧道</w:t>
            </w:r>
          </w:p>
        </w:tc>
        <w:tc>
          <w:tcPr>
            <w:tcW w:w="6431" w:type="dxa"/>
            <w:noWrap w:val="0"/>
            <w:vAlign w:val="center"/>
          </w:tcPr>
          <w:p w14:paraId="58EAA909">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lang w:bidi="ar"/>
              </w:rPr>
              <w:t>单洞洞长</w:t>
            </w:r>
            <w:r>
              <w:rPr>
                <w:rFonts w:hint="default" w:ascii="Times New Roman" w:hAnsi="Times New Roman" w:eastAsia="Times New Roman" w:cs="Times New Roman"/>
                <w:i w:val="0"/>
                <w:iCs w:val="0"/>
                <w:color w:val="auto"/>
                <w:sz w:val="21"/>
                <w:szCs w:val="21"/>
                <w:highlight w:val="none"/>
                <w:lang w:bidi="ar"/>
              </w:rPr>
              <w:t>≥</w:t>
            </w:r>
            <w:r>
              <w:rPr>
                <w:rFonts w:hint="eastAsia" w:ascii="Times New Roman" w:hAnsi="Times New Roman" w:eastAsia="Times New Roman" w:cs="Times New Roman"/>
                <w:i w:val="0"/>
                <w:iCs w:val="0"/>
                <w:color w:val="auto"/>
                <w:sz w:val="21"/>
                <w:szCs w:val="21"/>
                <w:highlight w:val="none"/>
                <w:lang w:bidi="ar"/>
              </w:rPr>
              <w:t>15</w:t>
            </w:r>
            <w:r>
              <w:rPr>
                <w:rFonts w:hint="default" w:ascii="Times New Roman" w:hAnsi="Times New Roman" w:eastAsia="Times New Roman" w:cs="Times New Roman"/>
                <w:i w:val="0"/>
                <w:iCs w:val="0"/>
                <w:color w:val="auto"/>
                <w:sz w:val="21"/>
                <w:szCs w:val="21"/>
                <w:highlight w:val="none"/>
                <w:lang w:bidi="ar"/>
              </w:rPr>
              <w:t>00</w:t>
            </w:r>
            <w:r>
              <w:rPr>
                <w:rFonts w:hint="default" w:ascii="Times New Roman" w:hAnsi="宋体" w:eastAsia="Times New Roman" w:cs="Times New Roman"/>
                <w:i w:val="0"/>
                <w:iCs w:val="0"/>
                <w:color w:val="auto"/>
                <w:sz w:val="21"/>
                <w:szCs w:val="21"/>
                <w:highlight w:val="none"/>
                <w:lang w:bidi="ar"/>
              </w:rPr>
              <w:t>米</w:t>
            </w:r>
          </w:p>
        </w:tc>
      </w:tr>
      <w:tr w14:paraId="3C7E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4168AC69">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i w:val="0"/>
                <w:iCs w:val="0"/>
                <w:color w:val="auto"/>
                <w:sz w:val="21"/>
                <w:szCs w:val="21"/>
                <w:highlight w:val="none"/>
                <w:lang w:bidi="ar"/>
              </w:rPr>
            </w:pPr>
          </w:p>
        </w:tc>
        <w:tc>
          <w:tcPr>
            <w:tcW w:w="1664" w:type="dxa"/>
            <w:noWrap w:val="0"/>
            <w:vAlign w:val="center"/>
          </w:tcPr>
          <w:p w14:paraId="2CEAAB65">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i w:val="0"/>
                <w:iCs w:val="0"/>
                <w:color w:val="auto"/>
                <w:sz w:val="21"/>
                <w:szCs w:val="21"/>
                <w:highlight w:val="none"/>
                <w:lang w:bidi="ar"/>
              </w:rPr>
            </w:pPr>
            <w:r>
              <w:rPr>
                <w:rFonts w:hint="default" w:ascii="Times New Roman" w:hAnsi="宋体" w:eastAsia="Times New Roman" w:cs="Times New Roman"/>
                <w:i w:val="0"/>
                <w:iCs w:val="0"/>
                <w:color w:val="auto"/>
                <w:sz w:val="21"/>
                <w:szCs w:val="21"/>
                <w:highlight w:val="none"/>
              </w:rPr>
              <w:t>其他专业工程</w:t>
            </w:r>
          </w:p>
        </w:tc>
        <w:tc>
          <w:tcPr>
            <w:tcW w:w="6431" w:type="dxa"/>
            <w:noWrap w:val="0"/>
            <w:vAlign w:val="center"/>
          </w:tcPr>
          <w:p w14:paraId="58D4C1E3">
            <w:pPr>
              <w:keepNext w:val="0"/>
              <w:keepLines w:val="0"/>
              <w:suppressLineNumbers w:val="0"/>
              <w:adjustRightInd/>
              <w:spacing w:before="0" w:beforeAutospacing="0" w:after="0" w:afterAutospacing="0"/>
              <w:ind w:left="0" w:right="0"/>
              <w:jc w:val="both"/>
              <w:rPr>
                <w:rFonts w:hint="default" w:ascii="Times New Roman" w:hAnsi="Times New Roman" w:eastAsia="Times New Roman" w:cs="Times New Roman"/>
                <w:i w:val="0"/>
                <w:iCs w:val="0"/>
                <w:color w:val="auto"/>
                <w:sz w:val="21"/>
                <w:szCs w:val="21"/>
                <w:highlight w:val="none"/>
                <w:lang w:bidi="ar"/>
              </w:rPr>
            </w:pPr>
            <w:r>
              <w:rPr>
                <w:rFonts w:hint="default" w:ascii="Times New Roman" w:hAnsi="Times New Roman" w:eastAsia="Times New Roman" w:cs="Times New Roman"/>
                <w:i w:val="0"/>
                <w:iCs w:val="0"/>
                <w:color w:val="auto"/>
                <w:sz w:val="21"/>
                <w:szCs w:val="21"/>
                <w:highlight w:val="none"/>
                <w:u w:val="single"/>
              </w:rPr>
              <w:t xml:space="preserve">         </w:t>
            </w:r>
          </w:p>
        </w:tc>
      </w:tr>
    </w:tbl>
    <w:p w14:paraId="3C6EE7FC">
      <w:pPr>
        <w:pStyle w:val="41"/>
        <w:autoSpaceDN w:val="0"/>
        <w:spacing w:before="120" w:beforeLines="50" w:line="360" w:lineRule="auto"/>
        <w:ind w:left="480" w:leftChars="200" w:firstLine="0" w:firstLineChars="0"/>
        <w:jc w:val="left"/>
        <w:rPr>
          <w:b/>
          <w:i w:val="0"/>
          <w:iCs w:val="0"/>
          <w:color w:val="auto"/>
          <w:highlight w:val="none"/>
        </w:rPr>
      </w:pPr>
      <w:r>
        <w:rPr>
          <w:rFonts w:hint="eastAsia" w:hAnsi="宋体"/>
          <w:b/>
          <w:i w:val="0"/>
          <w:iCs w:val="0"/>
          <w:color w:val="auto"/>
          <w:kern w:val="0"/>
          <w:sz w:val="24"/>
          <w:szCs w:val="24"/>
          <w:highlight w:val="none"/>
        </w:rPr>
        <w:t>五、</w:t>
      </w:r>
      <w:r>
        <w:rPr>
          <w:rFonts w:hAnsi="宋体"/>
          <w:b/>
          <w:i w:val="0"/>
          <w:iCs w:val="0"/>
          <w:color w:val="auto"/>
          <w:kern w:val="0"/>
          <w:sz w:val="24"/>
          <w:szCs w:val="24"/>
          <w:highlight w:val="none"/>
        </w:rPr>
        <w:t>工程量清单部分</w:t>
      </w:r>
    </w:p>
    <w:p w14:paraId="06F00ADC">
      <w:pPr>
        <w:adjustRightInd/>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工程量清单根据国家及我省工程量计量、计价规定进行编制，招标人对工程量清单的准确性和完整性负责。</w:t>
      </w:r>
    </w:p>
    <w:p w14:paraId="0F563DBB">
      <w:pPr>
        <w:pStyle w:val="41"/>
        <w:autoSpaceDN w:val="0"/>
        <w:spacing w:line="360" w:lineRule="auto"/>
        <w:ind w:left="480" w:leftChars="200" w:firstLine="0" w:firstLineChars="0"/>
        <w:jc w:val="left"/>
        <w:rPr>
          <w:b/>
          <w:i w:val="0"/>
          <w:iCs w:val="0"/>
          <w:color w:val="auto"/>
          <w:highlight w:val="none"/>
        </w:rPr>
      </w:pPr>
      <w:r>
        <w:rPr>
          <w:rFonts w:hint="eastAsia" w:hAnsi="宋体"/>
          <w:b/>
          <w:i w:val="0"/>
          <w:iCs w:val="0"/>
          <w:color w:val="auto"/>
          <w:kern w:val="0"/>
          <w:sz w:val="24"/>
          <w:szCs w:val="24"/>
          <w:highlight w:val="none"/>
        </w:rPr>
        <w:t>六、</w:t>
      </w:r>
      <w:r>
        <w:rPr>
          <w:rFonts w:hAnsi="宋体"/>
          <w:b/>
          <w:i w:val="0"/>
          <w:iCs w:val="0"/>
          <w:color w:val="auto"/>
          <w:kern w:val="0"/>
          <w:sz w:val="24"/>
          <w:szCs w:val="24"/>
          <w:highlight w:val="none"/>
        </w:rPr>
        <w:t>合同文本部分</w:t>
      </w:r>
    </w:p>
    <w:p w14:paraId="20284352">
      <w:pPr>
        <w:adjustRightInd/>
        <w:spacing w:line="360" w:lineRule="auto"/>
        <w:ind w:firstLine="480" w:firstLineChars="200"/>
        <w:rPr>
          <w:rFonts w:hint="eastAsia" w:ascii="宋体" w:hAnsi="宋体"/>
          <w:i w:val="0"/>
          <w:iCs w:val="0"/>
          <w:color w:val="auto"/>
          <w:highlight w:val="none"/>
        </w:rPr>
      </w:pPr>
      <w:r>
        <w:rPr>
          <w:rFonts w:hAnsi="宋体"/>
          <w:i w:val="0"/>
          <w:iCs w:val="0"/>
          <w:color w:val="auto"/>
          <w:highlight w:val="none"/>
        </w:rPr>
        <w:t>协议书格</w:t>
      </w:r>
      <w:r>
        <w:rPr>
          <w:rFonts w:ascii="宋体" w:hAnsi="宋体"/>
          <w:i w:val="0"/>
          <w:iCs w:val="0"/>
          <w:color w:val="auto"/>
          <w:highlight w:val="none"/>
        </w:rPr>
        <w:t>式及通用合同条款可省略；专用合同条款，招标人可根据工程实际情况在补充部分予以补充。</w:t>
      </w:r>
    </w:p>
    <w:p w14:paraId="08B34E85">
      <w:pPr>
        <w:pStyle w:val="41"/>
        <w:autoSpaceDN w:val="0"/>
        <w:spacing w:line="360" w:lineRule="auto"/>
        <w:ind w:left="480" w:leftChars="200" w:firstLine="0" w:firstLineChars="0"/>
        <w:jc w:val="left"/>
        <w:rPr>
          <w:b/>
          <w:i w:val="0"/>
          <w:iCs w:val="0"/>
          <w:color w:val="auto"/>
          <w:highlight w:val="none"/>
        </w:rPr>
      </w:pPr>
      <w:r>
        <w:rPr>
          <w:rFonts w:hint="eastAsia" w:hAnsi="宋体"/>
          <w:b/>
          <w:i w:val="0"/>
          <w:iCs w:val="0"/>
          <w:color w:val="auto"/>
          <w:kern w:val="0"/>
          <w:sz w:val="24"/>
          <w:szCs w:val="24"/>
          <w:highlight w:val="none"/>
        </w:rPr>
        <w:t>七、</w:t>
      </w:r>
      <w:r>
        <w:rPr>
          <w:rFonts w:hAnsi="宋体"/>
          <w:b/>
          <w:i w:val="0"/>
          <w:iCs w:val="0"/>
          <w:color w:val="auto"/>
          <w:kern w:val="0"/>
          <w:sz w:val="24"/>
          <w:szCs w:val="24"/>
          <w:highlight w:val="none"/>
        </w:rPr>
        <w:t>注解和说明</w:t>
      </w:r>
    </w:p>
    <w:p w14:paraId="1BA6FEBF">
      <w:pPr>
        <w:pStyle w:val="42"/>
        <w:snapToGrid w:val="0"/>
        <w:spacing w:line="360" w:lineRule="auto"/>
        <w:ind w:firstLine="480" w:firstLineChars="200"/>
        <w:rPr>
          <w:rFonts w:ascii="宋体" w:hAnsi="宋体"/>
          <w:b/>
          <w:bCs/>
          <w:i w:val="0"/>
          <w:iCs w:val="0"/>
          <w:color w:val="auto"/>
          <w:highlight w:val="none"/>
        </w:rPr>
      </w:pPr>
      <w:r>
        <w:rPr>
          <w:rFonts w:hAnsi="宋体"/>
          <w:i w:val="0"/>
          <w:iCs w:val="0"/>
          <w:color w:val="auto"/>
          <w:highlight w:val="none"/>
        </w:rPr>
        <w:t>投标格式文件中要求法定代表人（或委托代理人）签字或盖章的，电子投标文件应使用</w:t>
      </w:r>
      <w:r>
        <w:rPr>
          <w:i w:val="0"/>
          <w:iCs w:val="0"/>
          <w:color w:val="auto"/>
          <w:highlight w:val="none"/>
        </w:rPr>
        <w:t>CA</w:t>
      </w:r>
      <w:r>
        <w:rPr>
          <w:rFonts w:hAnsi="宋体"/>
          <w:i w:val="0"/>
          <w:iCs w:val="0"/>
          <w:color w:val="auto"/>
          <w:highlight w:val="none"/>
        </w:rPr>
        <w:t>数字证书加盖法定代表人个人电子印章；投标格式文件中要求投标人单位盖章的，电子投标文件应使用</w:t>
      </w:r>
      <w:r>
        <w:rPr>
          <w:i w:val="0"/>
          <w:iCs w:val="0"/>
          <w:color w:val="auto"/>
          <w:highlight w:val="none"/>
        </w:rPr>
        <w:t>CA</w:t>
      </w:r>
      <w:r>
        <w:rPr>
          <w:rFonts w:hAnsi="宋体"/>
          <w:i w:val="0"/>
          <w:iCs w:val="0"/>
          <w:color w:val="auto"/>
          <w:highlight w:val="none"/>
        </w:rPr>
        <w:t>数字证书加盖投标人单位电子印章。</w:t>
      </w:r>
    </w:p>
    <w:p w14:paraId="7D304005">
      <w:pPr>
        <w:widowControl/>
        <w:autoSpaceDN/>
        <w:rPr>
          <w:rFonts w:ascii="宋体" w:hAnsi="宋体"/>
          <w:i w:val="0"/>
          <w:iCs w:val="0"/>
          <w:color w:val="auto"/>
          <w:highlight w:val="none"/>
        </w:rPr>
      </w:pPr>
      <w:r>
        <w:rPr>
          <w:rFonts w:hint="eastAsia" w:ascii="宋体" w:hAnsi="宋体"/>
          <w:i w:val="0"/>
          <w:iCs w:val="0"/>
          <w:color w:val="auto"/>
          <w:highlight w:val="none"/>
        </w:rPr>
        <w:br w:type="page"/>
      </w:r>
    </w:p>
    <w:p w14:paraId="7F24698D">
      <w:pPr>
        <w:pStyle w:val="42"/>
        <w:snapToGrid w:val="0"/>
        <w:spacing w:line="360" w:lineRule="auto"/>
        <w:ind w:firstLine="480" w:firstLineChars="200"/>
        <w:rPr>
          <w:rFonts w:ascii="宋体" w:hAnsi="宋体"/>
          <w:i w:val="0"/>
          <w:iCs w:val="0"/>
          <w:color w:val="auto"/>
          <w:highlight w:val="none"/>
        </w:rPr>
      </w:pPr>
    </w:p>
    <w:p w14:paraId="1FA2F48A">
      <w:pPr>
        <w:pStyle w:val="42"/>
        <w:snapToGrid w:val="0"/>
        <w:spacing w:line="360" w:lineRule="auto"/>
        <w:ind w:firstLine="480" w:firstLineChars="200"/>
        <w:rPr>
          <w:rFonts w:ascii="宋体" w:hAnsi="宋体"/>
          <w:i w:val="0"/>
          <w:iCs w:val="0"/>
          <w:color w:val="auto"/>
          <w:highlight w:val="none"/>
        </w:rPr>
      </w:pPr>
    </w:p>
    <w:p w14:paraId="6A8A9907">
      <w:pPr>
        <w:pStyle w:val="42"/>
        <w:kinsoku w:val="0"/>
        <w:snapToGrid w:val="0"/>
        <w:spacing w:before="174" w:line="360" w:lineRule="auto"/>
        <w:ind w:right="175"/>
        <w:jc w:val="center"/>
        <w:outlineLvl w:val="0"/>
        <w:rPr>
          <w:i w:val="0"/>
          <w:iCs w:val="0"/>
          <w:color w:val="auto"/>
          <w:sz w:val="36"/>
          <w:szCs w:val="36"/>
          <w:highlight w:val="none"/>
        </w:rPr>
      </w:pPr>
      <w:r>
        <w:rPr>
          <w:rFonts w:hint="eastAsia" w:ascii="宋体" w:hAnsi="宋体"/>
          <w:i w:val="0"/>
          <w:iCs w:val="0"/>
          <w:color w:val="auto"/>
          <w:sz w:val="36"/>
          <w:szCs w:val="36"/>
          <w:highlight w:val="none"/>
          <w:u w:val="single"/>
        </w:rPr>
        <w:t xml:space="preserve"> </w:t>
      </w:r>
      <w:bookmarkStart w:id="4" w:name="_Toc29197"/>
      <w:r>
        <w:rPr>
          <w:rFonts w:hint="eastAsia" w:ascii="宋体" w:hAnsi="宋体"/>
          <w:i w:val="0"/>
          <w:iCs w:val="0"/>
          <w:color w:val="auto"/>
          <w:sz w:val="36"/>
          <w:szCs w:val="36"/>
          <w:highlight w:val="none"/>
          <w:u w:val="single"/>
          <w:lang w:eastAsia="zh-CN"/>
        </w:rPr>
        <w:t>梅山东片区一单元开发项目一期二期项目施工</w:t>
      </w:r>
      <w:r>
        <w:rPr>
          <w:rFonts w:hint="eastAsia" w:ascii="宋体" w:hAnsi="宋体"/>
          <w:i w:val="0"/>
          <w:iCs w:val="0"/>
          <w:color w:val="auto"/>
          <w:sz w:val="36"/>
          <w:szCs w:val="36"/>
          <w:highlight w:val="none"/>
          <w:u w:val="single"/>
        </w:rPr>
        <w:t xml:space="preserve"> </w:t>
      </w:r>
      <w:bookmarkEnd w:id="4"/>
    </w:p>
    <w:p w14:paraId="3E437C65">
      <w:pPr>
        <w:pStyle w:val="9"/>
        <w:kinsoku w:val="0"/>
        <w:spacing w:before="14" w:beforeAutospacing="0"/>
        <w:ind w:left="0" w:right="175"/>
        <w:jc w:val="center"/>
        <w:rPr>
          <w:rFonts w:ascii="宋体" w:hAnsi="宋体"/>
          <w:i w:val="0"/>
          <w:iCs w:val="0"/>
          <w:color w:val="auto"/>
          <w:spacing w:val="-1"/>
          <w:sz w:val="28"/>
          <w:szCs w:val="28"/>
          <w:highlight w:val="none"/>
        </w:rPr>
      </w:pPr>
    </w:p>
    <w:p w14:paraId="4BC1B182">
      <w:pPr>
        <w:pStyle w:val="9"/>
        <w:kinsoku w:val="0"/>
        <w:spacing w:before="14" w:beforeAutospacing="0"/>
        <w:ind w:left="0" w:right="175"/>
        <w:jc w:val="center"/>
        <w:rPr>
          <w:i w:val="0"/>
          <w:iCs w:val="0"/>
          <w:color w:val="auto"/>
          <w:sz w:val="28"/>
          <w:szCs w:val="28"/>
          <w:highlight w:val="none"/>
        </w:rPr>
      </w:pPr>
      <w:r>
        <w:rPr>
          <w:rFonts w:hint="eastAsia" w:ascii="宋体" w:hAnsi="宋体"/>
          <w:i w:val="0"/>
          <w:iCs w:val="0"/>
          <w:color w:val="auto"/>
          <w:spacing w:val="-1"/>
          <w:sz w:val="28"/>
          <w:szCs w:val="28"/>
          <w:highlight w:val="none"/>
        </w:rPr>
        <w:t>（</w:t>
      </w:r>
      <w:r>
        <w:rPr>
          <w:rFonts w:hint="eastAsia" w:ascii="宋体" w:hAnsi="宋体"/>
          <w:i w:val="0"/>
          <w:iCs w:val="0"/>
          <w:color w:val="auto"/>
          <w:spacing w:val="-1"/>
          <w:sz w:val="28"/>
          <w:szCs w:val="28"/>
          <w:highlight w:val="none"/>
          <w:u w:val="single"/>
        </w:rPr>
        <w:t>招标编号:A3306010720060261001001</w:t>
      </w:r>
      <w:r>
        <w:rPr>
          <w:rFonts w:hint="eastAsia" w:ascii="宋体" w:hAnsi="宋体"/>
          <w:i w:val="0"/>
          <w:iCs w:val="0"/>
          <w:color w:val="auto"/>
          <w:sz w:val="28"/>
          <w:szCs w:val="28"/>
          <w:highlight w:val="none"/>
        </w:rPr>
        <w:t>）</w:t>
      </w:r>
    </w:p>
    <w:p w14:paraId="7B24619A">
      <w:pPr>
        <w:pStyle w:val="9"/>
        <w:kinsoku w:val="0"/>
        <w:ind w:left="0"/>
        <w:jc w:val="center"/>
        <w:rPr>
          <w:i w:val="0"/>
          <w:iCs w:val="0"/>
          <w:color w:val="auto"/>
          <w:sz w:val="20"/>
          <w:szCs w:val="20"/>
          <w:highlight w:val="none"/>
        </w:rPr>
      </w:pPr>
    </w:p>
    <w:p w14:paraId="56EB7F6F">
      <w:pPr>
        <w:pStyle w:val="9"/>
        <w:kinsoku w:val="0"/>
        <w:ind w:left="0"/>
        <w:jc w:val="center"/>
        <w:rPr>
          <w:i w:val="0"/>
          <w:iCs w:val="0"/>
          <w:color w:val="auto"/>
          <w:sz w:val="20"/>
          <w:szCs w:val="20"/>
          <w:highlight w:val="none"/>
        </w:rPr>
      </w:pPr>
    </w:p>
    <w:p w14:paraId="249EDF2A">
      <w:pPr>
        <w:pStyle w:val="9"/>
        <w:kinsoku w:val="0"/>
        <w:ind w:left="0"/>
        <w:jc w:val="center"/>
        <w:rPr>
          <w:i w:val="0"/>
          <w:iCs w:val="0"/>
          <w:color w:val="auto"/>
          <w:sz w:val="20"/>
          <w:szCs w:val="20"/>
          <w:highlight w:val="none"/>
        </w:rPr>
      </w:pPr>
    </w:p>
    <w:p w14:paraId="647BE489">
      <w:pPr>
        <w:pStyle w:val="20"/>
        <w:ind w:firstLine="210"/>
        <w:rPr>
          <w:i w:val="0"/>
          <w:iCs w:val="0"/>
          <w:color w:val="auto"/>
          <w:highlight w:val="none"/>
        </w:rPr>
      </w:pPr>
    </w:p>
    <w:p w14:paraId="57DF4E53">
      <w:pPr>
        <w:pStyle w:val="16"/>
        <w:ind w:left="2400"/>
        <w:rPr>
          <w:i w:val="0"/>
          <w:iCs w:val="0"/>
          <w:color w:val="auto"/>
          <w:highlight w:val="none"/>
        </w:rPr>
      </w:pPr>
    </w:p>
    <w:p w14:paraId="61B364B9">
      <w:pPr>
        <w:pStyle w:val="9"/>
        <w:kinsoku w:val="0"/>
        <w:ind w:left="0"/>
        <w:jc w:val="center"/>
        <w:rPr>
          <w:i w:val="0"/>
          <w:iCs w:val="0"/>
          <w:color w:val="auto"/>
          <w:sz w:val="20"/>
          <w:szCs w:val="20"/>
          <w:highlight w:val="none"/>
        </w:rPr>
      </w:pPr>
    </w:p>
    <w:p w14:paraId="4FE20466">
      <w:pPr>
        <w:pStyle w:val="9"/>
        <w:kinsoku w:val="0"/>
        <w:spacing w:before="106" w:beforeAutospacing="0"/>
        <w:ind w:left="3" w:right="4"/>
        <w:jc w:val="center"/>
        <w:rPr>
          <w:i w:val="0"/>
          <w:iCs w:val="0"/>
          <w:color w:val="auto"/>
          <w:sz w:val="44"/>
          <w:szCs w:val="44"/>
          <w:highlight w:val="none"/>
        </w:rPr>
      </w:pPr>
      <w:r>
        <w:rPr>
          <w:rFonts w:hint="eastAsia" w:ascii="宋体" w:hAnsi="宋体"/>
          <w:i w:val="0"/>
          <w:iCs w:val="0"/>
          <w:color w:val="auto"/>
          <w:sz w:val="44"/>
          <w:szCs w:val="44"/>
          <w:highlight w:val="none"/>
        </w:rPr>
        <w:t>招标文件</w:t>
      </w:r>
    </w:p>
    <w:p w14:paraId="19E38D02">
      <w:pPr>
        <w:pStyle w:val="9"/>
        <w:kinsoku w:val="0"/>
        <w:spacing w:before="106" w:beforeAutospacing="0"/>
        <w:ind w:left="3" w:right="4"/>
        <w:jc w:val="center"/>
        <w:rPr>
          <w:i w:val="0"/>
          <w:iCs w:val="0"/>
          <w:color w:val="auto"/>
          <w:sz w:val="44"/>
          <w:szCs w:val="44"/>
          <w:highlight w:val="none"/>
        </w:rPr>
      </w:pPr>
      <w:r>
        <w:rPr>
          <w:rFonts w:hint="eastAsia" w:ascii="宋体" w:hAnsi="宋体"/>
          <w:i w:val="0"/>
          <w:iCs w:val="0"/>
          <w:color w:val="auto"/>
          <w:sz w:val="44"/>
          <w:szCs w:val="44"/>
          <w:highlight w:val="none"/>
        </w:rPr>
        <w:t>（</w:t>
      </w:r>
      <w:r>
        <w:rPr>
          <w:rFonts w:hint="eastAsia" w:ascii="宋体" w:hAnsi="宋体"/>
          <w:i w:val="0"/>
          <w:iCs w:val="0"/>
          <w:color w:val="auto"/>
          <w:sz w:val="44"/>
          <w:szCs w:val="44"/>
          <w:highlight w:val="none"/>
          <w:lang w:eastAsia="zh-CN"/>
        </w:rPr>
        <w:t>☑</w:t>
      </w:r>
      <w:r>
        <w:rPr>
          <w:rFonts w:hint="eastAsia" w:ascii="宋体" w:hAnsi="宋体"/>
          <w:i w:val="0"/>
          <w:iCs w:val="0"/>
          <w:color w:val="auto"/>
          <w:sz w:val="44"/>
          <w:szCs w:val="44"/>
          <w:highlight w:val="none"/>
        </w:rPr>
        <w:t>公开招标□邀请招标）</w:t>
      </w:r>
    </w:p>
    <w:p w14:paraId="417DB7D3">
      <w:pPr>
        <w:pStyle w:val="9"/>
        <w:kinsoku w:val="0"/>
        <w:ind w:left="0"/>
        <w:jc w:val="center"/>
        <w:rPr>
          <w:i w:val="0"/>
          <w:iCs w:val="0"/>
          <w:color w:val="auto"/>
          <w:sz w:val="44"/>
          <w:szCs w:val="44"/>
          <w:highlight w:val="none"/>
        </w:rPr>
      </w:pPr>
    </w:p>
    <w:p w14:paraId="439EF21A">
      <w:pPr>
        <w:pStyle w:val="9"/>
        <w:kinsoku w:val="0"/>
        <w:ind w:left="0"/>
        <w:jc w:val="both"/>
        <w:rPr>
          <w:i w:val="0"/>
          <w:iCs w:val="0"/>
          <w:color w:val="auto"/>
          <w:sz w:val="44"/>
          <w:szCs w:val="44"/>
          <w:highlight w:val="none"/>
        </w:rPr>
      </w:pPr>
      <w:r>
        <w:rPr>
          <w:rFonts w:hint="eastAsia" w:ascii="宋体" w:hAnsi="宋体"/>
          <w:i w:val="0"/>
          <w:iCs w:val="0"/>
          <w:color w:val="auto"/>
          <w:sz w:val="28"/>
          <w:szCs w:val="28"/>
          <w:highlight w:val="none"/>
          <w:u w:val="single"/>
          <w:lang w:eastAsia="zh-CN"/>
        </w:rPr>
        <w:drawing>
          <wp:anchor distT="0" distB="0" distL="114300" distR="114300" simplePos="0" relativeHeight="251659264" behindDoc="1" locked="0" layoutInCell="1" allowOverlap="1">
            <wp:simplePos x="0" y="0"/>
            <wp:positionH relativeFrom="column">
              <wp:posOffset>1202055</wp:posOffset>
            </wp:positionH>
            <wp:positionV relativeFrom="paragraph">
              <wp:posOffset>259080</wp:posOffset>
            </wp:positionV>
            <wp:extent cx="1668780" cy="1668780"/>
            <wp:effectExtent l="0" t="0" r="7620" b="7620"/>
            <wp:wrapNone/>
            <wp:docPr id="2" name="图片 2" descr="6bde3e1c-ec07-4e02-8b82-bd75ec236a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bde3e1c-ec07-4e02-8b82-bd75ec236a72"/>
                    <pic:cNvPicPr>
                      <a:picLocks noChangeAspect="1"/>
                    </pic:cNvPicPr>
                  </pic:nvPicPr>
                  <pic:blipFill>
                    <a:blip r:embed="rId7"/>
                    <a:stretch>
                      <a:fillRect/>
                    </a:stretch>
                  </pic:blipFill>
                  <pic:spPr>
                    <a:xfrm>
                      <a:off x="0" y="0"/>
                      <a:ext cx="1668780" cy="1668780"/>
                    </a:xfrm>
                    <a:prstGeom prst="rect">
                      <a:avLst/>
                    </a:prstGeom>
                  </pic:spPr>
                </pic:pic>
              </a:graphicData>
            </a:graphic>
          </wp:anchor>
        </w:drawing>
      </w:r>
    </w:p>
    <w:p w14:paraId="03A2C42E">
      <w:pPr>
        <w:pStyle w:val="9"/>
        <w:kinsoku w:val="0"/>
        <w:spacing w:before="8" w:beforeAutospacing="0" w:line="360" w:lineRule="auto"/>
        <w:ind w:left="0"/>
        <w:jc w:val="center"/>
        <w:rPr>
          <w:i w:val="0"/>
          <w:iCs w:val="0"/>
          <w:color w:val="auto"/>
          <w:sz w:val="33"/>
          <w:szCs w:val="33"/>
          <w:highlight w:val="none"/>
        </w:rPr>
      </w:pPr>
      <w:r>
        <w:rPr>
          <w:rFonts w:hint="eastAsia" w:ascii="宋体" w:hAnsi="宋体"/>
          <w:i w:val="0"/>
          <w:iCs w:val="0"/>
          <w:color w:val="auto"/>
          <w:sz w:val="28"/>
          <w:szCs w:val="28"/>
          <w:highlight w:val="none"/>
          <w:u w:val="single"/>
          <w:lang w:eastAsia="zh-CN"/>
        </w:rPr>
        <w:drawing>
          <wp:anchor distT="0" distB="0" distL="114300" distR="114300" simplePos="0" relativeHeight="251660288" behindDoc="1" locked="0" layoutInCell="1" allowOverlap="1">
            <wp:simplePos x="0" y="0"/>
            <wp:positionH relativeFrom="column">
              <wp:posOffset>3090545</wp:posOffset>
            </wp:positionH>
            <wp:positionV relativeFrom="paragraph">
              <wp:posOffset>326390</wp:posOffset>
            </wp:positionV>
            <wp:extent cx="2021840" cy="1889760"/>
            <wp:effectExtent l="0" t="0" r="5080" b="0"/>
            <wp:wrapNone/>
            <wp:docPr id="3" name="图片 3" descr="越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越锋"/>
                    <pic:cNvPicPr>
                      <a:picLocks noChangeAspect="1"/>
                    </pic:cNvPicPr>
                  </pic:nvPicPr>
                  <pic:blipFill>
                    <a:blip r:embed="rId8"/>
                    <a:stretch>
                      <a:fillRect/>
                    </a:stretch>
                  </pic:blipFill>
                  <pic:spPr>
                    <a:xfrm>
                      <a:off x="0" y="0"/>
                      <a:ext cx="2021840" cy="1889760"/>
                    </a:xfrm>
                    <a:prstGeom prst="rect">
                      <a:avLst/>
                    </a:prstGeom>
                  </pic:spPr>
                </pic:pic>
              </a:graphicData>
            </a:graphic>
          </wp:anchor>
        </w:drawing>
      </w:r>
    </w:p>
    <w:p w14:paraId="037B7586">
      <w:pPr>
        <w:pStyle w:val="9"/>
        <w:kinsoku w:val="0"/>
        <w:spacing w:line="360" w:lineRule="auto"/>
        <w:ind w:left="3"/>
        <w:jc w:val="center"/>
        <w:rPr>
          <w:i w:val="0"/>
          <w:iCs w:val="0"/>
          <w:color w:val="auto"/>
          <w:sz w:val="28"/>
          <w:szCs w:val="28"/>
          <w:highlight w:val="none"/>
        </w:rPr>
      </w:pPr>
      <w:r>
        <w:rPr>
          <w:rFonts w:hint="eastAsia" w:ascii="宋体" w:hAnsi="宋体"/>
          <w:i w:val="0"/>
          <w:iCs w:val="0"/>
          <w:color w:val="auto"/>
          <w:sz w:val="28"/>
          <w:szCs w:val="28"/>
          <w:highlight w:val="none"/>
        </w:rPr>
        <w:t>招标人：</w:t>
      </w:r>
      <w:r>
        <w:rPr>
          <w:rFonts w:hint="eastAsia" w:ascii="宋体" w:hAnsi="宋体"/>
          <w:i w:val="0"/>
          <w:iCs w:val="0"/>
          <w:color w:val="auto"/>
          <w:sz w:val="28"/>
          <w:szCs w:val="28"/>
          <w:highlight w:val="none"/>
          <w:u w:val="single"/>
          <w:lang w:eastAsia="zh-CN"/>
        </w:rPr>
        <w:t>绍兴市镜湖科技城开发服务有限公司</w:t>
      </w:r>
      <w:r>
        <w:rPr>
          <w:rFonts w:hint="eastAsia" w:ascii="宋体" w:hAnsi="宋体"/>
          <w:i w:val="0"/>
          <w:iCs w:val="0"/>
          <w:color w:val="auto"/>
          <w:sz w:val="28"/>
          <w:szCs w:val="28"/>
          <w:highlight w:val="none"/>
        </w:rPr>
        <w:t>（单位盖章）</w:t>
      </w:r>
    </w:p>
    <w:p w14:paraId="63529E2F">
      <w:pPr>
        <w:pStyle w:val="9"/>
        <w:kinsoku w:val="0"/>
        <w:spacing w:line="360" w:lineRule="auto"/>
        <w:ind w:left="3"/>
        <w:jc w:val="center"/>
        <w:rPr>
          <w:rFonts w:ascii="宋体" w:hAnsi="宋体"/>
          <w:i w:val="0"/>
          <w:iCs w:val="0"/>
          <w:color w:val="auto"/>
          <w:sz w:val="28"/>
          <w:szCs w:val="28"/>
          <w:highlight w:val="none"/>
        </w:rPr>
      </w:pPr>
      <w:r>
        <w:rPr>
          <w:rFonts w:hint="eastAsia" w:ascii="宋体" w:hAnsi="宋体"/>
          <w:i w:val="0"/>
          <w:iCs w:val="0"/>
          <w:color w:val="auto"/>
          <w:sz w:val="28"/>
          <w:szCs w:val="28"/>
          <w:highlight w:val="none"/>
        </w:rPr>
        <w:t>招标代理机构：</w:t>
      </w:r>
      <w:r>
        <w:rPr>
          <w:rFonts w:hint="eastAsia" w:ascii="宋体" w:hAnsi="宋体"/>
          <w:i w:val="0"/>
          <w:iCs w:val="0"/>
          <w:color w:val="auto"/>
          <w:sz w:val="28"/>
          <w:szCs w:val="28"/>
          <w:highlight w:val="none"/>
          <w:u w:val="single"/>
          <w:lang w:eastAsia="zh-CN"/>
        </w:rPr>
        <w:t>浙江越锋项目管理有限公司</w:t>
      </w:r>
      <w:r>
        <w:rPr>
          <w:rFonts w:hint="eastAsia" w:ascii="宋体" w:hAnsi="宋体"/>
          <w:i w:val="0"/>
          <w:iCs w:val="0"/>
          <w:color w:val="auto"/>
          <w:sz w:val="28"/>
          <w:szCs w:val="28"/>
          <w:highlight w:val="none"/>
        </w:rPr>
        <w:t>（单位盖章）</w:t>
      </w:r>
    </w:p>
    <w:p w14:paraId="2F6127A9">
      <w:pPr>
        <w:pStyle w:val="9"/>
        <w:kinsoku w:val="0"/>
        <w:spacing w:line="360" w:lineRule="auto"/>
        <w:ind w:left="3"/>
        <w:jc w:val="center"/>
        <w:rPr>
          <w:i w:val="0"/>
          <w:iCs w:val="0"/>
          <w:color w:val="auto"/>
          <w:sz w:val="28"/>
          <w:szCs w:val="28"/>
          <w:highlight w:val="none"/>
        </w:rPr>
      </w:pPr>
      <w:r>
        <w:rPr>
          <w:rFonts w:hint="eastAsia" w:ascii="宋体" w:hAnsi="宋体"/>
          <w:i w:val="0"/>
          <w:iCs w:val="0"/>
          <w:color w:val="auto"/>
          <w:sz w:val="28"/>
          <w:szCs w:val="28"/>
          <w:highlight w:val="none"/>
          <w:u w:val="single"/>
          <w:lang w:val="en-US" w:eastAsia="zh-CN"/>
        </w:rPr>
        <w:t>2026</w:t>
      </w:r>
      <w:r>
        <w:rPr>
          <w:rFonts w:hint="eastAsia" w:ascii="宋体" w:hAnsi="宋体"/>
          <w:i w:val="0"/>
          <w:iCs w:val="0"/>
          <w:color w:val="auto"/>
          <w:sz w:val="28"/>
          <w:szCs w:val="28"/>
          <w:highlight w:val="none"/>
        </w:rPr>
        <w:t>年</w:t>
      </w:r>
      <w:r>
        <w:rPr>
          <w:rFonts w:hint="eastAsia" w:ascii="宋体" w:hAnsi="宋体"/>
          <w:i w:val="0"/>
          <w:iCs w:val="0"/>
          <w:color w:val="auto"/>
          <w:sz w:val="28"/>
          <w:szCs w:val="28"/>
          <w:highlight w:val="none"/>
          <w:u w:val="single"/>
          <w:lang w:val="en-US" w:eastAsia="zh-CN"/>
        </w:rPr>
        <w:t>03</w:t>
      </w:r>
      <w:r>
        <w:rPr>
          <w:rFonts w:hint="eastAsia" w:ascii="宋体" w:hAnsi="宋体"/>
          <w:i w:val="0"/>
          <w:iCs w:val="0"/>
          <w:color w:val="auto"/>
          <w:sz w:val="28"/>
          <w:szCs w:val="28"/>
          <w:highlight w:val="none"/>
        </w:rPr>
        <w:t>月</w:t>
      </w:r>
      <w:r>
        <w:rPr>
          <w:rFonts w:hint="eastAsia" w:ascii="宋体" w:hAnsi="宋体"/>
          <w:i w:val="0"/>
          <w:iCs w:val="0"/>
          <w:color w:val="auto"/>
          <w:sz w:val="28"/>
          <w:szCs w:val="28"/>
          <w:highlight w:val="none"/>
          <w:u w:val="single"/>
          <w:lang w:val="en-US" w:eastAsia="zh-CN"/>
        </w:rPr>
        <w:t>16</w:t>
      </w:r>
      <w:r>
        <w:rPr>
          <w:rFonts w:hint="eastAsia" w:ascii="宋体" w:hAnsi="宋体"/>
          <w:i w:val="0"/>
          <w:iCs w:val="0"/>
          <w:color w:val="auto"/>
          <w:sz w:val="28"/>
          <w:szCs w:val="28"/>
          <w:highlight w:val="none"/>
        </w:rPr>
        <w:t>日</w:t>
      </w:r>
    </w:p>
    <w:p w14:paraId="6FFD321D">
      <w:pPr>
        <w:pStyle w:val="2"/>
        <w:ind w:left="0"/>
        <w:jc w:val="both"/>
        <w:rPr>
          <w:rFonts w:ascii="Wingdings 2" w:hAnsi="Wingdings 2"/>
          <w:b/>
          <w:i w:val="0"/>
          <w:iCs w:val="0"/>
          <w:color w:val="auto"/>
          <w:highlight w:val="none"/>
        </w:rPr>
      </w:pPr>
      <w:bookmarkStart w:id="5" w:name="_Toc67589032"/>
    </w:p>
    <w:p w14:paraId="6A0C65E1">
      <w:pPr>
        <w:tabs>
          <w:tab w:val="center" w:pos="4365"/>
        </w:tabs>
        <w:rPr>
          <w:i w:val="0"/>
          <w:iCs w:val="0"/>
          <w:color w:val="auto"/>
          <w:highlight w:val="none"/>
        </w:rPr>
        <w:sectPr>
          <w:footerReference r:id="rId5" w:type="default"/>
          <w:type w:val="continuous"/>
          <w:pgSz w:w="11907" w:h="16839"/>
          <w:pgMar w:top="1191" w:right="1588" w:bottom="1191" w:left="1588" w:header="0" w:footer="919" w:gutter="0"/>
          <w:cols w:space="720" w:num="1"/>
        </w:sectPr>
      </w:pPr>
    </w:p>
    <w:p w14:paraId="15C746FA">
      <w:pPr>
        <w:pStyle w:val="2"/>
        <w:rPr>
          <w:b/>
          <w:bCs w:val="0"/>
          <w:i w:val="0"/>
          <w:iCs w:val="0"/>
          <w:color w:val="auto"/>
          <w:highlight w:val="none"/>
        </w:rPr>
      </w:pPr>
      <w:r>
        <w:rPr>
          <w:b/>
          <w:bCs w:val="0"/>
          <w:i w:val="0"/>
          <w:iCs w:val="0"/>
          <w:color w:val="auto"/>
          <w:highlight w:val="none"/>
        </w:rPr>
        <w:t>目</w:t>
      </w:r>
      <w:r>
        <w:rPr>
          <w:rFonts w:hint="eastAsia"/>
          <w:b/>
          <w:bCs w:val="0"/>
          <w:i w:val="0"/>
          <w:iCs w:val="0"/>
          <w:color w:val="auto"/>
          <w:highlight w:val="none"/>
        </w:rPr>
        <w:t xml:space="preserve"> </w:t>
      </w:r>
      <w:r>
        <w:rPr>
          <w:b/>
          <w:bCs w:val="0"/>
          <w:i w:val="0"/>
          <w:iCs w:val="0"/>
          <w:color w:val="auto"/>
          <w:highlight w:val="none"/>
        </w:rPr>
        <w:t>录</w:t>
      </w:r>
    </w:p>
    <w:p w14:paraId="52D70EBC">
      <w:pPr>
        <w:pStyle w:val="61"/>
        <w:tabs>
          <w:tab w:val="right" w:leader="dot" w:pos="8731"/>
        </w:tabs>
        <w:rPr>
          <w:i w:val="0"/>
          <w:iCs w:val="0"/>
          <w:color w:val="auto"/>
          <w:highlight w:val="none"/>
        </w:rPr>
      </w:pPr>
      <w:r>
        <w:rPr>
          <w:i w:val="0"/>
          <w:iCs w:val="0"/>
          <w:color w:val="auto"/>
          <w:highlight w:val="none"/>
        </w:rPr>
        <w:fldChar w:fldCharType="begin"/>
      </w:r>
      <w:r>
        <w:rPr>
          <w:i w:val="0"/>
          <w:iCs w:val="0"/>
          <w:color w:val="auto"/>
          <w:highlight w:val="none"/>
        </w:rPr>
        <w:instrText xml:space="preserve">TOC \o "1-1" \h \u </w:instrText>
      </w:r>
      <w:r>
        <w:rPr>
          <w:i w:val="0"/>
          <w:iCs w:val="0"/>
          <w:color w:val="auto"/>
          <w:highlight w:val="none"/>
        </w:rPr>
        <w:fldChar w:fldCharType="separate"/>
      </w:r>
    </w:p>
    <w:p w14:paraId="7060281F">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_Toc31365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第一章 招标公告</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_Toc31365 \h </w:instrText>
      </w:r>
      <w:r>
        <w:rPr>
          <w:i w:val="0"/>
          <w:iCs w:val="0"/>
          <w:color w:val="auto"/>
          <w:sz w:val="24"/>
          <w:szCs w:val="24"/>
          <w:highlight w:val="none"/>
        </w:rPr>
        <w:fldChar w:fldCharType="separate"/>
      </w:r>
      <w:r>
        <w:rPr>
          <w:i w:val="0"/>
          <w:iCs w:val="0"/>
          <w:color w:val="auto"/>
          <w:sz w:val="24"/>
          <w:szCs w:val="24"/>
          <w:highlight w:val="none"/>
        </w:rPr>
        <w:t>12</w:t>
      </w:r>
      <w:r>
        <w:rPr>
          <w:i w:val="0"/>
          <w:iCs w:val="0"/>
          <w:color w:val="auto"/>
          <w:sz w:val="24"/>
          <w:szCs w:val="24"/>
          <w:highlight w:val="none"/>
        </w:rPr>
        <w:fldChar w:fldCharType="end"/>
      </w:r>
      <w:r>
        <w:rPr>
          <w:i w:val="0"/>
          <w:iCs w:val="0"/>
          <w:color w:val="auto"/>
          <w:sz w:val="24"/>
          <w:szCs w:val="24"/>
          <w:highlight w:val="none"/>
        </w:rPr>
        <w:fldChar w:fldCharType="end"/>
      </w:r>
    </w:p>
    <w:p w14:paraId="48A740B6">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_Toc6999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第二章 投标人须知</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_Toc6999 \h </w:instrText>
      </w:r>
      <w:r>
        <w:rPr>
          <w:i w:val="0"/>
          <w:iCs w:val="0"/>
          <w:color w:val="auto"/>
          <w:sz w:val="24"/>
          <w:szCs w:val="24"/>
          <w:highlight w:val="none"/>
        </w:rPr>
        <w:fldChar w:fldCharType="separate"/>
      </w:r>
      <w:r>
        <w:rPr>
          <w:i w:val="0"/>
          <w:iCs w:val="0"/>
          <w:color w:val="auto"/>
          <w:sz w:val="24"/>
          <w:szCs w:val="24"/>
          <w:highlight w:val="none"/>
        </w:rPr>
        <w:t>16</w:t>
      </w:r>
      <w:r>
        <w:rPr>
          <w:i w:val="0"/>
          <w:iCs w:val="0"/>
          <w:color w:val="auto"/>
          <w:sz w:val="24"/>
          <w:szCs w:val="24"/>
          <w:highlight w:val="none"/>
        </w:rPr>
        <w:fldChar w:fldCharType="end"/>
      </w:r>
      <w:r>
        <w:rPr>
          <w:i w:val="0"/>
          <w:iCs w:val="0"/>
          <w:color w:val="auto"/>
          <w:sz w:val="24"/>
          <w:szCs w:val="24"/>
          <w:highlight w:val="none"/>
        </w:rPr>
        <w:fldChar w:fldCharType="end"/>
      </w:r>
    </w:p>
    <w:p w14:paraId="327D83B5">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_Toc22833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第三章 评标定标办法</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_Toc22833 \h </w:instrText>
      </w:r>
      <w:r>
        <w:rPr>
          <w:i w:val="0"/>
          <w:iCs w:val="0"/>
          <w:color w:val="auto"/>
          <w:sz w:val="24"/>
          <w:szCs w:val="24"/>
          <w:highlight w:val="none"/>
        </w:rPr>
        <w:fldChar w:fldCharType="separate"/>
      </w:r>
      <w:r>
        <w:rPr>
          <w:i w:val="0"/>
          <w:iCs w:val="0"/>
          <w:color w:val="auto"/>
          <w:sz w:val="24"/>
          <w:szCs w:val="24"/>
          <w:highlight w:val="none"/>
        </w:rPr>
        <w:t>46</w:t>
      </w:r>
      <w:r>
        <w:rPr>
          <w:i w:val="0"/>
          <w:iCs w:val="0"/>
          <w:color w:val="auto"/>
          <w:sz w:val="24"/>
          <w:szCs w:val="24"/>
          <w:highlight w:val="none"/>
        </w:rPr>
        <w:fldChar w:fldCharType="end"/>
      </w:r>
      <w:r>
        <w:rPr>
          <w:i w:val="0"/>
          <w:iCs w:val="0"/>
          <w:color w:val="auto"/>
          <w:sz w:val="24"/>
          <w:szCs w:val="24"/>
          <w:highlight w:val="none"/>
        </w:rPr>
        <w:fldChar w:fldCharType="end"/>
      </w:r>
    </w:p>
    <w:p w14:paraId="103B4D3F">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_Toc22209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第四章 合同条款及格式</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_Toc22209 \h </w:instrText>
      </w:r>
      <w:r>
        <w:rPr>
          <w:i w:val="0"/>
          <w:iCs w:val="0"/>
          <w:color w:val="auto"/>
          <w:sz w:val="24"/>
          <w:szCs w:val="24"/>
          <w:highlight w:val="none"/>
        </w:rPr>
        <w:fldChar w:fldCharType="separate"/>
      </w:r>
      <w:r>
        <w:rPr>
          <w:i w:val="0"/>
          <w:iCs w:val="0"/>
          <w:color w:val="auto"/>
          <w:sz w:val="24"/>
          <w:szCs w:val="24"/>
          <w:highlight w:val="none"/>
        </w:rPr>
        <w:t>56</w:t>
      </w:r>
      <w:r>
        <w:rPr>
          <w:i w:val="0"/>
          <w:iCs w:val="0"/>
          <w:color w:val="auto"/>
          <w:sz w:val="24"/>
          <w:szCs w:val="24"/>
          <w:highlight w:val="none"/>
        </w:rPr>
        <w:fldChar w:fldCharType="end"/>
      </w:r>
      <w:r>
        <w:rPr>
          <w:i w:val="0"/>
          <w:iCs w:val="0"/>
          <w:color w:val="auto"/>
          <w:sz w:val="24"/>
          <w:szCs w:val="24"/>
          <w:highlight w:val="none"/>
        </w:rPr>
        <w:fldChar w:fldCharType="end"/>
      </w:r>
    </w:p>
    <w:p w14:paraId="020DED04">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_Toc18266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第五章 工程量清单编制</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_Toc18266 \h </w:instrText>
      </w:r>
      <w:r>
        <w:rPr>
          <w:i w:val="0"/>
          <w:iCs w:val="0"/>
          <w:color w:val="auto"/>
          <w:sz w:val="24"/>
          <w:szCs w:val="24"/>
          <w:highlight w:val="none"/>
        </w:rPr>
        <w:fldChar w:fldCharType="separate"/>
      </w:r>
      <w:r>
        <w:rPr>
          <w:i w:val="0"/>
          <w:iCs w:val="0"/>
          <w:color w:val="auto"/>
          <w:sz w:val="24"/>
          <w:szCs w:val="24"/>
          <w:highlight w:val="none"/>
        </w:rPr>
        <w:t>84</w:t>
      </w:r>
      <w:r>
        <w:rPr>
          <w:i w:val="0"/>
          <w:iCs w:val="0"/>
          <w:color w:val="auto"/>
          <w:sz w:val="24"/>
          <w:szCs w:val="24"/>
          <w:highlight w:val="none"/>
        </w:rPr>
        <w:fldChar w:fldCharType="end"/>
      </w:r>
      <w:r>
        <w:rPr>
          <w:i w:val="0"/>
          <w:iCs w:val="0"/>
          <w:color w:val="auto"/>
          <w:sz w:val="24"/>
          <w:szCs w:val="24"/>
          <w:highlight w:val="none"/>
        </w:rPr>
        <w:fldChar w:fldCharType="end"/>
      </w:r>
    </w:p>
    <w:p w14:paraId="57DABF29">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_Toc27684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第六章 图纸</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_Toc27684 \h </w:instrText>
      </w:r>
      <w:r>
        <w:rPr>
          <w:i w:val="0"/>
          <w:iCs w:val="0"/>
          <w:color w:val="auto"/>
          <w:sz w:val="24"/>
          <w:szCs w:val="24"/>
          <w:highlight w:val="none"/>
        </w:rPr>
        <w:fldChar w:fldCharType="separate"/>
      </w:r>
      <w:r>
        <w:rPr>
          <w:i w:val="0"/>
          <w:iCs w:val="0"/>
          <w:color w:val="auto"/>
          <w:sz w:val="24"/>
          <w:szCs w:val="24"/>
          <w:highlight w:val="none"/>
        </w:rPr>
        <w:t>89</w:t>
      </w:r>
      <w:r>
        <w:rPr>
          <w:i w:val="0"/>
          <w:iCs w:val="0"/>
          <w:color w:val="auto"/>
          <w:sz w:val="24"/>
          <w:szCs w:val="24"/>
          <w:highlight w:val="none"/>
        </w:rPr>
        <w:fldChar w:fldCharType="end"/>
      </w:r>
      <w:r>
        <w:rPr>
          <w:i w:val="0"/>
          <w:iCs w:val="0"/>
          <w:color w:val="auto"/>
          <w:sz w:val="24"/>
          <w:szCs w:val="24"/>
          <w:highlight w:val="none"/>
        </w:rPr>
        <w:fldChar w:fldCharType="end"/>
      </w:r>
    </w:p>
    <w:p w14:paraId="2C687E3B">
      <w:pPr>
        <w:pStyle w:val="61"/>
        <w:tabs>
          <w:tab w:val="right" w:leader="dot" w:pos="8731"/>
        </w:tabs>
        <w:spacing w:line="360" w:lineRule="auto"/>
        <w:rPr>
          <w:i w:val="0"/>
          <w:iCs w:val="0"/>
          <w:color w:val="auto"/>
          <w:sz w:val="24"/>
          <w:szCs w:val="24"/>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_Toc751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第七章 技术标准和要求</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_Toc751 \h </w:instrText>
      </w:r>
      <w:r>
        <w:rPr>
          <w:i w:val="0"/>
          <w:iCs w:val="0"/>
          <w:color w:val="auto"/>
          <w:sz w:val="24"/>
          <w:szCs w:val="24"/>
          <w:highlight w:val="none"/>
        </w:rPr>
        <w:fldChar w:fldCharType="separate"/>
      </w:r>
      <w:r>
        <w:rPr>
          <w:i w:val="0"/>
          <w:iCs w:val="0"/>
          <w:color w:val="auto"/>
          <w:sz w:val="24"/>
          <w:szCs w:val="24"/>
          <w:highlight w:val="none"/>
        </w:rPr>
        <w:t>91</w:t>
      </w:r>
      <w:r>
        <w:rPr>
          <w:i w:val="0"/>
          <w:iCs w:val="0"/>
          <w:color w:val="auto"/>
          <w:sz w:val="24"/>
          <w:szCs w:val="24"/>
          <w:highlight w:val="none"/>
        </w:rPr>
        <w:fldChar w:fldCharType="end"/>
      </w:r>
      <w:r>
        <w:rPr>
          <w:i w:val="0"/>
          <w:iCs w:val="0"/>
          <w:color w:val="auto"/>
          <w:sz w:val="24"/>
          <w:szCs w:val="24"/>
          <w:highlight w:val="none"/>
        </w:rPr>
        <w:fldChar w:fldCharType="end"/>
      </w:r>
    </w:p>
    <w:p w14:paraId="60F10399">
      <w:pPr>
        <w:pStyle w:val="61"/>
        <w:tabs>
          <w:tab w:val="right" w:leader="dot" w:pos="8731"/>
        </w:tabs>
        <w:spacing w:line="360" w:lineRule="auto"/>
        <w:rPr>
          <w:i w:val="0"/>
          <w:iCs w:val="0"/>
          <w:color w:val="auto"/>
          <w:highlight w:val="none"/>
        </w:rPr>
      </w:pPr>
      <w:r>
        <w:rPr>
          <w:i w:val="0"/>
          <w:iCs w:val="0"/>
          <w:color w:val="auto"/>
          <w:sz w:val="24"/>
          <w:szCs w:val="24"/>
          <w:highlight w:val="none"/>
        </w:rPr>
        <w:fldChar w:fldCharType="begin"/>
      </w:r>
      <w:r>
        <w:rPr>
          <w:i w:val="0"/>
          <w:iCs w:val="0"/>
          <w:color w:val="auto"/>
          <w:sz w:val="24"/>
          <w:szCs w:val="24"/>
          <w:highlight w:val="none"/>
        </w:rPr>
        <w:instrText xml:space="preserve"> HYPERLINK \l _Toc7557 </w:instrText>
      </w:r>
      <w:r>
        <w:rPr>
          <w:i w:val="0"/>
          <w:iCs w:val="0"/>
          <w:color w:val="auto"/>
          <w:sz w:val="24"/>
          <w:szCs w:val="24"/>
          <w:highlight w:val="none"/>
        </w:rPr>
        <w:fldChar w:fldCharType="separate"/>
      </w:r>
      <w:r>
        <w:rPr>
          <w:rFonts w:hint="eastAsia" w:ascii="黑体" w:hAnsi="黑体"/>
          <w:i w:val="0"/>
          <w:iCs w:val="0"/>
          <w:color w:val="auto"/>
          <w:sz w:val="24"/>
          <w:szCs w:val="24"/>
          <w:highlight w:val="none"/>
        </w:rPr>
        <w:t>第八章 投标文件格式</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_Toc7557 \h </w:instrText>
      </w:r>
      <w:r>
        <w:rPr>
          <w:i w:val="0"/>
          <w:iCs w:val="0"/>
          <w:color w:val="auto"/>
          <w:sz w:val="24"/>
          <w:szCs w:val="24"/>
          <w:highlight w:val="none"/>
        </w:rPr>
        <w:fldChar w:fldCharType="separate"/>
      </w:r>
      <w:r>
        <w:rPr>
          <w:i w:val="0"/>
          <w:iCs w:val="0"/>
          <w:color w:val="auto"/>
          <w:sz w:val="24"/>
          <w:szCs w:val="24"/>
          <w:highlight w:val="none"/>
        </w:rPr>
        <w:t>93</w:t>
      </w:r>
      <w:r>
        <w:rPr>
          <w:i w:val="0"/>
          <w:iCs w:val="0"/>
          <w:color w:val="auto"/>
          <w:sz w:val="24"/>
          <w:szCs w:val="24"/>
          <w:highlight w:val="none"/>
        </w:rPr>
        <w:fldChar w:fldCharType="end"/>
      </w:r>
      <w:r>
        <w:rPr>
          <w:i w:val="0"/>
          <w:iCs w:val="0"/>
          <w:color w:val="auto"/>
          <w:sz w:val="24"/>
          <w:szCs w:val="24"/>
          <w:highlight w:val="none"/>
        </w:rPr>
        <w:fldChar w:fldCharType="end"/>
      </w:r>
    </w:p>
    <w:p w14:paraId="12587EFD">
      <w:pPr>
        <w:pStyle w:val="61"/>
        <w:tabs>
          <w:tab w:val="right" w:leader="dot" w:pos="8731"/>
        </w:tabs>
        <w:rPr>
          <w:i w:val="0"/>
          <w:iCs w:val="0"/>
          <w:color w:val="auto"/>
          <w:highlight w:val="none"/>
        </w:rPr>
      </w:pPr>
    </w:p>
    <w:p w14:paraId="5D3F2FF3">
      <w:pPr>
        <w:jc w:val="center"/>
        <w:rPr>
          <w:i w:val="0"/>
          <w:iCs w:val="0"/>
          <w:color w:val="auto"/>
          <w:highlight w:val="none"/>
        </w:rPr>
        <w:sectPr>
          <w:pgSz w:w="11907" w:h="16839"/>
          <w:pgMar w:top="1191" w:right="1588" w:bottom="1191" w:left="1588" w:header="0" w:footer="919" w:gutter="0"/>
          <w:cols w:space="720" w:num="1"/>
        </w:sectPr>
      </w:pPr>
      <w:r>
        <w:rPr>
          <w:i w:val="0"/>
          <w:iCs w:val="0"/>
          <w:color w:val="auto"/>
          <w:highlight w:val="none"/>
        </w:rPr>
        <w:fldChar w:fldCharType="end"/>
      </w:r>
    </w:p>
    <w:p w14:paraId="6259A449">
      <w:pPr>
        <w:rPr>
          <w:i w:val="0"/>
          <w:iCs w:val="0"/>
          <w:color w:val="auto"/>
          <w:highlight w:val="none"/>
        </w:rPr>
      </w:pPr>
    </w:p>
    <w:bookmarkEnd w:id="5"/>
    <w:p w14:paraId="0339CE16">
      <w:pPr>
        <w:pStyle w:val="2"/>
        <w:ind w:left="6"/>
        <w:rPr>
          <w:b/>
          <w:i w:val="0"/>
          <w:iCs w:val="0"/>
          <w:color w:val="auto"/>
          <w:highlight w:val="none"/>
        </w:rPr>
      </w:pPr>
      <w:bookmarkStart w:id="6" w:name="_Toc31365"/>
      <w:r>
        <w:rPr>
          <w:rFonts w:hint="eastAsia" w:ascii="黑体" w:hAnsi="黑体"/>
          <w:b/>
          <w:i w:val="0"/>
          <w:iCs w:val="0"/>
          <w:color w:val="auto"/>
          <w:highlight w:val="none"/>
          <w:lang w:eastAsia="zh-CN"/>
        </w:rPr>
        <w:t>☑</w:t>
      </w:r>
      <w:r>
        <w:rPr>
          <w:rFonts w:hint="eastAsia" w:ascii="黑体" w:hAnsi="黑体"/>
          <w:b/>
          <w:i w:val="0"/>
          <w:iCs w:val="0"/>
          <w:color w:val="auto"/>
          <w:highlight w:val="none"/>
        </w:rPr>
        <w:t>第一章 招标公告</w:t>
      </w:r>
      <w:bookmarkEnd w:id="6"/>
    </w:p>
    <w:p w14:paraId="3AE0BBAA">
      <w:pPr>
        <w:jc w:val="center"/>
        <w:rPr>
          <w:b/>
          <w:i w:val="0"/>
          <w:iCs w:val="0"/>
          <w:color w:val="auto"/>
          <w:sz w:val="28"/>
          <w:szCs w:val="28"/>
          <w:highlight w:val="none"/>
        </w:rPr>
      </w:pPr>
      <w:r>
        <w:rPr>
          <w:rFonts w:hint="eastAsia" w:ascii="宋体" w:hAnsi="宋体"/>
          <w:b/>
          <w:i w:val="0"/>
          <w:iCs w:val="0"/>
          <w:color w:val="auto"/>
          <w:sz w:val="28"/>
          <w:szCs w:val="28"/>
          <w:highlight w:val="none"/>
          <w:u w:val="single"/>
        </w:rPr>
        <w:t xml:space="preserve"> </w:t>
      </w:r>
      <w:r>
        <w:rPr>
          <w:rFonts w:hint="eastAsia" w:ascii="宋体" w:hAnsi="宋体"/>
          <w:b/>
          <w:i w:val="0"/>
          <w:iCs w:val="0"/>
          <w:color w:val="auto"/>
          <w:sz w:val="28"/>
          <w:szCs w:val="28"/>
          <w:highlight w:val="none"/>
          <w:u w:val="single"/>
          <w:lang w:eastAsia="zh-CN"/>
        </w:rPr>
        <w:t>梅山东片区一单元开发项目一期二期项目施工</w:t>
      </w:r>
      <w:r>
        <w:rPr>
          <w:rFonts w:hint="eastAsia" w:ascii="宋体" w:hAnsi="宋体"/>
          <w:b/>
          <w:i w:val="0"/>
          <w:iCs w:val="0"/>
          <w:color w:val="auto"/>
          <w:sz w:val="28"/>
          <w:szCs w:val="28"/>
          <w:highlight w:val="none"/>
        </w:rPr>
        <w:t>招标公告</w:t>
      </w:r>
    </w:p>
    <w:p w14:paraId="3B2AFCA1">
      <w:pPr>
        <w:rPr>
          <w:rFonts w:ascii="宋体" w:hAnsi="宋体"/>
          <w:b/>
          <w:i w:val="0"/>
          <w:iCs w:val="0"/>
          <w:color w:val="auto"/>
          <w:highlight w:val="none"/>
        </w:rPr>
      </w:pPr>
      <w:bookmarkStart w:id="7" w:name="_Toc22827968"/>
      <w:bookmarkEnd w:id="7"/>
      <w:bookmarkStart w:id="8" w:name="_Toc26002049"/>
      <w:bookmarkEnd w:id="8"/>
      <w:bookmarkStart w:id="9" w:name="_Toc45697220"/>
      <w:bookmarkEnd w:id="9"/>
      <w:bookmarkStart w:id="10" w:name="_Toc24050269"/>
      <w:bookmarkEnd w:id="10"/>
      <w:bookmarkStart w:id="11" w:name="bookmark2"/>
      <w:bookmarkEnd w:id="11"/>
      <w:bookmarkStart w:id="12" w:name="_Toc26001996"/>
      <w:bookmarkEnd w:id="12"/>
      <w:bookmarkStart w:id="13" w:name="_Toc22828051"/>
      <w:bookmarkEnd w:id="13"/>
      <w:bookmarkStart w:id="14" w:name="_Toc29163"/>
      <w:r>
        <w:rPr>
          <w:rFonts w:hint="eastAsia" w:ascii="宋体" w:hAnsi="宋体"/>
          <w:b/>
          <w:i w:val="0"/>
          <w:iCs w:val="0"/>
          <w:color w:val="auto"/>
          <w:highlight w:val="none"/>
        </w:rPr>
        <w:t>1.招标条件</w:t>
      </w:r>
      <w:bookmarkEnd w:id="14"/>
    </w:p>
    <w:p w14:paraId="73362580">
      <w:pPr>
        <w:pStyle w:val="9"/>
        <w:kinsoku w:val="0"/>
        <w:spacing w:before="0" w:beforeAutospacing="0" w:after="0" w:afterAutospacing="0"/>
        <w:ind w:left="0" w:firstLine="476" w:firstLineChars="200"/>
        <w:jc w:val="both"/>
        <w:rPr>
          <w:i w:val="0"/>
          <w:iCs w:val="0"/>
          <w:color w:val="auto"/>
          <w:highlight w:val="none"/>
        </w:rPr>
      </w:pPr>
      <w:bookmarkStart w:id="15" w:name="_Hlk24014946"/>
      <w:bookmarkEnd w:id="15"/>
      <w:bookmarkStart w:id="16" w:name="_Hlk24015002"/>
      <w:r>
        <w:rPr>
          <w:rFonts w:hint="eastAsia" w:ascii="宋体" w:hAnsi="宋体"/>
          <w:i w:val="0"/>
          <w:iCs w:val="0"/>
          <w:color w:val="auto"/>
          <w:spacing w:val="-1"/>
          <w:highlight w:val="none"/>
          <w:u w:val="single"/>
          <w:lang w:eastAsia="zh-CN"/>
        </w:rPr>
        <w:t>梅山东片区一单元开发项目</w:t>
      </w:r>
      <w:bookmarkEnd w:id="16"/>
      <w:r>
        <w:rPr>
          <w:rFonts w:hint="eastAsia" w:ascii="宋体" w:hAnsi="宋体"/>
          <w:i w:val="0"/>
          <w:iCs w:val="0"/>
          <w:color w:val="auto"/>
          <w:spacing w:val="-1"/>
          <w:highlight w:val="none"/>
        </w:rPr>
        <w:t>已由</w:t>
      </w:r>
      <w:r>
        <w:rPr>
          <w:rFonts w:hint="eastAsia" w:ascii="宋体" w:hAnsi="宋体"/>
          <w:i w:val="0"/>
          <w:iCs w:val="0"/>
          <w:color w:val="auto"/>
          <w:spacing w:val="-1"/>
          <w:highlight w:val="none"/>
          <w:u w:val="single"/>
        </w:rPr>
        <w:t>镜湖新区规划管理部</w:t>
      </w:r>
      <w:r>
        <w:rPr>
          <w:rFonts w:hint="eastAsia" w:ascii="宋体" w:hAnsi="宋体"/>
          <w:i w:val="0"/>
          <w:iCs w:val="0"/>
          <w:color w:val="auto"/>
          <w:spacing w:val="-5"/>
          <w:highlight w:val="none"/>
        </w:rPr>
        <w:t>以</w:t>
      </w:r>
      <w:r>
        <w:rPr>
          <w:rFonts w:hint="eastAsia" w:ascii="宋体" w:hAnsi="宋体"/>
          <w:i w:val="0"/>
          <w:iCs w:val="0"/>
          <w:color w:val="auto"/>
          <w:spacing w:val="-4"/>
          <w:highlight w:val="none"/>
          <w:u w:val="single"/>
        </w:rPr>
        <w:t>25</w:t>
      </w:r>
      <w:r>
        <w:rPr>
          <w:rFonts w:hint="eastAsia" w:ascii="宋体" w:hAnsi="宋体"/>
          <w:i w:val="0"/>
          <w:iCs w:val="0"/>
          <w:color w:val="auto"/>
          <w:spacing w:val="-4"/>
          <w:highlight w:val="none"/>
          <w:u w:val="single"/>
          <w:lang w:eastAsia="zh-CN"/>
        </w:rPr>
        <w:t>1</w:t>
      </w:r>
      <w:r>
        <w:rPr>
          <w:rFonts w:hint="eastAsia" w:ascii="宋体" w:hAnsi="宋体"/>
          <w:i w:val="0"/>
          <w:iCs w:val="0"/>
          <w:color w:val="auto"/>
          <w:spacing w:val="-4"/>
          <w:highlight w:val="none"/>
          <w:u w:val="single"/>
          <w:lang w:val="en-US" w:eastAsia="zh-CN"/>
        </w:rPr>
        <w:t>2</w:t>
      </w:r>
      <w:r>
        <w:rPr>
          <w:rFonts w:hint="eastAsia" w:ascii="宋体" w:hAnsi="宋体"/>
          <w:i w:val="0"/>
          <w:iCs w:val="0"/>
          <w:color w:val="auto"/>
          <w:spacing w:val="-4"/>
          <w:highlight w:val="none"/>
          <w:u w:val="single"/>
        </w:rPr>
        <w:t>-330654-04-01-</w:t>
      </w:r>
      <w:r>
        <w:rPr>
          <w:rFonts w:hint="eastAsia" w:ascii="宋体" w:hAnsi="宋体"/>
          <w:i w:val="0"/>
          <w:iCs w:val="0"/>
          <w:color w:val="auto"/>
          <w:spacing w:val="-4"/>
          <w:highlight w:val="none"/>
          <w:u w:val="single"/>
          <w:lang w:eastAsia="zh-CN"/>
        </w:rPr>
        <w:t>2</w:t>
      </w:r>
      <w:r>
        <w:rPr>
          <w:rFonts w:hint="eastAsia" w:ascii="宋体" w:hAnsi="宋体"/>
          <w:i w:val="0"/>
          <w:iCs w:val="0"/>
          <w:color w:val="auto"/>
          <w:spacing w:val="-4"/>
          <w:highlight w:val="none"/>
          <w:u w:val="single"/>
          <w:lang w:val="en-US" w:eastAsia="zh-CN"/>
        </w:rPr>
        <w:t>93823</w:t>
      </w:r>
      <w:r>
        <w:rPr>
          <w:rFonts w:hint="eastAsia" w:ascii="宋体" w:hAnsi="宋体"/>
          <w:i w:val="0"/>
          <w:iCs w:val="0"/>
          <w:color w:val="auto"/>
          <w:spacing w:val="-4"/>
          <w:highlight w:val="none"/>
        </w:rPr>
        <w:t>批准建设，建设资金来</w:t>
      </w:r>
      <w:r>
        <w:rPr>
          <w:rFonts w:hint="eastAsia" w:ascii="宋体" w:hAnsi="宋体"/>
          <w:i w:val="0"/>
          <w:iCs w:val="0"/>
          <w:color w:val="auto"/>
          <w:spacing w:val="-1"/>
          <w:highlight w:val="none"/>
        </w:rPr>
        <w:t>自</w:t>
      </w:r>
      <w:r>
        <w:rPr>
          <w:rFonts w:hint="eastAsia" w:ascii="宋体" w:hAnsi="宋体"/>
          <w:i w:val="0"/>
          <w:iCs w:val="0"/>
          <w:color w:val="auto"/>
          <w:spacing w:val="-12"/>
          <w:highlight w:val="none"/>
          <w:u w:val="single"/>
        </w:rPr>
        <w:t>自筹</w:t>
      </w:r>
      <w:r>
        <w:rPr>
          <w:rFonts w:hint="eastAsia" w:ascii="宋体" w:hAnsi="宋体"/>
          <w:i w:val="0"/>
          <w:iCs w:val="0"/>
          <w:color w:val="auto"/>
          <w:spacing w:val="-12"/>
          <w:highlight w:val="none"/>
        </w:rPr>
        <w:t>，出资比例为</w:t>
      </w:r>
      <w:r>
        <w:rPr>
          <w:rFonts w:hint="eastAsia" w:ascii="宋体" w:hAnsi="宋体"/>
          <w:i w:val="0"/>
          <w:iCs w:val="0"/>
          <w:color w:val="auto"/>
          <w:spacing w:val="-12"/>
          <w:highlight w:val="none"/>
          <w:u w:val="single"/>
        </w:rPr>
        <w:t>100%</w:t>
      </w:r>
      <w:r>
        <w:rPr>
          <w:rFonts w:hint="eastAsia" w:ascii="宋体" w:hAnsi="宋体"/>
          <w:i w:val="0"/>
          <w:iCs w:val="0"/>
          <w:color w:val="auto"/>
          <w:spacing w:val="-6"/>
          <w:highlight w:val="none"/>
        </w:rPr>
        <w:t>，项目业主为</w:t>
      </w:r>
      <w:r>
        <w:rPr>
          <w:rFonts w:hint="eastAsia" w:ascii="宋体" w:hAnsi="宋体"/>
          <w:i w:val="0"/>
          <w:iCs w:val="0"/>
          <w:color w:val="auto"/>
          <w:spacing w:val="-6"/>
          <w:highlight w:val="none"/>
          <w:u w:val="single"/>
          <w:lang w:eastAsia="zh-CN"/>
        </w:rPr>
        <w:t>绍兴市镜湖科技城开发服务有限公司</w:t>
      </w:r>
      <w:r>
        <w:rPr>
          <w:rFonts w:hint="eastAsia" w:ascii="宋体" w:hAnsi="宋体"/>
          <w:i w:val="0"/>
          <w:iCs w:val="0"/>
          <w:color w:val="auto"/>
          <w:spacing w:val="-6"/>
          <w:highlight w:val="none"/>
        </w:rPr>
        <w:t>，招标人为</w:t>
      </w:r>
      <w:r>
        <w:rPr>
          <w:rFonts w:hint="eastAsia"/>
          <w:i w:val="0"/>
          <w:iCs w:val="0"/>
          <w:color w:val="auto"/>
          <w:spacing w:val="-6"/>
          <w:highlight w:val="none"/>
          <w:u w:val="single"/>
          <w:lang w:eastAsia="zh-CN"/>
        </w:rPr>
        <w:t>绍兴市镜湖科技城开发服务有限公司</w:t>
      </w:r>
      <w:r>
        <w:rPr>
          <w:rFonts w:hint="eastAsia" w:ascii="宋体" w:hAnsi="宋体"/>
          <w:i w:val="0"/>
          <w:iCs w:val="0"/>
          <w:color w:val="auto"/>
          <w:spacing w:val="-6"/>
          <w:highlight w:val="none"/>
        </w:rPr>
        <w:t>，委托代理机构为</w:t>
      </w:r>
      <w:r>
        <w:rPr>
          <w:rFonts w:hint="eastAsia" w:ascii="宋体" w:hAnsi="宋体"/>
          <w:i w:val="0"/>
          <w:iCs w:val="0"/>
          <w:color w:val="auto"/>
          <w:spacing w:val="-6"/>
          <w:highlight w:val="none"/>
          <w:u w:val="single"/>
          <w:lang w:eastAsia="zh-CN"/>
        </w:rPr>
        <w:t>浙江越锋项目管理有限公司</w:t>
      </w:r>
      <w:r>
        <w:rPr>
          <w:rFonts w:hint="eastAsia" w:ascii="宋体" w:hAnsi="宋体"/>
          <w:i w:val="0"/>
          <w:iCs w:val="0"/>
          <w:color w:val="auto"/>
          <w:spacing w:val="-4"/>
          <w:highlight w:val="none"/>
        </w:rPr>
        <w:t xml:space="preserve"> 。项目已具备招标</w:t>
      </w:r>
      <w:r>
        <w:rPr>
          <w:rFonts w:hint="eastAsia" w:ascii="宋体" w:hAnsi="宋体"/>
          <w:i w:val="0"/>
          <w:iCs w:val="0"/>
          <w:color w:val="auto"/>
          <w:highlight w:val="none"/>
        </w:rPr>
        <w:t>条件，现对该项目的</w:t>
      </w:r>
      <w:r>
        <w:rPr>
          <w:rFonts w:hint="eastAsia" w:ascii="宋体" w:hAnsi="宋体"/>
          <w:i w:val="0"/>
          <w:iCs w:val="0"/>
          <w:color w:val="auto"/>
          <w:highlight w:val="none"/>
          <w:u w:val="single"/>
          <w:lang w:eastAsia="zh-CN"/>
        </w:rPr>
        <w:t>梅山东片区一单元开发项目一期二期</w:t>
      </w:r>
      <w:r>
        <w:rPr>
          <w:rFonts w:hint="eastAsia" w:ascii="宋体" w:hAnsi="宋体"/>
          <w:i w:val="0"/>
          <w:iCs w:val="0"/>
          <w:color w:val="auto"/>
          <w:highlight w:val="none"/>
        </w:rPr>
        <w:t>的施工进行公开招标。</w:t>
      </w:r>
    </w:p>
    <w:p w14:paraId="57449C80">
      <w:pPr>
        <w:rPr>
          <w:rFonts w:ascii="宋体" w:hAnsi="宋体"/>
          <w:b/>
          <w:i w:val="0"/>
          <w:iCs w:val="0"/>
          <w:color w:val="auto"/>
          <w:highlight w:val="none"/>
        </w:rPr>
      </w:pPr>
      <w:bookmarkStart w:id="17" w:name="_Toc45697221"/>
      <w:bookmarkEnd w:id="17"/>
      <w:bookmarkStart w:id="18" w:name="_Toc20011"/>
      <w:bookmarkEnd w:id="18"/>
      <w:bookmarkStart w:id="19" w:name="_Toc26001997"/>
      <w:bookmarkEnd w:id="19"/>
      <w:bookmarkStart w:id="20" w:name="_Toc22828052"/>
      <w:bookmarkEnd w:id="20"/>
      <w:bookmarkStart w:id="21" w:name="bookmark3"/>
      <w:bookmarkEnd w:id="21"/>
      <w:bookmarkStart w:id="22" w:name="_Toc24050270"/>
      <w:bookmarkEnd w:id="22"/>
      <w:bookmarkStart w:id="23" w:name="_Toc26002050"/>
      <w:bookmarkEnd w:id="23"/>
      <w:bookmarkStart w:id="24" w:name="_Toc22827969"/>
      <w:r>
        <w:rPr>
          <w:rFonts w:hint="eastAsia" w:ascii="宋体" w:hAnsi="宋体"/>
          <w:b/>
          <w:i w:val="0"/>
          <w:iCs w:val="0"/>
          <w:color w:val="auto"/>
          <w:highlight w:val="none"/>
        </w:rPr>
        <w:t>2.项目概况与招标范围</w:t>
      </w:r>
      <w:bookmarkEnd w:id="24"/>
      <w:bookmarkStart w:id="25" w:name="_Hlk24015039"/>
      <w:bookmarkEnd w:id="25"/>
    </w:p>
    <w:p w14:paraId="5385D89E">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2.1项目概况：梅山东片区一单元开发项目</w:t>
      </w:r>
      <w:r>
        <w:rPr>
          <w:rFonts w:hint="eastAsia" w:ascii="宋体" w:hAnsi="宋体"/>
          <w:i w:val="0"/>
          <w:iCs w:val="0"/>
          <w:color w:val="auto"/>
          <w:highlight w:val="none"/>
          <w:lang w:val="en-US" w:eastAsia="zh-CN"/>
        </w:rPr>
        <w:t>总</w:t>
      </w:r>
      <w:r>
        <w:rPr>
          <w:rFonts w:hint="eastAsia" w:ascii="宋体" w:hAnsi="宋体"/>
          <w:i w:val="0"/>
          <w:iCs w:val="0"/>
          <w:color w:val="auto"/>
          <w:highlight w:val="none"/>
        </w:rPr>
        <w:t>投资估算</w:t>
      </w:r>
      <w:r>
        <w:rPr>
          <w:rFonts w:hint="eastAsia" w:ascii="宋体" w:hAnsi="宋体"/>
          <w:i w:val="0"/>
          <w:iCs w:val="0"/>
          <w:color w:val="auto"/>
          <w:highlight w:val="none"/>
          <w:u w:val="single"/>
          <w:lang w:eastAsia="zh-CN"/>
        </w:rPr>
        <w:t>1</w:t>
      </w:r>
      <w:r>
        <w:rPr>
          <w:rFonts w:hint="eastAsia" w:ascii="宋体" w:hAnsi="宋体"/>
          <w:i w:val="0"/>
          <w:iCs w:val="0"/>
          <w:color w:val="auto"/>
          <w:highlight w:val="none"/>
          <w:u w:val="single"/>
          <w:lang w:val="en-US" w:eastAsia="zh-CN"/>
        </w:rPr>
        <w:t>810</w:t>
      </w:r>
      <w:r>
        <w:rPr>
          <w:rFonts w:hint="eastAsia" w:ascii="宋体" w:hAnsi="宋体"/>
          <w:i w:val="0"/>
          <w:iCs w:val="0"/>
          <w:color w:val="auto"/>
          <w:highlight w:val="none"/>
          <w:u w:val="single"/>
          <w:lang w:eastAsia="zh-CN"/>
        </w:rPr>
        <w:t>00</w:t>
      </w:r>
      <w:r>
        <w:rPr>
          <w:rFonts w:hint="eastAsia" w:ascii="宋体" w:hAnsi="宋体"/>
          <w:i w:val="0"/>
          <w:iCs w:val="0"/>
          <w:color w:val="auto"/>
          <w:highlight w:val="none"/>
          <w:u w:val="single"/>
          <w:lang w:val="en-US" w:eastAsia="zh-CN"/>
        </w:rPr>
        <w:t>万</w:t>
      </w:r>
      <w:r>
        <w:rPr>
          <w:rFonts w:hint="eastAsia" w:ascii="宋体" w:hAnsi="宋体"/>
          <w:i w:val="0"/>
          <w:iCs w:val="0"/>
          <w:color w:val="auto"/>
          <w:highlight w:val="none"/>
        </w:rPr>
        <w:t>元，</w:t>
      </w:r>
      <w:r>
        <w:rPr>
          <w:rFonts w:hint="eastAsia" w:ascii="宋体" w:hAnsi="宋体"/>
          <w:i w:val="0"/>
          <w:iCs w:val="0"/>
          <w:color w:val="auto"/>
          <w:highlight w:val="none"/>
          <w:lang w:val="en-US" w:eastAsia="zh-CN"/>
        </w:rPr>
        <w:t>其中一期二期工程</w:t>
      </w:r>
      <w:r>
        <w:rPr>
          <w:rFonts w:hint="eastAsia" w:ascii="宋体" w:hAnsi="宋体"/>
          <w:i w:val="0"/>
          <w:iCs w:val="0"/>
          <w:color w:val="auto"/>
          <w:highlight w:val="none"/>
        </w:rPr>
        <w:t>概算</w:t>
      </w:r>
      <w:r>
        <w:rPr>
          <w:rFonts w:hint="eastAsia" w:ascii="宋体" w:hAnsi="宋体"/>
          <w:i w:val="0"/>
          <w:iCs w:val="0"/>
          <w:color w:val="auto"/>
          <w:highlight w:val="none"/>
          <w:u w:val="single"/>
          <w:lang w:val="en-US" w:eastAsia="zh-CN"/>
        </w:rPr>
        <w:t>110000</w:t>
      </w:r>
      <w:r>
        <w:rPr>
          <w:rFonts w:hint="eastAsia" w:ascii="宋体" w:hAnsi="宋体"/>
          <w:i w:val="0"/>
          <w:iCs w:val="0"/>
          <w:color w:val="auto"/>
          <w:highlight w:val="none"/>
        </w:rPr>
        <w:t>万元，</w:t>
      </w:r>
      <w:r>
        <w:rPr>
          <w:rFonts w:hint="eastAsia" w:ascii="宋体" w:hAnsi="宋体"/>
          <w:i w:val="0"/>
          <w:iCs w:val="0"/>
          <w:color w:val="auto"/>
          <w:highlight w:val="none"/>
          <w:lang w:val="en-US" w:eastAsia="zh-CN"/>
        </w:rPr>
        <w:t>工程</w:t>
      </w:r>
      <w:r>
        <w:rPr>
          <w:rFonts w:hint="eastAsia" w:ascii="宋体" w:hAnsi="宋体"/>
          <w:i w:val="0"/>
          <w:iCs w:val="0"/>
          <w:color w:val="auto"/>
          <w:highlight w:val="none"/>
        </w:rPr>
        <w:t>建安工程造价</w:t>
      </w:r>
      <w:r>
        <w:rPr>
          <w:rFonts w:hint="eastAsia" w:ascii="宋体" w:hAnsi="宋体"/>
          <w:i w:val="0"/>
          <w:iCs w:val="0"/>
          <w:color w:val="auto"/>
          <w:highlight w:val="none"/>
          <w:u w:val="single"/>
          <w:lang w:val="en-US" w:eastAsia="zh-CN"/>
        </w:rPr>
        <w:t>约75000</w:t>
      </w:r>
      <w:r>
        <w:rPr>
          <w:rFonts w:hint="eastAsia" w:ascii="宋体" w:hAnsi="宋体"/>
          <w:i w:val="0"/>
          <w:iCs w:val="0"/>
          <w:color w:val="auto"/>
          <w:highlight w:val="none"/>
        </w:rPr>
        <w:t>万元</w:t>
      </w:r>
      <w:r>
        <w:rPr>
          <w:rFonts w:hint="eastAsia" w:ascii="宋体" w:hAnsi="宋体" w:eastAsia="宋体" w:cs="Times New Roman"/>
          <w:i w:val="0"/>
          <w:iCs w:val="0"/>
          <w:color w:val="auto"/>
          <w:highlight w:val="none"/>
          <w:u w:val="single"/>
          <w:lang w:val="en-US" w:eastAsia="zh-CN"/>
        </w:rPr>
        <w:t>（具体以审定标底为准）</w:t>
      </w:r>
      <w:r>
        <w:rPr>
          <w:rFonts w:hint="eastAsia" w:ascii="宋体" w:hAnsi="宋体"/>
          <w:i w:val="0"/>
          <w:iCs w:val="0"/>
          <w:color w:val="auto"/>
          <w:highlight w:val="none"/>
        </w:rPr>
        <w:t>，建设规模：</w:t>
      </w:r>
      <w:r>
        <w:rPr>
          <w:rFonts w:hint="eastAsia" w:ascii="宋体" w:hAnsi="宋体"/>
          <w:i w:val="0"/>
          <w:iCs w:val="0"/>
          <w:color w:val="auto"/>
          <w:highlight w:val="none"/>
          <w:lang w:val="en-US" w:eastAsia="zh-CN"/>
        </w:rPr>
        <w:t>总用地面积149554</w:t>
      </w:r>
      <w:r>
        <w:rPr>
          <w:rFonts w:hint="eastAsia" w:ascii="宋体" w:hAnsi="宋体"/>
          <w:i w:val="0"/>
          <w:iCs w:val="0"/>
          <w:color w:val="auto"/>
          <w:highlight w:val="none"/>
          <w:u w:val="single"/>
        </w:rPr>
        <w:t>平方米</w:t>
      </w:r>
      <w:r>
        <w:rPr>
          <w:rFonts w:hint="eastAsia" w:ascii="宋体" w:hAnsi="宋体"/>
          <w:i w:val="0"/>
          <w:iCs w:val="0"/>
          <w:color w:val="auto"/>
          <w:highlight w:val="none"/>
          <w:u w:val="single"/>
          <w:lang w:eastAsia="zh-CN"/>
        </w:rPr>
        <w:t>，</w:t>
      </w:r>
      <w:r>
        <w:rPr>
          <w:rFonts w:hint="eastAsia" w:ascii="宋体" w:hAnsi="宋体"/>
          <w:i w:val="0"/>
          <w:iCs w:val="0"/>
          <w:color w:val="auto"/>
          <w:highlight w:val="none"/>
          <w:u w:val="single"/>
        </w:rPr>
        <w:t>总建筑面积约</w:t>
      </w:r>
      <w:r>
        <w:rPr>
          <w:rFonts w:hint="eastAsia" w:ascii="宋体" w:hAnsi="宋体"/>
          <w:i w:val="0"/>
          <w:iCs w:val="0"/>
          <w:color w:val="auto"/>
          <w:highlight w:val="none"/>
          <w:u w:val="single"/>
          <w:lang w:eastAsia="zh-CN"/>
        </w:rPr>
        <w:t>9</w:t>
      </w:r>
      <w:r>
        <w:rPr>
          <w:rFonts w:hint="eastAsia" w:ascii="宋体" w:hAnsi="宋体"/>
          <w:i w:val="0"/>
          <w:iCs w:val="0"/>
          <w:color w:val="auto"/>
          <w:highlight w:val="none"/>
          <w:u w:val="single"/>
          <w:lang w:val="en-US" w:eastAsia="zh-CN"/>
        </w:rPr>
        <w:t>6700</w:t>
      </w:r>
      <w:r>
        <w:rPr>
          <w:rFonts w:hint="eastAsia" w:ascii="宋体" w:hAnsi="宋体"/>
          <w:i w:val="0"/>
          <w:iCs w:val="0"/>
          <w:color w:val="auto"/>
          <w:highlight w:val="none"/>
          <w:u w:val="single"/>
        </w:rPr>
        <w:t>平方米，其中地上建筑面积约</w:t>
      </w:r>
      <w:r>
        <w:rPr>
          <w:rFonts w:hint="eastAsia" w:ascii="宋体" w:hAnsi="宋体"/>
          <w:i w:val="0"/>
          <w:iCs w:val="0"/>
          <w:color w:val="auto"/>
          <w:highlight w:val="none"/>
          <w:u w:val="single"/>
          <w:lang w:eastAsia="zh-CN"/>
        </w:rPr>
        <w:t>4</w:t>
      </w:r>
      <w:r>
        <w:rPr>
          <w:rFonts w:hint="eastAsia" w:ascii="宋体" w:hAnsi="宋体"/>
          <w:i w:val="0"/>
          <w:iCs w:val="0"/>
          <w:color w:val="auto"/>
          <w:highlight w:val="none"/>
          <w:u w:val="single"/>
          <w:lang w:val="en-US" w:eastAsia="zh-CN"/>
        </w:rPr>
        <w:t>9700</w:t>
      </w:r>
      <w:r>
        <w:rPr>
          <w:rFonts w:hint="eastAsia" w:ascii="宋体" w:hAnsi="宋体"/>
          <w:i w:val="0"/>
          <w:iCs w:val="0"/>
          <w:color w:val="auto"/>
          <w:highlight w:val="none"/>
          <w:u w:val="single"/>
        </w:rPr>
        <w:t>平方米，地下建筑面积约</w:t>
      </w:r>
      <w:r>
        <w:rPr>
          <w:rFonts w:hint="eastAsia" w:ascii="宋体" w:hAnsi="宋体"/>
          <w:i w:val="0"/>
          <w:iCs w:val="0"/>
          <w:color w:val="auto"/>
          <w:highlight w:val="none"/>
          <w:u w:val="single"/>
          <w:lang w:val="en-US" w:eastAsia="zh-CN"/>
        </w:rPr>
        <w:t>47000</w:t>
      </w:r>
      <w:r>
        <w:rPr>
          <w:rFonts w:hint="eastAsia" w:ascii="宋体" w:hAnsi="宋体"/>
          <w:i w:val="0"/>
          <w:iCs w:val="0"/>
          <w:color w:val="auto"/>
          <w:highlight w:val="none"/>
          <w:u w:val="single"/>
        </w:rPr>
        <w:t>平方米</w:t>
      </w:r>
      <w:r>
        <w:rPr>
          <w:rFonts w:hint="eastAsia" w:ascii="宋体" w:hAnsi="宋体"/>
          <w:i w:val="0"/>
          <w:iCs w:val="0"/>
          <w:color w:val="auto"/>
          <w:highlight w:val="none"/>
          <w:u w:val="single"/>
          <w:lang w:eastAsia="zh-CN"/>
        </w:rPr>
        <w:t>。</w:t>
      </w:r>
      <w:r>
        <w:rPr>
          <w:rFonts w:hint="eastAsia" w:ascii="宋体" w:hAnsi="宋体"/>
          <w:i w:val="0"/>
          <w:iCs w:val="0"/>
          <w:color w:val="auto"/>
          <w:highlight w:val="none"/>
          <w:u w:val="single"/>
          <w:lang w:val="en-US" w:eastAsia="zh-CN"/>
        </w:rPr>
        <w:t>绿化景观面积约127000</w:t>
      </w:r>
      <w:r>
        <w:rPr>
          <w:rFonts w:hint="eastAsia" w:ascii="宋体" w:hAnsi="宋体"/>
          <w:i w:val="0"/>
          <w:iCs w:val="0"/>
          <w:color w:val="auto"/>
          <w:highlight w:val="none"/>
          <w:u w:val="single"/>
        </w:rPr>
        <w:t>平方米</w:t>
      </w:r>
      <w:r>
        <w:rPr>
          <w:rFonts w:hint="eastAsia" w:ascii="宋体" w:hAnsi="宋体"/>
          <w:i w:val="0"/>
          <w:iCs w:val="0"/>
          <w:color w:val="auto"/>
          <w:highlight w:val="none"/>
          <w:u w:val="single"/>
          <w:lang w:eastAsia="zh-CN"/>
        </w:rPr>
        <w:t>，</w:t>
      </w:r>
      <w:r>
        <w:rPr>
          <w:rFonts w:hint="eastAsia" w:ascii="宋体" w:hAnsi="宋体"/>
          <w:i w:val="0"/>
          <w:iCs w:val="0"/>
          <w:color w:val="auto"/>
          <w:highlight w:val="none"/>
          <w:u w:val="single"/>
        </w:rPr>
        <w:t>装配率6</w:t>
      </w:r>
      <w:r>
        <w:rPr>
          <w:rFonts w:hint="eastAsia" w:ascii="宋体" w:hAnsi="宋体"/>
          <w:i w:val="0"/>
          <w:iCs w:val="0"/>
          <w:color w:val="auto"/>
          <w:highlight w:val="none"/>
          <w:u w:val="single"/>
          <w:lang w:val="en-US" w:eastAsia="zh-CN"/>
        </w:rPr>
        <w:t>6%</w:t>
      </w:r>
      <w:r>
        <w:rPr>
          <w:rFonts w:hint="eastAsia" w:ascii="宋体" w:hAnsi="宋体"/>
          <w:i w:val="0"/>
          <w:iCs w:val="0"/>
          <w:color w:val="auto"/>
          <w:highlight w:val="none"/>
          <w:u w:val="single"/>
          <w:lang w:eastAsia="zh-CN"/>
        </w:rPr>
        <w:t>，</w:t>
      </w:r>
      <w:r>
        <w:rPr>
          <w:rFonts w:hint="eastAsia" w:ascii="宋体" w:hAnsi="宋体"/>
          <w:i w:val="0"/>
          <w:iCs w:val="0"/>
          <w:color w:val="auto"/>
          <w:highlight w:val="none"/>
          <w:u w:val="single"/>
          <w:lang w:val="en-US" w:eastAsia="zh-CN"/>
        </w:rPr>
        <w:t>基坑最大深度8.15米</w:t>
      </w:r>
      <w:r>
        <w:rPr>
          <w:rFonts w:hint="eastAsia" w:ascii="宋体" w:hAnsi="宋体"/>
          <w:i w:val="0"/>
          <w:iCs w:val="0"/>
          <w:color w:val="auto"/>
          <w:highlight w:val="none"/>
          <w:u w:val="single"/>
          <w:lang w:eastAsia="zh-CN"/>
        </w:rPr>
        <w:t>。</w:t>
      </w:r>
      <w:r>
        <w:rPr>
          <w:rFonts w:hint="eastAsia" w:ascii="宋体" w:hAnsi="宋体"/>
          <w:i w:val="0"/>
          <w:iCs w:val="0"/>
          <w:color w:val="auto"/>
          <w:highlight w:val="none"/>
          <w:u w:val="single"/>
        </w:rPr>
        <w:t>分</w:t>
      </w:r>
      <w:r>
        <w:rPr>
          <w:rFonts w:hint="eastAsia" w:ascii="宋体" w:hAnsi="宋体"/>
          <w:i w:val="0"/>
          <w:iCs w:val="0"/>
          <w:color w:val="auto"/>
          <w:highlight w:val="none"/>
          <w:u w:val="single"/>
          <w:lang w:val="en-US" w:eastAsia="zh-CN"/>
        </w:rPr>
        <w:t>两个</w:t>
      </w:r>
      <w:r>
        <w:rPr>
          <w:rFonts w:hint="eastAsia" w:ascii="宋体" w:hAnsi="宋体"/>
          <w:i w:val="0"/>
          <w:iCs w:val="0"/>
          <w:color w:val="auto"/>
          <w:highlight w:val="none"/>
          <w:u w:val="single"/>
        </w:rPr>
        <w:t>地块</w:t>
      </w:r>
      <w:r>
        <w:rPr>
          <w:rFonts w:hint="eastAsia" w:ascii="宋体" w:hAnsi="宋体"/>
          <w:i w:val="0"/>
          <w:iCs w:val="0"/>
          <w:color w:val="auto"/>
          <w:highlight w:val="none"/>
          <w:u w:val="single"/>
          <w:lang w:eastAsia="zh-CN"/>
        </w:rPr>
        <w:t>：</w:t>
      </w:r>
      <w:r>
        <w:rPr>
          <w:rFonts w:hint="eastAsia" w:ascii="宋体" w:hAnsi="宋体"/>
          <w:i w:val="0"/>
          <w:iCs w:val="0"/>
          <w:color w:val="auto"/>
          <w:highlight w:val="none"/>
          <w:u w:val="single"/>
        </w:rPr>
        <w:t>一期</w:t>
      </w:r>
      <w:r>
        <w:rPr>
          <w:rFonts w:hint="eastAsia" w:ascii="宋体" w:hAnsi="宋体"/>
          <w:i w:val="0"/>
          <w:iCs w:val="0"/>
          <w:color w:val="auto"/>
          <w:highlight w:val="none"/>
          <w:u w:val="single"/>
          <w:lang w:val="en-US" w:eastAsia="zh-CN"/>
        </w:rPr>
        <w:t>为</w:t>
      </w:r>
      <w:r>
        <w:rPr>
          <w:rFonts w:hint="eastAsia" w:ascii="宋体" w:hAnsi="宋体"/>
          <w:i w:val="0"/>
          <w:iCs w:val="0"/>
          <w:color w:val="auto"/>
          <w:highlight w:val="none"/>
          <w:u w:val="single"/>
        </w:rPr>
        <w:t>ZX-18CZ-02-01B</w:t>
      </w:r>
      <w:r>
        <w:rPr>
          <w:rFonts w:hint="eastAsia" w:ascii="宋体" w:hAnsi="宋体"/>
          <w:i w:val="0"/>
          <w:iCs w:val="0"/>
          <w:color w:val="auto"/>
          <w:highlight w:val="none"/>
          <w:u w:val="single"/>
          <w:lang w:val="en-US" w:eastAsia="zh-CN"/>
        </w:rPr>
        <w:t>地块</w:t>
      </w:r>
      <w:r>
        <w:rPr>
          <w:rFonts w:hint="eastAsia" w:ascii="宋体" w:hAnsi="宋体"/>
          <w:i w:val="0"/>
          <w:iCs w:val="0"/>
          <w:color w:val="auto"/>
          <w:highlight w:val="none"/>
          <w:u w:val="single"/>
        </w:rPr>
        <w:t>：</w:t>
      </w:r>
      <w:r>
        <w:rPr>
          <w:rFonts w:hint="eastAsia" w:ascii="宋体" w:hAnsi="宋体"/>
          <w:i w:val="0"/>
          <w:iCs w:val="0"/>
          <w:color w:val="auto"/>
          <w:highlight w:val="none"/>
          <w:u w:val="single"/>
          <w:lang w:val="en-US" w:eastAsia="zh-CN"/>
        </w:rPr>
        <w:t>建安造价约为31000万元，</w:t>
      </w:r>
      <w:r>
        <w:rPr>
          <w:rFonts w:hint="eastAsia" w:ascii="宋体" w:hAnsi="宋体"/>
          <w:i w:val="0"/>
          <w:iCs w:val="0"/>
          <w:color w:val="auto"/>
          <w:highlight w:val="none"/>
          <w:u w:val="single"/>
        </w:rPr>
        <w:t>用地面积74</w:t>
      </w:r>
      <w:r>
        <w:rPr>
          <w:rFonts w:hint="eastAsia" w:ascii="宋体" w:hAnsi="宋体"/>
          <w:i w:val="0"/>
          <w:iCs w:val="0"/>
          <w:color w:val="auto"/>
          <w:highlight w:val="none"/>
          <w:u w:val="single"/>
          <w:lang w:val="en-US" w:eastAsia="zh-CN"/>
        </w:rPr>
        <w:t>200</w:t>
      </w:r>
      <w:r>
        <w:rPr>
          <w:rFonts w:hint="eastAsia" w:ascii="宋体" w:hAnsi="宋体"/>
          <w:i w:val="0"/>
          <w:iCs w:val="0"/>
          <w:color w:val="auto"/>
          <w:highlight w:val="none"/>
          <w:u w:val="single"/>
        </w:rPr>
        <w:t>平方米；容积率:0.36；建筑密度:13%；绿地率：绿地率不少于50%（其中公园绿地绿地率不少于65%）；建筑高度不超过18米</w:t>
      </w:r>
      <w:r>
        <w:rPr>
          <w:rFonts w:hint="eastAsia" w:ascii="宋体" w:hAnsi="宋体"/>
          <w:i w:val="0"/>
          <w:iCs w:val="0"/>
          <w:color w:val="auto"/>
          <w:highlight w:val="none"/>
          <w:u w:val="single"/>
          <w:lang w:eastAsia="zh-CN"/>
        </w:rPr>
        <w:t>，</w:t>
      </w:r>
      <w:r>
        <w:rPr>
          <w:rFonts w:hint="eastAsia" w:ascii="宋体" w:hAnsi="宋体"/>
          <w:i w:val="0"/>
          <w:iCs w:val="0"/>
          <w:color w:val="auto"/>
          <w:highlight w:val="none"/>
          <w:u w:val="single"/>
        </w:rPr>
        <w:t>项目总建筑面积约41</w:t>
      </w:r>
      <w:r>
        <w:rPr>
          <w:rFonts w:hint="eastAsia" w:ascii="宋体" w:hAnsi="宋体"/>
          <w:i w:val="0"/>
          <w:iCs w:val="0"/>
          <w:color w:val="auto"/>
          <w:highlight w:val="none"/>
          <w:u w:val="single"/>
          <w:lang w:val="en-US" w:eastAsia="zh-CN"/>
        </w:rPr>
        <w:t>400</w:t>
      </w:r>
      <w:r>
        <w:rPr>
          <w:rFonts w:hint="eastAsia" w:ascii="宋体" w:hAnsi="宋体"/>
          <w:i w:val="0"/>
          <w:iCs w:val="0"/>
          <w:color w:val="auto"/>
          <w:highlight w:val="none"/>
          <w:u w:val="single"/>
        </w:rPr>
        <w:t>平方米，其中地上建筑面积约226</w:t>
      </w:r>
      <w:r>
        <w:rPr>
          <w:rFonts w:hint="eastAsia" w:ascii="宋体" w:hAnsi="宋体"/>
          <w:i w:val="0"/>
          <w:iCs w:val="0"/>
          <w:color w:val="auto"/>
          <w:highlight w:val="none"/>
          <w:u w:val="single"/>
          <w:lang w:val="en-US" w:eastAsia="zh-CN"/>
        </w:rPr>
        <w:t>00</w:t>
      </w:r>
      <w:r>
        <w:rPr>
          <w:rFonts w:hint="eastAsia" w:ascii="宋体" w:hAnsi="宋体"/>
          <w:i w:val="0"/>
          <w:iCs w:val="0"/>
          <w:color w:val="auto"/>
          <w:highlight w:val="none"/>
          <w:u w:val="single"/>
        </w:rPr>
        <w:t>平方米，地下建筑面积约18</w:t>
      </w:r>
      <w:r>
        <w:rPr>
          <w:rFonts w:hint="eastAsia" w:ascii="宋体" w:hAnsi="宋体"/>
          <w:i w:val="0"/>
          <w:iCs w:val="0"/>
          <w:color w:val="auto"/>
          <w:highlight w:val="none"/>
          <w:u w:val="single"/>
          <w:lang w:val="en-US" w:eastAsia="zh-CN"/>
        </w:rPr>
        <w:t>800</w:t>
      </w:r>
      <w:r>
        <w:rPr>
          <w:rFonts w:hint="eastAsia" w:ascii="宋体" w:hAnsi="宋体"/>
          <w:i w:val="0"/>
          <w:iCs w:val="0"/>
          <w:color w:val="auto"/>
          <w:highlight w:val="none"/>
          <w:u w:val="single"/>
        </w:rPr>
        <w:t>平方米</w:t>
      </w:r>
      <w:r>
        <w:rPr>
          <w:rFonts w:hint="eastAsia" w:ascii="宋体" w:hAnsi="宋体"/>
          <w:i w:val="0"/>
          <w:iCs w:val="0"/>
          <w:color w:val="auto"/>
          <w:highlight w:val="none"/>
          <w:u w:val="single"/>
          <w:lang w:eastAsia="zh-CN"/>
        </w:rPr>
        <w:t>；</w:t>
      </w:r>
      <w:r>
        <w:rPr>
          <w:rFonts w:hint="eastAsia" w:ascii="宋体" w:hAnsi="宋体"/>
          <w:i w:val="0"/>
          <w:iCs w:val="0"/>
          <w:color w:val="auto"/>
          <w:highlight w:val="none"/>
          <w:u w:val="single"/>
        </w:rPr>
        <w:t>二期为ZX-18CZ-02-01A地块：</w:t>
      </w:r>
      <w:r>
        <w:rPr>
          <w:rFonts w:hint="eastAsia" w:ascii="宋体" w:hAnsi="宋体"/>
          <w:i w:val="0"/>
          <w:iCs w:val="0"/>
          <w:color w:val="auto"/>
          <w:highlight w:val="none"/>
          <w:u w:val="single"/>
          <w:lang w:val="en-US" w:eastAsia="zh-CN"/>
        </w:rPr>
        <w:t>建安造价约为44000万元，</w:t>
      </w:r>
      <w:r>
        <w:rPr>
          <w:rFonts w:hint="eastAsia" w:ascii="宋体" w:hAnsi="宋体"/>
          <w:i w:val="0"/>
          <w:iCs w:val="0"/>
          <w:color w:val="auto"/>
          <w:highlight w:val="none"/>
          <w:u w:val="single"/>
        </w:rPr>
        <w:t>用地面积7540</w:t>
      </w:r>
      <w:r>
        <w:rPr>
          <w:rFonts w:hint="eastAsia" w:ascii="宋体" w:hAnsi="宋体"/>
          <w:i w:val="0"/>
          <w:iCs w:val="0"/>
          <w:color w:val="auto"/>
          <w:highlight w:val="none"/>
          <w:u w:val="single"/>
          <w:lang w:val="en-US" w:eastAsia="zh-CN"/>
        </w:rPr>
        <w:t>0</w:t>
      </w:r>
      <w:r>
        <w:rPr>
          <w:rFonts w:hint="eastAsia" w:ascii="宋体" w:hAnsi="宋体"/>
          <w:i w:val="0"/>
          <w:iCs w:val="0"/>
          <w:color w:val="auto"/>
          <w:highlight w:val="none"/>
          <w:u w:val="single"/>
        </w:rPr>
        <w:t>平方米，容积率:0.43，建筑密度:17%；绿地率：绿地率不少于48%（其中公园绿地绿地率不少于65%）；建筑高度不超过20米</w:t>
      </w:r>
      <w:r>
        <w:rPr>
          <w:rFonts w:hint="eastAsia" w:ascii="宋体" w:hAnsi="宋体"/>
          <w:i w:val="0"/>
          <w:iCs w:val="0"/>
          <w:color w:val="auto"/>
          <w:highlight w:val="none"/>
          <w:u w:val="single"/>
          <w:lang w:eastAsia="zh-CN"/>
        </w:rPr>
        <w:t>，项目总建筑面积约55</w:t>
      </w:r>
      <w:r>
        <w:rPr>
          <w:rFonts w:hint="eastAsia" w:ascii="宋体" w:hAnsi="宋体"/>
          <w:i w:val="0"/>
          <w:iCs w:val="0"/>
          <w:color w:val="auto"/>
          <w:highlight w:val="none"/>
          <w:u w:val="single"/>
          <w:lang w:val="en-US" w:eastAsia="zh-CN"/>
        </w:rPr>
        <w:t>300</w:t>
      </w:r>
      <w:r>
        <w:rPr>
          <w:rFonts w:hint="eastAsia" w:ascii="宋体" w:hAnsi="宋体"/>
          <w:i w:val="0"/>
          <w:iCs w:val="0"/>
          <w:color w:val="auto"/>
          <w:highlight w:val="none"/>
          <w:u w:val="single"/>
          <w:lang w:eastAsia="zh-CN"/>
        </w:rPr>
        <w:t>平方米，其中地上建筑面积约271</w:t>
      </w:r>
      <w:r>
        <w:rPr>
          <w:rFonts w:hint="eastAsia" w:ascii="宋体" w:hAnsi="宋体"/>
          <w:i w:val="0"/>
          <w:iCs w:val="0"/>
          <w:color w:val="auto"/>
          <w:highlight w:val="none"/>
          <w:u w:val="single"/>
          <w:lang w:val="en-US" w:eastAsia="zh-CN"/>
        </w:rPr>
        <w:t>00</w:t>
      </w:r>
      <w:r>
        <w:rPr>
          <w:rFonts w:hint="eastAsia" w:ascii="宋体" w:hAnsi="宋体"/>
          <w:i w:val="0"/>
          <w:iCs w:val="0"/>
          <w:color w:val="auto"/>
          <w:highlight w:val="none"/>
          <w:u w:val="single"/>
          <w:lang w:eastAsia="zh-CN"/>
        </w:rPr>
        <w:t>平方米，地下建筑面积约28</w:t>
      </w:r>
      <w:r>
        <w:rPr>
          <w:rFonts w:hint="eastAsia" w:ascii="宋体" w:hAnsi="宋体"/>
          <w:i w:val="0"/>
          <w:iCs w:val="0"/>
          <w:color w:val="auto"/>
          <w:highlight w:val="none"/>
          <w:u w:val="single"/>
          <w:lang w:val="en-US" w:eastAsia="zh-CN"/>
        </w:rPr>
        <w:t>200</w:t>
      </w:r>
      <w:r>
        <w:rPr>
          <w:rFonts w:hint="eastAsia" w:ascii="宋体" w:hAnsi="宋体"/>
          <w:i w:val="0"/>
          <w:iCs w:val="0"/>
          <w:color w:val="auto"/>
          <w:highlight w:val="none"/>
          <w:u w:val="single"/>
          <w:lang w:eastAsia="zh-CN"/>
        </w:rPr>
        <w:t>平方米。</w:t>
      </w:r>
      <w:r>
        <w:rPr>
          <w:rFonts w:hint="eastAsia" w:ascii="宋体" w:hAnsi="宋体"/>
          <w:i w:val="0"/>
          <w:iCs w:val="0"/>
          <w:color w:val="auto"/>
          <w:highlight w:val="none"/>
        </w:rPr>
        <w:t>建设地点：</w:t>
      </w:r>
      <w:r>
        <w:rPr>
          <w:rFonts w:hint="eastAsia" w:ascii="宋体" w:hAnsi="宋体"/>
          <w:i w:val="0"/>
          <w:iCs w:val="0"/>
          <w:color w:val="auto"/>
          <w:highlight w:val="none"/>
          <w:u w:val="single"/>
          <w:lang w:val="en-US" w:eastAsia="zh-CN"/>
        </w:rPr>
        <w:t>浙江省绍兴市镜湖新区</w:t>
      </w:r>
      <w:r>
        <w:rPr>
          <w:rFonts w:hint="eastAsia" w:ascii="宋体" w:hAnsi="宋体"/>
          <w:i w:val="0"/>
          <w:iCs w:val="0"/>
          <w:color w:val="auto"/>
          <w:highlight w:val="none"/>
          <w:u w:val="single"/>
        </w:rPr>
        <w:t>，□本工程按绿色建筑三星级标准实施</w:t>
      </w:r>
      <w:r>
        <w:rPr>
          <w:rFonts w:hint="eastAsia" w:ascii="宋体" w:hAnsi="宋体"/>
          <w:i w:val="0"/>
          <w:iCs w:val="0"/>
          <w:color w:val="auto"/>
          <w:highlight w:val="none"/>
        </w:rPr>
        <w:t>。</w:t>
      </w:r>
    </w:p>
    <w:p w14:paraId="55361B19">
      <w:pPr>
        <w:pStyle w:val="9"/>
        <w:kinsoku w:val="0"/>
        <w:snapToGrid w:val="0"/>
        <w:spacing w:before="0" w:beforeAutospacing="0" w:after="0" w:afterAutospacing="0"/>
        <w:ind w:left="0" w:firstLine="480" w:firstLineChars="200"/>
        <w:jc w:val="both"/>
        <w:rPr>
          <w:rFonts w:hint="eastAsia" w:ascii="宋体" w:hAnsi="宋体" w:eastAsia="宋体" w:cs="Times New Roman"/>
          <w:i w:val="0"/>
          <w:iCs w:val="0"/>
          <w:color w:val="auto"/>
          <w:highlight w:val="none"/>
          <w:u w:val="single"/>
          <w:lang w:eastAsia="zh-CN"/>
        </w:rPr>
      </w:pPr>
      <w:r>
        <w:rPr>
          <w:rFonts w:hint="eastAsia" w:ascii="宋体" w:hAnsi="宋体"/>
          <w:i w:val="0"/>
          <w:iCs w:val="0"/>
          <w:color w:val="auto"/>
          <w:highlight w:val="none"/>
        </w:rPr>
        <w:t>2.2招标范围：</w:t>
      </w:r>
      <w:r>
        <w:rPr>
          <w:rFonts w:hint="eastAsia" w:ascii="宋体" w:hAnsi="宋体" w:eastAsia="宋体" w:cs="Times New Roman"/>
          <w:i w:val="0"/>
          <w:iCs w:val="0"/>
          <w:color w:val="auto"/>
          <w:highlight w:val="none"/>
          <w:u w:val="single"/>
          <w:lang w:eastAsia="zh-CN"/>
        </w:rPr>
        <w:t>梅山东片区一单元开发项目一期二期项目施工,建设内容为景观工程、商业零售餐饮、精品酒店等，其中一期地上14栋建筑,地下一层地下室</w:t>
      </w:r>
      <w:r>
        <w:rPr>
          <w:rFonts w:hint="eastAsia" w:ascii="宋体" w:hAnsi="宋体" w:eastAsia="宋体" w:cs="Times New Roman"/>
          <w:i w:val="0"/>
          <w:iCs w:val="0"/>
          <w:color w:val="auto"/>
          <w:highlight w:val="none"/>
          <w:u w:val="single"/>
          <w:lang w:val="en-US" w:eastAsia="zh-CN"/>
        </w:rPr>
        <w:t>（部分地下二层）</w:t>
      </w:r>
      <w:r>
        <w:rPr>
          <w:rFonts w:hint="eastAsia" w:ascii="宋体" w:hAnsi="宋体" w:eastAsia="宋体" w:cs="Times New Roman"/>
          <w:i w:val="0"/>
          <w:iCs w:val="0"/>
          <w:color w:val="auto"/>
          <w:highlight w:val="none"/>
          <w:u w:val="single"/>
          <w:lang w:eastAsia="zh-CN"/>
        </w:rPr>
        <w:t>，二期地上</w:t>
      </w:r>
      <w:r>
        <w:rPr>
          <w:rFonts w:hint="eastAsia" w:ascii="宋体" w:hAnsi="宋体" w:eastAsia="宋体" w:cs="Times New Roman"/>
          <w:i w:val="0"/>
          <w:iCs w:val="0"/>
          <w:color w:val="auto"/>
          <w:highlight w:val="none"/>
          <w:u w:val="single"/>
          <w:lang w:val="en-US" w:eastAsia="zh-CN"/>
        </w:rPr>
        <w:t>9</w:t>
      </w:r>
      <w:r>
        <w:rPr>
          <w:rFonts w:hint="eastAsia" w:ascii="宋体" w:hAnsi="宋体" w:eastAsia="宋体" w:cs="Times New Roman"/>
          <w:i w:val="0"/>
          <w:iCs w:val="0"/>
          <w:color w:val="auto"/>
          <w:highlight w:val="none"/>
          <w:u w:val="single"/>
          <w:lang w:eastAsia="zh-CN"/>
        </w:rPr>
        <w:t>栋建筑，地下一层地下室</w:t>
      </w:r>
      <w:r>
        <w:rPr>
          <w:rFonts w:hint="eastAsia" w:ascii="宋体" w:hAnsi="宋体" w:eastAsia="宋体" w:cs="Times New Roman"/>
          <w:i w:val="0"/>
          <w:iCs w:val="0"/>
          <w:color w:val="auto"/>
          <w:highlight w:val="none"/>
          <w:u w:val="single"/>
          <w:lang w:val="en-US" w:eastAsia="zh-CN"/>
        </w:rPr>
        <w:t>（部分地下二层）</w:t>
      </w:r>
      <w:r>
        <w:rPr>
          <w:rFonts w:hint="eastAsia" w:ascii="宋体" w:hAnsi="宋体" w:eastAsia="宋体" w:cs="Times New Roman"/>
          <w:i w:val="0"/>
          <w:iCs w:val="0"/>
          <w:color w:val="auto"/>
          <w:highlight w:val="none"/>
          <w:u w:val="single"/>
          <w:lang w:eastAsia="zh-CN"/>
        </w:rPr>
        <w:t>，包含基坑围护、幕墙工程、场外给排水、智能化、泛光照明、标识标线、园林景观、绿化、光伏、桥梁等；具体范围及内容详见清单及施工图纸。</w:t>
      </w:r>
    </w:p>
    <w:p w14:paraId="5207AF60">
      <w:pPr>
        <w:pStyle w:val="9"/>
        <w:kinsoku w:val="0"/>
        <w:snapToGrid w:val="0"/>
        <w:spacing w:before="0" w:beforeAutospacing="0" w:after="0" w:afterAutospacing="0"/>
        <w:ind w:left="0" w:firstLine="480" w:firstLineChars="200"/>
        <w:jc w:val="left"/>
        <w:rPr>
          <w:rFonts w:ascii="宋体" w:hAnsi="宋体"/>
          <w:i w:val="0"/>
          <w:iCs w:val="0"/>
          <w:color w:val="auto"/>
          <w:highlight w:val="none"/>
        </w:rPr>
      </w:pPr>
      <w:r>
        <w:rPr>
          <w:rFonts w:hint="eastAsia" w:ascii="宋体" w:hAnsi="宋体"/>
          <w:i w:val="0"/>
          <w:iCs w:val="0"/>
          <w:color w:val="auto"/>
          <w:highlight w:val="none"/>
        </w:rPr>
        <w:t>本次招标建安工程造价：</w:t>
      </w:r>
      <w:r>
        <w:rPr>
          <w:rFonts w:hint="eastAsia" w:ascii="宋体" w:hAnsi="宋体"/>
          <w:i w:val="0"/>
          <w:iCs w:val="0"/>
          <w:color w:val="auto"/>
          <w:highlight w:val="none"/>
          <w:u w:val="single"/>
          <w:lang w:eastAsia="zh-CN"/>
        </w:rPr>
        <w:t>约</w:t>
      </w:r>
      <w:r>
        <w:rPr>
          <w:rFonts w:hint="eastAsia" w:ascii="宋体" w:hAnsi="宋体"/>
          <w:i w:val="0"/>
          <w:iCs w:val="0"/>
          <w:color w:val="auto"/>
          <w:highlight w:val="none"/>
          <w:u w:val="single"/>
          <w:lang w:val="en-US" w:eastAsia="zh-CN"/>
        </w:rPr>
        <w:t>75000万元</w:t>
      </w:r>
      <w:r>
        <w:rPr>
          <w:rFonts w:hint="eastAsia" w:ascii="宋体" w:hAnsi="宋体" w:eastAsia="宋体" w:cs="Times New Roman"/>
          <w:i w:val="0"/>
          <w:iCs w:val="0"/>
          <w:color w:val="auto"/>
          <w:highlight w:val="none"/>
          <w:u w:val="single"/>
          <w:lang w:val="en-US" w:eastAsia="zh-CN"/>
        </w:rPr>
        <w:t>（具体以审定标底为准）</w:t>
      </w:r>
      <w:r>
        <w:rPr>
          <w:rFonts w:hint="eastAsia" w:ascii="宋体" w:hAnsi="宋体"/>
          <w:i w:val="0"/>
          <w:iCs w:val="0"/>
          <w:color w:val="auto"/>
          <w:highlight w:val="none"/>
        </w:rPr>
        <w:t>。</w:t>
      </w:r>
    </w:p>
    <w:p w14:paraId="063115FA">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2.3施工总工期：</w:t>
      </w:r>
      <w:r>
        <w:rPr>
          <w:rFonts w:hint="eastAsia" w:ascii="宋体" w:hAnsi="宋体"/>
          <w:i w:val="0"/>
          <w:iCs w:val="0"/>
          <w:color w:val="auto"/>
          <w:highlight w:val="none"/>
          <w:u w:val="single"/>
          <w:lang w:val="en-US" w:eastAsia="zh-CN"/>
        </w:rPr>
        <w:t>561日历天</w:t>
      </w:r>
      <w:r>
        <w:rPr>
          <w:rFonts w:hint="eastAsia" w:ascii="宋体" w:hAnsi="宋体"/>
          <w:i w:val="0"/>
          <w:iCs w:val="0"/>
          <w:color w:val="auto"/>
          <w:highlight w:val="none"/>
        </w:rPr>
        <w:t>。</w:t>
      </w:r>
    </w:p>
    <w:p w14:paraId="2E202B55">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2.4是否属于政府采购工程</w:t>
      </w:r>
      <w:r>
        <w:rPr>
          <w:rFonts w:hint="eastAsia" w:ascii="宋体" w:hAnsi="宋体"/>
          <w:i w:val="0"/>
          <w:iCs w:val="0"/>
          <w:color w:val="auto"/>
          <w:highlight w:val="none"/>
        </w:rPr>
        <w:tab/>
      </w:r>
      <w:r>
        <w:rPr>
          <w:rFonts w:hint="eastAsia" w:ascii="宋体" w:hAnsi="宋体"/>
          <w:i w:val="0"/>
          <w:iCs w:val="0"/>
          <w:color w:val="auto"/>
          <w:highlight w:val="none"/>
        </w:rPr>
        <w:t>□是</w:t>
      </w:r>
      <w:r>
        <w:rPr>
          <w:rFonts w:hint="eastAsia" w:ascii="宋体" w:hAnsi="宋体"/>
          <w:i w:val="0"/>
          <w:iCs w:val="0"/>
          <w:color w:val="auto"/>
          <w:highlight w:val="none"/>
        </w:rPr>
        <w:tab/>
      </w:r>
      <w:r>
        <w:rPr>
          <w:rFonts w:hint="eastAsia" w:ascii="宋体" w:hAnsi="宋体"/>
          <w:i w:val="0"/>
          <w:iCs w:val="0"/>
          <w:color w:val="auto"/>
          <w:highlight w:val="none"/>
          <w:lang w:eastAsia="zh-CN"/>
        </w:rPr>
        <w:t>☑</w:t>
      </w:r>
      <w:r>
        <w:rPr>
          <w:rFonts w:hint="eastAsia" w:ascii="宋体" w:hAnsi="宋体"/>
          <w:i w:val="0"/>
          <w:iCs w:val="0"/>
          <w:color w:val="auto"/>
          <w:highlight w:val="none"/>
        </w:rPr>
        <w:t>否</w:t>
      </w:r>
    </w:p>
    <w:p w14:paraId="144795AA">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2.5是否专门面向中小企业预留</w:t>
      </w:r>
    </w:p>
    <w:p w14:paraId="5B55A97A">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□是</w:t>
      </w:r>
    </w:p>
    <w:p w14:paraId="1CF23AD7">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lang w:eastAsia="zh-CN"/>
        </w:rPr>
        <w:t>☑</w:t>
      </w:r>
      <w:r>
        <w:rPr>
          <w:rFonts w:hint="eastAsia" w:ascii="宋体" w:hAnsi="宋体"/>
          <w:i w:val="0"/>
          <w:iCs w:val="0"/>
          <w:color w:val="auto"/>
          <w:highlight w:val="none"/>
        </w:rPr>
        <w:t>否 （不专门面向中小企业采购的原因及适用条款）</w:t>
      </w:r>
    </w:p>
    <w:p w14:paraId="47737BE2">
      <w:pPr>
        <w:pStyle w:val="9"/>
        <w:kinsoku w:val="0"/>
        <w:snapToGrid w:val="0"/>
        <w:spacing w:before="0" w:beforeAutospacing="0" w:after="0" w:afterAutospacing="0"/>
        <w:ind w:left="0" w:firstLine="480" w:firstLineChars="200"/>
        <w:jc w:val="both"/>
        <w:rPr>
          <w:rFonts w:hint="eastAsia" w:ascii="宋体" w:hAnsi="宋体"/>
          <w:i w:val="0"/>
          <w:iCs w:val="0"/>
          <w:strike w:val="0"/>
          <w:dstrike w:val="0"/>
          <w:color w:val="auto"/>
          <w:highlight w:val="none"/>
        </w:rPr>
      </w:pPr>
      <w:r>
        <w:rPr>
          <w:rFonts w:hint="eastAsia" w:ascii="宋体" w:hAnsi="宋体"/>
          <w:i w:val="0"/>
          <w:iCs w:val="0"/>
          <w:strike w:val="0"/>
          <w:dstrike w:val="0"/>
          <w:color w:val="auto"/>
          <w:highlight w:val="none"/>
        </w:rPr>
        <w:t>2.6专门面向中小企业预留的实施方式</w:t>
      </w:r>
    </w:p>
    <w:p w14:paraId="466D6C5D">
      <w:pPr>
        <w:pStyle w:val="9"/>
        <w:kinsoku w:val="0"/>
        <w:snapToGrid w:val="0"/>
        <w:spacing w:before="0" w:beforeAutospacing="0" w:after="0" w:afterAutospacing="0"/>
        <w:ind w:left="0" w:firstLine="480" w:firstLineChars="200"/>
        <w:jc w:val="both"/>
        <w:rPr>
          <w:rFonts w:hint="eastAsia" w:ascii="宋体" w:hAnsi="宋体"/>
          <w:i w:val="0"/>
          <w:iCs w:val="0"/>
          <w:strike w:val="0"/>
          <w:dstrike w:val="0"/>
          <w:color w:val="auto"/>
          <w:highlight w:val="none"/>
        </w:rPr>
      </w:pPr>
      <w:r>
        <w:rPr>
          <w:rFonts w:hint="eastAsia" w:ascii="宋体" w:hAnsi="宋体"/>
          <w:i w:val="0"/>
          <w:iCs w:val="0"/>
          <w:strike w:val="0"/>
          <w:dstrike w:val="0"/>
          <w:color w:val="auto"/>
          <w:highlight w:val="none"/>
        </w:rPr>
        <w:t>□2.6.1本标段整体面向中小企业；</w:t>
      </w:r>
    </w:p>
    <w:p w14:paraId="4E634B4B">
      <w:pPr>
        <w:pStyle w:val="9"/>
        <w:kinsoku w:val="0"/>
        <w:snapToGrid w:val="0"/>
        <w:spacing w:before="0" w:beforeAutospacing="0" w:after="0" w:afterAutospacing="0"/>
        <w:ind w:left="0" w:firstLine="480" w:firstLineChars="200"/>
        <w:jc w:val="both"/>
        <w:rPr>
          <w:rFonts w:hint="eastAsia" w:ascii="宋体" w:hAnsi="宋体"/>
          <w:i w:val="0"/>
          <w:iCs w:val="0"/>
          <w:strike w:val="0"/>
          <w:dstrike w:val="0"/>
          <w:color w:val="auto"/>
          <w:highlight w:val="none"/>
        </w:rPr>
      </w:pPr>
      <w:r>
        <w:rPr>
          <w:rFonts w:hint="eastAsia" w:ascii="宋体" w:hAnsi="宋体"/>
          <w:i w:val="0"/>
          <w:iCs w:val="0"/>
          <w:strike w:val="0"/>
          <w:dstrike w:val="0"/>
          <w:color w:val="auto"/>
          <w:highlight w:val="none"/>
        </w:rPr>
        <w:t>□2.6.2本标段联合体形式面向中小企业，以联合体形式参加本次投标的，联合体中中小企业承担的合同份额需达到（不低于40%）以上。</w:t>
      </w:r>
    </w:p>
    <w:p w14:paraId="389E61CB">
      <w:pPr>
        <w:rPr>
          <w:rFonts w:ascii="宋体" w:hAnsi="宋体"/>
          <w:b/>
          <w:i w:val="0"/>
          <w:iCs w:val="0"/>
          <w:color w:val="auto"/>
          <w:highlight w:val="none"/>
        </w:rPr>
      </w:pPr>
      <w:bookmarkStart w:id="26" w:name="bookmark4"/>
      <w:bookmarkEnd w:id="26"/>
      <w:bookmarkStart w:id="27" w:name="_Toc45697222"/>
      <w:bookmarkEnd w:id="27"/>
      <w:bookmarkStart w:id="28" w:name="_Toc22827970"/>
      <w:bookmarkEnd w:id="28"/>
      <w:bookmarkStart w:id="29" w:name="_Toc24050271"/>
      <w:bookmarkEnd w:id="29"/>
      <w:bookmarkStart w:id="30" w:name="_Toc26002051"/>
      <w:bookmarkEnd w:id="30"/>
      <w:bookmarkStart w:id="31" w:name="_Toc6739"/>
      <w:bookmarkEnd w:id="31"/>
      <w:bookmarkStart w:id="32" w:name="_Toc22828053"/>
      <w:bookmarkEnd w:id="32"/>
      <w:bookmarkStart w:id="33" w:name="_Toc26001998"/>
      <w:r>
        <w:rPr>
          <w:rFonts w:hint="eastAsia" w:ascii="宋体" w:hAnsi="宋体"/>
          <w:b/>
          <w:i w:val="0"/>
          <w:iCs w:val="0"/>
          <w:color w:val="auto"/>
          <w:highlight w:val="none"/>
        </w:rPr>
        <w:t>3.投标人资格要求</w:t>
      </w:r>
      <w:bookmarkEnd w:id="33"/>
    </w:p>
    <w:p w14:paraId="48E0B0DA">
      <w:pPr>
        <w:pStyle w:val="9"/>
        <w:kinsoku w:val="0"/>
        <w:snapToGrid w:val="0"/>
        <w:spacing w:before="0" w:beforeAutospacing="0" w:after="0" w:afterAutospacing="0"/>
        <w:ind w:left="0" w:firstLine="480" w:firstLineChars="200"/>
        <w:rPr>
          <w:rFonts w:ascii="宋体" w:hAnsi="宋体"/>
          <w:i w:val="0"/>
          <w:iCs w:val="0"/>
          <w:color w:val="auto"/>
          <w:highlight w:val="none"/>
        </w:rPr>
      </w:pPr>
      <w:bookmarkStart w:id="34" w:name="_Hlk54099124"/>
      <w:bookmarkEnd w:id="34"/>
      <w:r>
        <w:rPr>
          <w:rFonts w:hint="eastAsia" w:ascii="宋体" w:hAnsi="宋体"/>
          <w:i w:val="0"/>
          <w:iCs w:val="0"/>
          <w:color w:val="auto"/>
          <w:highlight w:val="none"/>
          <w:shd w:val="clear" w:color="auto" w:fill="FFFFFF"/>
        </w:rPr>
        <w:t>（一）投标人</w:t>
      </w:r>
      <w:r>
        <w:rPr>
          <w:rFonts w:hint="eastAsia" w:ascii="宋体" w:hAnsi="宋体"/>
          <w:i w:val="0"/>
          <w:iCs w:val="0"/>
          <w:color w:val="auto"/>
          <w:highlight w:val="none"/>
        </w:rPr>
        <w:t>：</w:t>
      </w:r>
    </w:p>
    <w:p w14:paraId="41E9E1DB">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3.1具备</w:t>
      </w:r>
      <w:r>
        <w:rPr>
          <w:rFonts w:hint="eastAsia" w:ascii="宋体" w:hAnsi="宋体"/>
          <w:i w:val="0"/>
          <w:iCs w:val="0"/>
          <w:color w:val="auto"/>
          <w:highlight w:val="none"/>
          <w:u w:val="single"/>
        </w:rPr>
        <w:t>建设行政主管部门核发的建筑工程施工总承包二级及以上资质</w:t>
      </w:r>
      <w:r>
        <w:rPr>
          <w:rFonts w:hint="eastAsia" w:ascii="宋体" w:hAnsi="宋体"/>
          <w:i w:val="0"/>
          <w:iCs w:val="0"/>
          <w:color w:val="auto"/>
          <w:highlight w:val="none"/>
          <w:u w:val="single"/>
          <w:lang w:val="en-US" w:eastAsia="zh-CN"/>
        </w:rPr>
        <w:t>和市政公用工程施工总承包一级及以上</w:t>
      </w:r>
      <w:r>
        <w:rPr>
          <w:rFonts w:hint="eastAsia" w:ascii="宋体" w:hAnsi="宋体"/>
          <w:i w:val="0"/>
          <w:iCs w:val="0"/>
          <w:color w:val="auto"/>
          <w:highlight w:val="none"/>
        </w:rPr>
        <w:t>资质；</w:t>
      </w:r>
      <w:r>
        <w:rPr>
          <w:rFonts w:hint="eastAsia" w:hAnsi="宋体"/>
          <w:i w:val="0"/>
          <w:iCs w:val="0"/>
          <w:color w:val="auto"/>
          <w:highlight w:val="none"/>
          <w:u w:val="single"/>
        </w:rPr>
        <w:t>（对应资质应在“浙江省建筑市场监管公共服务系统”上资质动态核查结果处于“合格”状态）</w:t>
      </w:r>
    </w:p>
    <w:p w14:paraId="63BAF65A">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3.2具备有效的企业安全生产许可证，企业主要负责人（法定代表人、企业经理、企业分管安全生产的副经理、企业技术负责人）具有对应</w:t>
      </w:r>
      <w:r>
        <w:rPr>
          <w:rFonts w:hint="eastAsia" w:hAnsi="宋体"/>
          <w:i w:val="0"/>
          <w:iCs w:val="0"/>
          <w:color w:val="auto"/>
          <w:highlight w:val="none"/>
        </w:rPr>
        <w:t>有效的安全生产考核合格证书</w:t>
      </w:r>
      <w:r>
        <w:rPr>
          <w:rFonts w:hint="eastAsia" w:ascii="宋体" w:hAnsi="宋体"/>
          <w:i w:val="0"/>
          <w:iCs w:val="0"/>
          <w:color w:val="auto"/>
          <w:highlight w:val="none"/>
        </w:rPr>
        <w:t>；</w:t>
      </w:r>
    </w:p>
    <w:p w14:paraId="20069E1E">
      <w:pPr>
        <w:spacing w:line="360" w:lineRule="exact"/>
        <w:ind w:firstLine="480" w:firstLineChars="200"/>
        <w:rPr>
          <w:rFonts w:hint="eastAsia" w:ascii="宋体" w:hAnsi="宋体"/>
          <w:b/>
          <w:bCs/>
          <w:i w:val="0"/>
          <w:iCs w:val="0"/>
          <w:color w:val="auto"/>
          <w:highlight w:val="none"/>
          <w:u w:val="single"/>
        </w:rPr>
      </w:pPr>
      <w:r>
        <w:rPr>
          <w:rFonts w:hint="eastAsia" w:ascii="宋体" w:hAnsi="宋体"/>
          <w:i w:val="0"/>
          <w:iCs w:val="0"/>
          <w:color w:val="auto"/>
          <w:highlight w:val="none"/>
        </w:rPr>
        <w:t>3.3</w:t>
      </w:r>
      <w:r>
        <w:rPr>
          <w:rFonts w:hint="eastAsia" w:hAnsi="宋体"/>
          <w:i w:val="0"/>
          <w:iCs w:val="0"/>
          <w:color w:val="auto"/>
          <w:highlight w:val="none"/>
          <w:lang w:eastAsia="zh-CN"/>
        </w:rPr>
        <w:t>☑</w:t>
      </w:r>
      <w:r>
        <w:rPr>
          <w:rFonts w:hint="eastAsia" w:ascii="宋体" w:hAnsi="宋体"/>
          <w:i w:val="0"/>
          <w:iCs w:val="0"/>
          <w:color w:val="auto"/>
          <w:highlight w:val="none"/>
        </w:rPr>
        <w:t>自</w:t>
      </w:r>
      <w:r>
        <w:rPr>
          <w:rFonts w:hint="eastAsia" w:ascii="宋体" w:hAnsi="宋体"/>
          <w:i w:val="0"/>
          <w:iCs w:val="0"/>
          <w:color w:val="auto"/>
          <w:highlight w:val="none"/>
          <w:u w:val="single"/>
          <w:lang w:val="en-US" w:eastAsia="zh-CN"/>
        </w:rPr>
        <w:t>2021</w:t>
      </w:r>
      <w:r>
        <w:rPr>
          <w:rFonts w:hint="eastAsia" w:ascii="宋体" w:hAnsi="宋体"/>
          <w:i w:val="0"/>
          <w:iCs w:val="0"/>
          <w:color w:val="auto"/>
          <w:highlight w:val="none"/>
        </w:rPr>
        <w:t>年</w:t>
      </w:r>
      <w:r>
        <w:rPr>
          <w:rFonts w:hint="eastAsia" w:ascii="宋体" w:hAnsi="宋体"/>
          <w:i w:val="0"/>
          <w:iCs w:val="0"/>
          <w:color w:val="auto"/>
          <w:highlight w:val="none"/>
          <w:u w:val="single"/>
          <w:lang w:val="en-US" w:eastAsia="zh-CN"/>
        </w:rPr>
        <w:t>01</w:t>
      </w:r>
      <w:r>
        <w:rPr>
          <w:rFonts w:hint="eastAsia" w:ascii="宋体" w:hAnsi="宋体"/>
          <w:i w:val="0"/>
          <w:iCs w:val="0"/>
          <w:color w:val="auto"/>
          <w:highlight w:val="none"/>
        </w:rPr>
        <w:t>月</w:t>
      </w:r>
      <w:r>
        <w:rPr>
          <w:rFonts w:hint="eastAsia" w:ascii="宋体" w:hAnsi="宋体"/>
          <w:i w:val="0"/>
          <w:iCs w:val="0"/>
          <w:color w:val="auto"/>
          <w:highlight w:val="none"/>
          <w:u w:val="single"/>
          <w:lang w:val="en-US" w:eastAsia="zh-CN"/>
        </w:rPr>
        <w:t>01</w:t>
      </w:r>
      <w:r>
        <w:rPr>
          <w:rFonts w:hint="eastAsia" w:ascii="宋体" w:hAnsi="宋体"/>
          <w:i w:val="0"/>
          <w:iCs w:val="0"/>
          <w:color w:val="auto"/>
          <w:highlight w:val="none"/>
        </w:rPr>
        <w:t>日以来□</w:t>
      </w:r>
      <w:r>
        <w:rPr>
          <w:rFonts w:hAnsi="宋体"/>
          <w:i w:val="0"/>
          <w:iCs w:val="0"/>
          <w:color w:val="auto"/>
          <w:highlight w:val="none"/>
        </w:rPr>
        <w:t>承接过</w:t>
      </w:r>
      <w:r>
        <w:rPr>
          <w:rFonts w:hint="eastAsia" w:ascii="宋体" w:hAnsi="宋体"/>
          <w:i w:val="0"/>
          <w:iCs w:val="0"/>
          <w:color w:val="auto"/>
          <w:highlight w:val="none"/>
        </w:rPr>
        <w:t>/</w:t>
      </w:r>
      <w:r>
        <w:rPr>
          <w:rFonts w:hint="eastAsia" w:ascii="宋体" w:hAnsi="宋体"/>
          <w:i w:val="0"/>
          <w:iCs w:val="0"/>
          <w:color w:val="auto"/>
          <w:highlight w:val="none"/>
          <w:lang w:eastAsia="zh-CN"/>
        </w:rPr>
        <w:t>☑</w:t>
      </w:r>
      <w:r>
        <w:rPr>
          <w:rFonts w:hint="eastAsia" w:ascii="宋体" w:hAnsi="宋体"/>
          <w:i w:val="0"/>
          <w:iCs w:val="0"/>
          <w:color w:val="auto"/>
          <w:highlight w:val="none"/>
        </w:rPr>
        <w:t>完成过</w:t>
      </w:r>
      <w:r>
        <w:rPr>
          <w:rFonts w:hint="eastAsia" w:ascii="宋体" w:hAnsi="宋体"/>
          <w:b/>
          <w:bCs/>
          <w:i w:val="0"/>
          <w:iCs w:val="0"/>
          <w:color w:val="auto"/>
          <w:highlight w:val="none"/>
          <w:u w:val="single"/>
        </w:rPr>
        <w:t>单项合同建筑面积</w:t>
      </w:r>
      <w:r>
        <w:rPr>
          <w:rFonts w:hint="eastAsia" w:ascii="宋体" w:hAnsi="宋体"/>
          <w:b/>
          <w:bCs/>
          <w:i w:val="0"/>
          <w:iCs w:val="0"/>
          <w:color w:val="auto"/>
          <w:highlight w:val="none"/>
          <w:u w:val="single"/>
          <w:lang w:val="en-US" w:eastAsia="zh-CN"/>
        </w:rPr>
        <w:t>58</w:t>
      </w:r>
      <w:r>
        <w:rPr>
          <w:rFonts w:hint="eastAsia" w:ascii="宋体" w:hAnsi="宋体"/>
          <w:b/>
          <w:bCs/>
          <w:i w:val="0"/>
          <w:iCs w:val="0"/>
          <w:color w:val="auto"/>
          <w:highlight w:val="none"/>
          <w:u w:val="single"/>
        </w:rPr>
        <w:t>000平方米及以上的公共建筑项目施工总承包或工程总承包工程项目（工程总承包若采用联合体的，投标人在联合体中承担施工任务；施工总承包或者工程总承包项目如有2家及以上施工单位承担施工任务的，则须额外提供联合体协议书，根据联合体协议书明确投标人在该项目中承担的施工内容，且符合该项业绩要求）</w:t>
      </w:r>
      <w:r>
        <w:rPr>
          <w:rFonts w:hint="eastAsia" w:ascii="宋体" w:hAnsi="宋体"/>
          <w:b/>
          <w:bCs/>
          <w:i w:val="0"/>
          <w:iCs w:val="0"/>
          <w:color w:val="auto"/>
          <w:highlight w:val="none"/>
          <w:u w:val="single"/>
          <w:lang w:val="en-US" w:eastAsia="zh-CN"/>
        </w:rPr>
        <w:t>业绩</w:t>
      </w:r>
      <w:r>
        <w:rPr>
          <w:rFonts w:hint="eastAsia" w:ascii="宋体" w:hAnsi="宋体"/>
          <w:b/>
          <w:bCs/>
          <w:i w:val="0"/>
          <w:iCs w:val="0"/>
          <w:color w:val="auto"/>
          <w:highlight w:val="none"/>
          <w:u w:val="single"/>
        </w:rPr>
        <w:t xml:space="preserve">； </w:t>
      </w:r>
    </w:p>
    <w:p w14:paraId="45705C06">
      <w:pPr>
        <w:spacing w:line="360" w:lineRule="exact"/>
        <w:ind w:firstLine="482" w:firstLineChars="200"/>
        <w:rPr>
          <w:rFonts w:hint="default" w:ascii="宋体" w:hAnsi="宋体" w:eastAsia="宋体"/>
          <w:b/>
          <w:bCs/>
          <w:i w:val="0"/>
          <w:iCs w:val="0"/>
          <w:color w:val="auto"/>
          <w:highlight w:val="none"/>
          <w:u w:val="single"/>
          <w:lang w:val="en-US" w:eastAsia="zh-CN"/>
        </w:rPr>
      </w:pPr>
      <w:r>
        <w:rPr>
          <w:rFonts w:hint="eastAsia" w:ascii="宋体" w:hAnsi="宋体"/>
          <w:b/>
          <w:bCs/>
          <w:i w:val="0"/>
          <w:iCs w:val="0"/>
          <w:color w:val="auto"/>
          <w:highlight w:val="none"/>
          <w:u w:val="single"/>
          <w:lang w:val="en-US" w:eastAsia="zh-CN"/>
        </w:rPr>
        <w:t>业绩证明材料：</w:t>
      </w:r>
    </w:p>
    <w:p w14:paraId="01B281F5">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同时提供：（1）中标通知书（2）工程合同（3）质量证明文件。如上述资料中均未体现业绩特征的，必须附项目发包人或项目质量监督部门或项目所在地行业主管部门出具的证明材料，否则业绩不予认可。</w:t>
      </w:r>
    </w:p>
    <w:p w14:paraId="7A5F244D">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注：1）工程质量证明文件为：①质量监督报告（或竣工验收备案表或竣工验收备案证书），②竣工验收证书。以上①、②资料提供任意一项即可。质量监督报告（或竣工验收备案表或竣工验收备案证书）需行业主管部门出具并盖章，竣工验收证书需五方责任主体（建设单位、监理单位、勘察单位、设计单位、施工单位）盖章。</w:t>
      </w:r>
    </w:p>
    <w:p w14:paraId="31904DAC">
      <w:pPr>
        <w:spacing w:line="360" w:lineRule="exact"/>
        <w:ind w:firstLine="482" w:firstLineChars="200"/>
        <w:rPr>
          <w:rFonts w:hint="eastAsia" w:ascii="宋体" w:hAnsi="宋体"/>
          <w:b/>
          <w:bCs/>
          <w:i w:val="0"/>
          <w:iCs w:val="0"/>
          <w:strike/>
          <w:dstrike w:val="0"/>
          <w:color w:val="auto"/>
          <w:highlight w:val="none"/>
          <w:u w:val="single"/>
        </w:rPr>
      </w:pPr>
      <w:r>
        <w:rPr>
          <w:rFonts w:hint="eastAsia" w:ascii="宋体" w:hAnsi="宋体"/>
          <w:b/>
          <w:bCs/>
          <w:i w:val="0"/>
          <w:iCs w:val="0"/>
          <w:color w:val="auto"/>
          <w:highlight w:val="none"/>
          <w:u w:val="single"/>
        </w:rPr>
        <w:t>2）业绩时间以质量证明文件中的注明的验收时间（备案时间）为准。</w:t>
      </w:r>
      <w:r>
        <w:rPr>
          <w:rFonts w:hint="eastAsia" w:ascii="宋体" w:hAnsi="宋体"/>
          <w:b/>
          <w:bCs/>
          <w:i w:val="0"/>
          <w:iCs w:val="0"/>
          <w:color w:val="auto"/>
          <w:highlight w:val="none"/>
          <w:u w:val="single"/>
          <w:lang w:val="en-US" w:eastAsia="zh-CN"/>
        </w:rPr>
        <w:t>建筑面积</w:t>
      </w:r>
      <w:r>
        <w:rPr>
          <w:rFonts w:hint="eastAsia" w:ascii="宋体" w:hAnsi="宋体"/>
          <w:b/>
          <w:bCs/>
          <w:i w:val="0"/>
          <w:iCs w:val="0"/>
          <w:color w:val="auto"/>
          <w:highlight w:val="none"/>
          <w:u w:val="single"/>
        </w:rPr>
        <w:t>以工程合同中注明的</w:t>
      </w:r>
      <w:r>
        <w:rPr>
          <w:rFonts w:hint="eastAsia" w:ascii="宋体" w:hAnsi="宋体"/>
          <w:b/>
          <w:bCs/>
          <w:i w:val="0"/>
          <w:iCs w:val="0"/>
          <w:color w:val="auto"/>
          <w:highlight w:val="none"/>
          <w:u w:val="single"/>
          <w:lang w:val="en-US" w:eastAsia="zh-CN"/>
        </w:rPr>
        <w:t>建筑面积</w:t>
      </w:r>
      <w:r>
        <w:rPr>
          <w:rFonts w:hint="eastAsia" w:ascii="宋体" w:hAnsi="宋体"/>
          <w:b/>
          <w:bCs/>
          <w:i w:val="0"/>
          <w:iCs w:val="0"/>
          <w:color w:val="auto"/>
          <w:highlight w:val="none"/>
          <w:u w:val="single"/>
        </w:rPr>
        <w:t>为准（</w:t>
      </w:r>
      <w:r>
        <w:rPr>
          <w:rFonts w:hint="default" w:ascii="宋体" w:hAnsi="宋体"/>
          <w:b/>
          <w:bCs/>
          <w:i w:val="0"/>
          <w:iCs w:val="0"/>
          <w:color w:val="auto"/>
          <w:highlight w:val="none"/>
          <w:u w:val="single"/>
          <w:lang w:val="en-US"/>
        </w:rPr>
        <w:t>以联合体业绩参与</w:t>
      </w:r>
      <w:r>
        <w:rPr>
          <w:rFonts w:hint="eastAsia" w:ascii="宋体" w:hAnsi="宋体"/>
          <w:b/>
          <w:bCs/>
          <w:i w:val="0"/>
          <w:iCs w:val="0"/>
          <w:color w:val="auto"/>
          <w:highlight w:val="none"/>
          <w:u w:val="single"/>
          <w:lang w:val="en-US" w:eastAsia="zh-CN"/>
        </w:rPr>
        <w:t>投标</w:t>
      </w:r>
      <w:r>
        <w:rPr>
          <w:rFonts w:hint="default" w:ascii="宋体" w:hAnsi="宋体"/>
          <w:b/>
          <w:bCs/>
          <w:i w:val="0"/>
          <w:iCs w:val="0"/>
          <w:color w:val="auto"/>
          <w:highlight w:val="none"/>
          <w:u w:val="single"/>
          <w:lang w:val="en-US"/>
        </w:rPr>
        <w:t>的，应提供建设单位出具的证明材料，确认该业绩中业绩提供方承担的工作内容符合本项目业绩</w:t>
      </w:r>
      <w:r>
        <w:rPr>
          <w:rFonts w:hint="eastAsia" w:ascii="宋体" w:hAnsi="宋体"/>
          <w:b/>
          <w:bCs/>
          <w:i w:val="0"/>
          <w:iCs w:val="0"/>
          <w:color w:val="auto"/>
          <w:highlight w:val="none"/>
          <w:u w:val="single"/>
          <w:lang w:val="en-US" w:eastAsia="zh-CN"/>
        </w:rPr>
        <w:t>资格</w:t>
      </w:r>
      <w:r>
        <w:rPr>
          <w:rFonts w:hint="default" w:ascii="宋体" w:hAnsi="宋体"/>
          <w:b/>
          <w:bCs/>
          <w:i w:val="0"/>
          <w:iCs w:val="0"/>
          <w:color w:val="auto"/>
          <w:highlight w:val="none"/>
          <w:u w:val="single"/>
          <w:lang w:val="en-US"/>
        </w:rPr>
        <w:t>标准</w:t>
      </w:r>
      <w:r>
        <w:rPr>
          <w:rFonts w:hint="eastAsia" w:ascii="宋体" w:hAnsi="宋体"/>
          <w:b/>
          <w:bCs/>
          <w:i w:val="0"/>
          <w:iCs w:val="0"/>
          <w:color w:val="auto"/>
          <w:highlight w:val="none"/>
          <w:u w:val="single"/>
        </w:rPr>
        <w:t>）；</w:t>
      </w:r>
      <w:r>
        <w:rPr>
          <w:rFonts w:hint="eastAsia" w:ascii="宋体" w:hAnsi="宋体"/>
          <w:b/>
          <w:bCs/>
          <w:i w:val="0"/>
          <w:iCs w:val="0"/>
          <w:strike w:val="0"/>
          <w:dstrike w:val="0"/>
          <w:color w:val="auto"/>
          <w:highlight w:val="none"/>
          <w:u w:val="single"/>
        </w:rPr>
        <w:t>若为工程总承包业绩的，合同</w:t>
      </w:r>
      <w:r>
        <w:rPr>
          <w:rFonts w:hint="eastAsia" w:ascii="宋体" w:hAnsi="宋体"/>
          <w:b/>
          <w:bCs/>
          <w:i w:val="0"/>
          <w:iCs w:val="0"/>
          <w:strike w:val="0"/>
          <w:dstrike w:val="0"/>
          <w:color w:val="auto"/>
          <w:highlight w:val="none"/>
          <w:u w:val="single"/>
          <w:lang w:val="en-US" w:eastAsia="zh-CN"/>
        </w:rPr>
        <w:t>建筑面积</w:t>
      </w:r>
      <w:r>
        <w:rPr>
          <w:rFonts w:hint="eastAsia" w:ascii="宋体" w:hAnsi="宋体"/>
          <w:b/>
          <w:bCs/>
          <w:i w:val="0"/>
          <w:iCs w:val="0"/>
          <w:strike w:val="0"/>
          <w:dstrike w:val="0"/>
          <w:color w:val="auto"/>
          <w:highlight w:val="none"/>
          <w:u w:val="single"/>
        </w:rPr>
        <w:t>仅指施工部分合同</w:t>
      </w:r>
      <w:r>
        <w:rPr>
          <w:rFonts w:hint="eastAsia" w:ascii="宋体" w:hAnsi="宋体"/>
          <w:b/>
          <w:bCs/>
          <w:i w:val="0"/>
          <w:iCs w:val="0"/>
          <w:strike w:val="0"/>
          <w:dstrike w:val="0"/>
          <w:color w:val="auto"/>
          <w:highlight w:val="none"/>
          <w:u w:val="single"/>
          <w:lang w:val="en-US" w:eastAsia="zh-CN"/>
        </w:rPr>
        <w:t>建筑面积</w:t>
      </w:r>
      <w:r>
        <w:rPr>
          <w:rFonts w:hint="eastAsia" w:ascii="宋体" w:hAnsi="宋体"/>
          <w:b/>
          <w:bCs/>
          <w:i w:val="0"/>
          <w:iCs w:val="0"/>
          <w:strike w:val="0"/>
          <w:dstrike w:val="0"/>
          <w:color w:val="auto"/>
          <w:highlight w:val="none"/>
          <w:u w:val="single"/>
        </w:rPr>
        <w:t>。</w:t>
      </w:r>
    </w:p>
    <w:p w14:paraId="09EAFC7F">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3）业绩特征的解释顺序为：质量证明文件、工程合同、中标通知书。</w:t>
      </w:r>
    </w:p>
    <w:p w14:paraId="04766EC8">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4）业绩证明材料中的投标人名称发生合法变更的，还需提供合法有效的变更文件。</w:t>
      </w:r>
    </w:p>
    <w:p w14:paraId="77D113D9">
      <w:pPr>
        <w:spacing w:line="360" w:lineRule="exact"/>
        <w:ind w:firstLine="482" w:firstLineChars="200"/>
        <w:rPr>
          <w:rFonts w:hint="eastAsia" w:ascii="宋体" w:hAnsi="宋体"/>
          <w:b/>
          <w:bCs/>
          <w:i w:val="0"/>
          <w:iCs w:val="0"/>
          <w:color w:val="auto"/>
          <w:highlight w:val="none"/>
          <w:u w:val="single"/>
        </w:rPr>
      </w:pPr>
      <w:r>
        <w:rPr>
          <w:rFonts w:hint="eastAsia" w:ascii="宋体" w:hAnsi="宋体"/>
          <w:b/>
          <w:bCs/>
          <w:i w:val="0"/>
          <w:iCs w:val="0"/>
          <w:color w:val="auto"/>
          <w:highlight w:val="none"/>
          <w:u w:val="single"/>
        </w:rPr>
        <w:t>公共建筑定义以</w:t>
      </w:r>
      <w:r>
        <w:rPr>
          <w:rFonts w:hint="eastAsia" w:ascii="宋体" w:hAnsi="宋体"/>
          <w:b/>
          <w:bCs/>
          <w:i w:val="0"/>
          <w:iCs w:val="0"/>
          <w:color w:val="auto"/>
          <w:highlight w:val="none"/>
          <w:u w:val="single"/>
          <w:lang w:eastAsia="zh-CN"/>
        </w:rPr>
        <w:t>《</w:t>
      </w:r>
      <w:r>
        <w:rPr>
          <w:rFonts w:hint="eastAsia" w:ascii="宋体" w:hAnsi="宋体"/>
          <w:b/>
          <w:bCs/>
          <w:i w:val="0"/>
          <w:iCs w:val="0"/>
          <w:color w:val="auto"/>
          <w:highlight w:val="none"/>
          <w:u w:val="single"/>
        </w:rPr>
        <w:t>公共建筑节能设计标准</w:t>
      </w:r>
      <w:r>
        <w:rPr>
          <w:rFonts w:hint="eastAsia" w:ascii="宋体" w:hAnsi="宋体"/>
          <w:b/>
          <w:bCs/>
          <w:i w:val="0"/>
          <w:iCs w:val="0"/>
          <w:color w:val="auto"/>
          <w:highlight w:val="none"/>
          <w:u w:val="single"/>
          <w:lang w:eastAsia="zh-CN"/>
        </w:rPr>
        <w:t>》</w:t>
      </w:r>
      <w:r>
        <w:rPr>
          <w:rFonts w:hint="eastAsia" w:ascii="宋体" w:hAnsi="宋体"/>
          <w:b/>
          <w:bCs/>
          <w:i w:val="0"/>
          <w:iCs w:val="0"/>
          <w:color w:val="auto"/>
          <w:highlight w:val="none"/>
          <w:u w:val="single"/>
        </w:rPr>
        <w:t>(B50189-2015)中的定义为准：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但不包括商住楼、厂房、仓储物流。</w:t>
      </w:r>
    </w:p>
    <w:p w14:paraId="11CB82A8">
      <w:pPr>
        <w:pStyle w:val="9"/>
        <w:kinsoku w:val="0"/>
        <w:snapToGrid w:val="0"/>
        <w:spacing w:before="0" w:beforeAutospacing="0" w:after="0" w:afterAutospacing="0" w:line="360" w:lineRule="auto"/>
        <w:ind w:left="0" w:firstLine="480" w:firstLineChars="200"/>
        <w:jc w:val="both"/>
        <w:rPr>
          <w:rFonts w:ascii="宋体" w:hAnsi="宋体"/>
          <w:i w:val="0"/>
          <w:iCs w:val="0"/>
          <w:color w:val="auto"/>
          <w:highlight w:val="none"/>
          <w:u w:val="single"/>
        </w:rPr>
      </w:pPr>
      <w:r>
        <w:rPr>
          <w:rFonts w:hint="eastAsia" w:ascii="宋体" w:hAnsi="宋体"/>
          <w:i w:val="0"/>
          <w:iCs w:val="0"/>
          <w:color w:val="auto"/>
          <w:highlight w:val="none"/>
        </w:rPr>
        <w:t>3.4本次招标</w:t>
      </w:r>
      <w:r>
        <w:rPr>
          <w:rFonts w:hint="eastAsia" w:ascii="宋体" w:hAnsi="宋体"/>
          <w:i w:val="0"/>
          <w:iCs w:val="0"/>
          <w:color w:val="auto"/>
          <w:highlight w:val="none"/>
          <w:lang w:eastAsia="zh-CN"/>
        </w:rPr>
        <w:t>☑</w:t>
      </w:r>
      <w:r>
        <w:rPr>
          <w:rFonts w:hint="eastAsia" w:ascii="宋体" w:hAnsi="宋体"/>
          <w:i w:val="0"/>
          <w:iCs w:val="0"/>
          <w:color w:val="auto"/>
          <w:highlight w:val="none"/>
        </w:rPr>
        <w:t>接受/</w:t>
      </w:r>
      <w:r>
        <w:rPr>
          <w:rFonts w:hint="eastAsia" w:ascii="宋体" w:hAnsi="宋体"/>
          <w:i w:val="0"/>
          <w:iCs w:val="0"/>
          <w:color w:val="auto"/>
          <w:highlight w:val="none"/>
          <w:lang w:eastAsia="zh-CN"/>
        </w:rPr>
        <w:t>□</w:t>
      </w:r>
      <w:r>
        <w:rPr>
          <w:rFonts w:hint="eastAsia" w:ascii="宋体" w:hAnsi="宋体"/>
          <w:i w:val="0"/>
          <w:iCs w:val="0"/>
          <w:color w:val="auto"/>
          <w:highlight w:val="none"/>
        </w:rPr>
        <w:t>不接受联合体投标。联合体投标的应满足下列要求：</w:t>
      </w:r>
      <w:r>
        <w:rPr>
          <w:rFonts w:hint="eastAsia" w:ascii="宋体" w:hAnsi="宋体"/>
          <w:i w:val="0"/>
          <w:iCs w:val="0"/>
          <w:color w:val="auto"/>
          <w:highlight w:val="none"/>
          <w:u w:val="single"/>
        </w:rPr>
        <w:t>：①联合体所有成员数量不超过2个；②联合体</w:t>
      </w:r>
      <w:r>
        <w:rPr>
          <w:rFonts w:hint="eastAsia" w:ascii="宋体" w:hAnsi="宋体"/>
          <w:i w:val="0"/>
          <w:iCs w:val="0"/>
          <w:color w:val="auto"/>
          <w:highlight w:val="none"/>
          <w:u w:val="single"/>
          <w:lang w:val="en-US" w:eastAsia="zh-CN"/>
        </w:rPr>
        <w:t>牵头人</w:t>
      </w:r>
      <w:r>
        <w:rPr>
          <w:rFonts w:hint="eastAsia" w:ascii="宋体" w:hAnsi="宋体"/>
          <w:i w:val="0"/>
          <w:iCs w:val="0"/>
          <w:color w:val="auto"/>
          <w:highlight w:val="none"/>
          <w:u w:val="single"/>
        </w:rPr>
        <w:t>具备建筑工程施工总承包二级及以上资质；③拟派项目负责人由联合体牵头人委派，且必须为联合体牵头人在职职工；④联合体各方应按招标文件提供的格式签订联合体协议书，明确联合体牵头人和各方权利义务，联合体牵头人负责项目实施全过程的统筹策划、协调、建设管理和工程施工等工作；⑤联合体各方不得再以自己名义单独或参加其它联合体在同一标段中投标；⑥联合体投标的由牵头人交纳投标保证金。</w:t>
      </w:r>
    </w:p>
    <w:p w14:paraId="18275489">
      <w:pPr>
        <w:pStyle w:val="9"/>
        <w:kinsoku w:val="0"/>
        <w:snapToGrid w:val="0"/>
        <w:spacing w:before="0" w:beforeAutospacing="0" w:after="0" w:afterAutospacing="0" w:line="360" w:lineRule="auto"/>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3.5□</w:t>
      </w:r>
      <w:r>
        <w:rPr>
          <w:rFonts w:hint="eastAsia" w:ascii="宋体" w:hAnsi="宋体"/>
          <w:i w:val="0"/>
          <w:iCs w:val="0"/>
          <w:color w:val="auto"/>
          <w:highlight w:val="none"/>
          <w:u w:val="single"/>
        </w:rPr>
        <w:t>（招标人需要增加的、符合法律法规的其他要求）</w:t>
      </w:r>
      <w:r>
        <w:rPr>
          <w:rFonts w:hint="eastAsia" w:ascii="宋体" w:hAnsi="宋体"/>
          <w:i w:val="0"/>
          <w:iCs w:val="0"/>
          <w:color w:val="auto"/>
          <w:highlight w:val="none"/>
        </w:rPr>
        <w:t>。</w:t>
      </w:r>
    </w:p>
    <w:p w14:paraId="509CD305">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3.6□面向中小企业招标的，投标人（或联合体中的中小企业）须为中小企业， 并提供《中小企业声明函》。</w:t>
      </w:r>
    </w:p>
    <w:p w14:paraId="67325E1A">
      <w:pPr>
        <w:pStyle w:val="43"/>
        <w:adjustRightInd w:val="0"/>
        <w:snapToGrid w:val="0"/>
        <w:spacing w:line="240" w:lineRule="auto"/>
        <w:ind w:firstLine="410" w:firstLineChars="171"/>
        <w:rPr>
          <w:rFonts w:hAnsi="宋体"/>
          <w:i w:val="0"/>
          <w:iCs w:val="0"/>
          <w:color w:val="auto"/>
          <w:sz w:val="24"/>
          <w:szCs w:val="24"/>
          <w:highlight w:val="none"/>
        </w:rPr>
      </w:pPr>
      <w:r>
        <w:rPr>
          <w:rFonts w:hint="eastAsia" w:hAnsi="宋体"/>
          <w:i w:val="0"/>
          <w:iCs w:val="0"/>
          <w:color w:val="auto"/>
          <w:sz w:val="24"/>
          <w:szCs w:val="24"/>
          <w:highlight w:val="none"/>
        </w:rPr>
        <w:t>（二）拟派项目负责人：</w:t>
      </w:r>
    </w:p>
    <w:p w14:paraId="31421F26">
      <w:pPr>
        <w:pStyle w:val="43"/>
        <w:adjustRightInd w:val="0"/>
        <w:snapToGrid w:val="0"/>
        <w:spacing w:line="240" w:lineRule="auto"/>
        <w:ind w:firstLine="410" w:firstLineChars="171"/>
        <w:rPr>
          <w:rFonts w:hint="eastAsia" w:hAnsi="宋体"/>
          <w:i w:val="0"/>
          <w:iCs w:val="0"/>
          <w:color w:val="auto"/>
          <w:sz w:val="24"/>
          <w:szCs w:val="24"/>
          <w:highlight w:val="none"/>
        </w:rPr>
      </w:pPr>
      <w:r>
        <w:rPr>
          <w:rFonts w:hint="eastAsia" w:hAnsi="宋体"/>
          <w:i w:val="0"/>
          <w:iCs w:val="0"/>
          <w:color w:val="auto"/>
          <w:sz w:val="24"/>
          <w:szCs w:val="24"/>
          <w:highlight w:val="none"/>
        </w:rPr>
        <w:t>3.</w:t>
      </w:r>
      <w:bookmarkStart w:id="35" w:name="_Hlk24015190"/>
      <w:bookmarkEnd w:id="35"/>
      <w:r>
        <w:rPr>
          <w:rFonts w:hint="eastAsia" w:hAnsi="宋体"/>
          <w:i w:val="0"/>
          <w:iCs w:val="0"/>
          <w:color w:val="auto"/>
          <w:sz w:val="24"/>
          <w:szCs w:val="24"/>
          <w:highlight w:val="none"/>
        </w:rPr>
        <w:t>7拟派项目负责人具有</w:t>
      </w:r>
      <w:r>
        <w:rPr>
          <w:rFonts w:ascii="Times New Roman" w:hAnsi="宋体"/>
          <w:i w:val="0"/>
          <w:iCs w:val="0"/>
          <w:color w:val="auto"/>
          <w:sz w:val="24"/>
          <w:szCs w:val="24"/>
          <w:highlight w:val="none"/>
        </w:rPr>
        <w:t>注册在投标人单位的</w:t>
      </w:r>
      <w:r>
        <w:rPr>
          <w:rFonts w:hint="eastAsia" w:ascii="Times New Roman" w:hAnsi="宋体"/>
          <w:i w:val="0"/>
          <w:iCs w:val="0"/>
          <w:color w:val="auto"/>
          <w:sz w:val="24"/>
          <w:szCs w:val="24"/>
          <w:highlight w:val="none"/>
          <w:u w:val="single"/>
        </w:rPr>
        <w:t>建筑工程专业</w:t>
      </w:r>
      <w:r>
        <w:rPr>
          <w:rFonts w:hint="eastAsia" w:ascii="Times New Roman" w:hAnsi="宋体"/>
          <w:i w:val="0"/>
          <w:iCs w:val="0"/>
          <w:color w:val="auto"/>
          <w:sz w:val="24"/>
          <w:szCs w:val="24"/>
          <w:highlight w:val="none"/>
          <w:u w:val="single"/>
          <w:lang w:val="en-US" w:eastAsia="zh-CN"/>
        </w:rPr>
        <w:t>一</w:t>
      </w:r>
      <w:r>
        <w:rPr>
          <w:rFonts w:ascii="Times New Roman" w:hAnsi="宋体"/>
          <w:i w:val="0"/>
          <w:iCs w:val="0"/>
          <w:color w:val="auto"/>
          <w:sz w:val="24"/>
          <w:szCs w:val="24"/>
          <w:highlight w:val="none"/>
          <w:u w:val="single"/>
        </w:rPr>
        <w:t>级</w:t>
      </w:r>
      <w:r>
        <w:rPr>
          <w:rFonts w:ascii="Times New Roman" w:hAnsi="宋体"/>
          <w:i w:val="0"/>
          <w:iCs w:val="0"/>
          <w:color w:val="auto"/>
          <w:sz w:val="24"/>
          <w:szCs w:val="24"/>
          <w:highlight w:val="none"/>
        </w:rPr>
        <w:t>建造师执业资格</w:t>
      </w:r>
      <w:r>
        <w:rPr>
          <w:rFonts w:hint="eastAsia" w:hAnsi="宋体"/>
          <w:i w:val="0"/>
          <w:iCs w:val="0"/>
          <w:color w:val="auto"/>
          <w:sz w:val="24"/>
          <w:szCs w:val="24"/>
          <w:highlight w:val="none"/>
        </w:rPr>
        <w:t>（</w:t>
      </w:r>
      <w:r>
        <w:rPr>
          <w:rFonts w:hint="eastAsia" w:hAnsi="宋体"/>
          <w:i w:val="0"/>
          <w:iCs w:val="0"/>
          <w:strike/>
          <w:dstrike w:val="0"/>
          <w:color w:val="auto"/>
          <w:sz w:val="24"/>
          <w:szCs w:val="24"/>
          <w:highlight w:val="none"/>
          <w:lang w:eastAsia="zh-CN"/>
        </w:rPr>
        <w:t>□</w:t>
      </w:r>
      <w:r>
        <w:rPr>
          <w:rFonts w:hint="eastAsia" w:hAnsi="宋体"/>
          <w:i w:val="0"/>
          <w:iCs w:val="0"/>
          <w:strike/>
          <w:dstrike w:val="0"/>
          <w:color w:val="auto"/>
          <w:sz w:val="24"/>
          <w:szCs w:val="24"/>
          <w:highlight w:val="none"/>
        </w:rPr>
        <w:t>职称：</w:t>
      </w:r>
      <w:r>
        <w:rPr>
          <w:rFonts w:hint="eastAsia" w:hAnsi="宋体"/>
          <w:i w:val="0"/>
          <w:iCs w:val="0"/>
          <w:strike/>
          <w:dstrike w:val="0"/>
          <w:color w:val="auto"/>
          <w:sz w:val="24"/>
          <w:szCs w:val="24"/>
          <w:highlight w:val="none"/>
          <w:u w:val="single"/>
        </w:rPr>
        <w:t xml:space="preserve"> </w:t>
      </w:r>
      <w:r>
        <w:rPr>
          <w:rFonts w:hint="eastAsia" w:hAnsi="宋体"/>
          <w:i w:val="0"/>
          <w:iCs w:val="0"/>
          <w:strike/>
          <w:dstrike w:val="0"/>
          <w:color w:val="auto"/>
          <w:sz w:val="24"/>
          <w:szCs w:val="24"/>
          <w:highlight w:val="none"/>
          <w:u w:val="single"/>
          <w:lang w:val="en-US" w:eastAsia="zh-CN"/>
        </w:rPr>
        <w:t xml:space="preserve">     </w:t>
      </w:r>
      <w:r>
        <w:rPr>
          <w:rFonts w:hint="eastAsia" w:hAnsi="宋体"/>
          <w:i w:val="0"/>
          <w:iCs w:val="0"/>
          <w:strike/>
          <w:dstrike w:val="0"/>
          <w:color w:val="auto"/>
          <w:sz w:val="24"/>
          <w:szCs w:val="24"/>
          <w:highlight w:val="none"/>
          <w:u w:val="single"/>
        </w:rPr>
        <w:t xml:space="preserve"> </w:t>
      </w:r>
      <w:r>
        <w:rPr>
          <w:rFonts w:hint="eastAsia" w:hAnsi="宋体"/>
          <w:i w:val="0"/>
          <w:iCs w:val="0"/>
          <w:color w:val="auto"/>
          <w:sz w:val="24"/>
          <w:szCs w:val="24"/>
          <w:highlight w:val="none"/>
        </w:rPr>
        <w:t>）</w:t>
      </w:r>
      <w:r>
        <w:rPr>
          <w:rFonts w:ascii="Times New Roman" w:hAnsi="宋体"/>
          <w:i w:val="0"/>
          <w:iCs w:val="0"/>
          <w:color w:val="auto"/>
          <w:sz w:val="24"/>
          <w:szCs w:val="24"/>
          <w:highlight w:val="none"/>
        </w:rPr>
        <w:t>，同时</w:t>
      </w:r>
      <w:r>
        <w:rPr>
          <w:rFonts w:hint="eastAsia" w:ascii="Times New Roman" w:hAnsi="宋体"/>
          <w:i w:val="0"/>
          <w:iCs w:val="0"/>
          <w:color w:val="auto"/>
          <w:sz w:val="24"/>
          <w:szCs w:val="24"/>
          <w:highlight w:val="none"/>
        </w:rPr>
        <w:t>具有对应有效的安全生产考核合格证书</w:t>
      </w:r>
      <w:r>
        <w:rPr>
          <w:rFonts w:ascii="Times New Roman" w:hAnsi="宋体"/>
          <w:i w:val="0"/>
          <w:iCs w:val="0"/>
          <w:color w:val="auto"/>
          <w:sz w:val="24"/>
          <w:szCs w:val="24"/>
          <w:highlight w:val="none"/>
        </w:rPr>
        <w:t>。</w:t>
      </w:r>
      <w:r>
        <w:rPr>
          <w:rFonts w:hint="eastAsia" w:hAnsi="宋体"/>
          <w:i w:val="0"/>
          <w:iCs w:val="0"/>
          <w:color w:val="auto"/>
          <w:sz w:val="24"/>
          <w:szCs w:val="24"/>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56BCA51A">
      <w:pPr>
        <w:pStyle w:val="43"/>
        <w:adjustRightInd w:val="0"/>
        <w:snapToGrid w:val="0"/>
        <w:spacing w:line="240" w:lineRule="auto"/>
        <w:ind w:firstLine="410" w:firstLineChars="171"/>
        <w:rPr>
          <w:rFonts w:hint="eastAsia" w:hAnsi="宋体"/>
          <w:i w:val="0"/>
          <w:iCs w:val="0"/>
          <w:color w:val="auto"/>
          <w:sz w:val="24"/>
          <w:szCs w:val="24"/>
          <w:highlight w:val="none"/>
        </w:rPr>
      </w:pPr>
      <w:r>
        <w:rPr>
          <w:rFonts w:hint="eastAsia" w:hAnsi="宋体"/>
          <w:i w:val="0"/>
          <w:iCs w:val="0"/>
          <w:color w:val="auto"/>
          <w:sz w:val="24"/>
          <w:szCs w:val="24"/>
          <w:highlight w:val="none"/>
        </w:rPr>
        <w:t>□</w:t>
      </w:r>
      <w:r>
        <w:rPr>
          <w:rFonts w:ascii="Times New Roman" w:hAnsi="宋体"/>
          <w:i w:val="0"/>
          <w:iCs w:val="0"/>
          <w:color w:val="auto"/>
          <w:sz w:val="24"/>
          <w:szCs w:val="24"/>
          <w:highlight w:val="none"/>
        </w:rPr>
        <w:t>拟派项目负责人自</w:t>
      </w:r>
      <w:r>
        <w:rPr>
          <w:rFonts w:ascii="Times New Roman" w:hAnsi="Times New Roman"/>
          <w:i w:val="0"/>
          <w:iCs w:val="0"/>
          <w:color w:val="auto"/>
          <w:sz w:val="24"/>
          <w:szCs w:val="24"/>
          <w:highlight w:val="none"/>
          <w:u w:val="single"/>
        </w:rPr>
        <w:t xml:space="preserve">  </w:t>
      </w:r>
      <w:r>
        <w:rPr>
          <w:rFonts w:hint="eastAsia"/>
          <w:i w:val="0"/>
          <w:iCs w:val="0"/>
          <w:color w:val="auto"/>
          <w:sz w:val="24"/>
          <w:szCs w:val="24"/>
          <w:highlight w:val="none"/>
          <w:u w:val="single"/>
        </w:rPr>
        <w:t xml:space="preserve">    </w:t>
      </w:r>
      <w:r>
        <w:rPr>
          <w:rFonts w:ascii="Times New Roman" w:hAnsi="Times New Roman"/>
          <w:i w:val="0"/>
          <w:iCs w:val="0"/>
          <w:color w:val="auto"/>
          <w:sz w:val="24"/>
          <w:szCs w:val="24"/>
          <w:highlight w:val="none"/>
          <w:u w:val="single"/>
        </w:rPr>
        <w:t xml:space="preserve"> </w:t>
      </w:r>
      <w:r>
        <w:rPr>
          <w:rFonts w:ascii="Times New Roman" w:hAnsi="宋体"/>
          <w:i w:val="0"/>
          <w:iCs w:val="0"/>
          <w:color w:val="auto"/>
          <w:sz w:val="24"/>
          <w:szCs w:val="24"/>
          <w:highlight w:val="none"/>
        </w:rPr>
        <w:t>年</w:t>
      </w:r>
      <w:r>
        <w:rPr>
          <w:rFonts w:ascii="Times New Roman" w:hAnsi="Times New Roman"/>
          <w:i w:val="0"/>
          <w:iCs w:val="0"/>
          <w:color w:val="auto"/>
          <w:sz w:val="24"/>
          <w:szCs w:val="24"/>
          <w:highlight w:val="none"/>
          <w:u w:val="single"/>
        </w:rPr>
        <w:t xml:space="preserve">  </w:t>
      </w:r>
      <w:r>
        <w:rPr>
          <w:rFonts w:hint="eastAsia"/>
          <w:i w:val="0"/>
          <w:iCs w:val="0"/>
          <w:color w:val="auto"/>
          <w:sz w:val="24"/>
          <w:szCs w:val="24"/>
          <w:highlight w:val="none"/>
          <w:u w:val="single"/>
        </w:rPr>
        <w:t xml:space="preserve">  </w:t>
      </w:r>
      <w:r>
        <w:rPr>
          <w:rFonts w:ascii="Times New Roman" w:hAnsi="Times New Roman"/>
          <w:i w:val="0"/>
          <w:iCs w:val="0"/>
          <w:color w:val="auto"/>
          <w:sz w:val="24"/>
          <w:szCs w:val="24"/>
          <w:highlight w:val="none"/>
          <w:u w:val="single"/>
        </w:rPr>
        <w:t xml:space="preserve"> </w:t>
      </w:r>
      <w:r>
        <w:rPr>
          <w:rFonts w:ascii="Times New Roman" w:hAnsi="宋体"/>
          <w:i w:val="0"/>
          <w:iCs w:val="0"/>
          <w:color w:val="auto"/>
          <w:sz w:val="24"/>
          <w:szCs w:val="24"/>
          <w:highlight w:val="none"/>
        </w:rPr>
        <w:t>月</w:t>
      </w:r>
      <w:r>
        <w:rPr>
          <w:rFonts w:ascii="Times New Roman" w:hAnsi="Times New Roman"/>
          <w:i w:val="0"/>
          <w:iCs w:val="0"/>
          <w:color w:val="auto"/>
          <w:sz w:val="24"/>
          <w:szCs w:val="24"/>
          <w:highlight w:val="none"/>
          <w:u w:val="single"/>
        </w:rPr>
        <w:t xml:space="preserve"> </w:t>
      </w:r>
      <w:r>
        <w:rPr>
          <w:rFonts w:hint="eastAsia"/>
          <w:i w:val="0"/>
          <w:iCs w:val="0"/>
          <w:color w:val="auto"/>
          <w:sz w:val="24"/>
          <w:szCs w:val="24"/>
          <w:highlight w:val="none"/>
          <w:u w:val="single"/>
        </w:rPr>
        <w:t xml:space="preserve">  </w:t>
      </w:r>
      <w:r>
        <w:rPr>
          <w:rFonts w:ascii="Times New Roman" w:hAnsi="Times New Roman"/>
          <w:i w:val="0"/>
          <w:iCs w:val="0"/>
          <w:color w:val="auto"/>
          <w:sz w:val="24"/>
          <w:szCs w:val="24"/>
          <w:highlight w:val="none"/>
          <w:u w:val="single"/>
        </w:rPr>
        <w:t xml:space="preserve">  </w:t>
      </w:r>
      <w:r>
        <w:rPr>
          <w:rFonts w:ascii="Times New Roman" w:hAnsi="宋体"/>
          <w:i w:val="0"/>
          <w:iCs w:val="0"/>
          <w:color w:val="auto"/>
          <w:sz w:val="24"/>
          <w:szCs w:val="24"/>
          <w:highlight w:val="none"/>
        </w:rPr>
        <w:t>日以来</w:t>
      </w:r>
      <w:r>
        <w:rPr>
          <w:rFonts w:hAnsi="宋体"/>
          <w:i w:val="0"/>
          <w:iCs w:val="0"/>
          <w:color w:val="auto"/>
          <w:sz w:val="24"/>
          <w:szCs w:val="24"/>
          <w:highlight w:val="none"/>
        </w:rPr>
        <w:t>□</w:t>
      </w:r>
      <w:r>
        <w:rPr>
          <w:rFonts w:ascii="Times New Roman" w:hAnsi="宋体"/>
          <w:i w:val="0"/>
          <w:iCs w:val="0"/>
          <w:color w:val="auto"/>
          <w:sz w:val="24"/>
          <w:szCs w:val="24"/>
          <w:highlight w:val="none"/>
        </w:rPr>
        <w:t>承接过</w:t>
      </w:r>
      <w:r>
        <w:rPr>
          <w:rFonts w:hint="eastAsia" w:hAnsi="宋体"/>
          <w:i w:val="0"/>
          <w:iCs w:val="0"/>
          <w:color w:val="auto"/>
          <w:sz w:val="24"/>
          <w:szCs w:val="24"/>
          <w:highlight w:val="none"/>
        </w:rPr>
        <w:t>/</w:t>
      </w:r>
      <w:r>
        <w:rPr>
          <w:rFonts w:hAnsi="宋体"/>
          <w:i w:val="0"/>
          <w:iCs w:val="0"/>
          <w:color w:val="auto"/>
          <w:sz w:val="24"/>
          <w:szCs w:val="24"/>
          <w:highlight w:val="none"/>
        </w:rPr>
        <w:t>□</w:t>
      </w:r>
      <w:r>
        <w:rPr>
          <w:rFonts w:hint="eastAsia" w:hAnsi="宋体"/>
          <w:i w:val="0"/>
          <w:iCs w:val="0"/>
          <w:color w:val="auto"/>
          <w:sz w:val="24"/>
          <w:szCs w:val="24"/>
          <w:highlight w:val="none"/>
        </w:rPr>
        <w:t>完成过</w:t>
      </w:r>
      <w:r>
        <w:rPr>
          <w:rFonts w:ascii="Times New Roman" w:hAnsi="Times New Roman"/>
          <w:i w:val="0"/>
          <w:iCs w:val="0"/>
          <w:color w:val="auto"/>
          <w:sz w:val="24"/>
          <w:szCs w:val="24"/>
          <w:highlight w:val="none"/>
          <w:u w:val="single"/>
        </w:rPr>
        <w:tab/>
      </w:r>
      <w:r>
        <w:rPr>
          <w:rFonts w:ascii="Times New Roman" w:hAnsi="Times New Roman"/>
          <w:i w:val="0"/>
          <w:iCs w:val="0"/>
          <w:color w:val="auto"/>
          <w:sz w:val="24"/>
          <w:szCs w:val="24"/>
          <w:highlight w:val="none"/>
          <w:u w:val="single"/>
        </w:rPr>
        <w:t xml:space="preserve">      </w:t>
      </w:r>
      <w:r>
        <w:rPr>
          <w:rFonts w:ascii="Times New Roman" w:hAnsi="宋体"/>
          <w:i w:val="0"/>
          <w:iCs w:val="0"/>
          <w:color w:val="auto"/>
          <w:sz w:val="24"/>
          <w:szCs w:val="24"/>
          <w:highlight w:val="none"/>
        </w:rPr>
        <w:t>业绩；</w:t>
      </w:r>
    </w:p>
    <w:p w14:paraId="36279B5D">
      <w:pPr>
        <w:pStyle w:val="9"/>
        <w:kinsoku w:val="0"/>
        <w:snapToGrid w:val="0"/>
        <w:spacing w:before="0" w:beforeAutospacing="0" w:after="0" w:afterAutospacing="0"/>
        <w:ind w:left="0" w:firstLine="480" w:firstLineChars="200"/>
        <w:jc w:val="both"/>
        <w:rPr>
          <w:rFonts w:hint="eastAsia" w:ascii="宋体" w:hAnsi="宋体"/>
          <w:b w:val="0"/>
          <w:bCs w:val="0"/>
          <w:i w:val="0"/>
          <w:iCs w:val="0"/>
          <w:color w:val="auto"/>
          <w:highlight w:val="none"/>
        </w:rPr>
      </w:pPr>
      <w:r>
        <w:rPr>
          <w:rFonts w:hint="eastAsia" w:ascii="宋体" w:hAnsi="宋体"/>
          <w:i w:val="0"/>
          <w:iCs w:val="0"/>
          <w:color w:val="auto"/>
          <w:highlight w:val="none"/>
        </w:rPr>
        <w:t>3.8</w:t>
      </w:r>
      <w:r>
        <w:rPr>
          <w:rFonts w:hint="eastAsia" w:hAnsi="宋体"/>
          <w:i w:val="0"/>
          <w:iCs w:val="0"/>
          <w:color w:val="auto"/>
          <w:highlight w:val="none"/>
          <w:lang w:eastAsia="zh-CN"/>
        </w:rPr>
        <w:t>☑</w:t>
      </w:r>
      <w:r>
        <w:rPr>
          <w:rFonts w:hint="eastAsia" w:ascii="宋体" w:hAnsi="宋体"/>
          <w:b w:val="0"/>
          <w:bCs w:val="0"/>
          <w:i w:val="0"/>
          <w:iCs w:val="0"/>
          <w:color w:val="auto"/>
          <w:highlight w:val="none"/>
        </w:rPr>
        <w:t>拟派项目负责人须为企业的在职职工（在职职工不包括离、退休返聘人员），需提供缴费期限包含202</w:t>
      </w:r>
      <w:r>
        <w:rPr>
          <w:rFonts w:hint="eastAsia" w:ascii="宋体" w:hAnsi="宋体"/>
          <w:b w:val="0"/>
          <w:bCs w:val="0"/>
          <w:i w:val="0"/>
          <w:iCs w:val="0"/>
          <w:color w:val="auto"/>
          <w:highlight w:val="none"/>
          <w:lang w:val="en-US" w:eastAsia="zh-CN"/>
        </w:rPr>
        <w:t>6</w:t>
      </w:r>
      <w:r>
        <w:rPr>
          <w:rFonts w:hint="eastAsia" w:ascii="宋体" w:hAnsi="宋体"/>
          <w:b w:val="0"/>
          <w:bCs w:val="0"/>
          <w:i w:val="0"/>
          <w:iCs w:val="0"/>
          <w:color w:val="auto"/>
          <w:highlight w:val="none"/>
        </w:rPr>
        <w:t>年</w:t>
      </w:r>
      <w:r>
        <w:rPr>
          <w:rFonts w:hint="eastAsia" w:ascii="宋体" w:hAnsi="宋体"/>
          <w:b w:val="0"/>
          <w:bCs w:val="0"/>
          <w:i w:val="0"/>
          <w:iCs w:val="0"/>
          <w:color w:val="auto"/>
          <w:highlight w:val="none"/>
          <w:lang w:val="en-US" w:eastAsia="zh-CN"/>
        </w:rPr>
        <w:t>01</w:t>
      </w:r>
      <w:r>
        <w:rPr>
          <w:rFonts w:hint="eastAsia" w:ascii="宋体" w:hAnsi="宋体"/>
          <w:b w:val="0"/>
          <w:bCs w:val="0"/>
          <w:i w:val="0"/>
          <w:iCs w:val="0"/>
          <w:color w:val="auto"/>
          <w:highlight w:val="none"/>
        </w:rPr>
        <w:t>月至202</w:t>
      </w:r>
      <w:r>
        <w:rPr>
          <w:rFonts w:hint="eastAsia" w:ascii="宋体" w:hAnsi="宋体"/>
          <w:b w:val="0"/>
          <w:bCs w:val="0"/>
          <w:i w:val="0"/>
          <w:iCs w:val="0"/>
          <w:color w:val="auto"/>
          <w:highlight w:val="none"/>
          <w:lang w:val="en-US" w:eastAsia="zh-CN"/>
        </w:rPr>
        <w:t>6</w:t>
      </w:r>
      <w:r>
        <w:rPr>
          <w:rFonts w:hint="eastAsia" w:ascii="宋体" w:hAnsi="宋体"/>
          <w:b w:val="0"/>
          <w:bCs w:val="0"/>
          <w:i w:val="0"/>
          <w:iCs w:val="0"/>
          <w:color w:val="auto"/>
          <w:highlight w:val="none"/>
        </w:rPr>
        <w:t>年</w:t>
      </w:r>
      <w:r>
        <w:rPr>
          <w:rFonts w:hint="eastAsia" w:ascii="宋体" w:hAnsi="宋体"/>
          <w:b w:val="0"/>
          <w:bCs w:val="0"/>
          <w:i w:val="0"/>
          <w:iCs w:val="0"/>
          <w:color w:val="auto"/>
          <w:highlight w:val="none"/>
          <w:lang w:val="en-US" w:eastAsia="zh-CN"/>
        </w:rPr>
        <w:t>03</w:t>
      </w:r>
      <w:r>
        <w:rPr>
          <w:rFonts w:hint="eastAsia" w:ascii="宋体" w:hAnsi="宋体"/>
          <w:b w:val="0"/>
          <w:bCs w:val="0"/>
          <w:i w:val="0"/>
          <w:iCs w:val="0"/>
          <w:color w:val="auto"/>
          <w:highlight w:val="none"/>
        </w:rPr>
        <w:t>月的投标人所属社保机构养老保险缴纳清单或证明（缴费单位和投标人名称必须一致，并加盖社保缴费证明专用章,非独立法人的分公司社保证明有效），以投标人所属社保机构出具的盖有社保部门专用章（或电子专用章）的社保证明件为准。若上述负责人为事业编制的，以提供缴费期限包含202</w:t>
      </w:r>
      <w:r>
        <w:rPr>
          <w:rFonts w:hint="eastAsia" w:ascii="宋体" w:hAnsi="宋体"/>
          <w:b w:val="0"/>
          <w:bCs w:val="0"/>
          <w:i w:val="0"/>
          <w:iCs w:val="0"/>
          <w:color w:val="auto"/>
          <w:highlight w:val="none"/>
          <w:lang w:val="en-US" w:eastAsia="zh-CN"/>
        </w:rPr>
        <w:t>6</w:t>
      </w:r>
      <w:r>
        <w:rPr>
          <w:rFonts w:hint="eastAsia" w:ascii="宋体" w:hAnsi="宋体"/>
          <w:b w:val="0"/>
          <w:bCs w:val="0"/>
          <w:i w:val="0"/>
          <w:iCs w:val="0"/>
          <w:color w:val="auto"/>
          <w:highlight w:val="none"/>
        </w:rPr>
        <w:t>年</w:t>
      </w:r>
      <w:r>
        <w:rPr>
          <w:rFonts w:hint="eastAsia" w:ascii="宋体" w:hAnsi="宋体"/>
          <w:b w:val="0"/>
          <w:bCs w:val="0"/>
          <w:i w:val="0"/>
          <w:iCs w:val="0"/>
          <w:color w:val="auto"/>
          <w:highlight w:val="none"/>
          <w:lang w:val="en-US" w:eastAsia="zh-CN"/>
        </w:rPr>
        <w:t>01</w:t>
      </w:r>
      <w:r>
        <w:rPr>
          <w:rFonts w:hint="eastAsia" w:ascii="宋体" w:hAnsi="宋体"/>
          <w:b w:val="0"/>
          <w:bCs w:val="0"/>
          <w:i w:val="0"/>
          <w:iCs w:val="0"/>
          <w:color w:val="auto"/>
          <w:highlight w:val="none"/>
        </w:rPr>
        <w:t>月至202</w:t>
      </w:r>
      <w:r>
        <w:rPr>
          <w:rFonts w:hint="eastAsia" w:ascii="宋体" w:hAnsi="宋体"/>
          <w:b w:val="0"/>
          <w:bCs w:val="0"/>
          <w:i w:val="0"/>
          <w:iCs w:val="0"/>
          <w:color w:val="auto"/>
          <w:highlight w:val="none"/>
          <w:lang w:val="en-US" w:eastAsia="zh-CN"/>
        </w:rPr>
        <w:t>6</w:t>
      </w:r>
      <w:r>
        <w:rPr>
          <w:rFonts w:hint="eastAsia" w:ascii="宋体" w:hAnsi="宋体"/>
          <w:b w:val="0"/>
          <w:bCs w:val="0"/>
          <w:i w:val="0"/>
          <w:iCs w:val="0"/>
          <w:color w:val="auto"/>
          <w:highlight w:val="none"/>
        </w:rPr>
        <w:t>年</w:t>
      </w:r>
      <w:r>
        <w:rPr>
          <w:rFonts w:hint="eastAsia" w:ascii="宋体" w:hAnsi="宋体"/>
          <w:b w:val="0"/>
          <w:bCs w:val="0"/>
          <w:i w:val="0"/>
          <w:iCs w:val="0"/>
          <w:color w:val="auto"/>
          <w:highlight w:val="none"/>
          <w:lang w:val="en-US" w:eastAsia="zh-CN"/>
        </w:rPr>
        <w:t>03</w:t>
      </w:r>
      <w:r>
        <w:rPr>
          <w:rFonts w:hint="eastAsia" w:ascii="宋体" w:hAnsi="宋体"/>
          <w:b w:val="0"/>
          <w:bCs w:val="0"/>
          <w:i w:val="0"/>
          <w:iCs w:val="0"/>
          <w:color w:val="auto"/>
          <w:highlight w:val="none"/>
        </w:rPr>
        <w:t>月由人事代理中心或类似证明机构出具的社保证明（需加盖人事代理中心证明专用章）。</w:t>
      </w:r>
    </w:p>
    <w:p w14:paraId="254F268F">
      <w:pPr>
        <w:pStyle w:val="9"/>
        <w:kinsoku w:val="0"/>
        <w:snapToGrid w:val="0"/>
        <w:spacing w:before="0" w:beforeAutospacing="0" w:after="0" w:afterAutospacing="0"/>
        <w:ind w:left="0" w:firstLine="480" w:firstLineChars="200"/>
        <w:jc w:val="both"/>
        <w:rPr>
          <w:rFonts w:hint="eastAsia" w:ascii="宋体" w:hAnsi="宋体"/>
          <w:b w:val="0"/>
          <w:bCs w:val="0"/>
          <w:i w:val="0"/>
          <w:iCs w:val="0"/>
          <w:color w:val="auto"/>
          <w:highlight w:val="none"/>
        </w:rPr>
      </w:pPr>
      <w:r>
        <w:rPr>
          <w:rFonts w:hint="eastAsia" w:ascii="宋体" w:hAnsi="宋体"/>
          <w:b w:val="0"/>
          <w:bCs w:val="0"/>
          <w:i w:val="0"/>
          <w:iCs w:val="0"/>
          <w:color w:val="auto"/>
          <w:highlight w:val="none"/>
          <w:lang w:eastAsia="zh-CN"/>
        </w:rPr>
        <w:t>注：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0FD252B2">
      <w:pPr>
        <w:pStyle w:val="43"/>
        <w:adjustRightInd w:val="0"/>
        <w:snapToGrid w:val="0"/>
        <w:spacing w:line="240" w:lineRule="auto"/>
        <w:ind w:firstLine="560" w:firstLineChars="0"/>
        <w:rPr>
          <w:rFonts w:hAnsi="宋体"/>
          <w:i w:val="0"/>
          <w:iCs w:val="0"/>
          <w:color w:val="auto"/>
          <w:sz w:val="24"/>
          <w:szCs w:val="24"/>
          <w:highlight w:val="none"/>
          <w:u w:val="single"/>
        </w:rPr>
      </w:pPr>
      <w:r>
        <w:rPr>
          <w:rFonts w:hint="eastAsia" w:hAnsi="宋体"/>
          <w:i w:val="0"/>
          <w:iCs w:val="0"/>
          <w:color w:val="auto"/>
          <w:sz w:val="24"/>
          <w:szCs w:val="24"/>
          <w:highlight w:val="none"/>
        </w:rPr>
        <w:t>（三）其他：</w:t>
      </w:r>
      <w:r>
        <w:rPr>
          <w:rFonts w:hint="eastAsia" w:hAnsi="宋体"/>
          <w:i w:val="0"/>
          <w:iCs w:val="0"/>
          <w:color w:val="auto"/>
          <w:sz w:val="24"/>
          <w:szCs w:val="24"/>
          <w:highlight w:val="none"/>
          <w:u w:val="single"/>
        </w:rPr>
        <w:t xml:space="preserve">             /                      </w:t>
      </w:r>
    </w:p>
    <w:p w14:paraId="0E12C700">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3.9</w:t>
      </w:r>
      <w:r>
        <w:rPr>
          <w:rFonts w:hint="eastAsia" w:hAnsi="宋体"/>
          <w:i w:val="0"/>
          <w:iCs w:val="0"/>
          <w:color w:val="auto"/>
          <w:sz w:val="24"/>
          <w:szCs w:val="24"/>
          <w:highlight w:val="none"/>
          <w:lang w:eastAsia="zh-CN"/>
        </w:rPr>
        <w:t>☑</w:t>
      </w:r>
      <w:r>
        <w:rPr>
          <w:rFonts w:hint="eastAsia" w:hAnsi="宋体"/>
          <w:i w:val="0"/>
          <w:iCs w:val="0"/>
          <w:color w:val="auto"/>
          <w:sz w:val="24"/>
          <w:szCs w:val="24"/>
          <w:highlight w:val="none"/>
        </w:rPr>
        <w:t>拟派施工现场专职安全生产管理人员，具有对应有效的安全生产考核合格证书，人数符合住房和城乡建设部相关规定要求；</w:t>
      </w:r>
      <w:r>
        <w:rPr>
          <w:rFonts w:hint="eastAsia" w:hAnsi="宋体"/>
          <w:b/>
          <w:bCs/>
          <w:i w:val="0"/>
          <w:iCs w:val="0"/>
          <w:color w:val="auto"/>
          <w:sz w:val="24"/>
          <w:szCs w:val="24"/>
          <w:highlight w:val="none"/>
          <w:lang w:eastAsia="zh-CN"/>
        </w:rPr>
        <w:t>本项目要求专职安全生产管理人员不少于</w:t>
      </w:r>
      <w:r>
        <w:rPr>
          <w:rFonts w:hint="eastAsia" w:hAnsi="宋体"/>
          <w:b/>
          <w:bCs/>
          <w:i w:val="0"/>
          <w:iCs w:val="0"/>
          <w:color w:val="auto"/>
          <w:sz w:val="24"/>
          <w:szCs w:val="24"/>
          <w:highlight w:val="none"/>
          <w:lang w:val="en-US" w:eastAsia="zh-CN"/>
        </w:rPr>
        <w:t>5</w:t>
      </w:r>
      <w:r>
        <w:rPr>
          <w:rFonts w:hint="eastAsia" w:hAnsi="宋体"/>
          <w:b/>
          <w:bCs/>
          <w:i w:val="0"/>
          <w:iCs w:val="0"/>
          <w:color w:val="auto"/>
          <w:sz w:val="24"/>
          <w:szCs w:val="24"/>
          <w:highlight w:val="none"/>
          <w:lang w:eastAsia="zh-CN"/>
        </w:rPr>
        <w:t>人</w:t>
      </w:r>
      <w:r>
        <w:rPr>
          <w:rFonts w:hint="eastAsia" w:hAnsi="宋体"/>
          <w:b/>
          <w:bCs/>
          <w:i w:val="0"/>
          <w:iCs w:val="0"/>
          <w:color w:val="auto"/>
          <w:sz w:val="24"/>
          <w:szCs w:val="24"/>
          <w:highlight w:val="none"/>
          <w:lang w:val="en-US" w:eastAsia="zh-CN"/>
        </w:rPr>
        <w:t>及机械类专职安全生产管理人员1人</w:t>
      </w:r>
      <w:r>
        <w:rPr>
          <w:rFonts w:hint="eastAsia" w:hAnsi="宋体"/>
          <w:i w:val="0"/>
          <w:iCs w:val="0"/>
          <w:color w:val="auto"/>
          <w:sz w:val="24"/>
          <w:szCs w:val="24"/>
          <w:highlight w:val="none"/>
        </w:rPr>
        <w:t>；</w:t>
      </w:r>
    </w:p>
    <w:p w14:paraId="0114AB32">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3.10投标人及其拟派项目负责人未被列入建筑市场严重失信名单（以全国建筑市场监管公共服务平台黑名单记录、失信联合惩戒记录和浙江省建筑市场监管公共服务系统严重失信名单的信息为准）；</w:t>
      </w:r>
    </w:p>
    <w:p w14:paraId="1F9E3017">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3.11投标人及其拟派项目负责人近三年无行贿犯罪记录；</w:t>
      </w:r>
    </w:p>
    <w:p w14:paraId="1B50D5FD">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3.12投标人及其拟派项目负责人投标截止日未被列入失信被执行人名单；</w:t>
      </w:r>
    </w:p>
    <w:p w14:paraId="2FC3CA09">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3.13投标人及其拟派项目负责人未被</w:t>
      </w:r>
      <w:r>
        <w:rPr>
          <w:rFonts w:hint="eastAsia" w:hAnsi="宋体"/>
          <w:b/>
          <w:bCs/>
          <w:i w:val="0"/>
          <w:iCs w:val="0"/>
          <w:color w:val="auto"/>
          <w:sz w:val="24"/>
          <w:szCs w:val="24"/>
          <w:highlight w:val="none"/>
        </w:rPr>
        <w:t>市场监督管理机关</w:t>
      </w:r>
      <w:r>
        <w:rPr>
          <w:rFonts w:hint="eastAsia" w:hAnsi="宋体"/>
          <w:i w:val="0"/>
          <w:iCs w:val="0"/>
          <w:color w:val="auto"/>
          <w:sz w:val="24"/>
          <w:szCs w:val="24"/>
          <w:highlight w:val="none"/>
        </w:rPr>
        <w:t>在全国企业信用信息公示系统中列入严重违法失信企业名单；</w:t>
      </w:r>
    </w:p>
    <w:p w14:paraId="2FF5705F">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3.14投标人及其拟派项目负责人未被</w:t>
      </w:r>
      <w:r>
        <w:rPr>
          <w:rFonts w:hint="eastAsia" w:hAnsi="宋体"/>
          <w:b/>
          <w:bCs/>
          <w:i w:val="0"/>
          <w:iCs w:val="0"/>
          <w:color w:val="auto"/>
          <w:sz w:val="24"/>
          <w:szCs w:val="24"/>
          <w:highlight w:val="none"/>
        </w:rPr>
        <w:t>人力资源社会保障行政部门</w:t>
      </w:r>
      <w:r>
        <w:rPr>
          <w:rFonts w:hint="eastAsia" w:hAnsi="宋体"/>
          <w:i w:val="0"/>
          <w:iCs w:val="0"/>
          <w:color w:val="auto"/>
          <w:sz w:val="24"/>
          <w:szCs w:val="24"/>
          <w:highlight w:val="none"/>
        </w:rPr>
        <w:t>列入失信联合惩戒名单（有效期内）并共享至信用信息共享平台；</w:t>
      </w:r>
    </w:p>
    <w:p w14:paraId="73B7E391">
      <w:pPr>
        <w:pStyle w:val="43"/>
        <w:adjustRightInd w:val="0"/>
        <w:snapToGrid w:val="0"/>
        <w:spacing w:line="240" w:lineRule="auto"/>
        <w:ind w:firstLine="480"/>
        <w:rPr>
          <w:rFonts w:hAnsi="宋体"/>
          <w:i w:val="0"/>
          <w:iCs w:val="0"/>
          <w:color w:val="auto"/>
          <w:sz w:val="24"/>
          <w:szCs w:val="24"/>
          <w:highlight w:val="none"/>
        </w:rPr>
      </w:pPr>
      <w:r>
        <w:rPr>
          <w:rFonts w:hint="eastAsia" w:hAnsi="宋体"/>
          <w:i w:val="0"/>
          <w:iCs w:val="0"/>
          <w:color w:val="auto"/>
          <w:sz w:val="24"/>
          <w:szCs w:val="24"/>
          <w:highlight w:val="none"/>
        </w:rPr>
        <w:t>3.15省外企业应按规定办理“省外建设工程企业进浙备案”手续；</w:t>
      </w:r>
    </w:p>
    <w:p w14:paraId="64C7D993">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3.16□</w:t>
      </w:r>
      <w:r>
        <w:rPr>
          <w:rFonts w:hint="eastAsia" w:ascii="宋体" w:hAnsi="宋体"/>
          <w:i w:val="0"/>
          <w:iCs w:val="0"/>
          <w:color w:val="auto"/>
          <w:highlight w:val="none"/>
          <w:u w:val="single"/>
        </w:rPr>
        <w:t>（招标人需要增加的、符合法律法规的其他要求）</w:t>
      </w:r>
      <w:r>
        <w:rPr>
          <w:rFonts w:hint="eastAsia" w:ascii="宋体" w:hAnsi="宋体"/>
          <w:i w:val="0"/>
          <w:iCs w:val="0"/>
          <w:color w:val="auto"/>
          <w:highlight w:val="none"/>
        </w:rPr>
        <w:t>。</w:t>
      </w:r>
    </w:p>
    <w:p w14:paraId="5D9F94E3">
      <w:pPr>
        <w:rPr>
          <w:rFonts w:ascii="宋体" w:hAnsi="宋体"/>
          <w:b/>
          <w:i w:val="0"/>
          <w:iCs w:val="0"/>
          <w:color w:val="auto"/>
          <w:highlight w:val="none"/>
        </w:rPr>
      </w:pPr>
      <w:bookmarkStart w:id="36" w:name="_Toc22828054"/>
      <w:bookmarkEnd w:id="36"/>
      <w:bookmarkStart w:id="37" w:name="_Toc26001999"/>
      <w:bookmarkEnd w:id="37"/>
      <w:bookmarkStart w:id="38" w:name="_Toc45697223"/>
      <w:bookmarkEnd w:id="38"/>
      <w:bookmarkStart w:id="39" w:name="_Toc22827971"/>
      <w:bookmarkEnd w:id="39"/>
      <w:bookmarkStart w:id="40" w:name="_Toc24050272"/>
      <w:bookmarkEnd w:id="40"/>
      <w:bookmarkStart w:id="41" w:name="_Toc26002052"/>
      <w:bookmarkEnd w:id="41"/>
      <w:bookmarkStart w:id="42" w:name="_Hlk24015219"/>
      <w:bookmarkEnd w:id="42"/>
      <w:bookmarkStart w:id="43" w:name="_Toc30484"/>
      <w:r>
        <w:rPr>
          <w:rFonts w:hint="eastAsia" w:ascii="宋体" w:hAnsi="宋体"/>
          <w:b/>
          <w:i w:val="0"/>
          <w:iCs w:val="0"/>
          <w:color w:val="auto"/>
          <w:highlight w:val="none"/>
        </w:rPr>
        <w:t>4.招投标方式</w:t>
      </w:r>
      <w:bookmarkEnd w:id="43"/>
    </w:p>
    <w:p w14:paraId="1B6A6649">
      <w:pPr>
        <w:pStyle w:val="43"/>
        <w:adjustRightInd w:val="0"/>
        <w:snapToGrid w:val="0"/>
        <w:spacing w:line="240" w:lineRule="auto"/>
        <w:ind w:firstLine="480"/>
        <w:rPr>
          <w:rFonts w:hint="eastAsia" w:hAnsi="宋体"/>
          <w:i w:val="0"/>
          <w:iCs w:val="0"/>
          <w:color w:val="auto"/>
          <w:sz w:val="24"/>
          <w:szCs w:val="24"/>
          <w:highlight w:val="none"/>
        </w:rPr>
      </w:pPr>
      <w:bookmarkStart w:id="44" w:name="_Toc26002053"/>
      <w:bookmarkEnd w:id="44"/>
      <w:bookmarkStart w:id="45" w:name="_Toc26002000"/>
      <w:r>
        <w:rPr>
          <w:rFonts w:hint="eastAsia" w:hAnsi="宋体"/>
          <w:i w:val="0"/>
          <w:iCs w:val="0"/>
          <w:color w:val="auto"/>
          <w:sz w:val="24"/>
          <w:szCs w:val="24"/>
          <w:highlight w:val="none"/>
        </w:rPr>
        <w:t>4.1公开招标</w:t>
      </w:r>
      <w:bookmarkEnd w:id="45"/>
      <w:bookmarkStart w:id="46" w:name="bookmark5"/>
      <w:bookmarkEnd w:id="46"/>
      <w:r>
        <w:rPr>
          <w:rFonts w:hint="eastAsia" w:hAnsi="宋体"/>
          <w:i w:val="0"/>
          <w:iCs w:val="0"/>
          <w:color w:val="auto"/>
          <w:sz w:val="24"/>
          <w:szCs w:val="24"/>
          <w:highlight w:val="none"/>
        </w:rPr>
        <w:t>。</w:t>
      </w:r>
    </w:p>
    <w:p w14:paraId="721B568C">
      <w:pPr>
        <w:pStyle w:val="43"/>
        <w:adjustRightInd w:val="0"/>
        <w:snapToGrid w:val="0"/>
        <w:spacing w:line="240" w:lineRule="auto"/>
        <w:ind w:firstLine="480"/>
        <w:rPr>
          <w:rFonts w:hint="eastAsia" w:hAnsi="宋体"/>
          <w:i w:val="0"/>
          <w:iCs w:val="0"/>
          <w:color w:val="auto"/>
          <w:sz w:val="24"/>
          <w:szCs w:val="24"/>
          <w:highlight w:val="none"/>
        </w:rPr>
      </w:pPr>
      <w:r>
        <w:rPr>
          <w:rFonts w:hint="eastAsia" w:hAnsi="宋体"/>
          <w:i w:val="0"/>
          <w:iCs w:val="0"/>
          <w:color w:val="auto"/>
          <w:sz w:val="24"/>
          <w:szCs w:val="24"/>
          <w:highlight w:val="none"/>
        </w:rPr>
        <w:t>4.2</w:t>
      </w:r>
      <w:r>
        <w:rPr>
          <w:rFonts w:hAnsi="宋体"/>
          <w:i w:val="0"/>
          <w:iCs w:val="0"/>
          <w:color w:val="auto"/>
          <w:sz w:val="24"/>
          <w:szCs w:val="24"/>
          <w:highlight w:val="none"/>
        </w:rPr>
        <w:sym w:font="Wingdings 2" w:char="0052"/>
      </w:r>
      <w:r>
        <w:rPr>
          <w:rFonts w:hAnsi="宋体"/>
          <w:i w:val="0"/>
          <w:iCs w:val="0"/>
          <w:color w:val="auto"/>
          <w:sz w:val="24"/>
          <w:szCs w:val="24"/>
          <w:highlight w:val="none"/>
        </w:rPr>
        <w:t>采用评定分离，</w:t>
      </w:r>
      <w:r>
        <w:rPr>
          <w:rFonts w:hAnsi="宋体"/>
          <w:i w:val="0"/>
          <w:iCs w:val="0"/>
          <w:color w:val="auto"/>
          <w:sz w:val="24"/>
          <w:szCs w:val="24"/>
          <w:highlight w:val="none"/>
        </w:rPr>
        <w:sym w:font="Wingdings 2" w:char="00A3"/>
      </w:r>
      <w:r>
        <w:rPr>
          <w:rFonts w:hAnsi="宋体"/>
          <w:i w:val="0"/>
          <w:iCs w:val="0"/>
          <w:color w:val="auto"/>
          <w:sz w:val="24"/>
          <w:szCs w:val="24"/>
          <w:highlight w:val="none"/>
        </w:rPr>
        <w:t>不采用评定分离。</w:t>
      </w:r>
    </w:p>
    <w:p w14:paraId="0B6A6C62">
      <w:pPr>
        <w:rPr>
          <w:rFonts w:ascii="宋体" w:hAnsi="宋体"/>
          <w:b/>
          <w:i w:val="0"/>
          <w:iCs w:val="0"/>
          <w:color w:val="auto"/>
          <w:highlight w:val="none"/>
        </w:rPr>
      </w:pPr>
      <w:bookmarkStart w:id="47" w:name="_Toc26002001"/>
      <w:bookmarkEnd w:id="47"/>
      <w:bookmarkStart w:id="48" w:name="_Toc22828055"/>
      <w:bookmarkEnd w:id="48"/>
      <w:bookmarkStart w:id="49" w:name="bookmark6"/>
      <w:bookmarkEnd w:id="49"/>
      <w:bookmarkStart w:id="50" w:name="_Toc26002054"/>
      <w:bookmarkEnd w:id="50"/>
      <w:bookmarkStart w:id="51" w:name="_Toc22827972"/>
      <w:bookmarkEnd w:id="51"/>
      <w:bookmarkStart w:id="52" w:name="_Toc45697224"/>
      <w:bookmarkEnd w:id="52"/>
      <w:bookmarkStart w:id="53" w:name="_Toc24050273"/>
      <w:bookmarkEnd w:id="53"/>
      <w:bookmarkStart w:id="54" w:name="_Toc12635"/>
      <w:r>
        <w:rPr>
          <w:rFonts w:hint="eastAsia" w:ascii="宋体" w:hAnsi="宋体"/>
          <w:b/>
          <w:i w:val="0"/>
          <w:iCs w:val="0"/>
          <w:color w:val="auto"/>
          <w:highlight w:val="none"/>
        </w:rPr>
        <w:t>5.招标文件的获取</w:t>
      </w:r>
      <w:bookmarkEnd w:id="54"/>
    </w:p>
    <w:p w14:paraId="478F46C4">
      <w:pPr>
        <w:widowControl/>
        <w:spacing w:line="253" w:lineRule="atLeast"/>
        <w:ind w:firstLine="480"/>
        <w:rPr>
          <w:rFonts w:ascii="宋体" w:hAnsi="宋体"/>
          <w:i w:val="0"/>
          <w:iCs w:val="0"/>
          <w:color w:val="auto"/>
          <w:highlight w:val="none"/>
        </w:rPr>
      </w:pPr>
      <w:r>
        <w:rPr>
          <w:rFonts w:hint="eastAsia" w:ascii="宋体" w:hAnsi="宋体"/>
          <w:i w:val="0"/>
          <w:iCs w:val="0"/>
          <w:color w:val="auto"/>
          <w:highlight w:val="none"/>
        </w:rPr>
        <w:t>5.1本项目招标文件（含图纸）和补充（答疑、澄清）、修改文件以网上下载方式发放</w:t>
      </w:r>
      <w:r>
        <w:rPr>
          <w:rFonts w:hint="eastAsia" w:ascii="宋体" w:hAnsi="宋体" w:cs="宋体"/>
          <w:b/>
          <w:bCs/>
          <w:i w:val="0"/>
          <w:iCs w:val="0"/>
          <w:color w:val="auto"/>
          <w:highlight w:val="none"/>
          <w:u w:val="single"/>
          <w:lang w:bidi="ar"/>
        </w:rPr>
        <w:t>绍兴市公共资源交易中心电子招投标交易平台（ http://220.187.225.202:8088/TPBidder-ztk/memberLogin）</w:t>
      </w:r>
      <w:r>
        <w:rPr>
          <w:rFonts w:hint="eastAsia" w:ascii="宋体" w:hAnsi="宋体"/>
          <w:i w:val="0"/>
          <w:iCs w:val="0"/>
          <w:color w:val="auto"/>
          <w:highlight w:val="none"/>
          <w:lang w:eastAsia="zh-CN"/>
        </w:rPr>
        <w:t>，</w:t>
      </w:r>
      <w:r>
        <w:rPr>
          <w:rFonts w:hint="eastAsia" w:ascii="宋体" w:hAnsi="宋体"/>
          <w:i w:val="0"/>
          <w:iCs w:val="0"/>
          <w:color w:val="auto"/>
          <w:highlight w:val="none"/>
        </w:rPr>
        <w:t>请各潜在投标人使用CA锁登录绍兴市公共资源交易中心电子招投标交易平台（</w:t>
      </w:r>
      <w:r>
        <w:rPr>
          <w:rFonts w:hint="eastAsia" w:ascii="宋体" w:hAnsi="宋体"/>
          <w:i w:val="0"/>
          <w:iCs w:val="0"/>
          <w:color w:val="auto"/>
          <w:highlight w:val="none"/>
          <w:lang w:eastAsia="zh-CN"/>
        </w:rPr>
        <w:t xml:space="preserve"> http://220.187.225.202:8088/TPBidder-ztk/memberLogin</w:t>
      </w:r>
      <w:r>
        <w:rPr>
          <w:rFonts w:hint="eastAsia" w:ascii="宋体" w:hAnsi="宋体"/>
          <w:i w:val="0"/>
          <w:iCs w:val="0"/>
          <w:color w:val="auto"/>
          <w:highlight w:val="none"/>
        </w:rPr>
        <w:t>）获取,未使用CA锁登录并获取招标文件的投标将被拒收。</w:t>
      </w:r>
    </w:p>
    <w:p w14:paraId="69BBAB65">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5.2招标文件获取（下载）网址：</w:t>
      </w:r>
      <w:bookmarkStart w:id="55" w:name="_Hlk24015357"/>
      <w:r>
        <w:rPr>
          <w:rFonts w:hint="eastAsia" w:ascii="宋体" w:hAnsi="宋体"/>
          <w:i w:val="0"/>
          <w:iCs w:val="0"/>
          <w:color w:val="auto"/>
          <w:highlight w:val="none"/>
        </w:rPr>
        <w:t>潜在投标人登录</w:t>
      </w:r>
      <w:bookmarkEnd w:id="55"/>
      <w:r>
        <w:rPr>
          <w:rFonts w:hint="eastAsia" w:ascii="宋体" w:hAnsi="宋体" w:cs="宋体"/>
          <w:b/>
          <w:bCs/>
          <w:i w:val="0"/>
          <w:iCs w:val="0"/>
          <w:color w:val="auto"/>
          <w:highlight w:val="none"/>
          <w:u w:val="single"/>
          <w:lang w:bidi="ar"/>
        </w:rPr>
        <w:t>绍兴市公共资源交易中心电子招投标交易平台（</w:t>
      </w:r>
      <w:r>
        <w:rPr>
          <w:rFonts w:hint="eastAsia" w:ascii="宋体" w:hAnsi="宋体" w:cs="宋体"/>
          <w:b/>
          <w:bCs/>
          <w:i w:val="0"/>
          <w:iCs w:val="0"/>
          <w:color w:val="auto"/>
          <w:highlight w:val="none"/>
          <w:u w:val="single"/>
          <w:lang w:eastAsia="zh-CN" w:bidi="ar"/>
        </w:rPr>
        <w:t xml:space="preserve"> http://220.187.225.202:8088/TPBidder-ztk/memberLogin</w:t>
      </w:r>
      <w:r>
        <w:rPr>
          <w:rFonts w:hint="eastAsia" w:ascii="宋体" w:hAnsi="宋体" w:cs="宋体"/>
          <w:b/>
          <w:bCs/>
          <w:i w:val="0"/>
          <w:iCs w:val="0"/>
          <w:color w:val="auto"/>
          <w:highlight w:val="none"/>
          <w:u w:val="single"/>
          <w:lang w:bidi="ar"/>
        </w:rPr>
        <w:t>），</w:t>
      </w:r>
      <w:r>
        <w:rPr>
          <w:rFonts w:hint="eastAsia" w:ascii="宋体" w:hAnsi="宋体"/>
          <w:i w:val="0"/>
          <w:iCs w:val="0"/>
          <w:color w:val="auto"/>
          <w:highlight w:val="none"/>
        </w:rPr>
        <w:t>自行获取（下载）招标文件。</w:t>
      </w:r>
    </w:p>
    <w:p w14:paraId="218567E0">
      <w:pPr>
        <w:snapToGrid w:val="0"/>
        <w:ind w:firstLine="480" w:firstLineChars="200"/>
        <w:rPr>
          <w:rFonts w:hint="eastAsia" w:ascii="宋体" w:hAnsi="宋体"/>
          <w:i w:val="0"/>
          <w:iCs w:val="0"/>
          <w:color w:val="auto"/>
          <w:highlight w:val="none"/>
        </w:rPr>
      </w:pPr>
      <w:r>
        <w:rPr>
          <w:rFonts w:hint="eastAsia" w:ascii="宋体" w:hAnsi="宋体"/>
          <w:i w:val="0"/>
          <w:iCs w:val="0"/>
          <w:color w:val="auto"/>
          <w:highlight w:val="none"/>
        </w:rPr>
        <w:t>5.3招标文件网上下载时间：</w:t>
      </w:r>
      <w:bookmarkStart w:id="56" w:name="EB711a71a1d4074416afbde3071813b61c"/>
      <w:r>
        <w:rPr>
          <w:rFonts w:hint="eastAsia" w:ascii="宋体" w:hAnsi="宋体"/>
          <w:i w:val="0"/>
          <w:iCs w:val="0"/>
          <w:color w:val="auto"/>
          <w:highlight w:val="none"/>
          <w:u w:val="single"/>
        </w:rPr>
        <w:t>（</w:t>
      </w:r>
      <w:bookmarkEnd w:id="56"/>
      <w:r>
        <w:rPr>
          <w:rFonts w:hint="eastAsia" w:ascii="宋体" w:hAnsi="宋体"/>
          <w:i w:val="0"/>
          <w:iCs w:val="0"/>
          <w:color w:val="auto"/>
          <w:highlight w:val="none"/>
          <w:u w:val="single"/>
        </w:rPr>
        <w:t>公告发布之日起至投标文件递交截止时间）</w:t>
      </w:r>
      <w:r>
        <w:rPr>
          <w:rFonts w:hint="eastAsia" w:ascii="宋体" w:hAnsi="宋体"/>
          <w:i w:val="0"/>
          <w:iCs w:val="0"/>
          <w:color w:val="auto"/>
          <w:highlight w:val="none"/>
        </w:rPr>
        <w:t>。</w:t>
      </w:r>
    </w:p>
    <w:p w14:paraId="39BC05BC">
      <w:pPr>
        <w:snapToGrid w:val="0"/>
        <w:ind w:firstLine="480" w:firstLineChars="200"/>
        <w:rPr>
          <w:rFonts w:hint="eastAsia" w:ascii="宋体" w:hAnsi="宋体"/>
          <w:i w:val="0"/>
          <w:iCs w:val="0"/>
          <w:color w:val="auto"/>
          <w:highlight w:val="none"/>
        </w:rPr>
      </w:pPr>
      <w:r>
        <w:rPr>
          <w:rFonts w:hint="eastAsia" w:ascii="宋体" w:hAnsi="宋体"/>
          <w:i w:val="0"/>
          <w:iCs w:val="0"/>
          <w:color w:val="auto"/>
          <w:highlight w:val="none"/>
        </w:rPr>
        <w:t>注：请各投标人在缴纳投标保证金前自行核对统一主体库内填写的基本账户信息，避免出现保证金缴纳后无法匹配的现象。</w:t>
      </w:r>
    </w:p>
    <w:p w14:paraId="3041D952">
      <w:pPr>
        <w:rPr>
          <w:rFonts w:ascii="宋体" w:hAnsi="宋体"/>
          <w:b/>
          <w:i w:val="0"/>
          <w:iCs w:val="0"/>
          <w:color w:val="auto"/>
          <w:highlight w:val="none"/>
        </w:rPr>
      </w:pPr>
      <w:bookmarkStart w:id="57" w:name="_Toc26002002"/>
      <w:bookmarkEnd w:id="57"/>
      <w:bookmarkStart w:id="58" w:name="_Toc26002055"/>
      <w:bookmarkEnd w:id="58"/>
      <w:bookmarkStart w:id="59" w:name="_Toc5207"/>
      <w:bookmarkEnd w:id="59"/>
      <w:bookmarkStart w:id="60" w:name="_Toc22827973"/>
      <w:bookmarkEnd w:id="60"/>
      <w:bookmarkStart w:id="61" w:name="_Toc45697225"/>
      <w:bookmarkEnd w:id="61"/>
      <w:bookmarkStart w:id="62" w:name="_Toc22828056"/>
      <w:bookmarkEnd w:id="62"/>
      <w:bookmarkStart w:id="63" w:name="_Toc24050274"/>
      <w:r>
        <w:rPr>
          <w:rFonts w:hint="eastAsia" w:ascii="宋体" w:hAnsi="宋体"/>
          <w:b/>
          <w:i w:val="0"/>
          <w:iCs w:val="0"/>
          <w:color w:val="auto"/>
          <w:highlight w:val="none"/>
        </w:rPr>
        <w:t>6.投标文件的递交</w:t>
      </w:r>
      <w:bookmarkEnd w:id="63"/>
    </w:p>
    <w:p w14:paraId="739500B0">
      <w:pPr>
        <w:rPr>
          <w:rFonts w:hint="eastAsia" w:ascii="宋体" w:hAnsi="宋体"/>
          <w:i w:val="0"/>
          <w:iCs w:val="0"/>
          <w:color w:val="auto"/>
          <w:highlight w:val="none"/>
        </w:rPr>
      </w:pPr>
      <w:bookmarkStart w:id="64" w:name="bookmark8"/>
      <w:bookmarkEnd w:id="64"/>
      <w:bookmarkStart w:id="65" w:name="_Toc27549"/>
      <w:bookmarkEnd w:id="65"/>
      <w:bookmarkStart w:id="66" w:name="_Toc22828057"/>
      <w:bookmarkEnd w:id="66"/>
      <w:bookmarkStart w:id="67" w:name="_Toc26002003"/>
      <w:bookmarkEnd w:id="67"/>
      <w:bookmarkStart w:id="68" w:name="_Toc24050275"/>
      <w:bookmarkEnd w:id="68"/>
      <w:bookmarkStart w:id="69" w:name="_Toc22827974"/>
      <w:bookmarkEnd w:id="69"/>
      <w:bookmarkStart w:id="70" w:name="_Toc45697226"/>
      <w:bookmarkEnd w:id="70"/>
      <w:bookmarkStart w:id="71" w:name="_Toc26002056"/>
      <w:r>
        <w:rPr>
          <w:rFonts w:hint="eastAsia" w:ascii="宋体" w:hAnsi="宋体"/>
          <w:i w:val="0"/>
          <w:iCs w:val="0"/>
          <w:color w:val="auto"/>
          <w:highlight w:val="none"/>
        </w:rPr>
        <w:t>6.1投标文件递交的截止时间（投标截止时间，下同）为</w:t>
      </w:r>
      <w:r>
        <w:rPr>
          <w:rFonts w:hint="eastAsia" w:ascii="宋体" w:hAnsi="宋体"/>
          <w:i w:val="0"/>
          <w:iCs w:val="0"/>
          <w:color w:val="auto"/>
          <w:highlight w:val="none"/>
          <w:u w:val="single"/>
          <w:lang w:val="en-US" w:eastAsia="zh-CN"/>
        </w:rPr>
        <w:t>2026</w:t>
      </w:r>
      <w:r>
        <w:rPr>
          <w:rFonts w:hint="eastAsia" w:ascii="宋体" w:hAnsi="宋体"/>
          <w:i w:val="0"/>
          <w:iCs w:val="0"/>
          <w:color w:val="auto"/>
          <w:highlight w:val="none"/>
        </w:rPr>
        <w:t>年</w:t>
      </w:r>
      <w:r>
        <w:rPr>
          <w:rFonts w:hint="eastAsia" w:ascii="宋体" w:hAnsi="宋体"/>
          <w:i w:val="0"/>
          <w:iCs w:val="0"/>
          <w:color w:val="auto"/>
          <w:highlight w:val="none"/>
          <w:u w:val="single"/>
          <w:lang w:val="en-US" w:eastAsia="zh-CN"/>
        </w:rPr>
        <w:t>4</w:t>
      </w:r>
      <w:r>
        <w:rPr>
          <w:rFonts w:hint="eastAsia" w:ascii="宋体" w:hAnsi="宋体"/>
          <w:i w:val="0"/>
          <w:iCs w:val="0"/>
          <w:color w:val="auto"/>
          <w:highlight w:val="none"/>
        </w:rPr>
        <w:t>月</w:t>
      </w:r>
      <w:r>
        <w:rPr>
          <w:rFonts w:hint="eastAsia" w:ascii="宋体" w:hAnsi="宋体"/>
          <w:i w:val="0"/>
          <w:iCs w:val="0"/>
          <w:color w:val="auto"/>
          <w:highlight w:val="none"/>
          <w:u w:val="single"/>
          <w:lang w:val="en-US" w:eastAsia="zh-CN"/>
        </w:rPr>
        <w:t>20</w:t>
      </w:r>
      <w:r>
        <w:rPr>
          <w:rFonts w:hint="eastAsia" w:ascii="宋体" w:hAnsi="宋体"/>
          <w:i w:val="0"/>
          <w:iCs w:val="0"/>
          <w:color w:val="auto"/>
          <w:highlight w:val="none"/>
        </w:rPr>
        <w:t>日</w:t>
      </w:r>
      <w:r>
        <w:rPr>
          <w:rFonts w:hint="eastAsia" w:ascii="宋体" w:hAnsi="宋体"/>
          <w:i w:val="0"/>
          <w:iCs w:val="0"/>
          <w:color w:val="auto"/>
          <w:highlight w:val="none"/>
          <w:u w:val="single"/>
          <w:lang w:val="en-US" w:eastAsia="zh-CN"/>
        </w:rPr>
        <w:t>14</w:t>
      </w:r>
      <w:r>
        <w:rPr>
          <w:rFonts w:hint="eastAsia" w:ascii="宋体" w:hAnsi="宋体"/>
          <w:i w:val="0"/>
          <w:iCs w:val="0"/>
          <w:color w:val="auto"/>
          <w:highlight w:val="none"/>
        </w:rPr>
        <w:t>时</w:t>
      </w:r>
      <w:r>
        <w:rPr>
          <w:rFonts w:hint="eastAsia" w:ascii="宋体" w:hAnsi="宋体"/>
          <w:i w:val="0"/>
          <w:iCs w:val="0"/>
          <w:color w:val="auto"/>
          <w:highlight w:val="none"/>
          <w:u w:val="single"/>
          <w:lang w:val="en-US" w:eastAsia="zh-CN"/>
        </w:rPr>
        <w:t>30</w:t>
      </w:r>
      <w:r>
        <w:rPr>
          <w:rFonts w:hint="eastAsia" w:ascii="宋体" w:hAnsi="宋体"/>
          <w:i w:val="0"/>
          <w:iCs w:val="0"/>
          <w:color w:val="auto"/>
          <w:highlight w:val="none"/>
        </w:rPr>
        <w:t>分</w:t>
      </w:r>
      <w:r>
        <w:rPr>
          <w:rFonts w:hint="eastAsia" w:ascii="宋体" w:hAnsi="宋体"/>
          <w:i w:val="0"/>
          <w:iCs w:val="0"/>
          <w:color w:val="auto"/>
          <w:spacing w:val="-1"/>
          <w:highlight w:val="none"/>
        </w:rPr>
        <w:t>，</w:t>
      </w:r>
      <w:r>
        <w:rPr>
          <w:rFonts w:hint="eastAsia" w:ascii="宋体" w:hAnsi="宋体"/>
          <w:i w:val="0"/>
          <w:iCs w:val="0"/>
          <w:color w:val="auto"/>
          <w:highlight w:val="none"/>
        </w:rPr>
        <w:t>电子招标投标交易平台：</w:t>
      </w:r>
      <w:r>
        <w:rPr>
          <w:rFonts w:hint="eastAsia" w:ascii="宋体" w:hAnsi="宋体"/>
          <w:i w:val="0"/>
          <w:iCs w:val="0"/>
          <w:color w:val="auto"/>
          <w:highlight w:val="none"/>
          <w:u w:val="single"/>
        </w:rPr>
        <w:fldChar w:fldCharType="begin"/>
      </w:r>
      <w:r>
        <w:rPr>
          <w:rFonts w:hint="eastAsia" w:ascii="宋体" w:hAnsi="宋体"/>
          <w:i w:val="0"/>
          <w:iCs w:val="0"/>
          <w:color w:val="auto"/>
          <w:highlight w:val="none"/>
          <w:u w:val="single"/>
        </w:rPr>
        <w:instrText xml:space="preserve"> HYPERLINK "http://220.187.225.202:8088/TPBidder-ztk/memberLogin。" </w:instrText>
      </w:r>
      <w:r>
        <w:rPr>
          <w:rFonts w:hint="eastAsia" w:ascii="宋体" w:hAnsi="宋体"/>
          <w:i w:val="0"/>
          <w:iCs w:val="0"/>
          <w:color w:val="auto"/>
          <w:highlight w:val="none"/>
          <w:u w:val="single"/>
        </w:rPr>
        <w:fldChar w:fldCharType="separate"/>
      </w:r>
      <w:r>
        <w:rPr>
          <w:rStyle w:val="26"/>
          <w:rFonts w:hint="eastAsia" w:ascii="宋体" w:hAnsi="宋体"/>
          <w:i w:val="0"/>
          <w:iCs w:val="0"/>
          <w:color w:val="auto"/>
          <w:highlight w:val="none"/>
        </w:rPr>
        <w:t>http://220.187.225.202:8088/TPBidder-ztk/memberLogin。</w:t>
      </w:r>
      <w:r>
        <w:rPr>
          <w:rFonts w:hint="eastAsia" w:ascii="宋体" w:hAnsi="宋体"/>
          <w:i w:val="0"/>
          <w:iCs w:val="0"/>
          <w:color w:val="auto"/>
          <w:highlight w:val="none"/>
          <w:u w:val="single"/>
        </w:rPr>
        <w:fldChar w:fldCharType="end"/>
      </w:r>
    </w:p>
    <w:p w14:paraId="5D7CA2AC">
      <w:pPr>
        <w:rPr>
          <w:rFonts w:hint="eastAsia" w:ascii="宋体" w:hAnsi="宋体"/>
          <w:b/>
          <w:i w:val="0"/>
          <w:iCs w:val="0"/>
          <w:color w:val="auto"/>
          <w:highlight w:val="none"/>
        </w:rPr>
      </w:pPr>
      <w:r>
        <w:rPr>
          <w:rFonts w:hint="eastAsia" w:ascii="宋体" w:hAnsi="宋体"/>
          <w:b/>
          <w:i w:val="0"/>
          <w:iCs w:val="0"/>
          <w:color w:val="auto"/>
          <w:highlight w:val="none"/>
        </w:rPr>
        <w:t>7.发布公告的媒介：</w:t>
      </w:r>
    </w:p>
    <w:p w14:paraId="18A45E37">
      <w:pPr>
        <w:rPr>
          <w:rFonts w:hint="eastAsia" w:ascii="宋体" w:hAnsi="宋体" w:eastAsia="宋体"/>
          <w:bCs/>
          <w:i w:val="0"/>
          <w:iCs w:val="0"/>
          <w:color w:val="auto"/>
          <w:highlight w:val="none"/>
          <w:lang w:eastAsia="zh-CN"/>
        </w:rPr>
      </w:pPr>
      <w:r>
        <w:rPr>
          <w:rFonts w:hint="eastAsia" w:ascii="宋体" w:hAnsi="宋体"/>
          <w:b w:val="0"/>
          <w:bCs/>
          <w:i w:val="0"/>
          <w:iCs w:val="0"/>
          <w:color w:val="auto"/>
          <w:highlight w:val="none"/>
        </w:rPr>
        <w:t>本次招标公告同时在</w:t>
      </w:r>
      <w:r>
        <w:rPr>
          <w:rFonts w:hint="eastAsia" w:ascii="宋体" w:hAnsi="宋体"/>
          <w:b w:val="0"/>
          <w:bCs/>
          <w:i w:val="0"/>
          <w:iCs w:val="0"/>
          <w:color w:val="auto"/>
          <w:highlight w:val="none"/>
          <w:u w:val="single"/>
        </w:rPr>
        <w:t>浙江省公共资源交易服务平台、绍兴市公共资源交易网</w:t>
      </w:r>
      <w:r>
        <w:rPr>
          <w:rFonts w:hint="eastAsia" w:ascii="宋体" w:hAnsi="宋体"/>
          <w:b w:val="0"/>
          <w:bCs/>
          <w:i w:val="0"/>
          <w:iCs w:val="0"/>
          <w:color w:val="auto"/>
          <w:highlight w:val="none"/>
        </w:rPr>
        <w:t>上发布</w:t>
      </w:r>
      <w:r>
        <w:rPr>
          <w:rFonts w:hint="eastAsia" w:ascii="宋体" w:hAnsi="宋体"/>
          <w:b w:val="0"/>
          <w:bCs/>
          <w:i w:val="0"/>
          <w:iCs w:val="0"/>
          <w:color w:val="auto"/>
          <w:highlight w:val="none"/>
          <w:lang w:eastAsia="zh-CN"/>
        </w:rPr>
        <w:t>。</w:t>
      </w:r>
    </w:p>
    <w:p w14:paraId="4FE805DB">
      <w:pPr>
        <w:rPr>
          <w:rFonts w:hint="eastAsia" w:ascii="宋体" w:hAnsi="宋体"/>
          <w:i w:val="0"/>
          <w:iCs w:val="0"/>
          <w:color w:val="auto"/>
          <w:highlight w:val="none"/>
        </w:rPr>
      </w:pPr>
      <w:r>
        <w:rPr>
          <w:rFonts w:hint="eastAsia" w:ascii="宋体" w:hAnsi="宋体"/>
          <w:b/>
          <w:i w:val="0"/>
          <w:iCs w:val="0"/>
          <w:color w:val="auto"/>
          <w:highlight w:val="none"/>
          <w:lang w:val="en-US" w:eastAsia="zh-CN"/>
        </w:rPr>
        <w:t>8</w:t>
      </w:r>
      <w:r>
        <w:rPr>
          <w:rFonts w:hint="eastAsia" w:ascii="宋体" w:hAnsi="宋体"/>
          <w:b/>
          <w:i w:val="0"/>
          <w:iCs w:val="0"/>
          <w:color w:val="auto"/>
          <w:highlight w:val="none"/>
        </w:rPr>
        <w:t>.监管机构：绍兴市住房和城乡建设局</w:t>
      </w:r>
    </w:p>
    <w:p w14:paraId="53DA4FED">
      <w:pPr>
        <w:rPr>
          <w:rFonts w:ascii="宋体" w:hAnsi="宋体"/>
          <w:b/>
          <w:i w:val="0"/>
          <w:iCs w:val="0"/>
          <w:color w:val="auto"/>
          <w:highlight w:val="none"/>
        </w:rPr>
      </w:pPr>
      <w:r>
        <w:rPr>
          <w:rFonts w:hint="eastAsia" w:ascii="宋体" w:hAnsi="宋体"/>
          <w:b/>
          <w:i w:val="0"/>
          <w:iCs w:val="0"/>
          <w:color w:val="auto"/>
          <w:highlight w:val="none"/>
          <w:lang w:val="en-US" w:eastAsia="zh-CN"/>
        </w:rPr>
        <w:t>9</w:t>
      </w:r>
      <w:r>
        <w:rPr>
          <w:rFonts w:hint="eastAsia" w:ascii="宋体" w:hAnsi="宋体"/>
          <w:b/>
          <w:i w:val="0"/>
          <w:iCs w:val="0"/>
          <w:color w:val="auto"/>
          <w:highlight w:val="none"/>
        </w:rPr>
        <w:t>.联系方式</w:t>
      </w:r>
      <w:bookmarkEnd w:id="71"/>
    </w:p>
    <w:p w14:paraId="7399AA70">
      <w:pPr>
        <w:pStyle w:val="9"/>
        <w:kinsoku w:val="0"/>
        <w:spacing w:before="0" w:beforeAutospacing="0" w:after="0" w:afterAutospacing="0"/>
        <w:ind w:left="0" w:leftChars="0" w:firstLine="0" w:firstLineChars="0"/>
        <w:jc w:val="both"/>
        <w:rPr>
          <w:i w:val="0"/>
          <w:iCs w:val="0"/>
          <w:color w:val="auto"/>
          <w:sz w:val="21"/>
          <w:szCs w:val="21"/>
          <w:highlight w:val="none"/>
        </w:rPr>
      </w:pPr>
      <w:bookmarkStart w:id="72" w:name="_Toc45697228"/>
      <w:bookmarkEnd w:id="72"/>
      <w:bookmarkStart w:id="73" w:name="bookmark10"/>
      <w:bookmarkEnd w:id="73"/>
      <w:r>
        <w:rPr>
          <w:rFonts w:hint="eastAsia" w:ascii="宋体" w:hAnsi="宋体"/>
          <w:i w:val="0"/>
          <w:iCs w:val="0"/>
          <w:color w:val="auto"/>
          <w:highlight w:val="none"/>
        </w:rPr>
        <w:t>招标人：</w:t>
      </w:r>
      <w:r>
        <w:rPr>
          <w:rFonts w:hint="eastAsia" w:ascii="宋体" w:hAnsi="宋体" w:eastAsia="宋体" w:cs="宋体"/>
          <w:i w:val="0"/>
          <w:iCs w:val="0"/>
          <w:color w:val="auto"/>
          <w:w w:val="85"/>
          <w:highlight w:val="none"/>
          <w:u w:val="single"/>
          <w:lang w:eastAsia="zh-CN"/>
        </w:rPr>
        <w:t>绍兴市镜湖科技城开发服务有限公司</w:t>
      </w:r>
      <w:r>
        <w:rPr>
          <w:rFonts w:hint="eastAsia" w:ascii="宋体" w:hAnsi="宋体"/>
          <w:i w:val="0"/>
          <w:iCs w:val="0"/>
          <w:color w:val="auto"/>
          <w:highlight w:val="none"/>
        </w:rPr>
        <w:t>招标代理机构：</w:t>
      </w:r>
      <w:r>
        <w:rPr>
          <w:rFonts w:hint="eastAsia" w:ascii="宋体" w:hAnsi="宋体" w:eastAsia="宋体" w:cs="宋体"/>
          <w:i w:val="0"/>
          <w:iCs w:val="0"/>
          <w:color w:val="auto"/>
          <w:w w:val="85"/>
          <w:sz w:val="24"/>
          <w:szCs w:val="24"/>
          <w:highlight w:val="none"/>
          <w:u w:val="single"/>
          <w:lang w:eastAsia="zh-CN"/>
        </w:rPr>
        <w:t>浙江越锋项目管理有限公司</w:t>
      </w:r>
      <w:r>
        <w:rPr>
          <w:rFonts w:hint="eastAsia"/>
          <w:i w:val="0"/>
          <w:iCs w:val="0"/>
          <w:color w:val="auto"/>
          <w:sz w:val="21"/>
          <w:szCs w:val="21"/>
          <w:highlight w:val="none"/>
          <w:u w:val="single"/>
        </w:rPr>
        <w:t xml:space="preserve">  </w:t>
      </w:r>
    </w:p>
    <w:p w14:paraId="765A7A5E">
      <w:pPr>
        <w:pStyle w:val="9"/>
        <w:kinsoku w:val="0"/>
        <w:spacing w:before="0" w:beforeAutospacing="0" w:after="0" w:afterAutospacing="0"/>
        <w:ind w:left="0" w:leftChars="0" w:firstLine="0" w:firstLineChars="0"/>
        <w:jc w:val="both"/>
        <w:rPr>
          <w:rFonts w:hint="default" w:ascii="Times New Roman" w:hAnsi="Times New Roman" w:eastAsia="宋体" w:cs="Times New Roman"/>
          <w:i w:val="0"/>
          <w:iCs w:val="0"/>
          <w:color w:val="auto"/>
          <w:w w:val="66"/>
          <w:highlight w:val="none"/>
          <w:u w:val="single"/>
          <w:lang w:val="en-US" w:eastAsia="zh-CN"/>
        </w:rPr>
      </w:pPr>
      <w:r>
        <w:rPr>
          <w:rFonts w:hint="eastAsia" w:ascii="宋体" w:hAnsi="宋体"/>
          <w:i w:val="0"/>
          <w:iCs w:val="0"/>
          <w:color w:val="auto"/>
          <w:highlight w:val="none"/>
        </w:rPr>
        <w:t>地</w:t>
      </w:r>
      <w:r>
        <w:rPr>
          <w:rFonts w:hint="eastAsia" w:ascii="宋体" w:hAnsi="宋体"/>
          <w:i w:val="0"/>
          <w:iCs w:val="0"/>
          <w:color w:val="auto"/>
          <w:highlight w:val="none"/>
          <w:lang w:val="en-US" w:eastAsia="zh-CN"/>
        </w:rPr>
        <w:t xml:space="preserve"> </w:t>
      </w:r>
      <w:r>
        <w:rPr>
          <w:rFonts w:hint="eastAsia" w:ascii="宋体" w:hAnsi="宋体"/>
          <w:i w:val="0"/>
          <w:iCs w:val="0"/>
          <w:color w:val="auto"/>
          <w:highlight w:val="none"/>
        </w:rPr>
        <w:t>址：</w:t>
      </w:r>
      <w:r>
        <w:rPr>
          <w:rFonts w:hint="eastAsia" w:ascii="Times New Roman" w:hAnsi="Times New Roman" w:eastAsia="宋体" w:cs="Times New Roman"/>
          <w:i w:val="0"/>
          <w:iCs w:val="0"/>
          <w:color w:val="auto"/>
          <w:w w:val="66"/>
          <w:highlight w:val="none"/>
          <w:u w:val="single"/>
          <w:lang w:eastAsia="zh-CN"/>
        </w:rPr>
        <w:t>绍兴市凤林西路155号</w:t>
      </w:r>
      <w:r>
        <w:rPr>
          <w:rFonts w:hint="eastAsia"/>
          <w:i w:val="0"/>
          <w:iCs w:val="0"/>
          <w:color w:val="auto"/>
          <w:highlight w:val="none"/>
          <w:u w:val="single"/>
          <w:lang w:val="en-US" w:eastAsia="zh-CN"/>
        </w:rPr>
        <w:t xml:space="preserve">               </w:t>
      </w:r>
      <w:r>
        <w:rPr>
          <w:rFonts w:hint="eastAsia" w:ascii="宋体" w:hAnsi="宋体"/>
          <w:i w:val="0"/>
          <w:iCs w:val="0"/>
          <w:color w:val="auto"/>
          <w:highlight w:val="none"/>
        </w:rPr>
        <w:t>地址：</w:t>
      </w:r>
      <w:r>
        <w:rPr>
          <w:rFonts w:hint="eastAsia" w:ascii="宋体" w:hAnsi="宋体" w:eastAsia="宋体" w:cs="宋体"/>
          <w:i w:val="0"/>
          <w:iCs w:val="0"/>
          <w:color w:val="auto"/>
          <w:w w:val="85"/>
          <w:sz w:val="24"/>
          <w:szCs w:val="24"/>
          <w:highlight w:val="none"/>
          <w:u w:val="single"/>
          <w:lang w:eastAsia="zh-CN"/>
        </w:rPr>
        <w:t>绍兴市柯桥区湖西路</w:t>
      </w:r>
      <w:r>
        <w:rPr>
          <w:rFonts w:hint="eastAsia" w:ascii="宋体" w:hAnsi="宋体" w:eastAsia="宋体" w:cs="宋体"/>
          <w:i w:val="0"/>
          <w:iCs w:val="0"/>
          <w:color w:val="auto"/>
          <w:w w:val="85"/>
          <w:sz w:val="24"/>
          <w:szCs w:val="24"/>
          <w:highlight w:val="none"/>
          <w:u w:val="single"/>
          <w:lang w:val="en-US" w:eastAsia="zh-CN"/>
        </w:rPr>
        <w:t>1176号</w:t>
      </w:r>
    </w:p>
    <w:p w14:paraId="0187E817">
      <w:pPr>
        <w:pStyle w:val="9"/>
        <w:kinsoku w:val="0"/>
        <w:spacing w:before="0" w:beforeAutospacing="0" w:after="0" w:afterAutospacing="0"/>
        <w:ind w:left="0" w:leftChars="0" w:firstLine="0" w:firstLineChars="0"/>
        <w:jc w:val="both"/>
        <w:rPr>
          <w:i w:val="0"/>
          <w:iCs w:val="0"/>
          <w:color w:val="auto"/>
          <w:highlight w:val="none"/>
          <w:u w:val="single"/>
        </w:rPr>
      </w:pPr>
      <w:r>
        <w:rPr>
          <w:rFonts w:hint="eastAsia" w:ascii="宋体" w:hAnsi="宋体"/>
          <w:i w:val="0"/>
          <w:iCs w:val="0"/>
          <w:color w:val="auto"/>
          <w:highlight w:val="none"/>
        </w:rPr>
        <w:t>联系人：</w:t>
      </w:r>
      <w:r>
        <w:rPr>
          <w:i w:val="0"/>
          <w:iCs w:val="0"/>
          <w:color w:val="auto"/>
          <w:highlight w:val="none"/>
          <w:u w:val="single"/>
        </w:rPr>
        <w:tab/>
      </w:r>
      <w:r>
        <w:rPr>
          <w:rFonts w:hint="eastAsia"/>
          <w:i w:val="0"/>
          <w:iCs w:val="0"/>
          <w:color w:val="auto"/>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张海坤  </w:t>
      </w:r>
      <w:r>
        <w:rPr>
          <w:rFonts w:hint="eastAsia" w:ascii="宋体" w:hAnsi="宋体" w:eastAsia="宋体" w:cs="宋体"/>
          <w:i w:val="0"/>
          <w:iCs w:val="0"/>
          <w:color w:val="auto"/>
          <w:sz w:val="24"/>
          <w:szCs w:val="24"/>
          <w:highlight w:val="none"/>
          <w:u w:val="single"/>
        </w:rPr>
        <w:t xml:space="preserve"> </w:t>
      </w:r>
      <w:r>
        <w:rPr>
          <w:rFonts w:hint="eastAsia"/>
          <w:i w:val="0"/>
          <w:iCs w:val="0"/>
          <w:color w:val="auto"/>
          <w:highlight w:val="none"/>
          <w:u w:val="single"/>
        </w:rPr>
        <w:t xml:space="preserve">           </w:t>
      </w:r>
      <w:r>
        <w:rPr>
          <w:rFonts w:hint="eastAsia" w:ascii="宋体" w:hAnsi="宋体"/>
          <w:i w:val="0"/>
          <w:iCs w:val="0"/>
          <w:color w:val="auto"/>
          <w:highlight w:val="none"/>
        </w:rPr>
        <w:t>联   系   人：</w:t>
      </w:r>
      <w:r>
        <w:rPr>
          <w:rFonts w:hint="eastAsia" w:ascii="宋体" w:hAnsi="宋体"/>
          <w:i w:val="0"/>
          <w:iCs w:val="0"/>
          <w:color w:val="auto"/>
          <w:highlight w:val="none"/>
          <w:u w:val="single"/>
          <w:lang w:eastAsia="zh-CN"/>
        </w:rPr>
        <w:t>金国祥</w:t>
      </w:r>
      <w:r>
        <w:rPr>
          <w:rFonts w:hint="eastAsia"/>
          <w:i w:val="0"/>
          <w:iCs w:val="0"/>
          <w:color w:val="auto"/>
          <w:highlight w:val="none"/>
          <w:u w:val="single"/>
        </w:rPr>
        <w:t xml:space="preserve">             </w:t>
      </w:r>
    </w:p>
    <w:p w14:paraId="19F1A838">
      <w:pPr>
        <w:pStyle w:val="9"/>
        <w:kinsoku w:val="0"/>
        <w:spacing w:before="0" w:beforeAutospacing="0" w:after="0" w:afterAutospacing="0"/>
        <w:ind w:left="0" w:leftChars="0" w:firstLine="0" w:firstLineChars="0"/>
        <w:jc w:val="both"/>
        <w:rPr>
          <w:rFonts w:hint="default"/>
          <w:i w:val="0"/>
          <w:iCs w:val="0"/>
          <w:color w:val="auto"/>
          <w:highlight w:val="none"/>
          <w:u w:val="single"/>
          <w:lang w:val="en-US"/>
        </w:rPr>
      </w:pPr>
      <w:r>
        <w:rPr>
          <w:rFonts w:hint="eastAsia" w:ascii="宋体" w:hAnsi="宋体"/>
          <w:i w:val="0"/>
          <w:iCs w:val="0"/>
          <w:color w:val="auto"/>
          <w:highlight w:val="none"/>
        </w:rPr>
        <w:t>电  话：</w:t>
      </w:r>
      <w:r>
        <w:rPr>
          <w:i w:val="0"/>
          <w:iCs w:val="0"/>
          <w:color w:val="auto"/>
          <w:highlight w:val="none"/>
          <w:u w:val="single"/>
        </w:rPr>
        <w:tab/>
      </w:r>
      <w:r>
        <w:rPr>
          <w:rFonts w:hint="eastAsia"/>
          <w:i w:val="0"/>
          <w:iCs w:val="0"/>
          <w:color w:val="auto"/>
          <w:highlight w:val="none"/>
          <w:u w:val="single"/>
        </w:rPr>
        <w:t xml:space="preserve">   </w:t>
      </w:r>
      <w:r>
        <w:rPr>
          <w:rFonts w:hint="eastAsia" w:ascii="宋体" w:hAnsi="宋体" w:eastAsia="宋体" w:cs="宋体"/>
          <w:i w:val="0"/>
          <w:iCs w:val="0"/>
          <w:color w:val="auto"/>
          <w:sz w:val="24"/>
          <w:szCs w:val="24"/>
          <w:highlight w:val="none"/>
          <w:u w:val="single"/>
          <w:lang w:val="en-US" w:eastAsia="zh-CN"/>
        </w:rPr>
        <w:t>0575-88127398</w:t>
      </w:r>
      <w:r>
        <w:rPr>
          <w:rFonts w:hint="eastAsia"/>
          <w:i w:val="0"/>
          <w:iCs w:val="0"/>
          <w:color w:val="auto"/>
          <w:highlight w:val="none"/>
          <w:u w:val="single"/>
        </w:rPr>
        <w:t xml:space="preserve">     </w:t>
      </w:r>
      <w:r>
        <w:rPr>
          <w:rFonts w:hint="eastAsia"/>
          <w:i w:val="0"/>
          <w:iCs w:val="0"/>
          <w:color w:val="auto"/>
          <w:highlight w:val="none"/>
          <w:u w:val="single"/>
          <w:lang w:val="en-US" w:eastAsia="zh-CN"/>
        </w:rPr>
        <w:t xml:space="preserve">  </w:t>
      </w:r>
      <w:r>
        <w:rPr>
          <w:rFonts w:hint="eastAsia"/>
          <w:i w:val="0"/>
          <w:iCs w:val="0"/>
          <w:color w:val="auto"/>
          <w:highlight w:val="none"/>
          <w:u w:val="single"/>
        </w:rPr>
        <w:t xml:space="preserve"> </w:t>
      </w:r>
      <w:r>
        <w:rPr>
          <w:rFonts w:hint="eastAsia" w:ascii="宋体" w:hAnsi="宋体"/>
          <w:i w:val="0"/>
          <w:iCs w:val="0"/>
          <w:color w:val="auto"/>
          <w:highlight w:val="none"/>
        </w:rPr>
        <w:t>电        话：</w:t>
      </w:r>
      <w:r>
        <w:rPr>
          <w:rFonts w:hint="eastAsia" w:ascii="宋体" w:hAnsi="宋体" w:eastAsia="宋体" w:cs="宋体"/>
          <w:i w:val="0"/>
          <w:iCs w:val="0"/>
          <w:color w:val="auto"/>
          <w:sz w:val="24"/>
          <w:szCs w:val="24"/>
          <w:highlight w:val="none"/>
          <w:u w:val="single"/>
          <w:lang w:val="en-US" w:eastAsia="zh-CN"/>
        </w:rPr>
        <w:t xml:space="preserve">13675755431          </w:t>
      </w:r>
    </w:p>
    <w:p w14:paraId="42AA712B">
      <w:pPr>
        <w:pStyle w:val="9"/>
        <w:kinsoku w:val="0"/>
        <w:spacing w:before="0" w:beforeAutospacing="0" w:after="0" w:afterAutospacing="0"/>
        <w:ind w:left="0" w:leftChars="0" w:firstLine="0" w:firstLineChars="0"/>
        <w:jc w:val="both"/>
        <w:rPr>
          <w:i w:val="0"/>
          <w:iCs w:val="0"/>
          <w:color w:val="auto"/>
          <w:highlight w:val="none"/>
        </w:rPr>
      </w:pPr>
      <w:r>
        <w:rPr>
          <w:rFonts w:hint="eastAsia" w:ascii="宋体" w:hAnsi="宋体"/>
          <w:i w:val="0"/>
          <w:iCs w:val="0"/>
          <w:color w:val="auto"/>
          <w:highlight w:val="none"/>
        </w:rPr>
        <w:t>邮  箱：</w:t>
      </w:r>
      <w:r>
        <w:rPr>
          <w:i w:val="0"/>
          <w:iCs w:val="0"/>
          <w:color w:val="auto"/>
          <w:highlight w:val="none"/>
          <w:u w:val="single"/>
        </w:rPr>
        <w:tab/>
      </w:r>
      <w:r>
        <w:rPr>
          <w:rFonts w:hint="eastAsia"/>
          <w:i w:val="0"/>
          <w:iCs w:val="0"/>
          <w:color w:val="auto"/>
          <w:highlight w:val="none"/>
          <w:u w:val="single"/>
        </w:rPr>
        <w:t xml:space="preserve">     </w:t>
      </w:r>
      <w:r>
        <w:rPr>
          <w:rFonts w:hint="eastAsia"/>
          <w:i w:val="0"/>
          <w:iCs w:val="0"/>
          <w:color w:val="auto"/>
          <w:highlight w:val="none"/>
          <w:u w:val="single"/>
          <w:lang w:val="en-US" w:eastAsia="zh-CN"/>
        </w:rPr>
        <w:t xml:space="preserve">/          </w:t>
      </w:r>
      <w:r>
        <w:rPr>
          <w:rFonts w:hint="eastAsia"/>
          <w:i w:val="0"/>
          <w:iCs w:val="0"/>
          <w:color w:val="auto"/>
          <w:highlight w:val="none"/>
          <w:u w:val="single"/>
        </w:rPr>
        <w:t xml:space="preserve">      </w:t>
      </w:r>
      <w:r>
        <w:rPr>
          <w:rFonts w:hint="eastAsia"/>
          <w:i w:val="0"/>
          <w:iCs w:val="0"/>
          <w:color w:val="auto"/>
          <w:highlight w:val="none"/>
          <w:u w:val="single"/>
          <w:lang w:val="en-US" w:eastAsia="zh-CN"/>
        </w:rPr>
        <w:t xml:space="preserve"> </w:t>
      </w:r>
      <w:r>
        <w:rPr>
          <w:rFonts w:hint="eastAsia"/>
          <w:i w:val="0"/>
          <w:iCs w:val="0"/>
          <w:color w:val="auto"/>
          <w:highlight w:val="none"/>
          <w:u w:val="single"/>
        </w:rPr>
        <w:t xml:space="preserve"> </w:t>
      </w:r>
      <w:r>
        <w:rPr>
          <w:rFonts w:hint="eastAsia" w:ascii="宋体" w:hAnsi="宋体"/>
          <w:i w:val="0"/>
          <w:iCs w:val="0"/>
          <w:color w:val="auto"/>
          <w:highlight w:val="none"/>
        </w:rPr>
        <w:t>邮        箱：</w:t>
      </w:r>
      <w:r>
        <w:rPr>
          <w:rFonts w:hint="eastAsia" w:ascii="宋体" w:hAnsi="宋体" w:eastAsia="宋体" w:cs="宋体"/>
          <w:i w:val="0"/>
          <w:iCs w:val="0"/>
          <w:color w:val="auto"/>
          <w:sz w:val="24"/>
          <w:szCs w:val="24"/>
          <w:highlight w:val="none"/>
          <w:u w:val="single"/>
          <w:lang w:val="en-US" w:eastAsia="zh-CN"/>
        </w:rPr>
        <w:t xml:space="preserve">179826843@qq.com </w:t>
      </w:r>
      <w:r>
        <w:rPr>
          <w:rFonts w:hint="eastAsia"/>
          <w:i w:val="0"/>
          <w:iCs w:val="0"/>
          <w:color w:val="auto"/>
          <w:highlight w:val="none"/>
          <w:u w:val="single"/>
        </w:rPr>
        <w:t xml:space="preserve">     </w:t>
      </w:r>
    </w:p>
    <w:p w14:paraId="6FC59686">
      <w:pPr>
        <w:pStyle w:val="9"/>
        <w:kinsoku w:val="0"/>
        <w:spacing w:before="0" w:beforeAutospacing="0" w:after="0" w:afterAutospacing="0"/>
        <w:ind w:left="0" w:leftChars="0" w:firstLine="0" w:firstLineChars="0"/>
        <w:jc w:val="both"/>
        <w:rPr>
          <w:i w:val="0"/>
          <w:iCs w:val="0"/>
          <w:color w:val="auto"/>
          <w:highlight w:val="none"/>
        </w:rPr>
      </w:pPr>
    </w:p>
    <w:p w14:paraId="55A0B6F5">
      <w:pPr>
        <w:pStyle w:val="9"/>
        <w:kinsoku w:val="0"/>
        <w:spacing w:line="360" w:lineRule="auto"/>
        <w:ind w:left="0" w:right="905" w:firstLine="5400" w:firstLineChars="2250"/>
        <w:jc w:val="both"/>
        <w:rPr>
          <w:i w:val="0"/>
          <w:iCs w:val="0"/>
          <w:color w:val="auto"/>
          <w:highlight w:val="none"/>
        </w:rPr>
      </w:pPr>
      <w:r>
        <w:rPr>
          <w:rFonts w:hint="eastAsia" w:ascii="宋体" w:hAnsi="宋体"/>
          <w:i w:val="0"/>
          <w:iCs w:val="0"/>
          <w:color w:val="auto"/>
          <w:highlight w:val="none"/>
          <w:lang w:val="en-US" w:eastAsia="zh-CN"/>
        </w:rPr>
        <w:t>2026</w:t>
      </w:r>
      <w:r>
        <w:rPr>
          <w:rFonts w:hint="eastAsia" w:ascii="宋体" w:hAnsi="宋体"/>
          <w:i w:val="0"/>
          <w:iCs w:val="0"/>
          <w:color w:val="auto"/>
          <w:highlight w:val="none"/>
        </w:rPr>
        <w:t>年</w:t>
      </w:r>
      <w:r>
        <w:rPr>
          <w:rFonts w:hint="eastAsia" w:ascii="宋体" w:hAnsi="宋体"/>
          <w:i w:val="0"/>
          <w:iCs w:val="0"/>
          <w:color w:val="auto"/>
          <w:highlight w:val="none"/>
          <w:lang w:val="en-US" w:eastAsia="zh-CN"/>
        </w:rPr>
        <w:t>3</w:t>
      </w:r>
      <w:r>
        <w:rPr>
          <w:rFonts w:hint="eastAsia" w:ascii="宋体" w:hAnsi="宋体"/>
          <w:i w:val="0"/>
          <w:iCs w:val="0"/>
          <w:color w:val="auto"/>
          <w:spacing w:val="-3"/>
          <w:highlight w:val="none"/>
        </w:rPr>
        <w:t>月</w:t>
      </w:r>
      <w:r>
        <w:rPr>
          <w:rFonts w:hint="eastAsia" w:ascii="宋体" w:hAnsi="宋体"/>
          <w:i w:val="0"/>
          <w:iCs w:val="0"/>
          <w:color w:val="auto"/>
          <w:spacing w:val="-3"/>
          <w:highlight w:val="none"/>
          <w:lang w:val="en-US" w:eastAsia="zh-CN"/>
        </w:rPr>
        <w:t>27</w:t>
      </w:r>
      <w:r>
        <w:rPr>
          <w:rFonts w:hint="eastAsia" w:ascii="宋体" w:hAnsi="宋体"/>
          <w:i w:val="0"/>
          <w:iCs w:val="0"/>
          <w:color w:val="auto"/>
          <w:highlight w:val="none"/>
        </w:rPr>
        <w:t>日</w:t>
      </w:r>
    </w:p>
    <w:p w14:paraId="58DD2BB8">
      <w:pPr>
        <w:rPr>
          <w:rFonts w:eastAsia="黑体"/>
          <w:bCs/>
          <w:i w:val="0"/>
          <w:iCs w:val="0"/>
          <w:color w:val="auto"/>
          <w:kern w:val="44"/>
          <w:sz w:val="44"/>
          <w:szCs w:val="44"/>
          <w:highlight w:val="none"/>
        </w:rPr>
        <w:sectPr>
          <w:pgSz w:w="11907" w:h="16839"/>
          <w:pgMar w:top="1191" w:right="1588" w:bottom="1191" w:left="1588" w:header="0" w:footer="919" w:gutter="0"/>
          <w:cols w:space="720" w:num="1"/>
        </w:sectPr>
      </w:pPr>
    </w:p>
    <w:p w14:paraId="0E307B9D">
      <w:pPr>
        <w:pStyle w:val="2"/>
        <w:rPr>
          <w:b/>
          <w:i w:val="0"/>
          <w:iCs w:val="0"/>
          <w:color w:val="auto"/>
          <w:highlight w:val="none"/>
        </w:rPr>
      </w:pPr>
      <w:bookmarkStart w:id="74" w:name="bookmark20"/>
      <w:bookmarkEnd w:id="74"/>
      <w:bookmarkStart w:id="75" w:name="_Toc67589033"/>
      <w:bookmarkEnd w:id="75"/>
      <w:bookmarkStart w:id="76" w:name="_Toc22828066"/>
      <w:bookmarkEnd w:id="76"/>
      <w:bookmarkStart w:id="77" w:name="_Toc1035"/>
      <w:bookmarkEnd w:id="77"/>
      <w:bookmarkStart w:id="78" w:name="_Toc45697229"/>
      <w:bookmarkStart w:id="79" w:name="_Toc6999"/>
      <w:r>
        <w:rPr>
          <w:rFonts w:hint="eastAsia" w:ascii="黑体" w:hAnsi="黑体"/>
          <w:b/>
          <w:i w:val="0"/>
          <w:iCs w:val="0"/>
          <w:color w:val="auto"/>
          <w:highlight w:val="none"/>
        </w:rPr>
        <w:br w:type="page"/>
      </w:r>
      <w:r>
        <w:rPr>
          <w:rFonts w:hint="eastAsia" w:ascii="黑体" w:hAnsi="黑体"/>
          <w:b/>
          <w:i w:val="0"/>
          <w:iCs w:val="0"/>
          <w:color w:val="auto"/>
          <w:highlight w:val="none"/>
        </w:rPr>
        <w:t>第二章 投标人须知</w:t>
      </w:r>
      <w:bookmarkEnd w:id="78"/>
      <w:bookmarkEnd w:id="79"/>
    </w:p>
    <w:p w14:paraId="7E3EFB72">
      <w:pPr>
        <w:jc w:val="center"/>
        <w:rPr>
          <w:b/>
          <w:i w:val="0"/>
          <w:iCs w:val="0"/>
          <w:color w:val="auto"/>
          <w:sz w:val="32"/>
          <w:szCs w:val="32"/>
          <w:highlight w:val="none"/>
        </w:rPr>
      </w:pPr>
      <w:bookmarkStart w:id="80" w:name="_Toc17203"/>
      <w:bookmarkEnd w:id="80"/>
      <w:bookmarkStart w:id="81" w:name="_Toc45697230"/>
      <w:bookmarkEnd w:id="81"/>
      <w:bookmarkStart w:id="82" w:name="bookmark21"/>
      <w:bookmarkEnd w:id="82"/>
      <w:bookmarkStart w:id="83" w:name="_Toc22828067"/>
      <w:r>
        <w:rPr>
          <w:rFonts w:hint="eastAsia" w:ascii="宋体" w:hAnsi="宋体"/>
          <w:b/>
          <w:i w:val="0"/>
          <w:iCs w:val="0"/>
          <w:color w:val="auto"/>
          <w:sz w:val="32"/>
          <w:szCs w:val="32"/>
          <w:highlight w:val="none"/>
        </w:rPr>
        <w:t>投标人须知前附表</w:t>
      </w:r>
      <w:bookmarkEnd w:id="83"/>
    </w:p>
    <w:p w14:paraId="0C1B81B0">
      <w:pPr>
        <w:pStyle w:val="9"/>
        <w:kinsoku w:val="0"/>
        <w:spacing w:before="12" w:beforeAutospacing="0"/>
        <w:ind w:left="0"/>
        <w:rPr>
          <w:rFonts w:ascii="Microsoft JhengHei" w:eastAsia="Microsoft JhengHei"/>
          <w:b/>
          <w:bCs/>
          <w:i w:val="0"/>
          <w:iCs w:val="0"/>
          <w:color w:val="auto"/>
          <w:sz w:val="12"/>
          <w:szCs w:val="12"/>
          <w:highlight w:val="none"/>
        </w:rPr>
      </w:pPr>
    </w:p>
    <w:tbl>
      <w:tblPr>
        <w:tblStyle w:val="21"/>
        <w:tblW w:w="9156" w:type="dxa"/>
        <w:tblInd w:w="8" w:type="dxa"/>
        <w:tblLayout w:type="fixed"/>
        <w:tblCellMar>
          <w:top w:w="0" w:type="dxa"/>
          <w:left w:w="57" w:type="dxa"/>
          <w:bottom w:w="0" w:type="dxa"/>
          <w:right w:w="57" w:type="dxa"/>
        </w:tblCellMar>
      </w:tblPr>
      <w:tblGrid>
        <w:gridCol w:w="1058"/>
        <w:gridCol w:w="1826"/>
        <w:gridCol w:w="6272"/>
      </w:tblGrid>
      <w:tr w14:paraId="5FD08F00">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10CCDE8A">
            <w:pPr>
              <w:pStyle w:val="44"/>
              <w:keepNext w:val="0"/>
              <w:keepLines w:val="0"/>
              <w:suppressLineNumbers w:val="0"/>
              <w:kinsoku w:val="0"/>
              <w:spacing w:before="41" w:beforeAutospacing="0" w:after="0" w:afterAutospacing="0"/>
              <w:ind w:left="259" w:right="0"/>
              <w:rPr>
                <w:rFonts w:hint="default" w:ascii="宋体" w:hAnsi="宋体" w:cs="Times New Roman"/>
                <w:i w:val="0"/>
                <w:iCs w:val="0"/>
                <w:color w:val="auto"/>
                <w:sz w:val="21"/>
                <w:szCs w:val="21"/>
                <w:highlight w:val="none"/>
              </w:rPr>
            </w:pPr>
            <w:r>
              <w:rPr>
                <w:rFonts w:hint="eastAsia" w:ascii="宋体" w:hAnsi="宋体" w:cs="Microsoft JhengHei"/>
                <w:b/>
                <w:bCs/>
                <w:i w:val="0"/>
                <w:iCs w:val="0"/>
                <w:color w:val="auto"/>
                <w:sz w:val="21"/>
                <w:szCs w:val="21"/>
                <w:highlight w:val="none"/>
              </w:rPr>
              <w:t>条款号</w:t>
            </w:r>
          </w:p>
        </w:tc>
        <w:tc>
          <w:tcPr>
            <w:tcW w:w="1826" w:type="dxa"/>
            <w:tcBorders>
              <w:top w:val="single" w:color="000000" w:sz="4" w:space="0"/>
              <w:left w:val="nil"/>
              <w:bottom w:val="single" w:color="000000" w:sz="4" w:space="0"/>
              <w:right w:val="single" w:color="000000" w:sz="4" w:space="0"/>
            </w:tcBorders>
            <w:noWrap/>
            <w:vAlign w:val="top"/>
          </w:tcPr>
          <w:p w14:paraId="0AE2B5C8">
            <w:pPr>
              <w:pStyle w:val="44"/>
              <w:keepNext w:val="0"/>
              <w:keepLines w:val="0"/>
              <w:suppressLineNumbers w:val="0"/>
              <w:kinsoku w:val="0"/>
              <w:spacing w:before="41" w:beforeAutospacing="0" w:after="0" w:afterAutospacing="0"/>
              <w:ind w:left="0" w:right="0"/>
              <w:jc w:val="center"/>
              <w:rPr>
                <w:rFonts w:hint="default" w:ascii="宋体" w:hAnsi="宋体" w:cs="Times New Roman"/>
                <w:i w:val="0"/>
                <w:iCs w:val="0"/>
                <w:color w:val="auto"/>
                <w:sz w:val="21"/>
                <w:szCs w:val="21"/>
                <w:highlight w:val="none"/>
              </w:rPr>
            </w:pPr>
            <w:r>
              <w:rPr>
                <w:rFonts w:hint="eastAsia" w:ascii="宋体" w:hAnsi="宋体" w:cs="Microsoft JhengHei"/>
                <w:b/>
                <w:bCs/>
                <w:i w:val="0"/>
                <w:iCs w:val="0"/>
                <w:color w:val="auto"/>
                <w:sz w:val="21"/>
                <w:szCs w:val="21"/>
                <w:highlight w:val="none"/>
              </w:rPr>
              <w:t>条款名称</w:t>
            </w:r>
          </w:p>
        </w:tc>
        <w:tc>
          <w:tcPr>
            <w:tcW w:w="6272" w:type="dxa"/>
            <w:tcBorders>
              <w:top w:val="single" w:color="000000" w:sz="4" w:space="0"/>
              <w:left w:val="nil"/>
              <w:bottom w:val="single" w:color="000000" w:sz="4" w:space="0"/>
              <w:right w:val="single" w:color="000000" w:sz="4" w:space="0"/>
            </w:tcBorders>
            <w:noWrap/>
            <w:vAlign w:val="top"/>
          </w:tcPr>
          <w:p w14:paraId="455F4063">
            <w:pPr>
              <w:pStyle w:val="44"/>
              <w:keepNext w:val="0"/>
              <w:keepLines w:val="0"/>
              <w:suppressLineNumbers w:val="0"/>
              <w:kinsoku w:val="0"/>
              <w:spacing w:before="41" w:beforeAutospacing="0" w:after="0" w:afterAutospacing="0"/>
              <w:ind w:left="2" w:right="0"/>
              <w:jc w:val="center"/>
              <w:rPr>
                <w:rFonts w:hint="default" w:ascii="宋体" w:hAnsi="宋体" w:cs="Times New Roman"/>
                <w:i w:val="0"/>
                <w:iCs w:val="0"/>
                <w:color w:val="auto"/>
                <w:sz w:val="21"/>
                <w:szCs w:val="21"/>
                <w:highlight w:val="none"/>
              </w:rPr>
            </w:pPr>
            <w:r>
              <w:rPr>
                <w:rFonts w:hint="eastAsia" w:ascii="宋体" w:hAnsi="宋体" w:cs="Microsoft JhengHei"/>
                <w:b/>
                <w:bCs/>
                <w:i w:val="0"/>
                <w:iCs w:val="0"/>
                <w:color w:val="auto"/>
                <w:sz w:val="21"/>
                <w:szCs w:val="21"/>
                <w:highlight w:val="none"/>
              </w:rPr>
              <w:t>编列内容</w:t>
            </w:r>
          </w:p>
        </w:tc>
      </w:tr>
      <w:tr w14:paraId="1CE7BD1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C13BC5E">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1.1.2</w:t>
            </w:r>
          </w:p>
        </w:tc>
        <w:tc>
          <w:tcPr>
            <w:tcW w:w="1826" w:type="dxa"/>
            <w:tcBorders>
              <w:top w:val="single" w:color="000000" w:sz="4" w:space="0"/>
              <w:left w:val="nil"/>
              <w:bottom w:val="single" w:color="000000" w:sz="4" w:space="0"/>
              <w:right w:val="single" w:color="000000" w:sz="4" w:space="0"/>
            </w:tcBorders>
            <w:noWrap/>
            <w:vAlign w:val="center"/>
          </w:tcPr>
          <w:p w14:paraId="22A15326">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招标人</w:t>
            </w:r>
          </w:p>
        </w:tc>
        <w:tc>
          <w:tcPr>
            <w:tcW w:w="6272" w:type="dxa"/>
            <w:tcBorders>
              <w:top w:val="single" w:color="000000" w:sz="4" w:space="0"/>
              <w:left w:val="nil"/>
              <w:bottom w:val="single" w:color="000000" w:sz="4" w:space="0"/>
              <w:right w:val="single" w:color="000000" w:sz="4" w:space="0"/>
            </w:tcBorders>
            <w:noWrap/>
            <w:vAlign w:val="top"/>
          </w:tcPr>
          <w:p w14:paraId="48980176">
            <w:pPr>
              <w:pStyle w:val="44"/>
              <w:keepNext w:val="0"/>
              <w:keepLines w:val="0"/>
              <w:suppressLineNumbers w:val="0"/>
              <w:kinsoku w:val="0"/>
              <w:spacing w:before="0" w:beforeAutospacing="0" w:after="0" w:afterAutospacing="0"/>
              <w:ind w:left="0" w:right="0"/>
              <w:jc w:val="left"/>
              <w:rPr>
                <w:rFonts w:hint="eastAsia" w:ascii="宋体" w:hAnsi="Times New Roman" w:eastAsia="宋体" w:cs="Times New Roman"/>
                <w:i w:val="0"/>
                <w:iCs w:val="0"/>
                <w:color w:val="auto"/>
                <w:highlight w:val="none"/>
                <w:u w:val="single"/>
                <w:lang w:eastAsia="zh-CN"/>
              </w:rPr>
            </w:pPr>
            <w:r>
              <w:rPr>
                <w:rFonts w:hint="eastAsia" w:ascii="宋体" w:hAnsi="Times New Roman" w:cs="Times New Roman"/>
                <w:i w:val="0"/>
                <w:iCs w:val="0"/>
                <w:color w:val="auto"/>
                <w:highlight w:val="none"/>
              </w:rPr>
              <w:t>名称：</w:t>
            </w:r>
            <w:r>
              <w:rPr>
                <w:rFonts w:hint="eastAsia" w:ascii="宋体" w:hAnsi="Times New Roman" w:cs="Times New Roman"/>
                <w:i w:val="0"/>
                <w:iCs w:val="0"/>
                <w:color w:val="auto"/>
                <w:highlight w:val="none"/>
                <w:lang w:eastAsia="zh-CN"/>
              </w:rPr>
              <w:t>绍兴市镜湖科技城开发服务有限公司</w:t>
            </w:r>
          </w:p>
          <w:p w14:paraId="7F3D7AB1">
            <w:pPr>
              <w:pStyle w:val="44"/>
              <w:keepNext w:val="0"/>
              <w:keepLines w:val="0"/>
              <w:suppressLineNumbers w:val="0"/>
              <w:kinsoku w:val="0"/>
              <w:spacing w:before="0" w:beforeAutospacing="0" w:after="0" w:afterAutospacing="0"/>
              <w:ind w:left="0" w:right="0"/>
              <w:jc w:val="left"/>
              <w:rPr>
                <w:rFonts w:hint="eastAsia" w:ascii="宋体" w:hAnsi="Times New Roman" w:eastAsia="宋体" w:cs="Times New Roman"/>
                <w:i w:val="0"/>
                <w:iCs w:val="0"/>
                <w:color w:val="auto"/>
                <w:highlight w:val="none"/>
              </w:rPr>
            </w:pPr>
            <w:r>
              <w:rPr>
                <w:rFonts w:hint="eastAsia" w:ascii="宋体" w:hAnsi="Times New Roman" w:cs="Times New Roman"/>
                <w:i w:val="0"/>
                <w:iCs w:val="0"/>
                <w:color w:val="auto"/>
                <w:highlight w:val="none"/>
              </w:rPr>
              <w:t>地址：绍兴市越城区凤林西</w:t>
            </w:r>
            <w:r>
              <w:rPr>
                <w:rFonts w:hint="eastAsia" w:ascii="宋体" w:hAnsi="Times New Roman" w:eastAsia="宋体" w:cs="Times New Roman"/>
                <w:i w:val="0"/>
                <w:iCs w:val="0"/>
                <w:color w:val="auto"/>
                <w:highlight w:val="none"/>
              </w:rPr>
              <w:t>路155号</w:t>
            </w:r>
          </w:p>
          <w:p w14:paraId="1840339E">
            <w:pPr>
              <w:pStyle w:val="44"/>
              <w:keepNext w:val="0"/>
              <w:keepLines w:val="0"/>
              <w:suppressLineNumbers w:val="0"/>
              <w:kinsoku w:val="0"/>
              <w:spacing w:before="0" w:beforeAutospacing="0" w:after="0" w:afterAutospacing="0"/>
              <w:ind w:left="0" w:right="3293"/>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联系人：</w:t>
            </w:r>
            <w:r>
              <w:rPr>
                <w:rFonts w:hint="eastAsia" w:ascii="宋体" w:hAnsi="Times New Roman" w:cs="Times New Roman"/>
                <w:i w:val="0"/>
                <w:iCs w:val="0"/>
                <w:color w:val="auto"/>
                <w:highlight w:val="none"/>
                <w:lang w:eastAsia="zh-CN"/>
              </w:rPr>
              <w:t>张海坤</w:t>
            </w:r>
            <w:r>
              <w:rPr>
                <w:rFonts w:hint="eastAsia" w:ascii="宋体" w:hAnsi="Times New Roman" w:cs="Times New Roman"/>
                <w:i w:val="0"/>
                <w:iCs w:val="0"/>
                <w:color w:val="auto"/>
                <w:highlight w:val="none"/>
              </w:rPr>
              <w:t xml:space="preserve"> </w:t>
            </w:r>
          </w:p>
          <w:p w14:paraId="5D9F7CF1">
            <w:pPr>
              <w:pStyle w:val="44"/>
              <w:keepNext w:val="0"/>
              <w:keepLines w:val="0"/>
              <w:suppressLineNumbers w:val="0"/>
              <w:kinsoku w:val="0"/>
              <w:spacing w:before="0" w:beforeAutospacing="0" w:after="0" w:afterAutospacing="0"/>
              <w:ind w:left="0" w:right="0"/>
              <w:rPr>
                <w:rFonts w:hint="eastAsia" w:ascii="宋体" w:hAnsi="Times New Roman" w:eastAsia="宋体" w:cs="Times New Roman"/>
                <w:i w:val="0"/>
                <w:iCs w:val="0"/>
                <w:color w:val="auto"/>
                <w:highlight w:val="none"/>
                <w:lang w:eastAsia="zh-CN"/>
              </w:rPr>
            </w:pPr>
            <w:r>
              <w:rPr>
                <w:rFonts w:hint="eastAsia" w:ascii="宋体" w:hAnsi="Times New Roman" w:cs="Times New Roman"/>
                <w:i w:val="0"/>
                <w:iCs w:val="0"/>
                <w:color w:val="auto"/>
                <w:highlight w:val="none"/>
              </w:rPr>
              <w:t xml:space="preserve">电话： </w:t>
            </w:r>
            <w:r>
              <w:rPr>
                <w:rFonts w:hint="eastAsia" w:ascii="宋体" w:hAnsi="Times New Roman" w:cs="Times New Roman"/>
                <w:i w:val="0"/>
                <w:iCs w:val="0"/>
                <w:color w:val="auto"/>
                <w:highlight w:val="none"/>
                <w:lang w:eastAsia="zh-CN"/>
              </w:rPr>
              <w:t>0575-88127398</w:t>
            </w:r>
          </w:p>
          <w:p w14:paraId="138998F1">
            <w:pPr>
              <w:pStyle w:val="44"/>
              <w:keepNext w:val="0"/>
              <w:keepLines w:val="0"/>
              <w:suppressLineNumbers w:val="0"/>
              <w:kinsoku w:val="0"/>
              <w:spacing w:before="0" w:beforeAutospacing="0" w:after="0" w:afterAutospacing="0"/>
              <w:ind w:left="0" w:right="0"/>
              <w:rPr>
                <w:rFonts w:hint="eastAsia" w:ascii="Times New Roman" w:hAnsi="Times New Roman" w:eastAsia="宋体" w:cs="Times New Roman"/>
                <w:i w:val="0"/>
                <w:iCs w:val="0"/>
                <w:color w:val="auto"/>
                <w:highlight w:val="none"/>
                <w:lang w:val="en-US" w:eastAsia="zh-CN"/>
              </w:rPr>
            </w:pPr>
            <w:r>
              <w:rPr>
                <w:rFonts w:hint="eastAsia" w:ascii="Times New Roman" w:hAnsi="Times New Roman" w:cs="Times New Roman"/>
                <w:i w:val="0"/>
                <w:iCs w:val="0"/>
                <w:color w:val="auto"/>
                <w:highlight w:val="none"/>
              </w:rPr>
              <w:t>邮箱：</w:t>
            </w:r>
            <w:r>
              <w:rPr>
                <w:rFonts w:hint="eastAsia" w:ascii="Times New Roman" w:hAnsi="Times New Roman" w:cs="Times New Roman"/>
                <w:i w:val="0"/>
                <w:iCs w:val="0"/>
                <w:color w:val="auto"/>
                <w:highlight w:val="none"/>
                <w:lang w:val="en-US" w:eastAsia="zh-CN"/>
              </w:rPr>
              <w:t>/</w:t>
            </w:r>
          </w:p>
        </w:tc>
      </w:tr>
      <w:tr w14:paraId="1925048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70C851B">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1.1.3</w:t>
            </w:r>
          </w:p>
        </w:tc>
        <w:tc>
          <w:tcPr>
            <w:tcW w:w="1826" w:type="dxa"/>
            <w:tcBorders>
              <w:top w:val="single" w:color="000000" w:sz="4" w:space="0"/>
              <w:left w:val="nil"/>
              <w:bottom w:val="single" w:color="000000" w:sz="4" w:space="0"/>
              <w:right w:val="single" w:color="000000" w:sz="4" w:space="0"/>
            </w:tcBorders>
            <w:noWrap/>
            <w:vAlign w:val="center"/>
          </w:tcPr>
          <w:p w14:paraId="0BE4BFE1">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招标代理机构</w:t>
            </w:r>
          </w:p>
        </w:tc>
        <w:tc>
          <w:tcPr>
            <w:tcW w:w="6272" w:type="dxa"/>
            <w:tcBorders>
              <w:top w:val="single" w:color="000000" w:sz="4" w:space="0"/>
              <w:left w:val="nil"/>
              <w:bottom w:val="single" w:color="000000" w:sz="4" w:space="0"/>
              <w:right w:val="single" w:color="000000" w:sz="4" w:space="0"/>
            </w:tcBorders>
            <w:noWrap/>
            <w:vAlign w:val="top"/>
          </w:tcPr>
          <w:p w14:paraId="6FF67B34">
            <w:pPr>
              <w:keepNext w:val="0"/>
              <w:keepLines w:val="0"/>
              <w:suppressLineNumbers w:val="0"/>
              <w:spacing w:before="0" w:beforeAutospacing="0" w:after="0" w:afterAutospacing="0"/>
              <w:ind w:left="0" w:right="0"/>
              <w:rPr>
                <w:rFonts w:hint="eastAsia" w:ascii="Times New Roman" w:hAnsi="Times New Roman" w:eastAsia="宋体" w:cs="Times New Roman"/>
                <w:i w:val="0"/>
                <w:iCs w:val="0"/>
                <w:color w:val="auto"/>
                <w:highlight w:val="none"/>
                <w:lang w:eastAsia="zh-CN"/>
              </w:rPr>
            </w:pPr>
            <w:r>
              <w:rPr>
                <w:rFonts w:hint="eastAsia" w:ascii="Times New Roman" w:hAnsi="Times New Roman" w:cs="Times New Roman"/>
                <w:i w:val="0"/>
                <w:iCs w:val="0"/>
                <w:color w:val="auto"/>
                <w:highlight w:val="none"/>
              </w:rPr>
              <w:t>名称：</w:t>
            </w:r>
            <w:r>
              <w:rPr>
                <w:rFonts w:hint="eastAsia" w:ascii="Times New Roman" w:hAnsi="Times New Roman" w:cs="Times New Roman"/>
                <w:i w:val="0"/>
                <w:iCs w:val="0"/>
                <w:color w:val="auto"/>
                <w:highlight w:val="none"/>
                <w:lang w:eastAsia="zh-CN"/>
              </w:rPr>
              <w:t>浙江越锋项目管理有限公司</w:t>
            </w:r>
          </w:p>
          <w:p w14:paraId="708EB1B0">
            <w:pPr>
              <w:pStyle w:val="44"/>
              <w:keepNext w:val="0"/>
              <w:keepLines w:val="0"/>
              <w:suppressLineNumbers w:val="0"/>
              <w:snapToGrid w:val="0"/>
              <w:spacing w:before="0" w:beforeAutospacing="0" w:after="0" w:afterAutospacing="0"/>
              <w:ind w:left="0" w:right="0"/>
              <w:jc w:val="both"/>
              <w:rPr>
                <w:rFonts w:hint="default" w:ascii="Times New Roman" w:hAnsi="Times New Roman" w:cs="Times New Roman"/>
                <w:i w:val="0"/>
                <w:iCs w:val="0"/>
                <w:color w:val="auto"/>
                <w:spacing w:val="-102"/>
                <w:highlight w:val="none"/>
              </w:rPr>
            </w:pPr>
            <w:r>
              <w:rPr>
                <w:rFonts w:hint="eastAsia" w:ascii="Times New Roman" w:hAnsi="宋体" w:cs="Times New Roman"/>
                <w:i w:val="0"/>
                <w:iCs w:val="0"/>
                <w:color w:val="auto"/>
                <w:highlight w:val="none"/>
              </w:rPr>
              <w:t>信用评价等级：</w:t>
            </w:r>
            <w:r>
              <w:rPr>
                <w:rFonts w:hint="eastAsia" w:ascii="Times New Roman" w:hAnsi="Times New Roman" w:eastAsia="宋体" w:cs="Times New Roman"/>
                <w:i w:val="0"/>
                <w:iCs w:val="0"/>
                <w:color w:val="auto"/>
                <w:highlight w:val="none"/>
                <w:lang w:val="en-US" w:eastAsia="zh-CN"/>
              </w:rPr>
              <w:t>/</w:t>
            </w:r>
          </w:p>
          <w:p w14:paraId="23E8232A">
            <w:pPr>
              <w:pStyle w:val="44"/>
              <w:keepNext w:val="0"/>
              <w:keepLines w:val="0"/>
              <w:suppressLineNumbers w:val="0"/>
              <w:snapToGrid w:val="0"/>
              <w:spacing w:before="0" w:beforeAutospacing="0" w:after="0" w:afterAutospacing="0"/>
              <w:ind w:left="0" w:right="0"/>
              <w:jc w:val="both"/>
              <w:rPr>
                <w:rFonts w:hint="default" w:ascii="Times New Roman" w:hAnsi="Times New Roman" w:eastAsia="宋体" w:cs="Times New Roman"/>
                <w:i w:val="0"/>
                <w:iCs w:val="0"/>
                <w:color w:val="auto"/>
                <w:highlight w:val="none"/>
                <w:lang w:val="en-US" w:eastAsia="zh-CN"/>
              </w:rPr>
            </w:pPr>
            <w:r>
              <w:rPr>
                <w:rFonts w:hint="default" w:ascii="Times New Roman" w:hAnsi="宋体" w:cs="Times New Roman"/>
                <w:i w:val="0"/>
                <w:iCs w:val="0"/>
                <w:color w:val="auto"/>
                <w:highlight w:val="none"/>
              </w:rPr>
              <w:t>地址：</w:t>
            </w:r>
            <w:r>
              <w:rPr>
                <w:rFonts w:hint="eastAsia" w:ascii="Times New Roman" w:hAnsi="宋体" w:cs="Times New Roman"/>
                <w:i w:val="0"/>
                <w:iCs w:val="0"/>
                <w:color w:val="auto"/>
                <w:highlight w:val="none"/>
                <w:lang w:eastAsia="zh-CN"/>
              </w:rPr>
              <w:t>绍兴市柯桥区湖西路</w:t>
            </w:r>
            <w:r>
              <w:rPr>
                <w:rFonts w:hint="eastAsia" w:ascii="Times New Roman" w:hAnsi="宋体" w:cs="Times New Roman"/>
                <w:i w:val="0"/>
                <w:iCs w:val="0"/>
                <w:color w:val="auto"/>
                <w:highlight w:val="none"/>
                <w:lang w:val="en-US" w:eastAsia="zh-CN"/>
              </w:rPr>
              <w:t>1176号</w:t>
            </w:r>
          </w:p>
          <w:p w14:paraId="64F6A479">
            <w:pPr>
              <w:pStyle w:val="44"/>
              <w:keepNext w:val="0"/>
              <w:keepLines w:val="0"/>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项目负责</w:t>
            </w:r>
            <w:r>
              <w:rPr>
                <w:rFonts w:hint="default" w:ascii="Times New Roman" w:hAnsi="宋体" w:cs="Times New Roman"/>
                <w:i w:val="0"/>
                <w:iCs w:val="0"/>
                <w:color w:val="auto"/>
                <w:highlight w:val="none"/>
              </w:rPr>
              <w:t>人：</w:t>
            </w:r>
            <w:r>
              <w:rPr>
                <w:rFonts w:hint="eastAsia" w:ascii="Times New Roman" w:hAnsi="宋体" w:cs="Times New Roman"/>
                <w:i w:val="0"/>
                <w:iCs w:val="0"/>
                <w:color w:val="auto"/>
                <w:highlight w:val="none"/>
                <w:lang w:val="en-US" w:eastAsia="zh-CN"/>
              </w:rPr>
              <w:t>金国祥</w:t>
            </w:r>
            <w:r>
              <w:rPr>
                <w:rFonts w:hint="eastAsia" w:ascii="Times New Roman" w:hAnsi="宋体" w:cs="Times New Roman"/>
                <w:i w:val="0"/>
                <w:iCs w:val="0"/>
                <w:color w:val="auto"/>
                <w:highlight w:val="none"/>
              </w:rPr>
              <w:t xml:space="preserve">        信用评价等级：/</w:t>
            </w:r>
          </w:p>
          <w:p w14:paraId="3A18DF35">
            <w:pPr>
              <w:pStyle w:val="44"/>
              <w:keepNext w:val="0"/>
              <w:keepLines w:val="0"/>
              <w:suppressLineNumbers w:val="0"/>
              <w:snapToGrid w:val="0"/>
              <w:spacing w:before="0" w:beforeAutospacing="0" w:after="0" w:afterAutospacing="0"/>
              <w:ind w:left="0" w:right="0"/>
              <w:jc w:val="both"/>
              <w:rPr>
                <w:rFonts w:hint="eastAsia" w:ascii="宋体" w:hAnsi="Times New Roman" w:eastAsia="宋体" w:cs="Times New Roman"/>
                <w:i w:val="0"/>
                <w:iCs w:val="0"/>
                <w:color w:val="auto"/>
                <w:highlight w:val="none"/>
                <w:lang w:eastAsia="zh-CN"/>
              </w:rPr>
            </w:pPr>
            <w:r>
              <w:rPr>
                <w:rFonts w:hint="eastAsia" w:ascii="宋体" w:hAnsi="Times New Roman" w:cs="Times New Roman"/>
                <w:i w:val="0"/>
                <w:iCs w:val="0"/>
                <w:color w:val="auto"/>
                <w:highlight w:val="none"/>
              </w:rPr>
              <w:t>联系人：</w:t>
            </w:r>
            <w:r>
              <w:rPr>
                <w:rFonts w:hint="eastAsia" w:ascii="宋体" w:hAnsi="Times New Roman" w:cs="Times New Roman"/>
                <w:i w:val="0"/>
                <w:iCs w:val="0"/>
                <w:color w:val="auto"/>
                <w:highlight w:val="none"/>
                <w:lang w:eastAsia="zh-CN"/>
              </w:rPr>
              <w:t>金国祥</w:t>
            </w:r>
          </w:p>
          <w:p w14:paraId="4D684D27">
            <w:pPr>
              <w:pStyle w:val="9"/>
              <w:keepNext w:val="0"/>
              <w:keepLines w:val="0"/>
              <w:suppressLineNumbers w:val="0"/>
              <w:kinsoku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电  话：</w:t>
            </w:r>
            <w:r>
              <w:rPr>
                <w:rFonts w:hint="eastAsia" w:ascii="宋体" w:hAnsi="宋体" w:cs="Times New Roman"/>
                <w:i w:val="0"/>
                <w:iCs w:val="0"/>
                <w:color w:val="auto"/>
                <w:highlight w:val="none"/>
                <w:lang w:eastAsia="zh-CN"/>
              </w:rPr>
              <w:t>13675755431</w:t>
            </w:r>
            <w:r>
              <w:rPr>
                <w:rFonts w:hint="eastAsia" w:ascii="宋体" w:hAnsi="宋体" w:cs="Times New Roman"/>
                <w:i w:val="0"/>
                <w:iCs w:val="0"/>
                <w:color w:val="auto"/>
                <w:highlight w:val="none"/>
              </w:rPr>
              <w:t xml:space="preserve">   </w:t>
            </w:r>
            <w:r>
              <w:rPr>
                <w:rFonts w:hint="eastAsia" w:ascii="宋体" w:hAnsi="宋体" w:cs="Times New Roman"/>
                <w:i w:val="0"/>
                <w:iCs w:val="0"/>
                <w:color w:val="auto"/>
                <w:highlight w:val="none"/>
              </w:rPr>
              <w:tab/>
            </w:r>
          </w:p>
          <w:p w14:paraId="76A47840">
            <w:pPr>
              <w:pStyle w:val="44"/>
              <w:keepNext w:val="0"/>
              <w:keepLines w:val="0"/>
              <w:suppressLineNumbers w:val="0"/>
              <w:kinsoku w:val="0"/>
              <w:spacing w:before="0" w:beforeAutospacing="0" w:after="0" w:afterAutospacing="0"/>
              <w:ind w:left="0" w:right="0"/>
              <w:rPr>
                <w:rFonts w:hint="eastAsia" w:ascii="Times New Roman" w:hAnsi="Times New Roman" w:eastAsia="宋体" w:cs="Times New Roman"/>
                <w:i w:val="0"/>
                <w:iCs w:val="0"/>
                <w:color w:val="auto"/>
                <w:highlight w:val="none"/>
                <w:lang w:eastAsia="zh-CN"/>
              </w:rPr>
            </w:pPr>
            <w:r>
              <w:rPr>
                <w:rFonts w:hint="eastAsia" w:ascii="宋体" w:hAnsi="宋体" w:cs="Times New Roman"/>
                <w:i w:val="0"/>
                <w:iCs w:val="0"/>
                <w:color w:val="auto"/>
                <w:highlight w:val="none"/>
              </w:rPr>
              <w:t>邮  箱：</w:t>
            </w:r>
            <w:r>
              <w:rPr>
                <w:rFonts w:hint="eastAsia" w:ascii="宋体" w:hAnsi="宋体" w:cs="Times New Roman"/>
                <w:i w:val="0"/>
                <w:iCs w:val="0"/>
                <w:color w:val="auto"/>
                <w:highlight w:val="none"/>
                <w:lang w:eastAsia="zh-CN"/>
              </w:rPr>
              <w:t>179826843@qq.com</w:t>
            </w:r>
          </w:p>
        </w:tc>
      </w:tr>
      <w:tr w14:paraId="4BF2DE4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B260303">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1.1.4</w:t>
            </w:r>
          </w:p>
        </w:tc>
        <w:tc>
          <w:tcPr>
            <w:tcW w:w="1826" w:type="dxa"/>
            <w:tcBorders>
              <w:top w:val="single" w:color="000000" w:sz="4" w:space="0"/>
              <w:left w:val="nil"/>
              <w:bottom w:val="single" w:color="000000" w:sz="4" w:space="0"/>
              <w:right w:val="single" w:color="000000" w:sz="4" w:space="0"/>
            </w:tcBorders>
            <w:noWrap/>
            <w:vAlign w:val="center"/>
          </w:tcPr>
          <w:p w14:paraId="1C343C07">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工程名称</w:t>
            </w:r>
          </w:p>
        </w:tc>
        <w:tc>
          <w:tcPr>
            <w:tcW w:w="6272" w:type="dxa"/>
            <w:tcBorders>
              <w:top w:val="single" w:color="000000" w:sz="4" w:space="0"/>
              <w:left w:val="nil"/>
              <w:bottom w:val="single" w:color="000000" w:sz="4" w:space="0"/>
              <w:right w:val="single" w:color="000000" w:sz="4" w:space="0"/>
            </w:tcBorders>
            <w:noWrap/>
            <w:vAlign w:val="top"/>
          </w:tcPr>
          <w:p w14:paraId="0FB016BE">
            <w:pPr>
              <w:keepNext w:val="0"/>
              <w:keepLines w:val="0"/>
              <w:suppressLineNumbers w:val="0"/>
              <w:spacing w:before="0" w:beforeAutospacing="0" w:after="0" w:afterAutospacing="0"/>
              <w:ind w:left="0" w:right="0"/>
              <w:rPr>
                <w:rFonts w:hint="eastAsia" w:ascii="Times New Roman" w:hAnsi="Times New Roman" w:eastAsia="宋体" w:cs="Times New Roman"/>
                <w:i w:val="0"/>
                <w:iCs w:val="0"/>
                <w:color w:val="auto"/>
                <w:highlight w:val="none"/>
                <w:lang w:eastAsia="zh-CN"/>
              </w:rPr>
            </w:pPr>
            <w:r>
              <w:rPr>
                <w:rFonts w:hint="eastAsia" w:ascii="Times New Roman" w:hAnsi="Times New Roman" w:cs="Times New Roman"/>
                <w:i w:val="0"/>
                <w:iCs w:val="0"/>
                <w:color w:val="auto"/>
                <w:highlight w:val="none"/>
                <w:lang w:eastAsia="zh-CN"/>
              </w:rPr>
              <w:t>梅山东片区一单元开发项目一期二期项目施工</w:t>
            </w:r>
          </w:p>
        </w:tc>
      </w:tr>
      <w:tr w14:paraId="50C1302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1A4F9C6">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1.1.5</w:t>
            </w:r>
          </w:p>
        </w:tc>
        <w:tc>
          <w:tcPr>
            <w:tcW w:w="1826" w:type="dxa"/>
            <w:tcBorders>
              <w:top w:val="single" w:color="000000" w:sz="4" w:space="0"/>
              <w:left w:val="nil"/>
              <w:bottom w:val="single" w:color="000000" w:sz="4" w:space="0"/>
              <w:right w:val="single" w:color="000000" w:sz="4" w:space="0"/>
            </w:tcBorders>
            <w:noWrap/>
            <w:vAlign w:val="center"/>
          </w:tcPr>
          <w:p w14:paraId="5CBACCE4">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工程建设地点</w:t>
            </w:r>
          </w:p>
        </w:tc>
        <w:tc>
          <w:tcPr>
            <w:tcW w:w="6272" w:type="dxa"/>
            <w:tcBorders>
              <w:top w:val="single" w:color="000000" w:sz="4" w:space="0"/>
              <w:left w:val="nil"/>
              <w:bottom w:val="single" w:color="000000" w:sz="4" w:space="0"/>
              <w:right w:val="single" w:color="000000" w:sz="4" w:space="0"/>
            </w:tcBorders>
            <w:noWrap/>
            <w:vAlign w:val="center"/>
          </w:tcPr>
          <w:p w14:paraId="0B2C0781">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eastAsia="宋体" w:cs="Times New Roman"/>
                <w:i w:val="0"/>
                <w:iCs w:val="0"/>
                <w:color w:val="auto"/>
                <w:highlight w:val="none"/>
              </w:rPr>
              <w:t>浙江省绍兴市镜湖新区</w:t>
            </w:r>
          </w:p>
        </w:tc>
      </w:tr>
      <w:tr w14:paraId="5A609FF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84689E">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1.1.6</w:t>
            </w:r>
          </w:p>
        </w:tc>
        <w:tc>
          <w:tcPr>
            <w:tcW w:w="1826" w:type="dxa"/>
            <w:tcBorders>
              <w:top w:val="single" w:color="000000" w:sz="4" w:space="0"/>
              <w:left w:val="nil"/>
              <w:bottom w:val="single" w:color="000000" w:sz="4" w:space="0"/>
              <w:right w:val="single" w:color="000000" w:sz="4" w:space="0"/>
            </w:tcBorders>
            <w:noWrap/>
            <w:vAlign w:val="center"/>
          </w:tcPr>
          <w:p w14:paraId="3F2803E3">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工程承包方式</w:t>
            </w:r>
          </w:p>
        </w:tc>
        <w:tc>
          <w:tcPr>
            <w:tcW w:w="6272" w:type="dxa"/>
            <w:tcBorders>
              <w:top w:val="single" w:color="000000" w:sz="4" w:space="0"/>
              <w:left w:val="nil"/>
              <w:bottom w:val="single" w:color="000000" w:sz="4" w:space="0"/>
              <w:right w:val="single" w:color="000000" w:sz="4" w:space="0"/>
            </w:tcBorders>
            <w:noWrap/>
            <w:vAlign w:val="center"/>
          </w:tcPr>
          <w:p w14:paraId="44BA83EA">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包工包料</w:t>
            </w:r>
          </w:p>
        </w:tc>
      </w:tr>
      <w:tr w14:paraId="29E0BC8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5CCF315">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1.2.1</w:t>
            </w:r>
          </w:p>
        </w:tc>
        <w:tc>
          <w:tcPr>
            <w:tcW w:w="1826" w:type="dxa"/>
            <w:tcBorders>
              <w:top w:val="single" w:color="000000" w:sz="4" w:space="0"/>
              <w:left w:val="nil"/>
              <w:bottom w:val="single" w:color="000000" w:sz="4" w:space="0"/>
              <w:right w:val="single" w:color="000000" w:sz="4" w:space="0"/>
            </w:tcBorders>
            <w:noWrap/>
            <w:vAlign w:val="center"/>
          </w:tcPr>
          <w:p w14:paraId="105CE812">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资金来源及比例</w:t>
            </w:r>
          </w:p>
        </w:tc>
        <w:tc>
          <w:tcPr>
            <w:tcW w:w="6272" w:type="dxa"/>
            <w:tcBorders>
              <w:top w:val="single" w:color="000000" w:sz="4" w:space="0"/>
              <w:left w:val="nil"/>
              <w:bottom w:val="single" w:color="000000" w:sz="4" w:space="0"/>
              <w:right w:val="single" w:color="000000" w:sz="4" w:space="0"/>
            </w:tcBorders>
            <w:noWrap/>
            <w:vAlign w:val="center"/>
          </w:tcPr>
          <w:p w14:paraId="590AEBE6">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自筹100%</w:t>
            </w:r>
          </w:p>
        </w:tc>
      </w:tr>
      <w:tr w14:paraId="2FF6A7B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6DD0C83">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1.2.2</w:t>
            </w:r>
          </w:p>
        </w:tc>
        <w:tc>
          <w:tcPr>
            <w:tcW w:w="1826" w:type="dxa"/>
            <w:tcBorders>
              <w:top w:val="single" w:color="000000" w:sz="4" w:space="0"/>
              <w:left w:val="nil"/>
              <w:bottom w:val="single" w:color="000000" w:sz="4" w:space="0"/>
              <w:right w:val="single" w:color="000000" w:sz="4" w:space="0"/>
            </w:tcBorders>
            <w:noWrap/>
            <w:vAlign w:val="center"/>
          </w:tcPr>
          <w:p w14:paraId="1EA31E2F">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资金落实情况</w:t>
            </w:r>
          </w:p>
        </w:tc>
        <w:tc>
          <w:tcPr>
            <w:tcW w:w="6272" w:type="dxa"/>
            <w:tcBorders>
              <w:top w:val="single" w:color="000000" w:sz="4" w:space="0"/>
              <w:left w:val="nil"/>
              <w:bottom w:val="single" w:color="000000" w:sz="4" w:space="0"/>
              <w:right w:val="single" w:color="000000" w:sz="4" w:space="0"/>
            </w:tcBorders>
            <w:noWrap/>
            <w:vAlign w:val="center"/>
          </w:tcPr>
          <w:p w14:paraId="04803E6E">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已落实</w:t>
            </w:r>
          </w:p>
        </w:tc>
      </w:tr>
      <w:tr w14:paraId="7E544F06">
        <w:tblPrEx>
          <w:tblCellMar>
            <w:top w:w="0" w:type="dxa"/>
            <w:left w:w="57" w:type="dxa"/>
            <w:bottom w:w="0" w:type="dxa"/>
            <w:right w:w="57" w:type="dxa"/>
          </w:tblCellMar>
        </w:tblPrEx>
        <w:trPr>
          <w:trHeight w:val="88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6ACD58">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1.3.1</w:t>
            </w:r>
          </w:p>
        </w:tc>
        <w:tc>
          <w:tcPr>
            <w:tcW w:w="1826" w:type="dxa"/>
            <w:tcBorders>
              <w:top w:val="single" w:color="000000" w:sz="4" w:space="0"/>
              <w:left w:val="nil"/>
              <w:bottom w:val="single" w:color="000000" w:sz="4" w:space="0"/>
              <w:right w:val="single" w:color="000000" w:sz="4" w:space="0"/>
            </w:tcBorders>
            <w:noWrap/>
            <w:vAlign w:val="center"/>
          </w:tcPr>
          <w:p w14:paraId="410E6387">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招标范围</w:t>
            </w:r>
          </w:p>
        </w:tc>
        <w:tc>
          <w:tcPr>
            <w:tcW w:w="6272" w:type="dxa"/>
            <w:tcBorders>
              <w:top w:val="single" w:color="000000" w:sz="4" w:space="0"/>
              <w:left w:val="nil"/>
              <w:bottom w:val="single" w:color="000000" w:sz="4" w:space="0"/>
              <w:right w:val="single" w:color="000000" w:sz="4" w:space="0"/>
            </w:tcBorders>
            <w:noWrap/>
            <w:vAlign w:val="center"/>
          </w:tcPr>
          <w:p w14:paraId="685CEB8E">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详见招标公告</w:t>
            </w:r>
          </w:p>
        </w:tc>
      </w:tr>
      <w:tr w14:paraId="20088C9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89F34A5">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1.3.2</w:t>
            </w:r>
          </w:p>
        </w:tc>
        <w:tc>
          <w:tcPr>
            <w:tcW w:w="1826" w:type="dxa"/>
            <w:tcBorders>
              <w:top w:val="single" w:color="000000" w:sz="4" w:space="0"/>
              <w:left w:val="nil"/>
              <w:bottom w:val="single" w:color="000000" w:sz="4" w:space="0"/>
              <w:right w:val="single" w:color="000000" w:sz="4" w:space="0"/>
            </w:tcBorders>
            <w:noWrap/>
            <w:vAlign w:val="center"/>
          </w:tcPr>
          <w:p w14:paraId="0742059C">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6DF5B55D">
            <w:pPr>
              <w:keepNext w:val="0"/>
              <w:keepLines w:val="0"/>
              <w:suppressLineNumbers w:val="0"/>
              <w:snapToGrid w:val="0"/>
              <w:spacing w:before="0" w:beforeAutospacing="0" w:after="0" w:afterAutospacing="0"/>
              <w:ind w:left="0" w:right="0"/>
              <w:jc w:val="both"/>
              <w:rPr>
                <w:rFonts w:hint="default" w:ascii="宋体" w:hAnsi="Times New Roman" w:cs="Times New Roman"/>
                <w:i w:val="0"/>
                <w:iCs w:val="0"/>
                <w:color w:val="auto"/>
                <w:highlight w:val="none"/>
                <w:u w:val="single"/>
              </w:rPr>
            </w:pPr>
            <w:r>
              <w:rPr>
                <w:rFonts w:hint="eastAsia" w:ascii="宋体" w:hAnsi="宋体" w:cs="Times New Roman"/>
                <w:i w:val="0"/>
                <w:iCs w:val="0"/>
                <w:color w:val="auto"/>
                <w:highlight w:val="none"/>
              </w:rPr>
              <w:t>计划工期：</w:t>
            </w:r>
            <w:bookmarkStart w:id="84" w:name="EBd5e045ff72cb4e3488139d06b9fb7602"/>
            <w:bookmarkEnd w:id="84"/>
            <w:r>
              <w:rPr>
                <w:rFonts w:hint="eastAsia" w:ascii="宋体" w:hAnsi="宋体" w:cs="Times New Roman"/>
                <w:i w:val="0"/>
                <w:iCs w:val="0"/>
                <w:color w:val="auto"/>
                <w:highlight w:val="none"/>
                <w:u w:val="single"/>
                <w:lang w:val="en-US" w:eastAsia="zh-CN"/>
              </w:rPr>
              <w:t>561</w:t>
            </w:r>
            <w:r>
              <w:rPr>
                <w:rFonts w:hint="eastAsia" w:ascii="宋体" w:hAnsi="宋体" w:cs="Times New Roman"/>
                <w:i w:val="0"/>
                <w:iCs w:val="0"/>
                <w:color w:val="auto"/>
                <w:highlight w:val="none"/>
              </w:rPr>
              <w:t>个日历天。投标承诺工期不得超过该计划工期。</w:t>
            </w:r>
          </w:p>
          <w:p w14:paraId="7041CC11">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计划开工日期：</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年</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月</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日</w:t>
            </w:r>
          </w:p>
          <w:p w14:paraId="09B40FA5">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计划竣工日期：</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年</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月</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日</w:t>
            </w:r>
          </w:p>
          <w:p w14:paraId="2D25A9B1">
            <w:pPr>
              <w:keepNext w:val="0"/>
              <w:keepLines w:val="0"/>
              <w:suppressLineNumbers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w:t>
            </w:r>
            <w:r>
              <w:rPr>
                <w:rFonts w:hint="eastAsia" w:ascii="Times New Roman" w:hAnsi="Times New Roman" w:cs="Times New Roman"/>
                <w:i w:val="0"/>
                <w:iCs w:val="0"/>
                <w:color w:val="auto"/>
                <w:highlight w:val="none"/>
              </w:rPr>
              <w:t>本工程定额施工工期：</w:t>
            </w:r>
            <w:r>
              <w:rPr>
                <w:rFonts w:hint="eastAsia" w:ascii="Times New Roman" w:hAnsi="Times New Roman" w:cs="Times New Roman"/>
                <w:i w:val="0"/>
                <w:iCs w:val="0"/>
                <w:color w:val="auto"/>
                <w:highlight w:val="none"/>
                <w:u w:val="single"/>
              </w:rPr>
              <w:t xml:space="preserve">     </w:t>
            </w:r>
            <w:r>
              <w:rPr>
                <w:rFonts w:hint="eastAsia" w:ascii="宋体" w:hAnsi="宋体" w:cs="Times New Roman"/>
                <w:i w:val="0"/>
                <w:iCs w:val="0"/>
                <w:color w:val="auto"/>
                <w:highlight w:val="none"/>
              </w:rPr>
              <w:t>日历天</w:t>
            </w:r>
          </w:p>
        </w:tc>
      </w:tr>
      <w:tr w14:paraId="4917E1C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0A670568">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1.3.3</w:t>
            </w:r>
          </w:p>
        </w:tc>
        <w:tc>
          <w:tcPr>
            <w:tcW w:w="1826" w:type="dxa"/>
            <w:tcBorders>
              <w:top w:val="single" w:color="000000" w:sz="4" w:space="0"/>
              <w:left w:val="nil"/>
              <w:bottom w:val="single" w:color="auto" w:sz="4" w:space="0"/>
              <w:right w:val="single" w:color="000000" w:sz="4" w:space="0"/>
            </w:tcBorders>
            <w:noWrap/>
            <w:vAlign w:val="center"/>
          </w:tcPr>
          <w:p w14:paraId="1DEE48C5">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质量要求</w:t>
            </w:r>
          </w:p>
        </w:tc>
        <w:tc>
          <w:tcPr>
            <w:tcW w:w="6272" w:type="dxa"/>
            <w:tcBorders>
              <w:top w:val="single" w:color="000000" w:sz="4" w:space="0"/>
              <w:left w:val="nil"/>
              <w:bottom w:val="single" w:color="auto" w:sz="4" w:space="0"/>
              <w:right w:val="single" w:color="000000" w:sz="4" w:space="0"/>
            </w:tcBorders>
            <w:noWrap/>
            <w:vAlign w:val="center"/>
          </w:tcPr>
          <w:p w14:paraId="1969DE33">
            <w:pPr>
              <w:keepNext w:val="0"/>
              <w:keepLines w:val="0"/>
              <w:suppressLineNumbers w:val="0"/>
              <w:spacing w:before="0" w:beforeAutospacing="0" w:after="0" w:afterAutospacing="0"/>
              <w:ind w:left="0" w:right="0"/>
              <w:jc w:val="both"/>
              <w:rPr>
                <w:rFonts w:hint="eastAsia" w:ascii="新宋体" w:hAnsi="新宋体" w:eastAsia="新宋体" w:cs="Times New Roman"/>
                <w:i w:val="0"/>
                <w:iCs w:val="0"/>
                <w:color w:val="auto"/>
                <w:highlight w:val="none"/>
              </w:rPr>
            </w:pPr>
            <w:r>
              <w:rPr>
                <w:rFonts w:hint="eastAsia" w:ascii="新宋体" w:hAnsi="新宋体" w:eastAsia="新宋体" w:cs="Times New Roman"/>
                <w:i w:val="0"/>
                <w:iCs w:val="0"/>
                <w:color w:val="auto"/>
                <w:highlight w:val="none"/>
              </w:rPr>
              <w:t>符合现行国家有关工程施工验收规范和标准的</w:t>
            </w:r>
            <w:r>
              <w:rPr>
                <w:rFonts w:hint="eastAsia" w:ascii="新宋体" w:hAnsi="新宋体" w:eastAsia="新宋体" w:cs="Times New Roman"/>
                <w:i w:val="0"/>
                <w:iCs w:val="0"/>
                <w:color w:val="auto"/>
                <w:highlight w:val="none"/>
                <w:u w:val="single"/>
              </w:rPr>
              <w:t>合格</w:t>
            </w:r>
            <w:r>
              <w:rPr>
                <w:rFonts w:hint="eastAsia" w:ascii="新宋体" w:hAnsi="新宋体" w:eastAsia="新宋体" w:cs="Times New Roman"/>
                <w:i w:val="0"/>
                <w:iCs w:val="0"/>
                <w:color w:val="auto"/>
                <w:highlight w:val="none"/>
              </w:rPr>
              <w:t>要求。</w:t>
            </w:r>
          </w:p>
          <w:p w14:paraId="114C833A">
            <w:pPr>
              <w:keepNext w:val="0"/>
              <w:keepLines w:val="0"/>
              <w:suppressLineNumbers w:val="0"/>
              <w:spacing w:before="0" w:beforeAutospacing="0" w:after="0" w:afterAutospacing="0"/>
              <w:ind w:left="0" w:right="0"/>
              <w:jc w:val="both"/>
              <w:rPr>
                <w:rFonts w:hint="default" w:ascii="新宋体" w:hAnsi="新宋体" w:cs="Times New Roman"/>
                <w:i w:val="0"/>
                <w:iCs w:val="0"/>
                <w:color w:val="auto"/>
                <w:highlight w:val="none"/>
              </w:rPr>
            </w:pPr>
            <w:r>
              <w:rPr>
                <w:rFonts w:hint="default" w:ascii="Wingdings 2" w:hAnsi="Wingdings 2" w:cs="Times New Roman"/>
                <w:i w:val="0"/>
                <w:iCs w:val="0"/>
                <w:color w:val="auto"/>
                <w:highlight w:val="none"/>
              </w:rPr>
              <w:t>□涉及相关绿色建材应符合绍兴市绿色建材采购政策和面向中小企业采购预留份额政策执行要求。</w:t>
            </w:r>
          </w:p>
        </w:tc>
      </w:tr>
      <w:tr w14:paraId="66C863BA">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724E6C54">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1.4.1</w:t>
            </w:r>
          </w:p>
        </w:tc>
        <w:tc>
          <w:tcPr>
            <w:tcW w:w="1826" w:type="dxa"/>
            <w:tcBorders>
              <w:top w:val="single" w:color="auto" w:sz="4" w:space="0"/>
              <w:left w:val="nil"/>
              <w:bottom w:val="single" w:color="auto" w:sz="4" w:space="0"/>
              <w:right w:val="single" w:color="000000" w:sz="4" w:space="0"/>
            </w:tcBorders>
            <w:noWrap/>
            <w:vAlign w:val="center"/>
          </w:tcPr>
          <w:p w14:paraId="121A5FC6">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投标人资格</w:t>
            </w:r>
          </w:p>
          <w:p w14:paraId="0475363B">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及要求</w:t>
            </w:r>
          </w:p>
        </w:tc>
        <w:tc>
          <w:tcPr>
            <w:tcW w:w="6272" w:type="dxa"/>
            <w:tcBorders>
              <w:top w:val="single" w:color="auto" w:sz="4" w:space="0"/>
              <w:left w:val="nil"/>
              <w:bottom w:val="single" w:color="auto" w:sz="4" w:space="0"/>
              <w:right w:val="single" w:color="000000" w:sz="4" w:space="0"/>
            </w:tcBorders>
            <w:noWrap/>
            <w:vAlign w:val="center"/>
          </w:tcPr>
          <w:p w14:paraId="4D1E5EFA">
            <w:pPr>
              <w:pStyle w:val="44"/>
              <w:keepNext w:val="0"/>
              <w:keepLines w:val="0"/>
              <w:suppressLineNumbers w:val="0"/>
              <w:kinsoku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Times New Roman" w:cs="Times New Roman"/>
                <w:i w:val="0"/>
                <w:iCs w:val="0"/>
                <w:color w:val="auto"/>
                <w:highlight w:val="none"/>
              </w:rPr>
              <w:t>见招标公告</w:t>
            </w:r>
          </w:p>
          <w:p w14:paraId="0A690BB5">
            <w:pPr>
              <w:pStyle w:val="44"/>
              <w:keepNext w:val="0"/>
              <w:keepLines w:val="0"/>
              <w:suppressLineNumbers w:val="0"/>
              <w:kinsoku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□见</w:t>
            </w:r>
            <w:r>
              <w:rPr>
                <w:rFonts w:hint="eastAsia" w:ascii="宋体" w:hAnsi="Times New Roman" w:cs="Times New Roman"/>
                <w:i w:val="0"/>
                <w:iCs w:val="0"/>
                <w:color w:val="auto"/>
                <w:highlight w:val="none"/>
              </w:rPr>
              <w:t>投标邀请书</w:t>
            </w:r>
          </w:p>
        </w:tc>
      </w:tr>
      <w:tr w14:paraId="35A59D3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EB2A0BD">
            <w:pPr>
              <w:pStyle w:val="44"/>
              <w:keepNext w:val="0"/>
              <w:keepLines w:val="0"/>
              <w:suppressLineNumbers w:val="0"/>
              <w:kinsoku w:val="0"/>
              <w:spacing w:before="147"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1.4.2</w:t>
            </w:r>
          </w:p>
        </w:tc>
        <w:tc>
          <w:tcPr>
            <w:tcW w:w="1826" w:type="dxa"/>
            <w:tcBorders>
              <w:top w:val="single" w:color="000000" w:sz="4" w:space="0"/>
              <w:left w:val="nil"/>
              <w:bottom w:val="single" w:color="000000" w:sz="4" w:space="0"/>
              <w:right w:val="single" w:color="000000" w:sz="4" w:space="0"/>
            </w:tcBorders>
            <w:noWrap/>
            <w:vAlign w:val="center"/>
          </w:tcPr>
          <w:p w14:paraId="6FD82A61">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10E85564">
            <w:pPr>
              <w:pStyle w:val="8"/>
              <w:keepNext w:val="0"/>
              <w:keepLines w:val="0"/>
              <w:suppressLineNumbers w:val="0"/>
              <w:topLinePunct/>
              <w:snapToGrid w:val="0"/>
              <w:spacing w:after="0" w:afterAutospacing="0"/>
              <w:ind w:left="0" w:right="0"/>
              <w:rPr>
                <w:rFonts w:hint="default" w:ascii="Calibri" w:hAnsi="宋体" w:cs="Times New Roman"/>
                <w:i w:val="0"/>
                <w:iCs w:val="0"/>
                <w:color w:val="auto"/>
                <w:kern w:val="2"/>
                <w:sz w:val="24"/>
                <w:szCs w:val="24"/>
                <w:highlight w:val="none"/>
              </w:rPr>
            </w:pPr>
            <w:r>
              <w:rPr>
                <w:rFonts w:hint="eastAsia" w:ascii="Calibri" w:hAnsi="宋体" w:cs="Times New Roman"/>
                <w:i w:val="0"/>
                <w:iCs w:val="0"/>
                <w:color w:val="auto"/>
                <w:kern w:val="2"/>
                <w:sz w:val="24"/>
                <w:szCs w:val="24"/>
                <w:highlight w:val="none"/>
                <w:lang w:eastAsia="zh-CN"/>
              </w:rPr>
              <w:t>□</w:t>
            </w:r>
            <w:r>
              <w:rPr>
                <w:rFonts w:hint="default" w:ascii="Calibri" w:hAnsi="宋体" w:cs="Times New Roman"/>
                <w:i w:val="0"/>
                <w:iCs w:val="0"/>
                <w:color w:val="auto"/>
                <w:kern w:val="2"/>
                <w:sz w:val="24"/>
                <w:szCs w:val="24"/>
                <w:highlight w:val="none"/>
              </w:rPr>
              <w:t>不接受</w:t>
            </w:r>
            <w:r>
              <w:rPr>
                <w:rFonts w:hint="eastAsia" w:ascii="Calibri" w:hAnsi="宋体" w:cs="Times New Roman"/>
                <w:i w:val="0"/>
                <w:iCs w:val="0"/>
                <w:color w:val="auto"/>
                <w:kern w:val="2"/>
                <w:sz w:val="24"/>
                <w:szCs w:val="24"/>
                <w:highlight w:val="none"/>
              </w:rPr>
              <w:t>。</w:t>
            </w:r>
          </w:p>
          <w:p w14:paraId="080986BB">
            <w:pPr>
              <w:pStyle w:val="44"/>
              <w:keepNext w:val="0"/>
              <w:keepLines w:val="0"/>
              <w:suppressLineNumbers w:val="0"/>
              <w:kinsoku w:val="0"/>
              <w:snapToGrid w:val="0"/>
              <w:spacing w:before="0" w:beforeAutospacing="0" w:after="0" w:afterAutospacing="0"/>
              <w:ind w:left="0" w:right="0"/>
              <w:jc w:val="both"/>
              <w:rPr>
                <w:rFonts w:hint="default" w:ascii="Times New Roman" w:hAnsi="Times New Roman" w:cs="Times New Roman"/>
                <w:i w:val="0"/>
                <w:iCs w:val="0"/>
                <w:color w:val="auto"/>
                <w:highlight w:val="none"/>
                <w:u w:val="singl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接受。应满足下列要求：</w:t>
            </w:r>
            <w:r>
              <w:rPr>
                <w:rFonts w:hint="eastAsia" w:ascii="宋体" w:hAnsi="Times New Roman" w:cs="Times New Roman"/>
                <w:i w:val="0"/>
                <w:iCs w:val="0"/>
                <w:color w:val="auto"/>
                <w:highlight w:val="none"/>
              </w:rPr>
              <w:t>见</w:t>
            </w:r>
            <w:r>
              <w:rPr>
                <w:rFonts w:hint="eastAsia" w:ascii="宋体" w:hAnsi="宋体" w:cs="Times New Roman"/>
                <w:i w:val="0"/>
                <w:iCs w:val="0"/>
                <w:color w:val="auto"/>
                <w:highlight w:val="none"/>
                <w:lang w:eastAsia="zh-CN"/>
              </w:rPr>
              <w:t>☑</w:t>
            </w:r>
            <w:r>
              <w:rPr>
                <w:rFonts w:hint="eastAsia" w:ascii="宋体" w:hAnsi="Times New Roman" w:cs="Times New Roman"/>
                <w:i w:val="0"/>
                <w:iCs w:val="0"/>
                <w:color w:val="auto"/>
                <w:highlight w:val="none"/>
              </w:rPr>
              <w:t>招标公告</w:t>
            </w:r>
            <w:r>
              <w:rPr>
                <w:rFonts w:hint="eastAsia" w:ascii="宋体" w:hAnsi="宋体" w:cs="Times New Roman"/>
                <w:i w:val="0"/>
                <w:iCs w:val="0"/>
                <w:color w:val="auto"/>
                <w:highlight w:val="none"/>
              </w:rPr>
              <w:t>□</w:t>
            </w:r>
            <w:r>
              <w:rPr>
                <w:rFonts w:hint="eastAsia" w:ascii="宋体" w:hAnsi="Times New Roman" w:cs="Times New Roman"/>
                <w:i w:val="0"/>
                <w:iCs w:val="0"/>
                <w:color w:val="auto"/>
                <w:highlight w:val="none"/>
              </w:rPr>
              <w:t>投标邀请书及投标人须知相应条款内容要求。</w:t>
            </w:r>
          </w:p>
        </w:tc>
      </w:tr>
      <w:tr w14:paraId="4BB0661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F479CA3">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1.4.2（1）</w:t>
            </w:r>
          </w:p>
        </w:tc>
        <w:tc>
          <w:tcPr>
            <w:tcW w:w="1826" w:type="dxa"/>
            <w:tcBorders>
              <w:top w:val="single" w:color="000000" w:sz="4" w:space="0"/>
              <w:left w:val="nil"/>
              <w:bottom w:val="single" w:color="000000" w:sz="4" w:space="0"/>
              <w:right w:val="single" w:color="000000" w:sz="4" w:space="0"/>
            </w:tcBorders>
            <w:noWrap/>
            <w:vAlign w:val="center"/>
          </w:tcPr>
          <w:p w14:paraId="51542F08">
            <w:pPr>
              <w:pStyle w:val="44"/>
              <w:keepNext w:val="0"/>
              <w:keepLines w:val="0"/>
              <w:suppressLineNumbers w:val="0"/>
              <w:snapToGrid w:val="0"/>
              <w:spacing w:before="0" w:beforeAutospacing="0" w:after="0" w:afterAutospacing="0"/>
              <w:ind w:left="0" w:right="0"/>
              <w:jc w:val="center"/>
              <w:rPr>
                <w:rFonts w:hint="eastAsia" w:ascii="宋体" w:hAnsi="Times New Roman" w:cs="Times New Roman"/>
                <w:i w:val="0"/>
                <w:iCs w:val="0"/>
                <w:color w:val="auto"/>
                <w:highlight w:val="none"/>
              </w:rPr>
            </w:pPr>
            <w:r>
              <w:rPr>
                <w:rFonts w:hint="default" w:ascii="Times New Roman" w:hAnsi="宋体" w:cs="Times New Roman"/>
                <w:i w:val="0"/>
                <w:iCs w:val="0"/>
                <w:color w:val="auto"/>
                <w:highlight w:val="none"/>
              </w:rPr>
              <w:t>联合体投标</w:t>
            </w:r>
            <w:r>
              <w:rPr>
                <w:rFonts w:hint="eastAsia" w:ascii="Times New Roman" w:hAnsi="宋体" w:cs="Times New Roman"/>
                <w:i w:val="0"/>
                <w:iCs w:val="0"/>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0C31349E">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w:t>
            </w:r>
            <w:r>
              <w:rPr>
                <w:rFonts w:hint="default" w:ascii="宋体" w:hAnsi="宋体" w:cs="Times New Roman"/>
                <w:i w:val="0"/>
                <w:iCs w:val="0"/>
                <w:color w:val="auto"/>
                <w:highlight w:val="none"/>
              </w:rPr>
              <w:t>招标人支付项目各项费用的约定：</w:t>
            </w:r>
          </w:p>
          <w:p w14:paraId="6D875F29">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kern w:val="2"/>
                <w:highlight w:val="none"/>
                <w:lang w:eastAsia="zh-CN"/>
              </w:rPr>
              <w:t>☑</w:t>
            </w:r>
            <w:r>
              <w:rPr>
                <w:rFonts w:hint="eastAsia" w:ascii="宋体" w:hAnsi="宋体" w:cs="Times New Roman"/>
                <w:i w:val="0"/>
                <w:iCs w:val="0"/>
                <w:color w:val="auto"/>
                <w:kern w:val="2"/>
                <w:highlight w:val="none"/>
              </w:rPr>
              <w:t>（1）</w:t>
            </w:r>
            <w:r>
              <w:rPr>
                <w:rFonts w:hint="default" w:ascii="宋体" w:hAnsi="宋体" w:cs="Times New Roman"/>
                <w:i w:val="0"/>
                <w:iCs w:val="0"/>
                <w:color w:val="auto"/>
                <w:highlight w:val="none"/>
              </w:rPr>
              <w:t>各项费用由招标人直接支付给牵头人，再由牵头人按工作内容分配；</w:t>
            </w:r>
          </w:p>
          <w:p w14:paraId="09A4C0E2">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kern w:val="2"/>
                <w:highlight w:val="none"/>
              </w:rPr>
              <w:t>□</w:t>
            </w:r>
            <w:r>
              <w:rPr>
                <w:rFonts w:hint="eastAsia" w:ascii="宋体" w:hAnsi="宋体" w:cs="Times New Roman"/>
                <w:i w:val="0"/>
                <w:iCs w:val="0"/>
                <w:color w:val="auto"/>
                <w:kern w:val="2"/>
                <w:highlight w:val="none"/>
              </w:rPr>
              <w:t>（2）</w:t>
            </w:r>
            <w:r>
              <w:rPr>
                <w:rFonts w:hint="default" w:ascii="宋体" w:hAnsi="宋体" w:cs="Times New Roman"/>
                <w:i w:val="0"/>
                <w:iCs w:val="0"/>
                <w:color w:val="auto"/>
                <w:highlight w:val="none"/>
              </w:rPr>
              <w:t>各项费用由招标人按联合体成员职责分工，分别支付给联合体各成员</w:t>
            </w:r>
            <w:r>
              <w:rPr>
                <w:rFonts w:hint="eastAsia" w:ascii="宋体" w:hAnsi="宋体" w:cs="Times New Roman"/>
                <w:i w:val="0"/>
                <w:iCs w:val="0"/>
                <w:color w:val="auto"/>
                <w:highlight w:val="none"/>
              </w:rPr>
              <w:t>；</w:t>
            </w:r>
          </w:p>
          <w:p w14:paraId="1F2B4BDD">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kern w:val="2"/>
                <w:highlight w:val="none"/>
              </w:rPr>
              <w:t>□</w:t>
            </w:r>
            <w:r>
              <w:rPr>
                <w:rFonts w:hint="eastAsia" w:ascii="宋体" w:hAnsi="宋体" w:cs="Times New Roman"/>
                <w:i w:val="0"/>
                <w:iCs w:val="0"/>
                <w:color w:val="auto"/>
                <w:kern w:val="2"/>
                <w:highlight w:val="none"/>
              </w:rPr>
              <w:t>（3）中标后由发承包双方另行约定；</w:t>
            </w:r>
          </w:p>
          <w:p w14:paraId="4EA16384">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kern w:val="2"/>
                <w:highlight w:val="none"/>
              </w:rPr>
            </w:pPr>
            <w:r>
              <w:rPr>
                <w:rFonts w:hint="eastAsia" w:ascii="宋体" w:hAnsi="宋体" w:cs="Times New Roman"/>
                <w:i w:val="0"/>
                <w:iCs w:val="0"/>
                <w:color w:val="auto"/>
                <w:kern w:val="2"/>
                <w:highlight w:val="none"/>
                <w:lang w:eastAsia="zh-CN"/>
              </w:rPr>
              <w:t>□</w:t>
            </w:r>
            <w:r>
              <w:rPr>
                <w:rFonts w:hint="eastAsia" w:ascii="宋体" w:hAnsi="宋体" w:cs="Times New Roman"/>
                <w:i w:val="0"/>
                <w:iCs w:val="0"/>
                <w:color w:val="auto"/>
                <w:kern w:val="2"/>
                <w:highlight w:val="none"/>
              </w:rPr>
              <w:t>（4）其他约定：</w:t>
            </w:r>
            <w:r>
              <w:rPr>
                <w:rFonts w:hint="eastAsia" w:ascii="宋体" w:hAnsi="宋体" w:cs="Times New Roman"/>
                <w:i w:val="0"/>
                <w:iCs w:val="0"/>
                <w:color w:val="auto"/>
                <w:kern w:val="2"/>
                <w:highlight w:val="none"/>
                <w:u w:val="single"/>
              </w:rPr>
              <w:t xml:space="preserve">    </w:t>
            </w:r>
            <w:r>
              <w:rPr>
                <w:rFonts w:hint="eastAsia" w:ascii="宋体" w:hAnsi="宋体" w:cs="Times New Roman"/>
                <w:i w:val="0"/>
                <w:iCs w:val="0"/>
                <w:color w:val="auto"/>
                <w:kern w:val="2"/>
                <w:highlight w:val="none"/>
                <w:u w:val="single"/>
                <w:lang w:val="en-US" w:eastAsia="zh-CN"/>
              </w:rPr>
              <w:t>/</w:t>
            </w:r>
            <w:r>
              <w:rPr>
                <w:rFonts w:hint="eastAsia" w:ascii="宋体" w:hAnsi="宋体" w:cs="Times New Roman"/>
                <w:i w:val="0"/>
                <w:iCs w:val="0"/>
                <w:color w:val="auto"/>
                <w:kern w:val="2"/>
                <w:highlight w:val="none"/>
                <w:u w:val="single"/>
              </w:rPr>
              <w:t xml:space="preserve">     </w:t>
            </w:r>
            <w:r>
              <w:rPr>
                <w:rFonts w:hint="eastAsia" w:ascii="宋体" w:hAnsi="宋体" w:cs="Times New Roman"/>
                <w:i w:val="0"/>
                <w:iCs w:val="0"/>
                <w:color w:val="auto"/>
                <w:kern w:val="2"/>
                <w:highlight w:val="none"/>
              </w:rPr>
              <w:t>。</w:t>
            </w:r>
          </w:p>
          <w:p w14:paraId="21ADF523">
            <w:pPr>
              <w:pStyle w:val="44"/>
              <w:keepNext w:val="0"/>
              <w:keepLines w:val="0"/>
              <w:suppressLineNumbers w:val="0"/>
              <w:snapToGrid w:val="0"/>
              <w:spacing w:before="0" w:beforeAutospacing="0" w:after="0" w:afterAutospacing="0"/>
              <w:ind w:left="0" w:right="0"/>
              <w:jc w:val="both"/>
              <w:rPr>
                <w:rFonts w:hint="eastAsia" w:ascii="宋体" w:hAnsi="Times New Roman" w:cs="Times New Roman"/>
                <w:i w:val="0"/>
                <w:iCs w:val="0"/>
                <w:color w:val="auto"/>
                <w:highlight w:val="none"/>
              </w:rPr>
            </w:pPr>
            <w:r>
              <w:rPr>
                <w:rFonts w:hint="eastAsia" w:ascii="宋体" w:hAnsi="宋体" w:cs="Times New Roman"/>
                <w:i w:val="0"/>
                <w:iCs w:val="0"/>
                <w:color w:val="auto"/>
                <w:kern w:val="2"/>
                <w:highlight w:val="none"/>
              </w:rPr>
              <w:t>2.其他：</w:t>
            </w:r>
            <w:r>
              <w:rPr>
                <w:rFonts w:hint="eastAsia" w:ascii="宋体" w:hAnsi="宋体" w:cs="Times New Roman"/>
                <w:i w:val="0"/>
                <w:iCs w:val="0"/>
                <w:color w:val="auto"/>
                <w:kern w:val="2"/>
                <w:highlight w:val="none"/>
                <w:u w:val="single"/>
              </w:rPr>
              <w:t xml:space="preserve">   </w:t>
            </w:r>
            <w:r>
              <w:rPr>
                <w:rFonts w:hint="eastAsia" w:ascii="宋体" w:hAnsi="宋体" w:cs="Times New Roman"/>
                <w:i w:val="0"/>
                <w:iCs w:val="0"/>
                <w:color w:val="auto"/>
                <w:kern w:val="2"/>
                <w:highlight w:val="none"/>
                <w:u w:val="single"/>
                <w:lang w:val="en-US" w:eastAsia="zh-CN"/>
              </w:rPr>
              <w:t>/</w:t>
            </w:r>
            <w:r>
              <w:rPr>
                <w:rFonts w:hint="eastAsia" w:ascii="宋体" w:hAnsi="宋体" w:cs="Times New Roman"/>
                <w:i w:val="0"/>
                <w:iCs w:val="0"/>
                <w:color w:val="auto"/>
                <w:kern w:val="2"/>
                <w:highlight w:val="none"/>
                <w:u w:val="single"/>
              </w:rPr>
              <w:t xml:space="preserve">     </w:t>
            </w:r>
            <w:r>
              <w:rPr>
                <w:rFonts w:hint="eastAsia" w:ascii="宋体" w:hAnsi="宋体" w:cs="Times New Roman"/>
                <w:i w:val="0"/>
                <w:iCs w:val="0"/>
                <w:color w:val="auto"/>
                <w:kern w:val="2"/>
                <w:highlight w:val="none"/>
              </w:rPr>
              <w:t>。</w:t>
            </w:r>
          </w:p>
        </w:tc>
      </w:tr>
      <w:tr w14:paraId="33F5B3B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D165A7">
            <w:pPr>
              <w:pStyle w:val="44"/>
              <w:keepNext w:val="0"/>
              <w:keepLines w:val="0"/>
              <w:suppressLineNumbers w:val="0"/>
              <w:kinsoku w:val="0"/>
              <w:spacing w:before="147"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1.4.3</w:t>
            </w:r>
          </w:p>
        </w:tc>
        <w:tc>
          <w:tcPr>
            <w:tcW w:w="1826" w:type="dxa"/>
            <w:tcBorders>
              <w:top w:val="single" w:color="000000" w:sz="4" w:space="0"/>
              <w:left w:val="nil"/>
              <w:bottom w:val="single" w:color="000000" w:sz="4" w:space="0"/>
              <w:right w:val="single" w:color="000000" w:sz="4" w:space="0"/>
            </w:tcBorders>
            <w:noWrap/>
            <w:vAlign w:val="center"/>
          </w:tcPr>
          <w:p w14:paraId="19B410A7">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33B3E83F">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采用资格后审</w:t>
            </w:r>
          </w:p>
        </w:tc>
      </w:tr>
      <w:tr w14:paraId="6ECEB42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7641B93">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1.5.1</w:t>
            </w:r>
          </w:p>
        </w:tc>
        <w:tc>
          <w:tcPr>
            <w:tcW w:w="1826" w:type="dxa"/>
            <w:tcBorders>
              <w:top w:val="single" w:color="000000" w:sz="4" w:space="0"/>
              <w:left w:val="nil"/>
              <w:bottom w:val="single" w:color="000000" w:sz="4" w:space="0"/>
              <w:right w:val="single" w:color="000000" w:sz="4" w:space="0"/>
            </w:tcBorders>
            <w:noWrap/>
            <w:vAlign w:val="center"/>
          </w:tcPr>
          <w:p w14:paraId="5AF01E12">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踏勘现场</w:t>
            </w:r>
          </w:p>
        </w:tc>
        <w:tc>
          <w:tcPr>
            <w:tcW w:w="6272" w:type="dxa"/>
            <w:tcBorders>
              <w:top w:val="single" w:color="000000" w:sz="4" w:space="0"/>
              <w:left w:val="nil"/>
              <w:bottom w:val="single" w:color="000000" w:sz="4" w:space="0"/>
              <w:right w:val="single" w:color="000000" w:sz="4" w:space="0"/>
            </w:tcBorders>
            <w:noWrap/>
            <w:vAlign w:val="center"/>
          </w:tcPr>
          <w:p w14:paraId="1825ED24">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Times New Roman" w:cs="Times New Roman"/>
                <w:i w:val="0"/>
                <w:iCs w:val="0"/>
                <w:color w:val="auto"/>
                <w:highlight w:val="none"/>
              </w:rPr>
              <w:t>投标人自行踏勘。</w:t>
            </w:r>
          </w:p>
          <w:p w14:paraId="65A3BB4D">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u w:val="single"/>
              </w:rPr>
            </w:pPr>
            <w:r>
              <w:rPr>
                <w:rFonts w:hint="eastAsia" w:ascii="宋体" w:hAnsi="宋体" w:cs="Times New Roman"/>
                <w:i w:val="0"/>
                <w:iCs w:val="0"/>
                <w:color w:val="auto"/>
                <w:highlight w:val="none"/>
              </w:rPr>
              <w:t>□由招标人组织，时间和地点：</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 xml:space="preserve"> ，联系人和联系电话：</w:t>
            </w:r>
            <w:r>
              <w:rPr>
                <w:rFonts w:hint="eastAsia" w:ascii="宋体" w:hAnsi="宋体" w:cs="Times New Roman"/>
                <w:i w:val="0"/>
                <w:iCs w:val="0"/>
                <w:color w:val="auto"/>
                <w:highlight w:val="none"/>
                <w:u w:val="single"/>
              </w:rPr>
              <w:t xml:space="preserve">                         </w:t>
            </w:r>
          </w:p>
        </w:tc>
      </w:tr>
      <w:tr w14:paraId="6D8FEB9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9B6514B">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1.6.1</w:t>
            </w:r>
          </w:p>
        </w:tc>
        <w:tc>
          <w:tcPr>
            <w:tcW w:w="1826" w:type="dxa"/>
            <w:tcBorders>
              <w:top w:val="single" w:color="000000" w:sz="4" w:space="0"/>
              <w:left w:val="nil"/>
              <w:bottom w:val="single" w:color="000000" w:sz="4" w:space="0"/>
              <w:right w:val="single" w:color="000000" w:sz="4" w:space="0"/>
            </w:tcBorders>
            <w:noWrap/>
            <w:vAlign w:val="center"/>
          </w:tcPr>
          <w:p w14:paraId="16498387">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投标预备会</w:t>
            </w:r>
          </w:p>
        </w:tc>
        <w:tc>
          <w:tcPr>
            <w:tcW w:w="6272" w:type="dxa"/>
            <w:tcBorders>
              <w:top w:val="single" w:color="000000" w:sz="4" w:space="0"/>
              <w:left w:val="nil"/>
              <w:bottom w:val="single" w:color="000000" w:sz="4" w:space="0"/>
              <w:right w:val="single" w:color="000000" w:sz="4" w:space="0"/>
            </w:tcBorders>
            <w:noWrap/>
            <w:vAlign w:val="center"/>
          </w:tcPr>
          <w:p w14:paraId="2DF0A2D8">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不召开</w:t>
            </w:r>
          </w:p>
          <w:p w14:paraId="60F3F20A">
            <w:pPr>
              <w:pStyle w:val="44"/>
              <w:keepNext w:val="0"/>
              <w:keepLines w:val="0"/>
              <w:suppressLineNumbers w:val="0"/>
              <w:kinsoku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rPr>
              <w:t>□召开，召开时间：</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p w14:paraId="5953EE6B">
            <w:pPr>
              <w:pStyle w:val="44"/>
              <w:keepNext w:val="0"/>
              <w:keepLines w:val="0"/>
              <w:suppressLineNumbers w:val="0"/>
              <w:kinsoku w:val="0"/>
              <w:spacing w:before="0" w:beforeAutospacing="0" w:after="0" w:afterAutospacing="0"/>
              <w:ind w:left="0" w:right="0"/>
              <w:jc w:val="both"/>
              <w:rPr>
                <w:rFonts w:hint="default" w:ascii="Times New Roman" w:hAnsi="Times New Roman" w:cs="Times New Roman"/>
                <w:i w:val="0"/>
                <w:iCs w:val="0"/>
                <w:color w:val="auto"/>
                <w:kern w:val="2"/>
                <w:highlight w:val="none"/>
              </w:rPr>
            </w:pPr>
            <w:r>
              <w:rPr>
                <w:rFonts w:hint="eastAsia" w:ascii="宋体" w:hAnsi="Times New Roman" w:cs="Times New Roman"/>
                <w:i w:val="0"/>
                <w:iCs w:val="0"/>
                <w:color w:val="auto"/>
                <w:highlight w:val="none"/>
              </w:rPr>
              <w:t>召开地点：</w:t>
            </w:r>
            <w:r>
              <w:rPr>
                <w:rFonts w:hint="eastAsia" w:ascii="宋体" w:hAnsi="Times New Roman" w:cs="Times New Roman"/>
                <w:i w:val="0"/>
                <w:iCs w:val="0"/>
                <w:color w:val="auto"/>
                <w:highlight w:val="none"/>
                <w:u w:val="single"/>
              </w:rPr>
              <w:t xml:space="preserve">                          </w:t>
            </w:r>
            <w:r>
              <w:rPr>
                <w:rFonts w:hint="eastAsia" w:ascii="宋体" w:hAnsi="Times New Roman" w:cs="Times New Roman"/>
                <w:i w:val="0"/>
                <w:iCs w:val="0"/>
                <w:color w:val="auto"/>
                <w:highlight w:val="none"/>
              </w:rPr>
              <w:t>。</w:t>
            </w:r>
          </w:p>
        </w:tc>
      </w:tr>
      <w:tr w14:paraId="5EB18154">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6B185ED">
            <w:pPr>
              <w:pStyle w:val="44"/>
              <w:keepNext w:val="0"/>
              <w:keepLines w:val="0"/>
              <w:suppressLineNumbers w:val="0"/>
              <w:kinsoku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Times New Roman" w:cs="Times New Roman"/>
                <w:i w:val="0"/>
                <w:iCs w:val="0"/>
                <w:color w:val="auto"/>
                <w:highlight w:val="none"/>
              </w:rPr>
              <w:t>1.7</w:t>
            </w:r>
          </w:p>
        </w:tc>
        <w:tc>
          <w:tcPr>
            <w:tcW w:w="1826" w:type="dxa"/>
            <w:tcBorders>
              <w:top w:val="single" w:color="000000" w:sz="4" w:space="0"/>
              <w:left w:val="nil"/>
              <w:bottom w:val="single" w:color="000000" w:sz="4" w:space="0"/>
              <w:right w:val="single" w:color="000000" w:sz="4" w:space="0"/>
            </w:tcBorders>
            <w:noWrap/>
            <w:vAlign w:val="center"/>
          </w:tcPr>
          <w:p w14:paraId="7DFEE11D">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0EA36AB0">
            <w:pPr>
              <w:pStyle w:val="44"/>
              <w:keepNext w:val="0"/>
              <w:keepLines w:val="0"/>
              <w:suppressLineNumbers w:val="0"/>
              <w:kinsoku w:val="0"/>
              <w:spacing w:before="0" w:beforeAutospacing="0" w:after="0" w:afterAutospacing="0"/>
              <w:ind w:left="0" w:right="0"/>
              <w:rPr>
                <w:rFonts w:hint="default" w:ascii="宋体" w:hAnsi="Times New Roman" w:cs="Times New Roman"/>
                <w:i w:val="0"/>
                <w:iCs w:val="0"/>
                <w:color w:val="auto"/>
                <w:highlight w:val="none"/>
              </w:rPr>
            </w:pPr>
            <w:r>
              <w:rPr>
                <w:rFonts w:hint="eastAsia" w:ascii="宋体" w:hAnsi="宋体" w:cs="Times New Roman"/>
                <w:i w:val="0"/>
                <w:iCs w:val="0"/>
                <w:color w:val="auto"/>
                <w:highlight w:val="none"/>
              </w:rPr>
              <w:t>□不允许</w:t>
            </w:r>
          </w:p>
          <w:p w14:paraId="28E74C19">
            <w:pPr>
              <w:pStyle w:val="44"/>
              <w:keepNext w:val="0"/>
              <w:keepLines w:val="0"/>
              <w:suppressLineNumbers w:val="0"/>
              <w:kinsoku w:val="0"/>
              <w:spacing w:before="0" w:beforeAutospacing="0" w:after="0" w:afterAutospacing="0"/>
              <w:ind w:left="0" w:right="0"/>
              <w:rPr>
                <w:rFonts w:hint="default" w:ascii="宋体" w:hAnsi="Times New Roman" w:cs="Times New Roman"/>
                <w:i w:val="0"/>
                <w:iCs w:val="0"/>
                <w:color w:val="auto"/>
                <w:highlight w:val="none"/>
                <w:u w:val="singl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允许。分包的工程内容：</w:t>
            </w:r>
            <w:r>
              <w:rPr>
                <w:rFonts w:hint="eastAsia" w:ascii="宋体" w:hAnsi="宋体" w:cs="Times New Roman"/>
                <w:i w:val="0"/>
                <w:iCs w:val="0"/>
                <w:color w:val="auto"/>
                <w:highlight w:val="none"/>
                <w:u w:val="single"/>
              </w:rPr>
              <w:t>非主体结构、非关键工作承包人可以根据自身实际按照《房屋建筑和市政基础设施工程施工分包管理办法》（建设部令124号）的要求选择分包人且分包单位需征得发包人同意，但发包人不支付专业发包工程管理费。</w:t>
            </w:r>
          </w:p>
          <w:p w14:paraId="62BE88D7">
            <w:pPr>
              <w:pStyle w:val="44"/>
              <w:keepNext w:val="0"/>
              <w:keepLines w:val="0"/>
              <w:suppressLineNumbers w:val="0"/>
              <w:kinsoku w:val="0"/>
              <w:spacing w:before="0" w:beforeAutospacing="0" w:after="0" w:afterAutospacing="0"/>
              <w:ind w:left="0" w:right="0" w:firstLine="960" w:firstLineChars="400"/>
              <w:rPr>
                <w:rFonts w:hint="default" w:ascii="宋体" w:hAnsi="Times New Roman" w:cs="Times New Roman"/>
                <w:i w:val="0"/>
                <w:iCs w:val="0"/>
                <w:color w:val="auto"/>
                <w:highlight w:val="none"/>
                <w:u w:val="single"/>
              </w:rPr>
            </w:pPr>
            <w:r>
              <w:rPr>
                <w:rFonts w:hint="eastAsia" w:ascii="宋体" w:hAnsi="Times New Roman" w:cs="Times New Roman"/>
                <w:i w:val="0"/>
                <w:iCs w:val="0"/>
                <w:color w:val="auto"/>
                <w:highlight w:val="none"/>
              </w:rPr>
              <w:t>分包金额要求：</w:t>
            </w:r>
            <w:r>
              <w:rPr>
                <w:rFonts w:hint="eastAsia" w:ascii="宋体" w:hAnsi="Times New Roman" w:cs="Times New Roman"/>
                <w:i w:val="0"/>
                <w:iCs w:val="0"/>
                <w:color w:val="auto"/>
                <w:highlight w:val="none"/>
                <w:u w:val="single"/>
              </w:rPr>
              <w:t xml:space="preserve">                       </w:t>
            </w:r>
          </w:p>
          <w:p w14:paraId="20E39E5A">
            <w:pPr>
              <w:pStyle w:val="44"/>
              <w:keepNext w:val="0"/>
              <w:keepLines w:val="0"/>
              <w:suppressLineNumbers w:val="0"/>
              <w:kinsoku w:val="0"/>
              <w:spacing w:before="0" w:beforeAutospacing="0" w:after="0" w:afterAutospacing="0"/>
              <w:ind w:left="0" w:right="0" w:firstLine="960" w:firstLineChars="400"/>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分包企业应符合规定的资格要求。</w:t>
            </w:r>
          </w:p>
        </w:tc>
      </w:tr>
      <w:tr w14:paraId="524C2534">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58A17D3">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1.8.1</w:t>
            </w:r>
          </w:p>
        </w:tc>
        <w:tc>
          <w:tcPr>
            <w:tcW w:w="1826" w:type="dxa"/>
            <w:tcBorders>
              <w:top w:val="single" w:color="000000" w:sz="4" w:space="0"/>
              <w:left w:val="nil"/>
              <w:bottom w:val="single" w:color="000000" w:sz="4" w:space="0"/>
              <w:right w:val="single" w:color="000000" w:sz="4" w:space="0"/>
            </w:tcBorders>
            <w:noWrap/>
            <w:vAlign w:val="center"/>
          </w:tcPr>
          <w:p w14:paraId="729ED64C">
            <w:pPr>
              <w:pStyle w:val="44"/>
              <w:keepNext w:val="0"/>
              <w:keepLines w:val="0"/>
              <w:suppressLineNumbers w:val="0"/>
              <w:kinsoku w:val="0"/>
              <w:spacing w:before="107"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实质性要求和条件</w:t>
            </w:r>
          </w:p>
        </w:tc>
        <w:tc>
          <w:tcPr>
            <w:tcW w:w="6272" w:type="dxa"/>
            <w:tcBorders>
              <w:top w:val="single" w:color="000000" w:sz="4" w:space="0"/>
              <w:left w:val="nil"/>
              <w:bottom w:val="single" w:color="000000" w:sz="4" w:space="0"/>
              <w:right w:val="single" w:color="000000" w:sz="4" w:space="0"/>
            </w:tcBorders>
            <w:noWrap/>
            <w:vAlign w:val="top"/>
          </w:tcPr>
          <w:p w14:paraId="71F9A927">
            <w:pPr>
              <w:pStyle w:val="44"/>
              <w:keepNext w:val="0"/>
              <w:keepLines w:val="0"/>
              <w:suppressLineNumbers w:val="0"/>
              <w:kinsoku w:val="0"/>
              <w:spacing w:before="0" w:beforeAutospacing="0" w:after="0" w:afterAutospacing="0"/>
              <w:ind w:left="0" w:right="0"/>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详见招标公告或者投标邀请书</w:t>
            </w:r>
          </w:p>
          <w:p w14:paraId="28F45AF0">
            <w:pPr>
              <w:pStyle w:val="44"/>
              <w:keepNext w:val="0"/>
              <w:keepLines w:val="0"/>
              <w:suppressLineNumbers w:val="0"/>
              <w:kinsoku w:val="0"/>
              <w:spacing w:before="0" w:beforeAutospacing="0" w:after="0" w:afterAutospacing="0"/>
              <w:ind w:left="0" w:right="0"/>
              <w:rPr>
                <w:rFonts w:hint="default" w:ascii="宋体" w:hAnsi="Times New Roman" w:cs="Times New Roman"/>
                <w:i w:val="0"/>
                <w:iCs w:val="0"/>
                <w:color w:val="auto"/>
                <w:spacing w:val="-103"/>
                <w:highlight w:val="none"/>
                <w:u w:val="single"/>
              </w:rPr>
            </w:pPr>
            <w:r>
              <w:rPr>
                <w:rFonts w:hint="eastAsia" w:ascii="宋体" w:hAnsi="Times New Roman" w:cs="Times New Roman"/>
                <w:i w:val="0"/>
                <w:iCs w:val="0"/>
                <w:color w:val="auto"/>
                <w:highlight w:val="none"/>
              </w:rPr>
              <w:t>其他要求：</w:t>
            </w:r>
            <w:r>
              <w:rPr>
                <w:rFonts w:hint="eastAsia" w:ascii="宋体" w:hAnsi="Times New Roman" w:cs="Times New Roman"/>
                <w:i w:val="0"/>
                <w:iCs w:val="0"/>
                <w:color w:val="auto"/>
                <w:highlight w:val="none"/>
                <w:u w:val="single"/>
              </w:rPr>
              <w:t xml:space="preserve">      </w:t>
            </w:r>
            <w:r>
              <w:rPr>
                <w:rFonts w:hint="eastAsia" w:ascii="宋体" w:hAnsi="Times New Roman" w:cs="Times New Roman"/>
                <w:i w:val="0"/>
                <w:iCs w:val="0"/>
                <w:color w:val="auto"/>
                <w:highlight w:val="none"/>
                <w:u w:val="single"/>
                <w:lang w:val="en-US" w:eastAsia="zh-CN"/>
              </w:rPr>
              <w:t>/</w:t>
            </w:r>
            <w:r>
              <w:rPr>
                <w:rFonts w:hint="eastAsia" w:ascii="宋体" w:hAnsi="Times New Roman" w:cs="Times New Roman"/>
                <w:i w:val="0"/>
                <w:iCs w:val="0"/>
                <w:color w:val="auto"/>
                <w:highlight w:val="none"/>
                <w:u w:val="single"/>
              </w:rPr>
              <w:t xml:space="preserve">                 </w:t>
            </w:r>
            <w:r>
              <w:rPr>
                <w:rFonts w:hint="eastAsia" w:ascii="宋体" w:hAnsi="Times New Roman" w:cs="Times New Roman"/>
                <w:i w:val="0"/>
                <w:iCs w:val="0"/>
                <w:color w:val="auto"/>
                <w:highlight w:val="none"/>
              </w:rPr>
              <w:t>。</w:t>
            </w:r>
          </w:p>
        </w:tc>
      </w:tr>
      <w:tr w14:paraId="274ECB0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A290BDE">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1.8.2</w:t>
            </w:r>
          </w:p>
        </w:tc>
        <w:tc>
          <w:tcPr>
            <w:tcW w:w="1826" w:type="dxa"/>
            <w:tcBorders>
              <w:top w:val="single" w:color="000000" w:sz="4" w:space="0"/>
              <w:left w:val="nil"/>
              <w:bottom w:val="single" w:color="000000" w:sz="4" w:space="0"/>
              <w:right w:val="single" w:color="000000" w:sz="4" w:space="0"/>
            </w:tcBorders>
            <w:noWrap/>
            <w:vAlign w:val="center"/>
          </w:tcPr>
          <w:p w14:paraId="5C162411">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偏差</w:t>
            </w:r>
          </w:p>
        </w:tc>
        <w:tc>
          <w:tcPr>
            <w:tcW w:w="6272" w:type="dxa"/>
            <w:tcBorders>
              <w:top w:val="single" w:color="000000" w:sz="4" w:space="0"/>
              <w:left w:val="nil"/>
              <w:bottom w:val="single" w:color="000000" w:sz="4" w:space="0"/>
              <w:right w:val="single" w:color="000000" w:sz="4" w:space="0"/>
            </w:tcBorders>
            <w:noWrap/>
            <w:vAlign w:val="center"/>
          </w:tcPr>
          <w:p w14:paraId="0CA7E402">
            <w:pPr>
              <w:pStyle w:val="44"/>
              <w:keepNext w:val="0"/>
              <w:keepLines w:val="0"/>
              <w:suppressLineNumbers w:val="0"/>
              <w:kinsoku w:val="0"/>
              <w:snapToGrid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不允许</w:t>
            </w:r>
          </w:p>
          <w:p w14:paraId="06F9A7F8">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□允许偏差的内容、范围和幅度：</w:t>
            </w:r>
            <w:r>
              <w:rPr>
                <w:rFonts w:hint="eastAsia" w:ascii="宋体" w:hAnsi="宋体" w:cs="Times New Roman"/>
                <w:i w:val="0"/>
                <w:iCs w:val="0"/>
                <w:color w:val="auto"/>
                <w:highlight w:val="none"/>
                <w:u w:val="single"/>
              </w:rPr>
              <w:t xml:space="preserve">                 </w:t>
            </w:r>
          </w:p>
        </w:tc>
      </w:tr>
      <w:tr w14:paraId="56807032">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EC76A6F">
            <w:pPr>
              <w:pStyle w:val="44"/>
              <w:keepNext w:val="0"/>
              <w:keepLines w:val="0"/>
              <w:suppressLineNumbers w:val="0"/>
              <w:kinsoku w:val="0"/>
              <w:spacing w:before="156" w:beforeAutospacing="0" w:after="0" w:afterAutospacing="0"/>
              <w:ind w:left="2"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2.1</w:t>
            </w:r>
          </w:p>
        </w:tc>
        <w:tc>
          <w:tcPr>
            <w:tcW w:w="1826" w:type="dxa"/>
            <w:tcBorders>
              <w:top w:val="single" w:color="000000" w:sz="4" w:space="0"/>
              <w:left w:val="nil"/>
              <w:bottom w:val="single" w:color="000000" w:sz="4" w:space="0"/>
              <w:right w:val="single" w:color="000000" w:sz="4" w:space="0"/>
            </w:tcBorders>
            <w:noWrap/>
            <w:vAlign w:val="center"/>
          </w:tcPr>
          <w:p w14:paraId="3589EF57">
            <w:pPr>
              <w:pStyle w:val="44"/>
              <w:keepNext w:val="0"/>
              <w:keepLines w:val="0"/>
              <w:suppressLineNumbers w:val="0"/>
              <w:kinsoku w:val="0"/>
              <w:spacing w:before="107"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1E99E8A0">
            <w:pPr>
              <w:pStyle w:val="44"/>
              <w:keepNext w:val="0"/>
              <w:keepLines w:val="0"/>
              <w:suppressLineNumbers w:val="0"/>
              <w:kinsoku w:val="0"/>
              <w:snapToGrid w:val="0"/>
              <w:spacing w:before="0" w:beforeAutospacing="0" w:after="0" w:afterAutospacing="0"/>
              <w:ind w:left="0" w:right="0"/>
              <w:jc w:val="both"/>
              <w:rPr>
                <w:rFonts w:hint="default" w:ascii="宋体" w:hAnsi="Times New Roman" w:cs="Times New Roman"/>
                <w:i w:val="0"/>
                <w:iCs w:val="0"/>
                <w:color w:val="auto"/>
                <w:highlight w:val="none"/>
                <w:u w:val="single"/>
              </w:rPr>
            </w:pPr>
            <w:r>
              <w:rPr>
                <w:rFonts w:hint="eastAsia" w:ascii="宋体" w:hAnsi="宋体" w:cs="Times New Roman"/>
                <w:i w:val="0"/>
                <w:iCs w:val="0"/>
                <w:color w:val="auto"/>
                <w:highlight w:val="none"/>
                <w:lang w:bidi="ar"/>
              </w:rPr>
              <w:sym w:font="Wingdings 2" w:char="00A3"/>
            </w:r>
            <w:r>
              <w:rPr>
                <w:rFonts w:hint="eastAsia" w:ascii="Times New Roman" w:hAnsi="Times New Roman" w:cs="Times New Roman"/>
                <w:i w:val="0"/>
                <w:iCs w:val="0"/>
                <w:color w:val="auto"/>
                <w:highlight w:val="none"/>
              </w:rPr>
              <w:t>招标控制价及明细（由当地招投标主管部门确定，公布至分部分项工程和施工技术措施项目计价表层级）</w:t>
            </w:r>
          </w:p>
        </w:tc>
      </w:tr>
      <w:tr w14:paraId="13798B71">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603251BC">
            <w:pPr>
              <w:pStyle w:val="44"/>
              <w:keepNext w:val="0"/>
              <w:keepLines w:val="0"/>
              <w:suppressLineNumbers w:val="0"/>
              <w:kinsoku w:val="0"/>
              <w:spacing w:before="15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2.2.1</w:t>
            </w:r>
          </w:p>
          <w:p w14:paraId="27BF6486">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1043EE38">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7E38A83C">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截止时间：</w:t>
            </w:r>
            <w:r>
              <w:rPr>
                <w:rFonts w:hint="eastAsia" w:ascii="宋体" w:hAnsi="宋体" w:cs="Times New Roman"/>
                <w:i w:val="0"/>
                <w:iCs w:val="0"/>
                <w:color w:val="auto"/>
                <w:highlight w:val="none"/>
                <w:u w:val="single"/>
                <w:lang w:val="en-US" w:eastAsia="zh-CN"/>
              </w:rPr>
              <w:t>2026</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年</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月</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日</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17</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时（投标人在截止时间以后提出的澄清招标文件的要求，招标人可以拒绝受理）</w:t>
            </w:r>
          </w:p>
          <w:p w14:paraId="7B20F83F">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 xml:space="preserve">提交方式: </w:t>
            </w:r>
            <w:r>
              <w:rPr>
                <w:rFonts w:hint="eastAsia" w:ascii="Times New Roman" w:hAnsi="Times New Roman" w:cs="Times New Roman"/>
                <w:i w:val="0"/>
                <w:iCs w:val="0"/>
                <w:color w:val="auto"/>
                <w:highlight w:val="none"/>
                <w:u w:val="single"/>
              </w:rPr>
              <w:t>请在上述时间前将加盖电子公章的PDF格式的投标提问书发送至</w:t>
            </w:r>
            <w:r>
              <w:rPr>
                <w:rFonts w:hint="eastAsia" w:ascii="Times New Roman" w:hAnsi="Times New Roman" w:cs="Times New Roman"/>
                <w:i w:val="0"/>
                <w:iCs w:val="0"/>
                <w:color w:val="auto"/>
                <w:highlight w:val="none"/>
                <w:u w:val="single"/>
                <w:lang w:eastAsia="zh-CN"/>
              </w:rPr>
              <w:t>179826843@qq.com</w:t>
            </w:r>
            <w:r>
              <w:rPr>
                <w:rFonts w:hint="eastAsia" w:ascii="Times New Roman" w:hAnsi="宋体" w:cs="Times New Roman"/>
                <w:bCs/>
                <w:i w:val="0"/>
                <w:iCs w:val="0"/>
                <w:color w:val="auto"/>
                <w:sz w:val="21"/>
                <w:szCs w:val="21"/>
                <w:highlight w:val="none"/>
              </w:rPr>
              <w:t>。</w:t>
            </w:r>
          </w:p>
          <w:p w14:paraId="6D37ACE6">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联系方式：</w:t>
            </w:r>
            <w:r>
              <w:rPr>
                <w:rFonts w:hint="eastAsia" w:ascii="Times New Roman" w:hAnsi="Times New Roman" w:eastAsia="宋体" w:cs="Times New Roman"/>
                <w:i w:val="0"/>
                <w:iCs w:val="0"/>
                <w:color w:val="auto"/>
                <w:highlight w:val="none"/>
                <w:u w:val="single"/>
                <w:lang w:eastAsia="zh-CN"/>
              </w:rPr>
              <w:t>13675755431</w:t>
            </w:r>
            <w:r>
              <w:rPr>
                <w:rFonts w:hint="eastAsia" w:ascii="宋体" w:hAnsi="宋体" w:cs="Times New Roman"/>
                <w:i w:val="0"/>
                <w:iCs w:val="0"/>
                <w:color w:val="auto"/>
                <w:highlight w:val="none"/>
              </w:rPr>
              <w:t>联系人：</w:t>
            </w:r>
            <w:r>
              <w:rPr>
                <w:rFonts w:hint="eastAsia" w:ascii="Times New Roman" w:hAnsi="宋体" w:cs="Times New Roman"/>
                <w:bCs/>
                <w:i w:val="0"/>
                <w:iCs w:val="0"/>
                <w:color w:val="auto"/>
                <w:highlight w:val="none"/>
                <w:u w:val="single"/>
                <w:lang w:val="en-US" w:eastAsia="zh-CN"/>
              </w:rPr>
              <w:t>金国祥</w:t>
            </w:r>
          </w:p>
        </w:tc>
      </w:tr>
      <w:tr w14:paraId="4AAF5DDA">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noWrap w:val="0"/>
            <w:vAlign w:val="center"/>
          </w:tcPr>
          <w:p w14:paraId="6FDEDF3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23E065BA">
            <w:pPr>
              <w:pStyle w:val="44"/>
              <w:keepNext w:val="0"/>
              <w:keepLines w:val="0"/>
              <w:suppressLineNumbers w:val="0"/>
              <w:kinsoku w:val="0"/>
              <w:spacing w:before="107"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招标文件澄清</w:t>
            </w:r>
          </w:p>
          <w:p w14:paraId="4881C667">
            <w:pPr>
              <w:pStyle w:val="44"/>
              <w:keepNext w:val="0"/>
              <w:keepLines w:val="0"/>
              <w:suppressLineNumbers w:val="0"/>
              <w:kinsoku w:val="0"/>
              <w:spacing w:before="107"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发出的形式</w:t>
            </w:r>
          </w:p>
        </w:tc>
        <w:tc>
          <w:tcPr>
            <w:tcW w:w="6272" w:type="dxa"/>
            <w:tcBorders>
              <w:top w:val="single" w:color="000000" w:sz="4" w:space="0"/>
              <w:left w:val="nil"/>
              <w:bottom w:val="single" w:color="000000" w:sz="4" w:space="0"/>
              <w:right w:val="single" w:color="000000" w:sz="4" w:space="0"/>
            </w:tcBorders>
            <w:noWrap/>
            <w:vAlign w:val="center"/>
          </w:tcPr>
          <w:p w14:paraId="58381FF8">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招标人对投标人疑问作出统一的解答，并以招标补充文件的形式发出。</w:t>
            </w:r>
          </w:p>
          <w:p w14:paraId="69DEAF70">
            <w:pPr>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rPr>
              <w:t>在当地</w:t>
            </w:r>
            <w:r>
              <w:rPr>
                <w:rFonts w:hint="eastAsia" w:ascii="宋体" w:hAnsi="宋体" w:cs="Times New Roman"/>
                <w:i w:val="0"/>
                <w:iCs w:val="0"/>
                <w:color w:val="auto"/>
                <w:highlight w:val="none"/>
                <w:u w:val="single"/>
              </w:rPr>
              <w:t>招投标交易平台（即绍兴市公共资源交易中心电子招</w:t>
            </w:r>
          </w:p>
          <w:p w14:paraId="212B8849">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rPr>
              <w:t>投标交易平台（ http://220.187.225.202:8088/TPBidder-ztk/memberLogin）</w:t>
            </w:r>
            <w:r>
              <w:rPr>
                <w:rFonts w:hint="eastAsia" w:ascii="宋体" w:hAnsi="宋体" w:cs="Times New Roman"/>
                <w:i w:val="0"/>
                <w:iCs w:val="0"/>
                <w:color w:val="auto"/>
                <w:highlight w:val="none"/>
              </w:rPr>
              <w:t>上公开发布。在开标前，投标人须随时关注网站的最新答疑信息，自行下载。</w:t>
            </w:r>
          </w:p>
        </w:tc>
      </w:tr>
      <w:tr w14:paraId="7F2DBDB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5380DCD">
            <w:pPr>
              <w:pStyle w:val="44"/>
              <w:keepNext w:val="0"/>
              <w:keepLines w:val="0"/>
              <w:suppressLineNumbers w:val="0"/>
              <w:kinsoku w:val="0"/>
              <w:spacing w:before="15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2.2.3</w:t>
            </w:r>
          </w:p>
        </w:tc>
        <w:tc>
          <w:tcPr>
            <w:tcW w:w="1826" w:type="dxa"/>
            <w:tcBorders>
              <w:top w:val="single" w:color="000000" w:sz="4" w:space="0"/>
              <w:left w:val="nil"/>
              <w:bottom w:val="single" w:color="000000" w:sz="4" w:space="0"/>
              <w:right w:val="single" w:color="000000" w:sz="4" w:space="0"/>
            </w:tcBorders>
            <w:noWrap/>
            <w:vAlign w:val="center"/>
          </w:tcPr>
          <w:p w14:paraId="162D762F">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投标人确认</w:t>
            </w:r>
          </w:p>
          <w:p w14:paraId="1ABAE366">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5B114272">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潜在投标人应自行关注当地</w:t>
            </w:r>
            <w:r>
              <w:rPr>
                <w:rFonts w:hint="eastAsia" w:ascii="宋体" w:hAnsi="宋体" w:cs="Times New Roman"/>
                <w:i w:val="0"/>
                <w:iCs w:val="0"/>
                <w:color w:val="auto"/>
                <w:highlight w:val="none"/>
                <w:u w:val="single"/>
              </w:rPr>
              <w:t>招投标交易平台（即绍兴市公共资源交易中心电子招投标交易平台（ http://220.187.225.202:8088/TPBidder-ztk/memberLogin）</w:t>
            </w:r>
            <w:r>
              <w:rPr>
                <w:rFonts w:hint="eastAsia" w:ascii="宋体" w:hAnsi="宋体" w:cs="Times New Roman"/>
                <w:i w:val="0"/>
                <w:iCs w:val="0"/>
                <w:color w:val="auto"/>
                <w:highlight w:val="none"/>
              </w:rPr>
              <w:t>发布的补充文件信息，招标人不再逐一通知。投标人因自身贻误行为导致投标失败的，责任自负。</w:t>
            </w:r>
          </w:p>
        </w:tc>
      </w:tr>
      <w:tr w14:paraId="0DDCD555">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3C55B07">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2.3.1</w:t>
            </w:r>
          </w:p>
        </w:tc>
        <w:tc>
          <w:tcPr>
            <w:tcW w:w="1826" w:type="dxa"/>
            <w:tcBorders>
              <w:top w:val="single" w:color="000000" w:sz="4" w:space="0"/>
              <w:left w:val="nil"/>
              <w:bottom w:val="single" w:color="000000" w:sz="4" w:space="0"/>
              <w:right w:val="single" w:color="000000" w:sz="4" w:space="0"/>
            </w:tcBorders>
            <w:noWrap/>
            <w:vAlign w:val="center"/>
          </w:tcPr>
          <w:p w14:paraId="50C434CB">
            <w:pPr>
              <w:pStyle w:val="44"/>
              <w:keepNext w:val="0"/>
              <w:keepLines w:val="0"/>
              <w:suppressLineNumbers w:val="0"/>
              <w:kinsoku w:val="0"/>
              <w:spacing w:before="9"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657C0019">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同2.2.1</w:t>
            </w:r>
          </w:p>
        </w:tc>
      </w:tr>
      <w:tr w14:paraId="4F35A1F8">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736BB8F">
            <w:pPr>
              <w:pStyle w:val="44"/>
              <w:keepNext w:val="0"/>
              <w:keepLines w:val="0"/>
              <w:suppressLineNumbers w:val="0"/>
              <w:kinsoku w:val="0"/>
              <w:snapToGrid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3.1</w:t>
            </w:r>
          </w:p>
        </w:tc>
        <w:tc>
          <w:tcPr>
            <w:tcW w:w="1826" w:type="dxa"/>
            <w:tcBorders>
              <w:top w:val="single" w:color="000000" w:sz="4" w:space="0"/>
              <w:left w:val="nil"/>
              <w:bottom w:val="single" w:color="000000" w:sz="4" w:space="0"/>
              <w:right w:val="single" w:color="000000" w:sz="4" w:space="0"/>
            </w:tcBorders>
            <w:noWrap/>
            <w:vAlign w:val="center"/>
          </w:tcPr>
          <w:p w14:paraId="53FBB23F">
            <w:pPr>
              <w:pStyle w:val="44"/>
              <w:keepNext w:val="0"/>
              <w:keepLines w:val="0"/>
              <w:suppressLineNumbers w:val="0"/>
              <w:kinsoku w:val="0"/>
              <w:spacing w:before="108"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6905A1AB">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（一）商务标</w:t>
            </w:r>
          </w:p>
          <w:p w14:paraId="4196F731">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1.商务标封面及目录</w:t>
            </w:r>
          </w:p>
          <w:p w14:paraId="6133B0BB">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2.投标函</w:t>
            </w:r>
          </w:p>
          <w:p w14:paraId="1A029047">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3.投标函附录</w:t>
            </w:r>
          </w:p>
          <w:p w14:paraId="2D57E2B6">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4.投标报价（含已标明价格的工程量清单、投标总价封面、报价说明等）</w:t>
            </w:r>
          </w:p>
          <w:p w14:paraId="11AF80C0">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 xml:space="preserve"> 工程量清单及计价表式（投标时仅提供电子版本，中标单位在中标后7日内提供1套纸质文本）为：</w:t>
            </w:r>
          </w:p>
          <w:p w14:paraId="2B5268B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(1)投标报价封面</w:t>
            </w:r>
          </w:p>
          <w:p w14:paraId="54C1983E">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(2)投标报价扉页</w:t>
            </w:r>
          </w:p>
          <w:p w14:paraId="6B3A970E">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(3)编制说明</w:t>
            </w:r>
          </w:p>
          <w:p w14:paraId="1613E1A3">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(4)投标报价费用表</w:t>
            </w:r>
          </w:p>
          <w:p w14:paraId="00C7D2D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(5)单位（专业）工程投标报价费用表</w:t>
            </w:r>
          </w:p>
          <w:p w14:paraId="703E21E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(6)分部分项工程和施工技术措施费项目清单与计价表</w:t>
            </w:r>
          </w:p>
          <w:p w14:paraId="691E09C1">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(7)综合单价计算表</w:t>
            </w:r>
          </w:p>
          <w:p w14:paraId="54433D7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(8)综合单价工料机分析表</w:t>
            </w:r>
          </w:p>
          <w:p w14:paraId="7424364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(9)施工组织（总价）措施项目清单与计价表</w:t>
            </w:r>
          </w:p>
          <w:p w14:paraId="112BEC9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(10)其他项目清单与计价汇总表</w:t>
            </w:r>
          </w:p>
          <w:p w14:paraId="22123B0B">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(11)暂列金额明细表</w:t>
            </w:r>
          </w:p>
          <w:p w14:paraId="14D52971">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(12)材料（工程设备）暂估单价及调整表</w:t>
            </w:r>
          </w:p>
          <w:p w14:paraId="122AC62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(13)专业工程暂估价表</w:t>
            </w:r>
          </w:p>
          <w:p w14:paraId="1BDBCDDE">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(14)专项技术措施暂估价表</w:t>
            </w:r>
          </w:p>
          <w:p w14:paraId="411E3873">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(15)计日工表</w:t>
            </w:r>
          </w:p>
          <w:p w14:paraId="20306AAE">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(16)总承包服务费计价表</w:t>
            </w:r>
          </w:p>
          <w:p w14:paraId="4B75F7C5">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(17)主要工日一览表</w:t>
            </w:r>
          </w:p>
          <w:p w14:paraId="36B6F42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(18)发包人提供材料和设备一览表</w:t>
            </w:r>
          </w:p>
          <w:p w14:paraId="5380B601">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(19)主要材料和工程设备一览表</w:t>
            </w:r>
          </w:p>
          <w:p w14:paraId="2AC22813">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(20)主要机械台班一览表</w:t>
            </w:r>
          </w:p>
          <w:p w14:paraId="63B9EF78">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招标人根据拟建工程的构成、发包方式及报价要求，将在工程量清单编制总说明中明确投标人具体需填报的表格。</w:t>
            </w:r>
          </w:p>
          <w:p w14:paraId="121D9A74">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sym w:font="Wingdings 2" w:char="00A3"/>
            </w:r>
            <w:r>
              <w:rPr>
                <w:rFonts w:hint="eastAsia" w:ascii="宋体" w:hAnsi="宋体" w:cs="Times New Roman"/>
                <w:i w:val="0"/>
                <w:iCs w:val="0"/>
                <w:color w:val="auto"/>
                <w:highlight w:val="none"/>
              </w:rPr>
              <w:t>5.招标文件要求投标人提交的其它投标资料（商务）:</w:t>
            </w:r>
          </w:p>
          <w:p w14:paraId="4521FE35">
            <w:pPr>
              <w:keepNext w:val="0"/>
              <w:keepLines w:val="0"/>
              <w:suppressLineNumbers w:val="0"/>
              <w:snapToGrid w:val="0"/>
              <w:spacing w:before="0" w:beforeAutospacing="0" w:after="0" w:afterAutospacing="0"/>
              <w:ind w:left="0" w:right="0"/>
              <w:jc w:val="both"/>
              <w:rPr>
                <w:rFonts w:hint="eastAsia" w:ascii="宋体" w:hAnsi="宋体" w:eastAsia="宋体" w:cs="Times New Roman"/>
                <w:i w:val="0"/>
                <w:iCs w:val="0"/>
                <w:color w:val="auto"/>
                <w:highlight w:val="none"/>
                <w:lang w:eastAsia="zh-CN"/>
              </w:rPr>
            </w:pPr>
            <w:r>
              <w:rPr>
                <w:rFonts w:hint="eastAsia" w:ascii="宋体" w:hAnsi="宋体" w:cs="Times New Roman"/>
                <w:i w:val="0"/>
                <w:iCs w:val="0"/>
                <w:color w:val="auto"/>
                <w:highlight w:val="none"/>
              </w:rPr>
              <w:t>（二）技术标</w:t>
            </w:r>
            <w:r>
              <w:rPr>
                <w:rFonts w:hint="eastAsia" w:ascii="宋体" w:hAnsi="宋体" w:cs="Times New Roman"/>
                <w:i w:val="0"/>
                <w:iCs w:val="0"/>
                <w:color w:val="auto"/>
                <w:highlight w:val="none"/>
                <w:lang w:eastAsia="zh-CN"/>
              </w:rPr>
              <w:t>☑</w:t>
            </w:r>
          </w:p>
          <w:p w14:paraId="68BE9206">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1.技术标封面及目录</w:t>
            </w:r>
          </w:p>
          <w:p w14:paraId="0703D87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2.施工组织设计</w:t>
            </w:r>
          </w:p>
          <w:p w14:paraId="7D5764D3">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w:t>
            </w:r>
            <w:r>
              <w:rPr>
                <w:rFonts w:hint="default" w:ascii="宋体" w:hAnsi="宋体" w:cs="Times New Roman"/>
                <w:i w:val="0"/>
                <w:iCs w:val="0"/>
                <w:color w:val="auto"/>
                <w:highlight w:val="none"/>
              </w:rPr>
              <w:t>工程概况及控制目标</w:t>
            </w:r>
          </w:p>
          <w:p w14:paraId="28FBA368">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w:t>
            </w:r>
            <w:r>
              <w:rPr>
                <w:rFonts w:hint="default" w:ascii="宋体" w:hAnsi="宋体" w:cs="Times New Roman"/>
                <w:i w:val="0"/>
                <w:iCs w:val="0"/>
                <w:color w:val="auto"/>
                <w:highlight w:val="none"/>
              </w:rPr>
              <w:t>施工总体布置</w:t>
            </w:r>
          </w:p>
          <w:p w14:paraId="2AF32162">
            <w:pPr>
              <w:keepNext w:val="0"/>
              <w:keepLines w:val="0"/>
              <w:suppressLineNumbers w:val="0"/>
              <w:snapToGrid w:val="0"/>
              <w:spacing w:before="0" w:beforeAutospacing="0" w:after="0" w:afterAutospacing="0"/>
              <w:ind w:left="720" w:leftChars="100" w:right="0" w:hanging="480" w:hangingChars="2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w:t>
            </w:r>
            <w:r>
              <w:rPr>
                <w:rFonts w:hint="default" w:ascii="宋体" w:hAnsi="宋体" w:cs="Times New Roman"/>
                <w:i w:val="0"/>
                <w:iCs w:val="0"/>
                <w:color w:val="auto"/>
                <w:highlight w:val="none"/>
              </w:rPr>
              <w:t>工程投入的施工机械设备情况、主要施工机械进场计</w:t>
            </w:r>
          </w:p>
          <w:p w14:paraId="4D745B30">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highlight w:val="none"/>
              </w:rPr>
              <w:t>划</w:t>
            </w:r>
          </w:p>
          <w:p w14:paraId="407B95A6">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(4).</w:t>
            </w:r>
            <w:r>
              <w:rPr>
                <w:rFonts w:hint="default" w:ascii="宋体" w:hAnsi="宋体" w:cs="Times New Roman"/>
                <w:i w:val="0"/>
                <w:iCs w:val="0"/>
                <w:color w:val="auto"/>
                <w:highlight w:val="none"/>
              </w:rPr>
              <w:t>劳动力安排计划</w:t>
            </w:r>
          </w:p>
          <w:p w14:paraId="737C2665">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(5).</w:t>
            </w:r>
            <w:r>
              <w:rPr>
                <w:rFonts w:hint="default" w:ascii="宋体" w:hAnsi="宋体" w:cs="Times New Roman"/>
                <w:i w:val="0"/>
                <w:iCs w:val="0"/>
                <w:color w:val="auto"/>
                <w:highlight w:val="none"/>
              </w:rPr>
              <w:t>施工进度计划网络图</w:t>
            </w:r>
          </w:p>
          <w:p w14:paraId="3263EB76">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(6).</w:t>
            </w:r>
            <w:r>
              <w:rPr>
                <w:rFonts w:hint="default" w:ascii="宋体" w:hAnsi="宋体" w:cs="Times New Roman"/>
                <w:i w:val="0"/>
                <w:iCs w:val="0"/>
                <w:color w:val="auto"/>
                <w:highlight w:val="none"/>
              </w:rPr>
              <w:t>施工总平面布置设计</w:t>
            </w:r>
          </w:p>
          <w:p w14:paraId="1F7622BD">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□3.针对本工程招标人特殊要求的技术措施</w:t>
            </w:r>
          </w:p>
          <w:p w14:paraId="5620D76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4.项目管理班子配备情况</w:t>
            </w:r>
          </w:p>
          <w:p w14:paraId="397BA696">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w:t>
            </w:r>
            <w:r>
              <w:rPr>
                <w:rFonts w:hint="default" w:ascii="宋体" w:hAnsi="宋体" w:cs="Times New Roman"/>
                <w:i w:val="0"/>
                <w:iCs w:val="0"/>
                <w:color w:val="auto"/>
                <w:highlight w:val="none"/>
              </w:rPr>
              <w:t>项目管理班子配备情况表</w:t>
            </w:r>
          </w:p>
          <w:p w14:paraId="78B5435D">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r>
              <w:rPr>
                <w:rFonts w:hint="default" w:ascii="宋体" w:hAnsi="宋体" w:cs="Times New Roman"/>
                <w:i w:val="0"/>
                <w:iCs w:val="0"/>
                <w:color w:val="auto"/>
                <w:highlight w:val="none"/>
              </w:rPr>
              <w:t>建造师（项目负责人）简历表</w:t>
            </w:r>
          </w:p>
          <w:p w14:paraId="2F97323C">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w:t>
            </w:r>
            <w:r>
              <w:rPr>
                <w:rFonts w:hint="default" w:ascii="宋体" w:hAnsi="宋体" w:cs="Times New Roman"/>
                <w:i w:val="0"/>
                <w:iCs w:val="0"/>
                <w:color w:val="auto"/>
                <w:highlight w:val="none"/>
              </w:rPr>
              <w:t>项目技术负责人简历表</w:t>
            </w:r>
          </w:p>
          <w:p w14:paraId="6D23CA2B">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(4).</w:t>
            </w:r>
            <w:r>
              <w:rPr>
                <w:rFonts w:hint="default" w:ascii="宋体" w:hAnsi="宋体" w:cs="Times New Roman"/>
                <w:i w:val="0"/>
                <w:iCs w:val="0"/>
                <w:color w:val="auto"/>
                <w:highlight w:val="none"/>
              </w:rPr>
              <w:t>项目管理班子配备情况其它辅助说明资料</w:t>
            </w:r>
          </w:p>
          <w:p w14:paraId="096BE61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□5.拟分包项目名称和分包商情况</w:t>
            </w:r>
          </w:p>
          <w:p w14:paraId="01B0372E">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6.招标人要求提交的其他资料（技术）</w:t>
            </w:r>
          </w:p>
          <w:p w14:paraId="4FDA711A">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（三）资信（信用）标</w:t>
            </w:r>
          </w:p>
          <w:p w14:paraId="2B59E8D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1.资信（信用）标封面及目录</w:t>
            </w:r>
          </w:p>
          <w:p w14:paraId="6049B534">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2.投标人信用评价（</w:t>
            </w:r>
            <w:r>
              <w:rPr>
                <w:rFonts w:hint="eastAsia" w:ascii="宋体" w:hAnsi="宋体" w:cs="Times New Roman"/>
                <w:i w:val="0"/>
                <w:iCs w:val="0"/>
                <w:color w:val="auto"/>
                <w:highlight w:val="none"/>
                <w:lang w:eastAsia="zh-CN"/>
              </w:rPr>
              <w:t>投标截止之日浙江省建筑市场监管公共服务系统最近一期公布的(房屋建筑工程)的施工信用评价</w:t>
            </w:r>
            <w:r>
              <w:rPr>
                <w:rFonts w:hint="eastAsia" w:ascii="宋体" w:hAnsi="宋体" w:cs="Times New Roman"/>
                <w:i w:val="0"/>
                <w:iCs w:val="0"/>
                <w:color w:val="auto"/>
                <w:highlight w:val="none"/>
              </w:rPr>
              <w:t>）</w:t>
            </w:r>
          </w:p>
          <w:p w14:paraId="019CBAC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□3.近年财务状况表（表1）</w:t>
            </w:r>
          </w:p>
          <w:p w14:paraId="609141A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4.业绩汇总表（表2）（附相关业绩的证明材料，且需要准确详细列入）</w:t>
            </w:r>
          </w:p>
          <w:p w14:paraId="1ABBCEF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5.招标人要求提交的其他资料（资信）</w:t>
            </w:r>
          </w:p>
          <w:p w14:paraId="540CEB5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（四）资格审查资料</w:t>
            </w:r>
          </w:p>
          <w:p w14:paraId="47E42095">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1.资格审查资料封面及目录</w:t>
            </w:r>
          </w:p>
          <w:p w14:paraId="1392FBEE">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2.投标人基本情况表</w:t>
            </w:r>
          </w:p>
          <w:p w14:paraId="1777A6B5">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□3.中小企业声明函</w:t>
            </w:r>
          </w:p>
          <w:p w14:paraId="0A6915A5">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4.投标承诺书</w:t>
            </w:r>
          </w:p>
          <w:p w14:paraId="128C94E2">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5.法定代表人身份证明书</w:t>
            </w:r>
          </w:p>
          <w:p w14:paraId="44C8B71E">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6.授权委托书（若有）</w:t>
            </w:r>
          </w:p>
          <w:p w14:paraId="72EAF2A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7.资格业绩材料（若有）：含业绩汇总表（资格后审业绩条件的汇总）及相关附件</w:t>
            </w:r>
          </w:p>
          <w:p w14:paraId="2D506D9F">
            <w:pPr>
              <w:keepNext w:val="0"/>
              <w:keepLines w:val="0"/>
              <w:suppressLineNumbers w:val="0"/>
              <w:snapToGrid w:val="0"/>
              <w:spacing w:before="0" w:beforeAutospacing="0" w:after="0" w:afterAutospacing="0"/>
              <w:ind w:left="0" w:right="0"/>
              <w:jc w:val="both"/>
              <w:rPr>
                <w:rFonts w:hint="eastAsia" w:ascii="宋体" w:hAnsi="宋体" w:cs="Times New Roman"/>
                <w:i w:val="0"/>
                <w:iCs w:val="0"/>
                <w:strike w:val="0"/>
                <w:dstrike w:val="0"/>
                <w:color w:val="auto"/>
                <w:highlight w:val="none"/>
              </w:rPr>
            </w:pPr>
            <w:r>
              <w:rPr>
                <w:rFonts w:hint="eastAsia" w:ascii="宋体" w:hAnsi="宋体" w:cs="Times New Roman"/>
                <w:i w:val="0"/>
                <w:iCs w:val="0"/>
                <w:strike w:val="0"/>
                <w:dstrike w:val="0"/>
                <w:color w:val="auto"/>
                <w:highlight w:val="none"/>
              </w:rPr>
              <w:t>8.联合体协议书(若有)</w:t>
            </w:r>
          </w:p>
          <w:p w14:paraId="77DA4D79">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9.投标保证金</w:t>
            </w:r>
          </w:p>
          <w:p w14:paraId="5B07A437">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10.招标文件要求投标人提交的其他资料（资格审查资料见投标人须知条款第3.5条款）</w:t>
            </w:r>
          </w:p>
          <w:p w14:paraId="6D3A8055">
            <w:pPr>
              <w:keepNext w:val="0"/>
              <w:keepLines w:val="0"/>
              <w:suppressLineNumbers w:val="0"/>
              <w:snapToGrid w:val="0"/>
              <w:spacing w:before="0" w:beforeAutospacing="0" w:after="0" w:afterAutospacing="0"/>
              <w:ind w:left="0" w:right="0"/>
              <w:jc w:val="both"/>
              <w:rPr>
                <w:rFonts w:hint="eastAsia" w:ascii="宋体" w:hAnsi="宋体" w:cs="Times New Roman"/>
                <w:bCs/>
                <w:i w:val="0"/>
                <w:iCs w:val="0"/>
                <w:color w:val="auto"/>
                <w:highlight w:val="none"/>
              </w:rPr>
            </w:pPr>
            <w:r>
              <w:rPr>
                <w:rFonts w:hint="eastAsia" w:ascii="宋体" w:hAnsi="宋体" w:cs="Times New Roman"/>
                <w:b/>
                <w:bCs/>
                <w:i w:val="0"/>
                <w:iCs w:val="0"/>
                <w:color w:val="auto"/>
                <w:highlight w:val="none"/>
              </w:rPr>
              <w:t>特别说明：</w:t>
            </w:r>
            <w:r>
              <w:rPr>
                <w:rFonts w:hint="eastAsia" w:ascii="宋体" w:hAnsi="宋体" w:cs="Times New Roman"/>
                <w:i w:val="0"/>
                <w:iCs w:val="0"/>
                <w:color w:val="auto"/>
                <w:highlight w:val="none"/>
              </w:rPr>
              <w:t>投标人须知前附表3.5“资格审查资料”2、3、4要求提供的各类资料附在法定代表人身份证明书后集中编制。</w:t>
            </w:r>
          </w:p>
        </w:tc>
      </w:tr>
      <w:tr w14:paraId="04893FF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240D596">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3.2.1</w:t>
            </w:r>
          </w:p>
        </w:tc>
        <w:tc>
          <w:tcPr>
            <w:tcW w:w="1826" w:type="dxa"/>
            <w:tcBorders>
              <w:top w:val="single" w:color="000000" w:sz="4" w:space="0"/>
              <w:left w:val="nil"/>
              <w:bottom w:val="single" w:color="000000" w:sz="4" w:space="0"/>
              <w:right w:val="single" w:color="000000" w:sz="4" w:space="0"/>
            </w:tcBorders>
            <w:noWrap/>
            <w:vAlign w:val="center"/>
          </w:tcPr>
          <w:p w14:paraId="6FF3AD0F">
            <w:pPr>
              <w:pStyle w:val="44"/>
              <w:keepNext w:val="0"/>
              <w:keepLines w:val="0"/>
              <w:suppressLineNumbers w:val="0"/>
              <w:kinsoku w:val="0"/>
              <w:spacing w:before="107"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340A8A04">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一般计税法</w:t>
            </w:r>
          </w:p>
          <w:p w14:paraId="54B514D3">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□简易计税法</w:t>
            </w:r>
          </w:p>
        </w:tc>
      </w:tr>
      <w:tr w14:paraId="42F702A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5585AB2">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3.2.3</w:t>
            </w:r>
          </w:p>
        </w:tc>
        <w:tc>
          <w:tcPr>
            <w:tcW w:w="1826" w:type="dxa"/>
            <w:tcBorders>
              <w:top w:val="single" w:color="000000" w:sz="4" w:space="0"/>
              <w:left w:val="nil"/>
              <w:bottom w:val="single" w:color="000000" w:sz="4" w:space="0"/>
              <w:right w:val="single" w:color="000000" w:sz="4" w:space="0"/>
            </w:tcBorders>
            <w:noWrap/>
            <w:vAlign w:val="center"/>
          </w:tcPr>
          <w:p w14:paraId="4A4215BF">
            <w:pPr>
              <w:pStyle w:val="44"/>
              <w:keepNext w:val="0"/>
              <w:keepLines w:val="0"/>
              <w:suppressLineNumbers w:val="0"/>
              <w:kinsoku w:val="0"/>
              <w:spacing w:before="107" w:beforeAutospacing="0" w:after="0" w:afterAutospacing="0"/>
              <w:ind w:left="0" w:right="1"/>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6B591C53">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综合单价法</w:t>
            </w:r>
          </w:p>
        </w:tc>
      </w:tr>
      <w:tr w14:paraId="000487C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5CFA364">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3.2.4</w:t>
            </w:r>
          </w:p>
        </w:tc>
        <w:tc>
          <w:tcPr>
            <w:tcW w:w="1826" w:type="dxa"/>
            <w:tcBorders>
              <w:top w:val="single" w:color="000000" w:sz="4" w:space="0"/>
              <w:left w:val="nil"/>
              <w:bottom w:val="single" w:color="000000" w:sz="4" w:space="0"/>
              <w:right w:val="single" w:color="000000" w:sz="4" w:space="0"/>
            </w:tcBorders>
            <w:noWrap/>
            <w:vAlign w:val="center"/>
          </w:tcPr>
          <w:p w14:paraId="31E4B958">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44EBA612">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1.最高投标限价</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highlight w:val="none"/>
              </w:rPr>
              <w:t>万元；</w:t>
            </w:r>
          </w:p>
          <w:p w14:paraId="3B2DFCF1">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最高投标限价在招标文件澄清或修改文件中发布；</w:t>
            </w:r>
          </w:p>
          <w:p w14:paraId="4D0C122F">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3.□招标控制价人民币（大写）：</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）暂列金额人民币（大写）：</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）暂估价人民币（大 写）：</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）。最高投标限价的计算方法：最高投标限价=（招标控制价-暂列金额-暂估价）×（1-下浮值）+暂列金额+暂估价，下浮值由招标人在开标时</w:t>
            </w:r>
          </w:p>
          <w:p w14:paraId="5BEDA91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从</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u w:val="single"/>
              </w:rPr>
              <w:t>、</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等</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个数组成的等差数列中随机抽取其中一值作为下浮值”的方式确定，投标报价不得超过最高限价。（招标人在编制招标文件时从</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%等</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个数中确定一组其中</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个数组成的等差数列）。</w:t>
            </w:r>
          </w:p>
          <w:p w14:paraId="06C6718A">
            <w:pPr>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4.□风险控制价；为防止投标人恶意低价竞标，最高投标限价的</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%作为风险控制价（</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rPr>
              <w:tab/>
            </w:r>
            <w:r>
              <w:rPr>
                <w:rFonts w:hint="eastAsia" w:ascii="宋体" w:hAnsi="宋体" w:cs="Times New Roman"/>
                <w:i w:val="0"/>
                <w:iCs w:val="0"/>
                <w:color w:val="auto"/>
                <w:highlight w:val="none"/>
              </w:rPr>
              <w:t>万元）。注：报价低于风险控制价的投标人需作出书面说明并提供相关证明材料。投标人不能合理说明或者不能提供相关证明材料的，由评标委员会认定该投标人以低于成本报价竞标，应当否决其投标。</w:t>
            </w:r>
          </w:p>
          <w:p w14:paraId="47E97748">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5.□其他：招标控制价</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万元；</w:t>
            </w:r>
          </w:p>
        </w:tc>
      </w:tr>
      <w:tr w14:paraId="11F21896">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56ED064">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3.2.5</w:t>
            </w:r>
          </w:p>
        </w:tc>
        <w:tc>
          <w:tcPr>
            <w:tcW w:w="1826" w:type="dxa"/>
            <w:tcBorders>
              <w:top w:val="single" w:color="000000" w:sz="4" w:space="0"/>
              <w:left w:val="nil"/>
              <w:bottom w:val="single" w:color="000000" w:sz="4" w:space="0"/>
              <w:right w:val="single" w:color="000000" w:sz="4" w:space="0"/>
            </w:tcBorders>
            <w:noWrap/>
            <w:vAlign w:val="center"/>
          </w:tcPr>
          <w:p w14:paraId="4C3CC838">
            <w:pPr>
              <w:pStyle w:val="44"/>
              <w:keepNext w:val="0"/>
              <w:keepLines w:val="0"/>
              <w:suppressLineNumbers w:val="0"/>
              <w:kinsoku w:val="0"/>
              <w:spacing w:before="11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投标报价的</w:t>
            </w:r>
          </w:p>
          <w:p w14:paraId="4D737135">
            <w:pPr>
              <w:pStyle w:val="44"/>
              <w:keepNext w:val="0"/>
              <w:keepLines w:val="0"/>
              <w:suppressLineNumbers w:val="0"/>
              <w:kinsoku w:val="0"/>
              <w:spacing w:before="11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18269DE1">
            <w:pPr>
              <w:keepNext w:val="0"/>
              <w:keepLines w:val="0"/>
              <w:suppressLineNumbers w:val="0"/>
              <w:snapToGrid w:val="0"/>
              <w:spacing w:before="0" w:beforeAutospacing="0" w:after="0" w:afterAutospacing="0"/>
              <w:ind w:left="0" w:right="0"/>
              <w:jc w:val="both"/>
              <w:rPr>
                <w:rFonts w:hint="eastAsia" w:ascii="宋体" w:hAnsi="宋体" w:eastAsia="宋体" w:cs="Times New Roman"/>
                <w:i w:val="0"/>
                <w:iCs w:val="0"/>
                <w:color w:val="auto"/>
                <w:highlight w:val="none"/>
                <w:lang w:eastAsia="zh-CN"/>
              </w:rPr>
            </w:pPr>
            <w:r>
              <w:rPr>
                <w:rFonts w:hint="eastAsia" w:ascii="宋体" w:hAnsi="宋体" w:cs="Times New Roman"/>
                <w:i w:val="0"/>
                <w:iCs w:val="0"/>
                <w:color w:val="auto"/>
                <w:highlight w:val="none"/>
                <w:u w:val="single"/>
              </w:rPr>
              <w:t xml:space="preserve"> 标底报价书中不参与竞争部分按参考标底价格进行投标报价，不得改动</w:t>
            </w:r>
            <w:r>
              <w:rPr>
                <w:rFonts w:hint="eastAsia" w:ascii="宋体" w:hAnsi="宋体" w:cs="Times New Roman"/>
                <w:i w:val="0"/>
                <w:iCs w:val="0"/>
                <w:color w:val="auto"/>
                <w:highlight w:val="none"/>
                <w:u w:val="single"/>
                <w:lang w:eastAsia="zh-CN"/>
              </w:rPr>
              <w:t>。</w:t>
            </w:r>
          </w:p>
        </w:tc>
      </w:tr>
      <w:tr w14:paraId="62ACA49F">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2BD09CA6">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3.3.1</w:t>
            </w:r>
          </w:p>
        </w:tc>
        <w:tc>
          <w:tcPr>
            <w:tcW w:w="1826" w:type="dxa"/>
            <w:tcBorders>
              <w:top w:val="single" w:color="000000" w:sz="4" w:space="0"/>
              <w:left w:val="nil"/>
              <w:bottom w:val="single" w:color="000000" w:sz="4" w:space="0"/>
              <w:right w:val="single" w:color="000000" w:sz="4" w:space="0"/>
            </w:tcBorders>
            <w:noWrap/>
            <w:vAlign w:val="center"/>
          </w:tcPr>
          <w:p w14:paraId="5713C4E0">
            <w:pPr>
              <w:pStyle w:val="44"/>
              <w:keepNext w:val="0"/>
              <w:keepLines w:val="0"/>
              <w:suppressLineNumbers w:val="0"/>
              <w:kinsoku w:val="0"/>
              <w:spacing w:before="107" w:beforeAutospacing="0" w:after="0" w:afterAutospacing="0"/>
              <w:ind w:left="0" w:right="1"/>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投标有效期</w:t>
            </w:r>
          </w:p>
        </w:tc>
        <w:tc>
          <w:tcPr>
            <w:tcW w:w="6272" w:type="dxa"/>
            <w:tcBorders>
              <w:top w:val="single" w:color="000000" w:sz="4" w:space="0"/>
              <w:left w:val="nil"/>
              <w:bottom w:val="single" w:color="000000" w:sz="4" w:space="0"/>
              <w:right w:val="single" w:color="000000" w:sz="4" w:space="0"/>
            </w:tcBorders>
            <w:noWrap/>
            <w:vAlign w:val="center"/>
          </w:tcPr>
          <w:p w14:paraId="2DA16F54">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90</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个日历天（从投标截止之日起算）。</w:t>
            </w:r>
          </w:p>
        </w:tc>
      </w:tr>
      <w:tr w14:paraId="3BB6DAC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08223AD">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3.4.1</w:t>
            </w:r>
          </w:p>
        </w:tc>
        <w:tc>
          <w:tcPr>
            <w:tcW w:w="1826" w:type="dxa"/>
            <w:tcBorders>
              <w:top w:val="single" w:color="000000" w:sz="4" w:space="0"/>
              <w:left w:val="nil"/>
              <w:bottom w:val="single" w:color="000000" w:sz="4" w:space="0"/>
              <w:right w:val="single" w:color="000000" w:sz="4" w:space="0"/>
            </w:tcBorders>
            <w:noWrap/>
            <w:vAlign w:val="center"/>
          </w:tcPr>
          <w:p w14:paraId="56D09D7A">
            <w:pPr>
              <w:pStyle w:val="44"/>
              <w:keepNext w:val="0"/>
              <w:keepLines w:val="0"/>
              <w:suppressLineNumbers w:val="0"/>
              <w:kinsoku w:val="0"/>
              <w:spacing w:before="0" w:beforeAutospacing="0" w:after="0" w:afterAutospacing="0"/>
              <w:ind w:left="0" w:right="1"/>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投标保证金</w:t>
            </w:r>
          </w:p>
        </w:tc>
        <w:tc>
          <w:tcPr>
            <w:tcW w:w="6272" w:type="dxa"/>
            <w:tcBorders>
              <w:top w:val="single" w:color="000000" w:sz="4" w:space="0"/>
              <w:left w:val="nil"/>
              <w:bottom w:val="single" w:color="000000" w:sz="4" w:space="0"/>
              <w:right w:val="single" w:color="000000" w:sz="4" w:space="0"/>
            </w:tcBorders>
            <w:noWrap/>
            <w:vAlign w:val="top"/>
          </w:tcPr>
          <w:p w14:paraId="1F17BC8D">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1.金额：人民币</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50</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万元（不得超过项目估算价的2%，且最高不得超过50万元。）</w:t>
            </w:r>
          </w:p>
          <w:p w14:paraId="6721C7BF">
            <w:pPr>
              <w:pStyle w:val="44"/>
              <w:keepNext w:val="0"/>
              <w:keepLines w:val="0"/>
              <w:suppressLineNumbers w:val="0"/>
              <w:kinsoku w:val="0"/>
              <w:snapToGrid w:val="0"/>
              <w:spacing w:before="0" w:beforeAutospacing="0" w:after="0" w:afterAutospacing="0"/>
              <w:ind w:left="0" w:right="0"/>
              <w:rPr>
                <w:rStyle w:val="54"/>
                <w:rFonts w:ascii="宋体" w:hAnsi="宋体"/>
                <w:i w:val="0"/>
                <w:iCs w:val="0"/>
                <w:color w:val="auto"/>
                <w:sz w:val="24"/>
                <w:szCs w:val="24"/>
                <w:highlight w:val="none"/>
              </w:rPr>
            </w:pPr>
            <w:r>
              <w:rPr>
                <w:rFonts w:hint="eastAsia" w:ascii="宋体" w:hAnsi="宋体" w:cs="Times New Roman"/>
                <w:i w:val="0"/>
                <w:iCs w:val="0"/>
                <w:color w:val="auto"/>
                <w:highlight w:val="none"/>
              </w:rPr>
              <w:t>2.交纳方式：银行保函/保证保险/担保公司担保</w:t>
            </w:r>
            <w:r>
              <w:rPr>
                <w:rFonts w:hint="default" w:ascii="Times New Roman" w:hAnsi="Times New Roman" w:cs="Times New Roman"/>
                <w:i w:val="0"/>
                <w:iCs w:val="0"/>
                <w:color w:val="auto"/>
                <w:highlight w:val="none"/>
              </w:rPr>
              <w:t>/</w:t>
            </w:r>
            <w:r>
              <w:rPr>
                <w:rFonts w:hint="default" w:ascii="Times New Roman" w:hAnsi="宋体" w:cs="Times New Roman"/>
                <w:i w:val="0"/>
                <w:iCs w:val="0"/>
                <w:color w:val="auto"/>
                <w:highlight w:val="none"/>
              </w:rPr>
              <w:t>转账</w:t>
            </w:r>
            <w:r>
              <w:rPr>
                <w:rFonts w:hint="eastAsia" w:ascii="Times New Roman" w:hAnsi="宋体" w:cs="Times New Roman"/>
                <w:i w:val="0"/>
                <w:iCs w:val="0"/>
                <w:color w:val="auto"/>
                <w:highlight w:val="none"/>
              </w:rPr>
              <w:t>/数字保函</w:t>
            </w:r>
            <w:r>
              <w:rPr>
                <w:rFonts w:hint="eastAsia" w:ascii="宋体" w:hAnsi="宋体" w:cs="Times New Roman"/>
                <w:i w:val="0"/>
                <w:iCs w:val="0"/>
                <w:color w:val="auto"/>
                <w:highlight w:val="none"/>
              </w:rPr>
              <w:t>（从基本账户转出）</w:t>
            </w:r>
          </w:p>
          <w:p w14:paraId="148DE395">
            <w:pPr>
              <w:pStyle w:val="44"/>
              <w:keepNext w:val="0"/>
              <w:keepLines w:val="0"/>
              <w:suppressLineNumbers w:val="0"/>
              <w:kinsoku w:val="0"/>
              <w:snapToGrid w:val="0"/>
              <w:spacing w:before="0" w:beforeAutospacing="0" w:after="0" w:afterAutospacing="0"/>
              <w:ind w:left="0" w:right="0"/>
              <w:rPr>
                <w:rFonts w:hint="default" w:ascii="Times New Roman" w:hAnsi="Times New Roman" w:cs="Times New Roman"/>
                <w:i w:val="0"/>
                <w:iCs w:val="0"/>
                <w:color w:val="auto"/>
                <w:highlight w:val="none"/>
                <w:u w:val="single"/>
              </w:rPr>
            </w:pPr>
            <w:r>
              <w:rPr>
                <w:rStyle w:val="54"/>
                <w:rFonts w:hint="eastAsia" w:ascii="宋体" w:hAnsi="宋体"/>
                <w:i w:val="0"/>
                <w:iCs w:val="0"/>
                <w:color w:val="auto"/>
                <w:sz w:val="24"/>
                <w:szCs w:val="24"/>
                <w:highlight w:val="none"/>
              </w:rPr>
              <w:t>（1）交纳要求（转账）：</w:t>
            </w:r>
          </w:p>
          <w:p w14:paraId="0C231572">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cs="宋体"/>
                <w:i w:val="0"/>
                <w:iCs w:val="0"/>
                <w:color w:val="auto"/>
                <w:highlight w:val="none"/>
                <w:u w:val="single"/>
                <w:lang w:bidi="ar"/>
              </w:rPr>
            </w:pPr>
            <w:r>
              <w:rPr>
                <w:rFonts w:cs="宋体"/>
                <w:i w:val="0"/>
                <w:iCs w:val="0"/>
                <w:color w:val="auto"/>
                <w:highlight w:val="none"/>
                <w:u w:val="single"/>
                <w:lang w:bidi="ar"/>
              </w:rPr>
              <w:t>账户一：</w:t>
            </w:r>
          </w:p>
          <w:p w14:paraId="1573F9DC">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cs="宋体"/>
                <w:i w:val="0"/>
                <w:iCs w:val="0"/>
                <w:color w:val="auto"/>
                <w:highlight w:val="none"/>
                <w:u w:val="single"/>
                <w:lang w:bidi="ar"/>
              </w:rPr>
            </w:pPr>
            <w:r>
              <w:rPr>
                <w:rFonts w:cs="宋体"/>
                <w:i w:val="0"/>
                <w:iCs w:val="0"/>
                <w:color w:val="auto"/>
                <w:highlight w:val="none"/>
                <w:u w:val="single"/>
                <w:lang w:bidi="ar"/>
              </w:rPr>
              <w:t>开户单位名称：绍兴市公共资源交易中心保证金专户，开户行:绍兴银行营业部，</w:t>
            </w:r>
          </w:p>
          <w:p w14:paraId="1575686B">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hint="default" w:eastAsia="宋体" w:cs="宋体"/>
                <w:i w:val="0"/>
                <w:iCs w:val="0"/>
                <w:color w:val="auto"/>
                <w:highlight w:val="none"/>
                <w:u w:val="single"/>
                <w:lang w:val="en-US" w:eastAsia="zh-CN"/>
              </w:rPr>
            </w:pPr>
            <w:r>
              <w:rPr>
                <w:rFonts w:cs="宋体"/>
                <w:i w:val="0"/>
                <w:iCs w:val="0"/>
                <w:color w:val="auto"/>
                <w:highlight w:val="none"/>
                <w:u w:val="single"/>
                <w:lang w:bidi="ar"/>
              </w:rPr>
              <w:t>账号：</w:t>
            </w:r>
            <w:r>
              <w:rPr>
                <w:rFonts w:hint="eastAsia" w:cs="宋体"/>
                <w:i w:val="0"/>
                <w:iCs w:val="0"/>
                <w:color w:val="auto"/>
                <w:highlight w:val="none"/>
                <w:u w:val="single"/>
                <w:lang w:val="en-US" w:eastAsia="zh-CN" w:bidi="ar"/>
              </w:rPr>
              <w:t>6224861565799181800</w:t>
            </w:r>
          </w:p>
          <w:p w14:paraId="516885E1">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cs="宋体"/>
                <w:i w:val="0"/>
                <w:iCs w:val="0"/>
                <w:color w:val="auto"/>
                <w:highlight w:val="none"/>
                <w:u w:val="single"/>
                <w:lang w:bidi="ar"/>
              </w:rPr>
            </w:pPr>
            <w:r>
              <w:rPr>
                <w:rFonts w:cs="宋体"/>
                <w:i w:val="0"/>
                <w:iCs w:val="0"/>
                <w:color w:val="auto"/>
                <w:highlight w:val="none"/>
                <w:u w:val="single"/>
                <w:lang w:bidi="ar"/>
              </w:rPr>
              <w:t>账户二：</w:t>
            </w:r>
          </w:p>
          <w:p w14:paraId="7B0E1C48">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cs="宋体"/>
                <w:i w:val="0"/>
                <w:iCs w:val="0"/>
                <w:color w:val="auto"/>
                <w:highlight w:val="none"/>
                <w:u w:val="single"/>
                <w:lang w:bidi="ar"/>
              </w:rPr>
            </w:pPr>
            <w:r>
              <w:rPr>
                <w:rFonts w:cs="宋体"/>
                <w:i w:val="0"/>
                <w:iCs w:val="0"/>
                <w:color w:val="auto"/>
                <w:highlight w:val="none"/>
                <w:u w:val="single"/>
                <w:lang w:bidi="ar"/>
              </w:rPr>
              <w:t>开户单位名称：绍兴市公共资源交易中心保证金专户，开户行:中信银行绍兴袍江支行，</w:t>
            </w:r>
          </w:p>
          <w:p w14:paraId="4AFD0937">
            <w:pPr>
              <w:pStyle w:val="18"/>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hint="default" w:cs="宋体"/>
                <w:i w:val="0"/>
                <w:iCs w:val="0"/>
                <w:color w:val="auto"/>
                <w:highlight w:val="none"/>
                <w:u w:val="single"/>
              </w:rPr>
            </w:pPr>
            <w:r>
              <w:rPr>
                <w:rFonts w:cs="宋体"/>
                <w:i w:val="0"/>
                <w:iCs w:val="0"/>
                <w:color w:val="auto"/>
                <w:highlight w:val="none"/>
                <w:u w:val="single"/>
                <w:lang w:bidi="ar"/>
              </w:rPr>
              <w:t xml:space="preserve">账号：    </w:t>
            </w:r>
            <w:r>
              <w:rPr>
                <w:rFonts w:hint="eastAsia" w:cs="宋体"/>
                <w:i w:val="0"/>
                <w:iCs w:val="0"/>
                <w:color w:val="auto"/>
                <w:highlight w:val="none"/>
                <w:u w:val="single"/>
                <w:lang w:val="en-US" w:eastAsia="zh-CN" w:bidi="ar"/>
              </w:rPr>
              <w:t>/</w:t>
            </w:r>
            <w:r>
              <w:rPr>
                <w:rFonts w:cs="宋体"/>
                <w:i w:val="0"/>
                <w:iCs w:val="0"/>
                <w:color w:val="auto"/>
                <w:highlight w:val="none"/>
                <w:u w:val="single"/>
                <w:lang w:bidi="ar"/>
              </w:rPr>
              <w:t xml:space="preserve">         </w:t>
            </w:r>
          </w:p>
          <w:p w14:paraId="76C0DF46">
            <w:pPr>
              <w:keepNext w:val="0"/>
              <w:keepLines w:val="0"/>
              <w:widowControl/>
              <w:suppressLineNumbers w:val="0"/>
              <w:spacing w:before="0" w:beforeAutospacing="0" w:after="0" w:afterAutospacing="0"/>
              <w:ind w:left="0" w:right="0" w:firstLine="480" w:firstLineChars="200"/>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u w:val="single"/>
                <w:lang w:bidi="ar"/>
              </w:rPr>
              <w:t xml:space="preserve">投标人可自主选择以上账户之一缴纳投标保证金 </w:t>
            </w:r>
            <w:r>
              <w:rPr>
                <w:rFonts w:hint="eastAsia" w:ascii="宋体" w:hAnsi="宋体" w:cs="Times New Roman"/>
                <w:i w:val="0"/>
                <w:iCs w:val="0"/>
                <w:color w:val="auto"/>
                <w:highlight w:val="none"/>
                <w:lang w:bidi="ar"/>
              </w:rPr>
              <w:t>。</w:t>
            </w:r>
          </w:p>
          <w:p w14:paraId="5643739E">
            <w:pPr>
              <w:pStyle w:val="44"/>
              <w:keepNext w:val="0"/>
              <w:keepLines w:val="0"/>
              <w:suppressLineNumbers w:val="0"/>
              <w:kinsoku w:val="0"/>
              <w:snapToGrid w:val="0"/>
              <w:spacing w:before="0" w:beforeAutospacing="0" w:after="0" w:afterAutospacing="0"/>
              <w:ind w:left="0" w:right="0"/>
              <w:rPr>
                <w:rStyle w:val="54"/>
                <w:rFonts w:hint="eastAsia" w:ascii="宋体" w:hAnsi="宋体"/>
                <w:i w:val="0"/>
                <w:iCs w:val="0"/>
                <w:color w:val="auto"/>
                <w:sz w:val="24"/>
                <w:szCs w:val="24"/>
                <w:highlight w:val="none"/>
              </w:rPr>
            </w:pPr>
            <w:r>
              <w:rPr>
                <w:rStyle w:val="54"/>
                <w:rFonts w:hint="eastAsia" w:ascii="宋体" w:hAnsi="宋体"/>
                <w:i w:val="0"/>
                <w:iCs w:val="0"/>
                <w:color w:val="auto"/>
                <w:sz w:val="24"/>
                <w:szCs w:val="24"/>
                <w:highlight w:val="none"/>
              </w:rPr>
              <w:t>（2）交纳要求（</w:t>
            </w:r>
            <w:r>
              <w:rPr>
                <w:rFonts w:hint="eastAsia" w:ascii="宋体" w:hAnsi="宋体" w:cs="Times New Roman"/>
                <w:i w:val="0"/>
                <w:iCs w:val="0"/>
                <w:color w:val="auto"/>
                <w:highlight w:val="none"/>
              </w:rPr>
              <w:t>银行保函/保证保险/担保公司担保</w:t>
            </w:r>
            <w:r>
              <w:rPr>
                <w:rFonts w:hint="default" w:ascii="Times New Roman" w:hAnsi="Times New Roman" w:cs="Times New Roman"/>
                <w:i w:val="0"/>
                <w:iCs w:val="0"/>
                <w:color w:val="auto"/>
                <w:highlight w:val="none"/>
              </w:rPr>
              <w:t>/</w:t>
            </w:r>
            <w:r>
              <w:rPr>
                <w:rFonts w:hint="default" w:ascii="Times New Roman" w:hAnsi="宋体" w:cs="Times New Roman"/>
                <w:i w:val="0"/>
                <w:iCs w:val="0"/>
                <w:color w:val="auto"/>
                <w:highlight w:val="none"/>
              </w:rPr>
              <w:t>转账</w:t>
            </w:r>
            <w:r>
              <w:rPr>
                <w:rFonts w:hint="eastAsia" w:ascii="Times New Roman" w:hAnsi="宋体" w:cs="Times New Roman"/>
                <w:i w:val="0"/>
                <w:iCs w:val="0"/>
                <w:color w:val="auto"/>
                <w:highlight w:val="none"/>
              </w:rPr>
              <w:t>/数字保函</w:t>
            </w:r>
            <w:r>
              <w:rPr>
                <w:rStyle w:val="54"/>
                <w:rFonts w:hint="eastAsia" w:ascii="宋体" w:hAnsi="宋体"/>
                <w:i w:val="0"/>
                <w:iCs w:val="0"/>
                <w:color w:val="auto"/>
                <w:sz w:val="24"/>
                <w:szCs w:val="24"/>
                <w:highlight w:val="none"/>
              </w:rPr>
              <w:t>）：招标人接受投标保证金电子保险、担保保函。投标人自行在电子招投标交易平台（</w:t>
            </w:r>
            <w:r>
              <w:rPr>
                <w:rStyle w:val="54"/>
                <w:rFonts w:hint="eastAsia" w:ascii="宋体" w:hAnsi="宋体"/>
                <w:i w:val="0"/>
                <w:iCs w:val="0"/>
                <w:color w:val="auto"/>
                <w:sz w:val="24"/>
                <w:szCs w:val="24"/>
                <w:highlight w:val="none"/>
                <w:lang w:eastAsia="zh-CN"/>
              </w:rPr>
              <w:t xml:space="preserve"> http://220.187.225.202:8088/TPBidder-ztk/memberLogin</w:t>
            </w:r>
            <w:r>
              <w:rPr>
                <w:rStyle w:val="54"/>
                <w:rFonts w:hint="eastAsia" w:ascii="宋体" w:hAnsi="宋体"/>
                <w:i w:val="0"/>
                <w:iCs w:val="0"/>
                <w:color w:val="auto"/>
                <w:sz w:val="24"/>
                <w:szCs w:val="24"/>
                <w:highlight w:val="none"/>
              </w:rPr>
              <w:t>）中自主选择办理。</w:t>
            </w:r>
          </w:p>
          <w:p w14:paraId="3671BFE5">
            <w:pPr>
              <w:pStyle w:val="44"/>
              <w:keepNext w:val="0"/>
              <w:keepLines w:val="0"/>
              <w:suppressLineNumbers w:val="0"/>
              <w:kinsoku w:val="0"/>
              <w:snapToGrid w:val="0"/>
              <w:spacing w:before="0" w:beforeAutospacing="0" w:after="0" w:afterAutospacing="0"/>
              <w:ind w:left="0" w:right="0" w:firstLine="480" w:firstLineChars="200"/>
              <w:rPr>
                <w:rStyle w:val="54"/>
                <w:rFonts w:hint="eastAsia" w:ascii="宋体" w:hAnsi="宋体"/>
                <w:i w:val="0"/>
                <w:iCs w:val="0"/>
                <w:color w:val="auto"/>
                <w:sz w:val="24"/>
                <w:szCs w:val="24"/>
                <w:highlight w:val="none"/>
              </w:rPr>
            </w:pPr>
            <w:r>
              <w:rPr>
                <w:rStyle w:val="54"/>
                <w:rFonts w:hint="eastAsia" w:ascii="宋体" w:hAnsi="宋体"/>
                <w:i w:val="0"/>
                <w:iCs w:val="0"/>
                <w:color w:val="auto"/>
                <w:sz w:val="24"/>
                <w:szCs w:val="24"/>
                <w:highlight w:val="none"/>
              </w:rPr>
              <w:t>保函费用必须从投标人企业基本账户转出，并在投标保证金缴纳截止时间前办妥保函手续。</w:t>
            </w:r>
          </w:p>
          <w:p w14:paraId="47B2BDF9">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备注：重新招标项目，参与投标的投标人仍需按上述规定要求重新递交投标保证金。</w:t>
            </w:r>
            <w:r>
              <w:rPr>
                <w:rFonts w:hint="eastAsia" w:ascii="宋体" w:hAnsi="宋体" w:cs="Times New Roman"/>
                <w:i w:val="0"/>
                <w:iCs w:val="0"/>
                <w:color w:val="auto"/>
                <w:highlight w:val="none"/>
                <w:lang w:bidi="ar"/>
              </w:rPr>
              <w:t>如联合体投标的，其投标保证金由牵头人递交。</w:t>
            </w:r>
          </w:p>
        </w:tc>
      </w:tr>
      <w:tr w14:paraId="0CF6F724">
        <w:tblPrEx>
          <w:tblCellMar>
            <w:top w:w="0" w:type="dxa"/>
            <w:left w:w="57" w:type="dxa"/>
            <w:bottom w:w="0" w:type="dxa"/>
            <w:right w:w="57" w:type="dxa"/>
          </w:tblCellMar>
        </w:tblPrEx>
        <w:trPr>
          <w:trHeight w:val="38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C9D6F58">
            <w:pPr>
              <w:pStyle w:val="44"/>
              <w:keepNext w:val="0"/>
              <w:keepLines w:val="0"/>
              <w:suppressLineNumbers w:val="0"/>
              <w:kinsoku w:val="0"/>
              <w:spacing w:before="159" w:beforeAutospacing="0" w:after="0" w:afterAutospacing="0"/>
              <w:ind w:left="367"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3.4.4</w:t>
            </w:r>
          </w:p>
        </w:tc>
        <w:tc>
          <w:tcPr>
            <w:tcW w:w="1826" w:type="dxa"/>
            <w:tcBorders>
              <w:top w:val="single" w:color="000000" w:sz="4" w:space="0"/>
              <w:left w:val="nil"/>
              <w:bottom w:val="single" w:color="000000" w:sz="4" w:space="0"/>
              <w:right w:val="single" w:color="000000" w:sz="4" w:space="0"/>
            </w:tcBorders>
            <w:noWrap/>
            <w:vAlign w:val="center"/>
          </w:tcPr>
          <w:p w14:paraId="1859CB3D">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1989FE9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bidi="ar"/>
              </w:rPr>
              <w:t>☑</w:t>
            </w:r>
            <w:r>
              <w:rPr>
                <w:rFonts w:hint="eastAsia" w:ascii="宋体" w:hAnsi="宋体" w:cs="Times New Roman"/>
                <w:i w:val="0"/>
                <w:iCs w:val="0"/>
                <w:color w:val="auto"/>
                <w:highlight w:val="none"/>
              </w:rPr>
              <w:t>1.经查实，投标人在投标过程中存在串通投标或弄虚作假的。</w:t>
            </w:r>
          </w:p>
          <w:p w14:paraId="3BB4C1B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bidi="ar"/>
              </w:rPr>
              <w:t>☑</w:t>
            </w:r>
            <w:r>
              <w:rPr>
                <w:rFonts w:hint="eastAsia" w:ascii="宋体" w:hAnsi="宋体" w:cs="Times New Roman"/>
                <w:i w:val="0"/>
                <w:iCs w:val="0"/>
                <w:color w:val="auto"/>
                <w:highlight w:val="none"/>
              </w:rPr>
              <w:t>2.拟派项目负责人在投标截止日有在其他在建合同工程上担任项目负责人的情形。</w:t>
            </w:r>
          </w:p>
          <w:p w14:paraId="381D8ED2">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3.其他：</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p w14:paraId="7B466795">
            <w:pPr>
              <w:pStyle w:val="44"/>
              <w:keepNext w:val="0"/>
              <w:keepLines w:val="0"/>
              <w:suppressLineNumbers w:val="0"/>
              <w:kinsoku w:val="0"/>
              <w:snapToGrid w:val="0"/>
              <w:spacing w:before="0" w:beforeAutospacing="0" w:after="0" w:afterAutospacing="0"/>
              <w:ind w:left="0" w:right="0"/>
              <w:jc w:val="both"/>
              <w:rPr>
                <w:rFonts w:hint="default" w:ascii="宋体" w:hAnsi="Times New Roman" w:cs="Times New Roman"/>
                <w:i w:val="0"/>
                <w:iCs w:val="0"/>
                <w:color w:val="auto"/>
                <w:highlight w:val="none"/>
              </w:rPr>
            </w:pPr>
            <w:r>
              <w:rPr>
                <w:rFonts w:hint="eastAsia" w:ascii="宋体" w:hAnsi="宋体" w:cs="Times New Roman"/>
                <w:i w:val="0"/>
                <w:iCs w:val="0"/>
                <w:color w:val="auto"/>
                <w:highlight w:val="none"/>
              </w:rPr>
              <w:t>注：本招标文件的“</w:t>
            </w:r>
            <w:r>
              <w:rPr>
                <w:rFonts w:hint="eastAsia" w:ascii="宋体" w:hAnsi="Times New Roman" w:cs="Times New Roman"/>
                <w:i w:val="0"/>
                <w:iCs w:val="0"/>
                <w:color w:val="auto"/>
                <w:highlight w:val="none"/>
              </w:rPr>
              <w:t>投标保证金不予退还”是指:</w:t>
            </w:r>
          </w:p>
          <w:p w14:paraId="775FA3B0">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Times New Roman" w:cs="Times New Roman"/>
                <w:i w:val="0"/>
                <w:iCs w:val="0"/>
                <w:color w:val="auto"/>
                <w:highlight w:val="none"/>
              </w:rPr>
              <w:t>（1）以现金</w:t>
            </w:r>
            <w:r>
              <w:rPr>
                <w:rFonts w:hint="eastAsia" w:ascii="宋体" w:hAnsi="宋体" w:cs="Times New Roman"/>
                <w:i w:val="0"/>
                <w:iCs w:val="0"/>
                <w:color w:val="auto"/>
                <w:highlight w:val="none"/>
              </w:rPr>
              <w:t>转账形式，转账</w:t>
            </w:r>
            <w:r>
              <w:rPr>
                <w:rFonts w:hint="eastAsia" w:ascii="宋体" w:hAnsi="Times New Roman" w:cs="Times New Roman"/>
                <w:i w:val="0"/>
                <w:iCs w:val="0"/>
                <w:color w:val="auto"/>
                <w:highlight w:val="none"/>
              </w:rPr>
              <w:t>现金</w:t>
            </w:r>
            <w:r>
              <w:rPr>
                <w:rFonts w:hint="eastAsia" w:ascii="宋体" w:hAnsi="宋体" w:cs="Times New Roman"/>
                <w:i w:val="0"/>
                <w:iCs w:val="0"/>
                <w:color w:val="auto"/>
                <w:highlight w:val="none"/>
              </w:rPr>
              <w:t>不予退还。</w:t>
            </w:r>
          </w:p>
          <w:p w14:paraId="44844938">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r>
              <w:rPr>
                <w:rFonts w:hint="eastAsia" w:ascii="宋体" w:hAnsi="Times New Roman" w:cs="Times New Roman"/>
                <w:i w:val="0"/>
                <w:iCs w:val="0"/>
                <w:color w:val="auto"/>
                <w:highlight w:val="none"/>
              </w:rPr>
              <w:t>以</w:t>
            </w:r>
            <w:r>
              <w:rPr>
                <w:rFonts w:hint="eastAsia" w:ascii="宋体" w:hAnsi="宋体" w:cs="Times New Roman"/>
                <w:i w:val="0"/>
                <w:iCs w:val="0"/>
                <w:color w:val="auto"/>
                <w:highlight w:val="none"/>
              </w:rPr>
              <w:t>银行保函形式，招标人作为受益人向银行提起索赔。</w:t>
            </w:r>
          </w:p>
          <w:p w14:paraId="72915050">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（3）以保证保险形式，招标人作为被保险人（受益人）向保险人提起索赔。</w:t>
            </w:r>
          </w:p>
          <w:p w14:paraId="2EEA21C4">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（4）以担保公司担保形式,招标人作为受益人向担保人提起索赔。</w:t>
            </w:r>
          </w:p>
        </w:tc>
      </w:tr>
      <w:tr w14:paraId="6DF7F57E">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032035B">
            <w:pPr>
              <w:pStyle w:val="44"/>
              <w:keepNext w:val="0"/>
              <w:keepLines w:val="0"/>
              <w:suppressLineNumbers w:val="0"/>
              <w:kinsoku w:val="0"/>
              <w:spacing w:before="159"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3.5</w:t>
            </w:r>
          </w:p>
        </w:tc>
        <w:tc>
          <w:tcPr>
            <w:tcW w:w="1826" w:type="dxa"/>
            <w:tcBorders>
              <w:top w:val="single" w:color="000000" w:sz="4" w:space="0"/>
              <w:left w:val="nil"/>
              <w:bottom w:val="single" w:color="000000" w:sz="4" w:space="0"/>
              <w:right w:val="single" w:color="000000" w:sz="4" w:space="0"/>
            </w:tcBorders>
            <w:noWrap/>
            <w:vAlign w:val="center"/>
          </w:tcPr>
          <w:p w14:paraId="3A62F71A">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295CBD5D">
            <w:pPr>
              <w:pStyle w:val="45"/>
              <w:keepNext w:val="0"/>
              <w:keepLines w:val="0"/>
              <w:suppressLineNumbers w:val="0"/>
              <w:snapToGrid w:val="0"/>
              <w:spacing w:before="0" w:beforeAutospacing="0" w:after="0" w:afterAutospacing="0" w:line="240" w:lineRule="auto"/>
              <w:ind w:left="0" w:right="0" w:firstLine="0" w:firstLineChars="0"/>
              <w:rPr>
                <w:rFonts w:hint="eastAsia" w:cs="Times New Roman"/>
                <w:i w:val="0"/>
                <w:iCs w:val="0"/>
                <w:color w:val="auto"/>
                <w:highlight w:val="none"/>
              </w:rPr>
            </w:pPr>
            <w:r>
              <w:rPr>
                <w:rFonts w:hint="eastAsia" w:cs="Times New Roman"/>
                <w:i w:val="0"/>
                <w:iCs w:val="0"/>
                <w:color w:val="auto"/>
                <w:spacing w:val="-4"/>
                <w:highlight w:val="none"/>
              </w:rPr>
              <w:t>1.“投标人基本情况表”应附投标人营业执照和组织机构代码证的复制件（按照“三证合一”</w:t>
            </w:r>
            <w:r>
              <w:rPr>
                <w:rFonts w:hint="eastAsia" w:cs="Times New Roman"/>
                <w:i w:val="0"/>
                <w:iCs w:val="0"/>
                <w:color w:val="auto"/>
                <w:spacing w:val="-6"/>
                <w:highlight w:val="none"/>
              </w:rPr>
              <w:t>或“五证合一”登记制度进行登记的，可仅提供营业执照复制件）、投标人资质证书、安全生产许可证副本等材</w:t>
            </w:r>
            <w:r>
              <w:rPr>
                <w:rFonts w:hint="eastAsia" w:cs="Times New Roman"/>
                <w:i w:val="0"/>
                <w:iCs w:val="0"/>
                <w:color w:val="auto"/>
                <w:highlight w:val="none"/>
              </w:rPr>
              <w:t>料的复制件。</w:t>
            </w:r>
          </w:p>
          <w:p w14:paraId="58641144">
            <w:pPr>
              <w:pStyle w:val="45"/>
              <w:keepNext w:val="0"/>
              <w:keepLines w:val="0"/>
              <w:suppressLineNumbers w:val="0"/>
              <w:snapToGrid w:val="0"/>
              <w:spacing w:before="0" w:beforeAutospacing="0" w:after="0" w:afterAutospacing="0" w:line="240" w:lineRule="auto"/>
              <w:ind w:left="0" w:right="0"/>
              <w:rPr>
                <w:rFonts w:hint="eastAsia" w:cs="Times New Roman"/>
                <w:i w:val="0"/>
                <w:iCs w:val="0"/>
                <w:color w:val="auto"/>
                <w:spacing w:val="-4"/>
                <w:highlight w:val="none"/>
              </w:rPr>
            </w:pPr>
            <w:r>
              <w:rPr>
                <w:rFonts w:hint="default" w:cs="Times New Roman"/>
                <w:i w:val="0"/>
                <w:iCs w:val="0"/>
                <w:color w:val="auto"/>
                <w:highlight w:val="none"/>
              </w:rPr>
              <w:t>提供投标人</w:t>
            </w:r>
            <w:r>
              <w:rPr>
                <w:rFonts w:hint="eastAsia" w:cs="Times New Roman"/>
                <w:i w:val="0"/>
                <w:iCs w:val="0"/>
                <w:color w:val="auto"/>
                <w:highlight w:val="none"/>
                <w:u w:val="single"/>
                <w:lang w:eastAsia="zh-CN"/>
              </w:rPr>
              <w:t>2</w:t>
            </w:r>
            <w:r>
              <w:rPr>
                <w:rFonts w:hint="eastAsia" w:cs="Times New Roman"/>
                <w:i w:val="0"/>
                <w:iCs w:val="0"/>
                <w:color w:val="auto"/>
                <w:highlight w:val="none"/>
                <w:u w:val="single"/>
                <w:lang w:val="en-US" w:eastAsia="zh-CN"/>
              </w:rPr>
              <w:t>026</w:t>
            </w:r>
            <w:r>
              <w:rPr>
                <w:rFonts w:hint="default" w:cs="Times New Roman"/>
                <w:i w:val="0"/>
                <w:iCs w:val="0"/>
                <w:color w:val="auto"/>
                <w:highlight w:val="none"/>
              </w:rPr>
              <w:t>年</w:t>
            </w:r>
            <w:r>
              <w:rPr>
                <w:rFonts w:hint="default" w:cs="Times New Roman"/>
                <w:i w:val="0"/>
                <w:iCs w:val="0"/>
                <w:color w:val="auto"/>
                <w:highlight w:val="none"/>
                <w:u w:val="single"/>
              </w:rPr>
              <w:t xml:space="preserve"> </w:t>
            </w:r>
            <w:r>
              <w:rPr>
                <w:rFonts w:hint="eastAsia" w:cs="Times New Roman"/>
                <w:i w:val="0"/>
                <w:iCs w:val="0"/>
                <w:color w:val="auto"/>
                <w:highlight w:val="none"/>
                <w:u w:val="single"/>
                <w:lang w:val="en-US" w:eastAsia="zh-CN"/>
              </w:rPr>
              <w:t>4</w:t>
            </w:r>
            <w:r>
              <w:rPr>
                <w:rFonts w:hint="default" w:cs="Times New Roman"/>
                <w:i w:val="0"/>
                <w:iCs w:val="0"/>
                <w:color w:val="auto"/>
                <w:highlight w:val="none"/>
                <w:u w:val="single"/>
              </w:rPr>
              <w:t xml:space="preserve"> </w:t>
            </w:r>
            <w:r>
              <w:rPr>
                <w:rFonts w:hint="default" w:cs="Times New Roman"/>
                <w:i w:val="0"/>
                <w:iCs w:val="0"/>
                <w:color w:val="auto"/>
                <w:highlight w:val="none"/>
              </w:rPr>
              <w:t>月</w:t>
            </w:r>
            <w:r>
              <w:rPr>
                <w:rFonts w:hint="default" w:cs="Times New Roman"/>
                <w:i w:val="0"/>
                <w:iCs w:val="0"/>
                <w:color w:val="auto"/>
                <w:highlight w:val="none"/>
                <w:u w:val="single"/>
              </w:rPr>
              <w:t xml:space="preserve"> </w:t>
            </w:r>
            <w:r>
              <w:rPr>
                <w:rFonts w:hint="eastAsia" w:cs="Times New Roman"/>
                <w:i w:val="0"/>
                <w:iCs w:val="0"/>
                <w:color w:val="auto"/>
                <w:highlight w:val="none"/>
                <w:u w:val="single"/>
                <w:lang w:val="en-US" w:eastAsia="zh-CN"/>
              </w:rPr>
              <w:t>13</w:t>
            </w:r>
            <w:r>
              <w:rPr>
                <w:rFonts w:hint="default" w:cs="Times New Roman"/>
                <w:i w:val="0"/>
                <w:iCs w:val="0"/>
                <w:color w:val="auto"/>
                <w:highlight w:val="none"/>
                <w:u w:val="single"/>
              </w:rPr>
              <w:t xml:space="preserve"> </w:t>
            </w:r>
            <w:r>
              <w:rPr>
                <w:rFonts w:hint="default" w:cs="Times New Roman"/>
                <w:i w:val="0"/>
                <w:iCs w:val="0"/>
                <w:color w:val="auto"/>
                <w:highlight w:val="none"/>
              </w:rPr>
              <w:t>日（周一，招标公告发布之日至投标截止日之间）在“浙江省建筑市场监管公共服务系统”上，参与投标资质的“资质动态核查结果证明”。</w:t>
            </w:r>
          </w:p>
          <w:p w14:paraId="60782320">
            <w:pPr>
              <w:pStyle w:val="45"/>
              <w:keepNext w:val="0"/>
              <w:keepLines w:val="0"/>
              <w:suppressLineNumbers w:val="0"/>
              <w:snapToGrid w:val="0"/>
              <w:spacing w:before="0" w:beforeAutospacing="0" w:after="0" w:afterAutospacing="0" w:line="240" w:lineRule="auto"/>
              <w:ind w:left="0" w:right="0"/>
              <w:rPr>
                <w:rFonts w:hint="eastAsia" w:cs="Times New Roman"/>
                <w:i w:val="0"/>
                <w:iCs w:val="0"/>
                <w:color w:val="auto"/>
                <w:spacing w:val="-4"/>
                <w:highlight w:val="none"/>
              </w:rPr>
            </w:pPr>
            <w:r>
              <w:rPr>
                <w:rFonts w:hint="eastAsia" w:cs="Times New Roman"/>
                <w:i w:val="0"/>
                <w:iCs w:val="0"/>
                <w:color w:val="auto"/>
                <w:spacing w:val="-4"/>
                <w:highlight w:val="none"/>
              </w:rPr>
              <w:sym w:font="Wingdings 2" w:char="00A3"/>
            </w:r>
            <w:r>
              <w:rPr>
                <w:rFonts w:hint="eastAsia" w:cs="Times New Roman"/>
                <w:i w:val="0"/>
                <w:iCs w:val="0"/>
                <w:color w:val="auto"/>
                <w:spacing w:val="-4"/>
                <w:highlight w:val="none"/>
              </w:rPr>
              <w:t>《中小企业声明函》（面向中小企业招标的，投标人或联合体中的中小企业需提供）</w:t>
            </w:r>
          </w:p>
          <w:p w14:paraId="38A8DA52">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i w:val="0"/>
                <w:iCs w:val="0"/>
                <w:color w:val="auto"/>
                <w:highlight w:val="none"/>
              </w:rPr>
              <w:t>2.</w:t>
            </w:r>
            <w:r>
              <w:rPr>
                <w:rFonts w:hint="eastAsia" w:cs="Times New Roman"/>
                <w:bCs/>
                <w:i w:val="0"/>
                <w:iCs w:val="0"/>
                <w:color w:val="auto"/>
                <w:highlight w:val="none"/>
              </w:rPr>
              <w:t>企业主要负责人（法定代表人、企业经理、企业分管安全生产的副经理、企业技术负责人）的安全生产考核合格证书和企业分管安全生产副经理企业的任命书复制件。</w:t>
            </w:r>
            <w:r>
              <w:rPr>
                <w:rFonts w:hint="eastAsia" w:cs="Times New Roman"/>
                <w:bCs/>
                <w:i w:val="0"/>
                <w:iCs w:val="0"/>
                <w:color w:val="auto"/>
                <w:highlight w:val="none"/>
                <w:lang w:eastAsia="zh-CN"/>
              </w:rPr>
              <w:t>☑</w:t>
            </w:r>
            <w:r>
              <w:rPr>
                <w:rFonts w:hint="eastAsia" w:cs="Times New Roman"/>
                <w:bCs/>
                <w:i w:val="0"/>
                <w:iCs w:val="0"/>
                <w:color w:val="auto"/>
                <w:highlight w:val="none"/>
              </w:rPr>
              <w:t>企业经理、技术负责人任命书复制件。</w:t>
            </w:r>
          </w:p>
          <w:p w14:paraId="3EE31DFF">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bCs/>
                <w:i w:val="0"/>
                <w:iCs w:val="0"/>
                <w:color w:val="auto"/>
                <w:highlight w:val="none"/>
              </w:rPr>
              <w:t>3.拟派项目负责人建造师注册证书和安全生产考核合格证书复制件。建造师以浙江省建筑市场监管公共服务系统信息，或注册执业证书，或建设主管部门相关证明材料为准。</w:t>
            </w:r>
          </w:p>
          <w:p w14:paraId="18512F5C">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bCs/>
                <w:i w:val="0"/>
                <w:iCs w:val="0"/>
                <w:color w:val="auto"/>
                <w:highlight w:val="none"/>
              </w:rPr>
              <w:t>4.施工现场专职安全生产管理人员的安全生产考核合格证书复制件。</w:t>
            </w:r>
            <w:r>
              <w:rPr>
                <w:rFonts w:hint="eastAsia" w:ascii="宋体" w:hAnsi="宋体" w:eastAsia="宋体" w:cs="Times New Roman"/>
                <w:bCs/>
                <w:i w:val="0"/>
                <w:iCs w:val="0"/>
                <w:color w:val="auto"/>
                <w:highlight w:val="none"/>
                <w:u w:val="none"/>
                <w:shd w:val="clear" w:color="auto" w:fill="auto"/>
              </w:rPr>
              <w:t>施工现场专职安全生产管理人员的数量应符合住房和城乡建设部</w:t>
            </w:r>
            <w:r>
              <w:rPr>
                <w:rFonts w:hint="eastAsia" w:eastAsia="宋体" w:cs="Times New Roman"/>
                <w:bCs/>
                <w:i w:val="0"/>
                <w:iCs w:val="0"/>
                <w:color w:val="auto"/>
                <w:highlight w:val="none"/>
                <w:u w:val="none"/>
                <w:shd w:val="clear" w:color="auto" w:fill="auto"/>
                <w:lang w:eastAsia="zh-CN"/>
              </w:rPr>
              <w:t>《建筑施工企业、工程项目安全生产管理机构设置及安全生产管理人员配备办法》（建质规[2025]3号））</w:t>
            </w:r>
            <w:r>
              <w:rPr>
                <w:rFonts w:hint="eastAsia" w:ascii="宋体" w:hAnsi="宋体" w:eastAsia="宋体" w:cs="Times New Roman"/>
                <w:bCs/>
                <w:i w:val="0"/>
                <w:iCs w:val="0"/>
                <w:color w:val="auto"/>
                <w:highlight w:val="none"/>
                <w:u w:val="none"/>
                <w:shd w:val="clear" w:color="auto" w:fill="auto"/>
              </w:rPr>
              <w:t>的规定，</w:t>
            </w:r>
            <w:r>
              <w:rPr>
                <w:rFonts w:hint="eastAsia" w:hAnsi="宋体"/>
                <w:b/>
                <w:bCs/>
                <w:i w:val="0"/>
                <w:iCs w:val="0"/>
                <w:color w:val="auto"/>
                <w:sz w:val="24"/>
                <w:szCs w:val="24"/>
                <w:highlight w:val="none"/>
                <w:lang w:eastAsia="zh-CN"/>
              </w:rPr>
              <w:t>本项目要求专职安全生产管理人员不少于</w:t>
            </w:r>
            <w:r>
              <w:rPr>
                <w:rFonts w:hint="eastAsia" w:hAnsi="宋体"/>
                <w:b/>
                <w:bCs/>
                <w:i w:val="0"/>
                <w:iCs w:val="0"/>
                <w:color w:val="auto"/>
                <w:sz w:val="24"/>
                <w:szCs w:val="24"/>
                <w:highlight w:val="none"/>
                <w:lang w:val="en-US" w:eastAsia="zh-CN"/>
              </w:rPr>
              <w:t>5</w:t>
            </w:r>
            <w:r>
              <w:rPr>
                <w:rFonts w:hint="eastAsia" w:hAnsi="宋体"/>
                <w:b/>
                <w:bCs/>
                <w:i w:val="0"/>
                <w:iCs w:val="0"/>
                <w:color w:val="auto"/>
                <w:sz w:val="24"/>
                <w:szCs w:val="24"/>
                <w:highlight w:val="none"/>
                <w:lang w:eastAsia="zh-CN"/>
              </w:rPr>
              <w:t>人</w:t>
            </w:r>
            <w:r>
              <w:rPr>
                <w:rFonts w:hint="eastAsia" w:hAnsi="宋体"/>
                <w:b/>
                <w:bCs/>
                <w:i w:val="0"/>
                <w:iCs w:val="0"/>
                <w:color w:val="auto"/>
                <w:sz w:val="24"/>
                <w:szCs w:val="24"/>
                <w:highlight w:val="none"/>
                <w:lang w:val="en-US" w:eastAsia="zh-CN"/>
              </w:rPr>
              <w:t>及机械类专职安全生产管理人员1人</w:t>
            </w:r>
            <w:r>
              <w:rPr>
                <w:rFonts w:hint="eastAsia" w:ascii="宋体" w:hAnsi="宋体" w:eastAsia="宋体" w:cs="Times New Roman"/>
                <w:bCs/>
                <w:i w:val="0"/>
                <w:iCs w:val="0"/>
                <w:color w:val="auto"/>
                <w:highlight w:val="none"/>
                <w:u w:val="none"/>
                <w:shd w:val="clear" w:color="auto" w:fill="auto"/>
              </w:rPr>
              <w:t>。</w:t>
            </w:r>
          </w:p>
          <w:p w14:paraId="373E70B7">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bCs/>
                <w:i w:val="0"/>
                <w:iCs w:val="0"/>
                <w:color w:val="auto"/>
                <w:highlight w:val="none"/>
              </w:rPr>
              <w:t>5.联合体各方签订的共同投标协议（联合体投标的提供）。</w:t>
            </w:r>
          </w:p>
          <w:p w14:paraId="7174E963">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i w:val="0"/>
                <w:iCs w:val="0"/>
                <w:color w:val="auto"/>
                <w:highlight w:val="none"/>
              </w:rPr>
            </w:pPr>
            <w:r>
              <w:rPr>
                <w:rFonts w:hint="eastAsia" w:ascii="Calibri" w:hAnsi="Calibri" w:cs="Times New Roman"/>
                <w:i w:val="0"/>
                <w:iCs w:val="0"/>
                <w:color w:val="auto"/>
                <w:highlight w:val="none"/>
                <w:lang w:eastAsia="zh-CN" w:bidi="ar"/>
              </w:rPr>
              <w:t>☑</w:t>
            </w:r>
            <w:r>
              <w:rPr>
                <w:rFonts w:hint="eastAsia" w:cs="Times New Roman"/>
                <w:bCs/>
                <w:i w:val="0"/>
                <w:iCs w:val="0"/>
                <w:color w:val="auto"/>
                <w:highlight w:val="none"/>
              </w:rPr>
              <w:t>6.授权委托书（投标文件委托代理人签字的提供）。</w:t>
            </w:r>
          </w:p>
          <w:p w14:paraId="27DDE742">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i w:val="0"/>
                <w:iCs w:val="0"/>
                <w:color w:val="auto"/>
                <w:highlight w:val="none"/>
              </w:rPr>
            </w:pPr>
            <w:r>
              <w:rPr>
                <w:rFonts w:hint="eastAsia" w:cs="Times New Roman"/>
                <w:bCs/>
                <w:i w:val="0"/>
                <w:iCs w:val="0"/>
                <w:color w:val="auto"/>
                <w:highlight w:val="none"/>
              </w:rPr>
              <w:t>7.投标承诺书。（应按招标文件提供的格式填写）</w:t>
            </w:r>
          </w:p>
          <w:p w14:paraId="7EA988F2">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i w:val="0"/>
                <w:iCs w:val="0"/>
                <w:color w:val="auto"/>
                <w:highlight w:val="none"/>
              </w:rPr>
            </w:pPr>
            <w:r>
              <w:rPr>
                <w:rFonts w:hint="eastAsia" w:cs="Times New Roman"/>
                <w:bCs/>
                <w:i w:val="0"/>
                <w:iCs w:val="0"/>
                <w:color w:val="auto"/>
                <w:highlight w:val="none"/>
              </w:rPr>
              <w:t>8.投标保证金缴纳证明资料</w:t>
            </w:r>
            <w:bookmarkStart w:id="85" w:name="OLE_LINK1"/>
            <w:r>
              <w:rPr>
                <w:rFonts w:hint="eastAsia" w:cs="Times New Roman"/>
                <w:bCs/>
                <w:i w:val="0"/>
                <w:iCs w:val="0"/>
                <w:color w:val="auto"/>
                <w:highlight w:val="none"/>
              </w:rPr>
              <w:t>（银行转账记录或银行保函或投标保险保单或担保保函</w:t>
            </w:r>
            <w:r>
              <w:rPr>
                <w:rFonts w:hint="eastAsia" w:ascii="Times New Roman" w:cs="Times New Roman"/>
                <w:i w:val="0"/>
                <w:iCs w:val="0"/>
                <w:color w:val="auto"/>
                <w:highlight w:val="none"/>
              </w:rPr>
              <w:t>，</w:t>
            </w:r>
            <w:r>
              <w:rPr>
                <w:rFonts w:hint="default" w:ascii="Times New Roman" w:cs="Times New Roman"/>
                <w:i w:val="0"/>
                <w:iCs w:val="0"/>
                <w:color w:val="auto"/>
                <w:highlight w:val="none"/>
              </w:rPr>
              <w:t>购买保险或办理保函、担保等保证金相关费用从投标人基本账户转出的凭证，基本账户开</w:t>
            </w:r>
            <w:r>
              <w:rPr>
                <w:rFonts w:hint="eastAsia" w:ascii="Times New Roman" w:cs="Times New Roman"/>
                <w:i w:val="0"/>
                <w:iCs w:val="0"/>
                <w:color w:val="auto"/>
                <w:highlight w:val="none"/>
              </w:rPr>
              <w:t>户证明</w:t>
            </w:r>
            <w:r>
              <w:rPr>
                <w:rFonts w:hint="default" w:ascii="Times New Roman" w:cs="Times New Roman"/>
                <w:i w:val="0"/>
                <w:iCs w:val="0"/>
                <w:color w:val="auto"/>
                <w:highlight w:val="none"/>
              </w:rPr>
              <w:t>。）</w:t>
            </w:r>
            <w:bookmarkEnd w:id="85"/>
            <w:r>
              <w:rPr>
                <w:rFonts w:hint="eastAsia" w:cs="Times New Roman"/>
                <w:bCs/>
                <w:i w:val="0"/>
                <w:iCs w:val="0"/>
                <w:color w:val="auto"/>
                <w:highlight w:val="none"/>
              </w:rPr>
              <w:t>。</w:t>
            </w:r>
          </w:p>
          <w:p w14:paraId="4216267E">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i w:val="0"/>
                <w:iCs w:val="0"/>
                <w:color w:val="auto"/>
                <w:highlight w:val="none"/>
              </w:rPr>
            </w:pPr>
            <w:r>
              <w:rPr>
                <w:rFonts w:hint="eastAsia" w:cs="Times New Roman"/>
                <w:bCs/>
                <w:i w:val="0"/>
                <w:iCs w:val="0"/>
                <w:color w:val="auto"/>
                <w:highlight w:val="none"/>
              </w:rPr>
              <w:t>9.省外企业在“浙江省建筑市场监管公共服务系统”备案信息截图复制件。</w:t>
            </w:r>
          </w:p>
          <w:p w14:paraId="7470C010">
            <w:pPr>
              <w:pStyle w:val="45"/>
              <w:keepNext w:val="0"/>
              <w:keepLines w:val="0"/>
              <w:suppressLineNumbers w:val="0"/>
              <w:kinsoku w:val="0"/>
              <w:snapToGrid w:val="0"/>
              <w:spacing w:before="0" w:beforeAutospacing="0" w:after="0" w:afterAutospacing="0" w:line="240" w:lineRule="auto"/>
              <w:ind w:left="0" w:right="0" w:firstLine="0" w:firstLineChars="0"/>
              <w:jc w:val="both"/>
              <w:rPr>
                <w:rFonts w:hint="eastAsia" w:eastAsia="宋体" w:cs="Times New Roman"/>
                <w:i w:val="0"/>
                <w:iCs w:val="0"/>
                <w:color w:val="auto"/>
                <w:highlight w:val="none"/>
                <w:lang w:eastAsia="zh-CN"/>
              </w:rPr>
            </w:pPr>
            <w:r>
              <w:rPr>
                <w:rFonts w:hint="eastAsia" w:cs="Times New Roman"/>
                <w:bCs/>
                <w:i w:val="0"/>
                <w:iCs w:val="0"/>
                <w:color w:val="auto"/>
                <w:highlight w:val="none"/>
                <w:lang w:eastAsia="zh-CN"/>
              </w:rPr>
              <w:t>☑</w:t>
            </w:r>
            <w:r>
              <w:rPr>
                <w:rFonts w:hint="eastAsia" w:cs="Times New Roman"/>
                <w:bCs/>
                <w:i w:val="0"/>
                <w:iCs w:val="0"/>
                <w:color w:val="auto"/>
                <w:highlight w:val="none"/>
              </w:rPr>
              <w:t>10.</w:t>
            </w:r>
            <w:r>
              <w:rPr>
                <w:rFonts w:hint="eastAsia" w:cs="Times New Roman"/>
                <w:bCs/>
                <w:i w:val="0"/>
                <w:iCs w:val="0"/>
                <w:color w:val="auto"/>
                <w:highlight w:val="none"/>
                <w:u w:val="single"/>
              </w:rPr>
              <w:t>资格业绩证明材料和项目负责人社保证明</w:t>
            </w:r>
            <w:r>
              <w:rPr>
                <w:rFonts w:hint="eastAsia" w:cs="Times New Roman"/>
                <w:bCs/>
                <w:i w:val="0"/>
                <w:iCs w:val="0"/>
                <w:color w:val="auto"/>
                <w:highlight w:val="none"/>
                <w:u w:val="single"/>
                <w:lang w:eastAsia="zh-CN"/>
              </w:rPr>
              <w:t>。</w:t>
            </w:r>
          </w:p>
        </w:tc>
      </w:tr>
      <w:tr w14:paraId="5EE4B5A7">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B4437E0">
            <w:pPr>
              <w:pStyle w:val="44"/>
              <w:keepNext w:val="0"/>
              <w:keepLines w:val="0"/>
              <w:suppressLineNumbers w:val="0"/>
              <w:kinsoku w:val="0"/>
              <w:spacing w:before="110"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3.7.3（1）</w:t>
            </w:r>
          </w:p>
        </w:tc>
        <w:tc>
          <w:tcPr>
            <w:tcW w:w="1826" w:type="dxa"/>
            <w:tcBorders>
              <w:top w:val="single" w:color="000000" w:sz="4" w:space="0"/>
              <w:left w:val="nil"/>
              <w:bottom w:val="single" w:color="000000" w:sz="4" w:space="0"/>
              <w:right w:val="single" w:color="000000" w:sz="4" w:space="0"/>
            </w:tcBorders>
            <w:noWrap/>
            <w:vAlign w:val="center"/>
          </w:tcPr>
          <w:p w14:paraId="12D1875E">
            <w:pPr>
              <w:pStyle w:val="44"/>
              <w:keepNext w:val="0"/>
              <w:keepLines w:val="0"/>
              <w:suppressLineNumbers w:val="0"/>
              <w:kinsoku w:val="0"/>
              <w:spacing w:before="95"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电子投标文件</w:t>
            </w:r>
          </w:p>
          <w:p w14:paraId="622DDB75">
            <w:pPr>
              <w:pStyle w:val="44"/>
              <w:keepNext w:val="0"/>
              <w:keepLines w:val="0"/>
              <w:suppressLineNumbers w:val="0"/>
              <w:kinsoku w:val="0"/>
              <w:spacing w:before="95"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盖章要求</w:t>
            </w:r>
          </w:p>
        </w:tc>
        <w:tc>
          <w:tcPr>
            <w:tcW w:w="6272" w:type="dxa"/>
            <w:tcBorders>
              <w:top w:val="single" w:color="000000" w:sz="4" w:space="0"/>
              <w:left w:val="nil"/>
              <w:bottom w:val="single" w:color="000000" w:sz="4" w:space="0"/>
              <w:right w:val="single" w:color="000000" w:sz="4" w:space="0"/>
            </w:tcBorders>
            <w:noWrap/>
            <w:vAlign w:val="top"/>
          </w:tcPr>
          <w:p w14:paraId="6D7C8F92">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1.投标文件格式文件要求投标人盖章、法定代表人</w:t>
            </w:r>
            <w:r>
              <w:rPr>
                <w:rFonts w:hint="eastAsia" w:ascii="Times New Roman" w:hAnsi="Times New Roman" w:cs="Times New Roman"/>
                <w:i w:val="0"/>
                <w:iCs w:val="0"/>
                <w:color w:val="auto"/>
                <w:highlight w:val="none"/>
              </w:rPr>
              <w:t>签字或盖章</w:t>
            </w:r>
            <w:r>
              <w:rPr>
                <w:rFonts w:hint="eastAsia" w:ascii="宋体" w:hAnsi="宋体" w:cs="Times New Roman"/>
                <w:i w:val="0"/>
                <w:iCs w:val="0"/>
                <w:color w:val="auto"/>
                <w:highlight w:val="none"/>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6A638D9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Wingdings 2" w:hAnsi="Wingdings 2" w:cs="Times New Roman"/>
                <w:i w:val="0"/>
                <w:iCs w:val="0"/>
                <w:color w:val="auto"/>
                <w:highlight w:val="none"/>
                <w:shd w:val="clear" w:color="auto" w:fill="FFFFFF"/>
              </w:rPr>
              <w:sym w:font="Wingdings 2" w:char="0052"/>
            </w:r>
            <w:r>
              <w:rPr>
                <w:rFonts w:hint="eastAsia" w:ascii="宋体" w:hAnsi="宋体" w:cs="Times New Roman"/>
                <w:i w:val="0"/>
                <w:iCs w:val="0"/>
                <w:color w:val="auto"/>
                <w:highlight w:val="none"/>
              </w:rPr>
              <w:t>2.投标文件所附证书证件、业绩证明文件、投标保证金等证明材料用复制件并加盖投标单位电子印章；</w:t>
            </w:r>
          </w:p>
        </w:tc>
      </w:tr>
      <w:tr w14:paraId="6AF51559">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2AD1916">
            <w:pPr>
              <w:pStyle w:val="44"/>
              <w:keepNext w:val="0"/>
              <w:keepLines w:val="0"/>
              <w:suppressLineNumbers w:val="0"/>
              <w:kinsoku w:val="0"/>
              <w:spacing w:before="107"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3.7.3（2）</w:t>
            </w:r>
          </w:p>
        </w:tc>
        <w:tc>
          <w:tcPr>
            <w:tcW w:w="1826" w:type="dxa"/>
            <w:tcBorders>
              <w:top w:val="single" w:color="000000" w:sz="4" w:space="0"/>
              <w:left w:val="nil"/>
              <w:bottom w:val="single" w:color="000000" w:sz="4" w:space="0"/>
              <w:right w:val="single" w:color="000000" w:sz="4" w:space="0"/>
            </w:tcBorders>
            <w:noWrap/>
            <w:vAlign w:val="center"/>
          </w:tcPr>
          <w:p w14:paraId="04980D11">
            <w:pPr>
              <w:pStyle w:val="44"/>
              <w:keepNext w:val="0"/>
              <w:keepLines w:val="0"/>
              <w:suppressLineNumbers w:val="0"/>
              <w:kinsoku w:val="0"/>
              <w:spacing w:before="93"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电子投标文件</w:t>
            </w:r>
          </w:p>
          <w:p w14:paraId="438E2994">
            <w:pPr>
              <w:pStyle w:val="44"/>
              <w:keepNext w:val="0"/>
              <w:keepLines w:val="0"/>
              <w:suppressLineNumbers w:val="0"/>
              <w:kinsoku w:val="0"/>
              <w:spacing w:before="93"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的制作</w:t>
            </w:r>
          </w:p>
        </w:tc>
        <w:tc>
          <w:tcPr>
            <w:tcW w:w="6272" w:type="dxa"/>
            <w:tcBorders>
              <w:top w:val="single" w:color="000000" w:sz="4" w:space="0"/>
              <w:left w:val="nil"/>
              <w:bottom w:val="single" w:color="000000" w:sz="4" w:space="0"/>
              <w:right w:val="single" w:color="000000" w:sz="4" w:space="0"/>
            </w:tcBorders>
            <w:noWrap/>
            <w:vAlign w:val="center"/>
          </w:tcPr>
          <w:p w14:paraId="51257509">
            <w:pPr>
              <w:pStyle w:val="44"/>
              <w:keepNext w:val="0"/>
              <w:keepLines w:val="0"/>
              <w:suppressLineNumbers w:val="0"/>
              <w:kinsoku/>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 xml:space="preserve"> 电子投标的项目，在投标截止时间前，将由“新点投标文</w:t>
            </w:r>
          </w:p>
          <w:p w14:paraId="4A0A2A92">
            <w:pPr>
              <w:pStyle w:val="44"/>
              <w:keepNext w:val="0"/>
              <w:keepLines w:val="0"/>
              <w:suppressLineNumbers w:val="0"/>
              <w:kinsoku/>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件制作软件（绍兴地区通用版）”制作生成的加密投标文件</w:t>
            </w:r>
          </w:p>
          <w:p w14:paraId="153B591F">
            <w:pPr>
              <w:pStyle w:val="44"/>
              <w:keepNext w:val="0"/>
              <w:keepLines w:val="0"/>
              <w:suppressLineNumbers w:val="0"/>
              <w:kinsoku/>
              <w:snapToGrid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u w:val="single"/>
              </w:rPr>
              <w:t xml:space="preserve">上传至绍兴市公共资源交易中心电子招投标交易平台。 </w:t>
            </w:r>
          </w:p>
          <w:p w14:paraId="01D15C34">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其他：</w:t>
            </w:r>
            <w:r>
              <w:rPr>
                <w:rFonts w:hint="eastAsia" w:ascii="宋体" w:hAnsi="宋体" w:cs="Times New Roman"/>
                <w:i w:val="0"/>
                <w:iCs w:val="0"/>
                <w:color w:val="auto"/>
                <w:highlight w:val="none"/>
                <w:lang w:val="en-US" w:eastAsia="zh-CN"/>
              </w:rPr>
              <w:t>/</w:t>
            </w:r>
            <w:r>
              <w:rPr>
                <w:rFonts w:hint="eastAsia" w:ascii="宋体" w:hAnsi="宋体" w:cs="Times New Roman"/>
                <w:i w:val="0"/>
                <w:iCs w:val="0"/>
                <w:color w:val="auto"/>
                <w:highlight w:val="none"/>
              </w:rPr>
              <w:t>。</w:t>
            </w:r>
          </w:p>
        </w:tc>
      </w:tr>
      <w:tr w14:paraId="0F7D724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27DA0A">
            <w:pPr>
              <w:pStyle w:val="44"/>
              <w:keepNext w:val="0"/>
              <w:keepLines w:val="0"/>
              <w:suppressLineNumbers w:val="0"/>
              <w:kinsoku w:val="0"/>
              <w:spacing w:before="110"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3.7.4</w:t>
            </w:r>
          </w:p>
        </w:tc>
        <w:tc>
          <w:tcPr>
            <w:tcW w:w="1826" w:type="dxa"/>
            <w:tcBorders>
              <w:top w:val="single" w:color="000000" w:sz="4" w:space="0"/>
              <w:left w:val="nil"/>
              <w:bottom w:val="single" w:color="000000" w:sz="4" w:space="0"/>
              <w:right w:val="single" w:color="000000" w:sz="4" w:space="0"/>
            </w:tcBorders>
            <w:noWrap/>
            <w:vAlign w:val="center"/>
          </w:tcPr>
          <w:p w14:paraId="5FE8A2B3">
            <w:pPr>
              <w:pStyle w:val="44"/>
              <w:keepNext w:val="0"/>
              <w:keepLines w:val="0"/>
              <w:suppressLineNumbers w:val="0"/>
              <w:kinsoku w:val="0"/>
              <w:spacing w:before="1" w:beforeAutospacing="0" w:after="0" w:afterAutospacing="0"/>
              <w:ind w:left="0" w:right="74"/>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业绩证明文件</w:t>
            </w:r>
          </w:p>
          <w:p w14:paraId="14E1F208">
            <w:pPr>
              <w:pStyle w:val="44"/>
              <w:keepNext w:val="0"/>
              <w:keepLines w:val="0"/>
              <w:suppressLineNumbers w:val="0"/>
              <w:kinsoku w:val="0"/>
              <w:spacing w:before="1" w:beforeAutospacing="0" w:after="0" w:afterAutospacing="0"/>
              <w:ind w:left="0" w:right="74"/>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要求</w:t>
            </w:r>
          </w:p>
        </w:tc>
        <w:tc>
          <w:tcPr>
            <w:tcW w:w="6272" w:type="dxa"/>
            <w:tcBorders>
              <w:top w:val="single" w:color="000000" w:sz="4" w:space="0"/>
              <w:left w:val="nil"/>
              <w:bottom w:val="single" w:color="000000" w:sz="4" w:space="0"/>
              <w:right w:val="single" w:color="000000" w:sz="4" w:space="0"/>
            </w:tcBorders>
            <w:noWrap/>
            <w:vAlign w:val="center"/>
          </w:tcPr>
          <w:p w14:paraId="2165E5C1">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业绩汇总表须按所附证明材料如实填写。</w:t>
            </w:r>
          </w:p>
          <w:p w14:paraId="6DCDBE69">
            <w:pPr>
              <w:pStyle w:val="44"/>
              <w:keepNext w:val="0"/>
              <w:keepLines w:val="0"/>
              <w:suppressLineNumbers w:val="0"/>
              <w:kinsoku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其他：</w:t>
            </w:r>
            <w:r>
              <w:rPr>
                <w:rFonts w:hint="eastAsia" w:ascii="宋体" w:hAnsi="宋体" w:cs="Times New Roman"/>
                <w:i w:val="0"/>
                <w:iCs w:val="0"/>
                <w:color w:val="auto"/>
                <w:highlight w:val="none"/>
                <w:lang w:val="en-US" w:eastAsia="zh-CN"/>
              </w:rPr>
              <w:t>/</w:t>
            </w:r>
            <w:r>
              <w:rPr>
                <w:rFonts w:hint="eastAsia" w:ascii="宋体" w:hAnsi="宋体" w:cs="Times New Roman"/>
                <w:i w:val="0"/>
                <w:iCs w:val="0"/>
                <w:color w:val="auto"/>
                <w:highlight w:val="none"/>
              </w:rPr>
              <w:t>。</w:t>
            </w:r>
          </w:p>
        </w:tc>
      </w:tr>
      <w:tr w14:paraId="40C6290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37A513">
            <w:pPr>
              <w:pStyle w:val="44"/>
              <w:keepNext w:val="0"/>
              <w:keepLines w:val="0"/>
              <w:suppressLineNumbers w:val="0"/>
              <w:kinsoku w:val="0"/>
              <w:spacing w:before="107"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4.1.1</w:t>
            </w:r>
          </w:p>
        </w:tc>
        <w:tc>
          <w:tcPr>
            <w:tcW w:w="1826" w:type="dxa"/>
            <w:tcBorders>
              <w:top w:val="single" w:color="000000" w:sz="4" w:space="0"/>
              <w:left w:val="nil"/>
              <w:bottom w:val="single" w:color="000000" w:sz="4" w:space="0"/>
              <w:right w:val="single" w:color="000000" w:sz="4" w:space="0"/>
            </w:tcBorders>
            <w:noWrap/>
            <w:vAlign w:val="center"/>
          </w:tcPr>
          <w:p w14:paraId="3FD77E08">
            <w:pPr>
              <w:pStyle w:val="44"/>
              <w:keepNext w:val="0"/>
              <w:keepLines w:val="0"/>
              <w:suppressLineNumbers w:val="0"/>
              <w:kinsoku w:val="0"/>
              <w:spacing w:before="93" w:beforeAutospacing="0" w:after="0" w:afterAutospacing="0"/>
              <w:ind w:left="0" w:right="0"/>
              <w:jc w:val="center"/>
              <w:rPr>
                <w:rFonts w:hint="default" w:ascii="Times New Roman" w:hAnsi="Times New Roman" w:eastAsia="Times New Roman" w:cs="Times New Roman"/>
                <w:i w:val="0"/>
                <w:iCs w:val="0"/>
                <w:color w:val="auto"/>
                <w:highlight w:val="none"/>
              </w:rPr>
            </w:pPr>
            <w:r>
              <w:rPr>
                <w:rFonts w:hint="eastAsia" w:ascii="宋体" w:hAnsi="Times New Roman" w:cs="Times New Roman"/>
                <w:i w:val="0"/>
                <w:iCs w:val="0"/>
                <w:color w:val="auto"/>
                <w:highlight w:val="none"/>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20F13168">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kern w:val="2"/>
                <w:highlight w:val="none"/>
              </w:rPr>
              <w:t>使用投标工具软件编制生成的电子投标文件。</w:t>
            </w:r>
          </w:p>
        </w:tc>
      </w:tr>
      <w:tr w14:paraId="549BAC2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73B7FA1">
            <w:pPr>
              <w:pStyle w:val="44"/>
              <w:keepNext w:val="0"/>
              <w:keepLines w:val="0"/>
              <w:suppressLineNumbers w:val="0"/>
              <w:kinsoku w:val="0"/>
              <w:spacing w:before="156"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4.2.1</w:t>
            </w:r>
          </w:p>
        </w:tc>
        <w:tc>
          <w:tcPr>
            <w:tcW w:w="1826" w:type="dxa"/>
            <w:tcBorders>
              <w:top w:val="single" w:color="000000" w:sz="4" w:space="0"/>
              <w:left w:val="nil"/>
              <w:bottom w:val="single" w:color="000000" w:sz="4" w:space="0"/>
              <w:right w:val="single" w:color="000000" w:sz="4" w:space="0"/>
            </w:tcBorders>
            <w:noWrap/>
            <w:vAlign w:val="center"/>
          </w:tcPr>
          <w:p w14:paraId="480213C4">
            <w:pPr>
              <w:pStyle w:val="44"/>
              <w:keepNext w:val="0"/>
              <w:keepLines w:val="0"/>
              <w:suppressLineNumbers w:val="0"/>
              <w:kinsoku w:val="0"/>
              <w:spacing w:before="107"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75D3EF1A">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lang w:val="en-US" w:eastAsia="zh-CN"/>
              </w:rPr>
              <w:t>2026</w:t>
            </w:r>
            <w:r>
              <w:rPr>
                <w:rFonts w:hint="eastAsia" w:ascii="宋体" w:hAnsi="宋体" w:cs="Times New Roman"/>
                <w:i w:val="0"/>
                <w:iCs w:val="0"/>
                <w:color w:val="auto"/>
                <w:highlight w:val="none"/>
              </w:rPr>
              <w:t xml:space="preserve">年 </w:t>
            </w:r>
            <w:r>
              <w:rPr>
                <w:rFonts w:hint="eastAsia" w:ascii="宋体" w:hAnsi="宋体" w:cs="Times New Roman"/>
                <w:i w:val="0"/>
                <w:iCs w:val="0"/>
                <w:color w:val="auto"/>
                <w:highlight w:val="none"/>
                <w:u w:val="single"/>
              </w:rPr>
              <w:tab/>
            </w:r>
            <w:r>
              <w:rPr>
                <w:rFonts w:hint="eastAsia" w:ascii="宋体" w:hAnsi="宋体" w:cs="Times New Roman"/>
                <w:i w:val="0"/>
                <w:iCs w:val="0"/>
                <w:color w:val="auto"/>
                <w:spacing w:val="-3"/>
                <w:highlight w:val="none"/>
              </w:rPr>
              <w:t>月</w:t>
            </w:r>
            <w:r>
              <w:rPr>
                <w:rFonts w:hint="eastAsia" w:ascii="宋体" w:hAnsi="宋体" w:cs="Times New Roman"/>
                <w:i w:val="0"/>
                <w:iCs w:val="0"/>
                <w:color w:val="auto"/>
                <w:spacing w:val="-3"/>
                <w:highlight w:val="none"/>
                <w:u w:val="single"/>
              </w:rPr>
              <w:t xml:space="preserve">   </w:t>
            </w:r>
            <w:r>
              <w:rPr>
                <w:rFonts w:hint="eastAsia" w:ascii="宋体" w:hAnsi="宋体" w:cs="Times New Roman"/>
                <w:i w:val="0"/>
                <w:iCs w:val="0"/>
                <w:color w:val="auto"/>
                <w:highlight w:val="none"/>
              </w:rPr>
              <w:t>日</w:t>
            </w:r>
            <w:r>
              <w:rPr>
                <w:rFonts w:hint="eastAsia" w:ascii="宋体" w:hAnsi="宋体" w:cs="Times New Roman"/>
                <w:i w:val="0"/>
                <w:iCs w:val="0"/>
                <w:color w:val="auto"/>
                <w:highlight w:val="none"/>
                <w:u w:val="single"/>
                <w:lang w:eastAsia="zh-CN"/>
              </w:rPr>
              <w:t>1</w:t>
            </w:r>
            <w:r>
              <w:rPr>
                <w:rFonts w:hint="eastAsia" w:ascii="宋体" w:hAnsi="宋体" w:cs="Times New Roman"/>
                <w:i w:val="0"/>
                <w:iCs w:val="0"/>
                <w:color w:val="auto"/>
                <w:highlight w:val="none"/>
                <w:u w:val="single"/>
                <w:lang w:val="en-US" w:eastAsia="zh-CN"/>
              </w:rPr>
              <w:t>4</w:t>
            </w:r>
            <w:r>
              <w:rPr>
                <w:rFonts w:hint="eastAsia" w:ascii="宋体" w:hAnsi="宋体" w:cs="Times New Roman"/>
                <w:i w:val="0"/>
                <w:iCs w:val="0"/>
                <w:color w:val="auto"/>
                <w:highlight w:val="none"/>
              </w:rPr>
              <w:t>时</w:t>
            </w:r>
            <w:r>
              <w:rPr>
                <w:rFonts w:hint="eastAsia" w:ascii="宋体" w:hAnsi="宋体" w:cs="Times New Roman"/>
                <w:i w:val="0"/>
                <w:iCs w:val="0"/>
                <w:color w:val="auto"/>
                <w:highlight w:val="none"/>
                <w:u w:val="single"/>
                <w:lang w:eastAsia="zh-CN"/>
              </w:rPr>
              <w:t>3</w:t>
            </w:r>
            <w:r>
              <w:rPr>
                <w:rFonts w:hint="eastAsia" w:ascii="宋体" w:hAnsi="宋体" w:cs="Times New Roman"/>
                <w:i w:val="0"/>
                <w:iCs w:val="0"/>
                <w:color w:val="auto"/>
                <w:highlight w:val="none"/>
                <w:u w:val="single"/>
                <w:lang w:val="en-US" w:eastAsia="zh-CN"/>
              </w:rPr>
              <w:t>0</w:t>
            </w:r>
            <w:r>
              <w:rPr>
                <w:rFonts w:hint="eastAsia" w:ascii="宋体" w:hAnsi="宋体" w:cs="Times New Roman"/>
                <w:i w:val="0"/>
                <w:iCs w:val="0"/>
                <w:color w:val="auto"/>
                <w:highlight w:val="none"/>
              </w:rPr>
              <w:t>分</w:t>
            </w:r>
          </w:p>
        </w:tc>
      </w:tr>
      <w:tr w14:paraId="6AE5B13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F616C8">
            <w:pPr>
              <w:pStyle w:val="44"/>
              <w:keepNext w:val="0"/>
              <w:keepLines w:val="0"/>
              <w:suppressLineNumbers w:val="0"/>
              <w:kinsoku w:val="0"/>
              <w:spacing w:before="107" w:beforeAutospacing="0" w:after="0" w:afterAutospacing="0"/>
              <w:ind w:left="103"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4.2.2</w:t>
            </w:r>
          </w:p>
        </w:tc>
        <w:tc>
          <w:tcPr>
            <w:tcW w:w="1826" w:type="dxa"/>
            <w:tcBorders>
              <w:top w:val="single" w:color="000000" w:sz="4" w:space="0"/>
              <w:left w:val="nil"/>
              <w:bottom w:val="single" w:color="000000" w:sz="4" w:space="0"/>
              <w:right w:val="single" w:color="000000" w:sz="4" w:space="0"/>
            </w:tcBorders>
            <w:noWrap/>
            <w:vAlign w:val="center"/>
          </w:tcPr>
          <w:p w14:paraId="1FA6B766">
            <w:pPr>
              <w:pStyle w:val="44"/>
              <w:keepNext w:val="0"/>
              <w:keepLines w:val="0"/>
              <w:suppressLineNumbers w:val="0"/>
              <w:kinsoku w:val="0"/>
              <w:spacing w:before="107"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29674BF9">
            <w:pPr>
              <w:keepNext w:val="0"/>
              <w:keepLines w:val="0"/>
              <w:suppressLineNumbers w:val="0"/>
              <w:snapToGrid w:val="0"/>
              <w:spacing w:before="0" w:beforeAutospacing="0" w:after="0" w:afterAutospacing="0"/>
              <w:ind w:left="0" w:right="0"/>
              <w:jc w:val="left"/>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使用专用密钥上传至</w:t>
            </w:r>
            <w:r>
              <w:rPr>
                <w:rFonts w:hint="eastAsia" w:ascii="宋体" w:hAnsi="宋体" w:cs="Times New Roman"/>
                <w:i w:val="0"/>
                <w:iCs w:val="0"/>
                <w:color w:val="auto"/>
                <w:highlight w:val="none"/>
                <w:u w:val="single"/>
              </w:rPr>
              <w:t>绍兴市公共资源交易中心电子招投标交易平台（</w:t>
            </w:r>
            <w:r>
              <w:rPr>
                <w:rFonts w:hint="eastAsia" w:ascii="宋体" w:hAnsi="宋体" w:cs="Times New Roman"/>
                <w:i w:val="0"/>
                <w:iCs w:val="0"/>
                <w:color w:val="auto"/>
                <w:highlight w:val="none"/>
                <w:u w:val="single"/>
                <w:lang w:eastAsia="zh-CN"/>
              </w:rPr>
              <w:t xml:space="preserve"> http://220.187.225.202:8088/TPBidder-ztk/memberLogin</w:t>
            </w:r>
            <w:r>
              <w:rPr>
                <w:rFonts w:hint="eastAsia" w:ascii="宋体" w:hAnsi="宋体" w:cs="Times New Roman"/>
                <w:i w:val="0"/>
                <w:iCs w:val="0"/>
                <w:color w:val="auto"/>
                <w:highlight w:val="none"/>
                <w:u w:val="single"/>
              </w:rPr>
              <w:t>）</w:t>
            </w:r>
          </w:p>
        </w:tc>
      </w:tr>
      <w:tr w14:paraId="7AC06FD7">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F5818D1">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4.2.3</w:t>
            </w:r>
          </w:p>
        </w:tc>
        <w:tc>
          <w:tcPr>
            <w:tcW w:w="1826" w:type="dxa"/>
            <w:tcBorders>
              <w:top w:val="single" w:color="000000" w:sz="4" w:space="0"/>
              <w:left w:val="nil"/>
              <w:bottom w:val="single" w:color="000000" w:sz="4" w:space="0"/>
              <w:right w:val="single" w:color="000000" w:sz="4" w:space="0"/>
            </w:tcBorders>
            <w:noWrap/>
            <w:vAlign w:val="center"/>
          </w:tcPr>
          <w:p w14:paraId="73AA0C64">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04D82D24">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投标截止时间止，存在以下情形之一的不予开标，投标文件退还：</w:t>
            </w:r>
          </w:p>
          <w:p w14:paraId="4B7D7EA6">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1.递交投标文件的投标人少于3个的；</w:t>
            </w:r>
          </w:p>
          <w:p w14:paraId="44073EBE">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2.其他：</w:t>
            </w:r>
            <w:r>
              <w:rPr>
                <w:rFonts w:hint="eastAsia" w:ascii="宋体" w:hAnsi="宋体" w:cs="Times New Roman"/>
                <w:i w:val="0"/>
                <w:iCs w:val="0"/>
                <w:color w:val="auto"/>
                <w:highlight w:val="none"/>
                <w:u w:val="single"/>
              </w:rPr>
              <w:t>法律、法规、规章规定的其他情形</w:t>
            </w:r>
            <w:r>
              <w:rPr>
                <w:rFonts w:hint="eastAsia" w:ascii="宋体" w:hAnsi="宋体" w:cs="Times New Roman"/>
                <w:i w:val="0"/>
                <w:iCs w:val="0"/>
                <w:color w:val="auto"/>
                <w:highlight w:val="none"/>
              </w:rPr>
              <w:t>。</w:t>
            </w:r>
          </w:p>
        </w:tc>
      </w:tr>
      <w:tr w14:paraId="0929BD13">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60254D2">
            <w:pPr>
              <w:pStyle w:val="44"/>
              <w:keepNext w:val="0"/>
              <w:keepLines w:val="0"/>
              <w:suppressLineNumbers w:val="0"/>
              <w:kinsoku w:val="0"/>
              <w:spacing w:before="3"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4.2.5</w:t>
            </w:r>
          </w:p>
        </w:tc>
        <w:tc>
          <w:tcPr>
            <w:tcW w:w="1826" w:type="dxa"/>
            <w:tcBorders>
              <w:top w:val="single" w:color="000000" w:sz="4" w:space="0"/>
              <w:left w:val="nil"/>
              <w:bottom w:val="single" w:color="000000" w:sz="4" w:space="0"/>
              <w:right w:val="single" w:color="000000" w:sz="4" w:space="0"/>
            </w:tcBorders>
            <w:noWrap/>
            <w:vAlign w:val="center"/>
          </w:tcPr>
          <w:p w14:paraId="0DA6F5D1">
            <w:pPr>
              <w:keepNext w:val="0"/>
              <w:keepLines w:val="0"/>
              <w:suppressLineNumbers w:val="0"/>
              <w:snapToGrid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46AF6BAD">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1.投标截止时间后送达（上传）的投标文件、未按招标文件要求上传的；</w:t>
            </w:r>
          </w:p>
          <w:p w14:paraId="6C656086">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spacing w:val="-5"/>
                <w:highlight w:val="none"/>
              </w:rPr>
              <w:t>2.投标人未按规定加密的投标文件，应当拒收并提示。</w:t>
            </w:r>
            <w:r>
              <w:rPr>
                <w:rFonts w:hint="default" w:ascii="Arial" w:hAnsi="Arial" w:cs="Arial"/>
                <w:i w:val="0"/>
                <w:iCs w:val="0"/>
                <w:color w:val="auto"/>
                <w:highlight w:val="none"/>
              </w:rPr>
              <w:br w:type="textWrapping"/>
            </w:r>
            <w:r>
              <w:rPr>
                <w:rFonts w:hint="eastAsia" w:ascii="宋体" w:hAnsi="宋体" w:cs="Times New Roman"/>
                <w:i w:val="0"/>
                <w:iCs w:val="0"/>
                <w:color w:val="auto"/>
                <w:highlight w:val="none"/>
              </w:rPr>
              <w:t>3.</w:t>
            </w:r>
            <w:r>
              <w:rPr>
                <w:rFonts w:hint="eastAsia" w:ascii="宋体" w:hAnsi="宋体" w:cs="Times New Roman"/>
                <w:i w:val="0"/>
                <w:iCs w:val="0"/>
                <w:color w:val="auto"/>
                <w:spacing w:val="-5"/>
                <w:highlight w:val="none"/>
              </w:rPr>
              <w:t>存在下列情况之一的，视为拒收：</w:t>
            </w:r>
          </w:p>
          <w:p w14:paraId="329B409D">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（1）电子投标文件无法解密的；</w:t>
            </w:r>
          </w:p>
          <w:p w14:paraId="14B86DA8">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（2）电子投标文件解密后无法正确读取的；</w:t>
            </w:r>
          </w:p>
          <w:p w14:paraId="7A57AED7">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（3）电子投标文件无法导入成功的；</w:t>
            </w:r>
          </w:p>
          <w:p w14:paraId="30580C09">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□4.未被邀请的申请人提交的投标文件</w:t>
            </w:r>
          </w:p>
          <w:p w14:paraId="72E7076A">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5.其他:</w:t>
            </w:r>
            <w:r>
              <w:rPr>
                <w:rFonts w:hint="eastAsia" w:ascii="宋体" w:hAnsi="宋体" w:cs="Times New Roman"/>
                <w:i w:val="0"/>
                <w:iCs w:val="0"/>
                <w:color w:val="auto"/>
                <w:highlight w:val="none"/>
                <w:u w:val="single"/>
              </w:rPr>
              <w:t xml:space="preserve">                 </w:t>
            </w:r>
            <w:r>
              <w:rPr>
                <w:rFonts w:hint="eastAsia" w:ascii="宋体" w:hAnsi="宋体" w:cs="Times New Roman"/>
                <w:b/>
                <w:i w:val="0"/>
                <w:iCs w:val="0"/>
                <w:color w:val="auto"/>
                <w:highlight w:val="none"/>
              </w:rPr>
              <w:t>。</w:t>
            </w:r>
          </w:p>
        </w:tc>
      </w:tr>
      <w:tr w14:paraId="6D00F745">
        <w:tblPrEx>
          <w:tblCellMar>
            <w:top w:w="0" w:type="dxa"/>
            <w:left w:w="57" w:type="dxa"/>
            <w:bottom w:w="0" w:type="dxa"/>
            <w:right w:w="57" w:type="dxa"/>
          </w:tblCellMar>
        </w:tblPrEx>
        <w:trPr>
          <w:trHeight w:val="111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100DE80A">
            <w:pPr>
              <w:pStyle w:val="44"/>
              <w:keepNext w:val="0"/>
              <w:keepLines w:val="0"/>
              <w:suppressLineNumbers w:val="0"/>
              <w:kinsoku w:val="0"/>
              <w:spacing w:before="108" w:beforeAutospacing="0" w:after="0" w:afterAutospacing="0"/>
              <w:ind w:left="103" w:right="-5"/>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5.1</w:t>
            </w:r>
          </w:p>
        </w:tc>
        <w:tc>
          <w:tcPr>
            <w:tcW w:w="1826" w:type="dxa"/>
            <w:tcBorders>
              <w:top w:val="single" w:color="000000" w:sz="4" w:space="0"/>
              <w:left w:val="nil"/>
              <w:bottom w:val="nil"/>
              <w:right w:val="single" w:color="000000" w:sz="4" w:space="0"/>
            </w:tcBorders>
            <w:noWrap/>
            <w:vAlign w:val="center"/>
          </w:tcPr>
          <w:p w14:paraId="4A2CD272">
            <w:pPr>
              <w:pStyle w:val="44"/>
              <w:keepNext w:val="0"/>
              <w:keepLines w:val="0"/>
              <w:suppressLineNumbers w:val="0"/>
              <w:kinsoku w:val="0"/>
              <w:spacing w:before="108"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开标时间和地点</w:t>
            </w:r>
          </w:p>
        </w:tc>
        <w:tc>
          <w:tcPr>
            <w:tcW w:w="6272" w:type="dxa"/>
            <w:tcBorders>
              <w:top w:val="single" w:color="000000" w:sz="4" w:space="0"/>
              <w:left w:val="nil"/>
              <w:bottom w:val="nil"/>
              <w:right w:val="single" w:color="000000" w:sz="4" w:space="0"/>
            </w:tcBorders>
            <w:noWrap/>
            <w:vAlign w:val="center"/>
          </w:tcPr>
          <w:p w14:paraId="5C86D5B0">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1.开标时间：</w:t>
            </w:r>
            <w:r>
              <w:rPr>
                <w:rFonts w:hint="eastAsia" w:ascii="宋体" w:hAnsi="宋体" w:cs="Times New Roman"/>
                <w:i w:val="0"/>
                <w:iCs w:val="0"/>
                <w:color w:val="auto"/>
                <w:highlight w:val="none"/>
                <w:u w:val="single"/>
              </w:rPr>
              <w:t>同电子投标文件上传截止时间。</w:t>
            </w:r>
          </w:p>
          <w:p w14:paraId="46631AEC">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 xml:space="preserve">2.开标地点： </w:t>
            </w:r>
            <w:r>
              <w:rPr>
                <w:rFonts w:hint="eastAsia" w:ascii="宋体" w:hAnsi="宋体" w:cs="Times New Roman"/>
                <w:i w:val="0"/>
                <w:iCs w:val="0"/>
                <w:color w:val="auto"/>
                <w:highlight w:val="none"/>
                <w:u w:val="single"/>
              </w:rPr>
              <w:t>绍兴市公共资源交易中心</w:t>
            </w:r>
            <w:r>
              <w:rPr>
                <w:rFonts w:hint="eastAsia" w:ascii="宋体" w:hAnsi="宋体" w:cs="Times New Roman"/>
                <w:i w:val="0"/>
                <w:iCs w:val="0"/>
                <w:color w:val="auto"/>
                <w:highlight w:val="none"/>
                <w:u w:val="single"/>
                <w:lang w:eastAsia="zh-CN"/>
              </w:rPr>
              <w:t>二</w:t>
            </w:r>
            <w:r>
              <w:rPr>
                <w:rFonts w:hint="eastAsia" w:ascii="宋体" w:hAnsi="宋体" w:cs="Times New Roman"/>
                <w:i w:val="0"/>
                <w:iCs w:val="0"/>
                <w:color w:val="auto"/>
                <w:highlight w:val="none"/>
                <w:u w:val="single"/>
              </w:rPr>
              <w:t>楼指定开标室 。</w:t>
            </w:r>
          </w:p>
          <w:p w14:paraId="173B02CA">
            <w:pPr>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3.开标平台:</w:t>
            </w:r>
            <w:r>
              <w:rPr>
                <w:rFonts w:hint="eastAsia" w:ascii="宋体" w:hAnsi="宋体" w:cs="Times New Roman"/>
                <w:i w:val="0"/>
                <w:iCs w:val="0"/>
                <w:color w:val="auto"/>
                <w:highlight w:val="none"/>
                <w:u w:val="single"/>
              </w:rPr>
              <w:t>绍兴市公共资源交易中心电子招投标交易平台</w:t>
            </w:r>
          </w:p>
          <w:p w14:paraId="46D7FFE5">
            <w:pPr>
              <w:keepNext w:val="0"/>
              <w:keepLines w:val="0"/>
              <w:suppressLineNumbers w:val="0"/>
              <w:snapToGrid w:val="0"/>
              <w:spacing w:before="0" w:beforeAutospacing="0" w:after="0" w:afterAutospacing="0"/>
              <w:ind w:left="0" w:right="0"/>
              <w:jc w:val="left"/>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rPr>
              <w:t xml:space="preserve">4.其他： </w:t>
            </w:r>
            <w:r>
              <w:rPr>
                <w:rFonts w:hint="eastAsia" w:ascii="宋体" w:hAnsi="宋体" w:cs="Times New Roman"/>
                <w:i w:val="0"/>
                <w:iCs w:val="0"/>
                <w:color w:val="auto"/>
                <w:highlight w:val="none"/>
                <w:u w:val="single"/>
              </w:rPr>
              <w:t>本项目采用“不见面”开标方式，不强制要求投</w:t>
            </w:r>
          </w:p>
          <w:p w14:paraId="60FB364B">
            <w:pPr>
              <w:keepNext w:val="0"/>
              <w:keepLines w:val="0"/>
              <w:suppressLineNumbers w:val="0"/>
              <w:snapToGrid w:val="0"/>
              <w:spacing w:before="0" w:beforeAutospacing="0" w:after="0" w:afterAutospacing="0"/>
              <w:ind w:left="0" w:right="0"/>
              <w:jc w:val="left"/>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标 人 参 加 现 场 开 标 会 。 不 见 面 开 标 大 厅</w:t>
            </w:r>
          </w:p>
          <w:p w14:paraId="0E0E34D6">
            <w:pPr>
              <w:keepNext w:val="0"/>
              <w:keepLines w:val="0"/>
              <w:suppressLineNumbers w:val="0"/>
              <w:snapToGrid w:val="0"/>
              <w:spacing w:before="0" w:beforeAutospacing="0" w:after="0" w:afterAutospacing="0"/>
              <w:ind w:left="0" w:right="0"/>
              <w:jc w:val="left"/>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网 址 为 ：</w:t>
            </w:r>
          </w:p>
          <w:p w14:paraId="6F5221D9">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lang w:eastAsia="zh-CN"/>
              </w:rPr>
              <w:t>http://220.187.225.202:18088/BidOpening/bidopeninghallaction/hall/login</w:t>
            </w:r>
            <w:r>
              <w:rPr>
                <w:rFonts w:hint="eastAsia" w:ascii="宋体" w:hAnsi="宋体" w:cs="Times New Roman"/>
                <w:i w:val="0"/>
                <w:iCs w:val="0"/>
                <w:color w:val="auto"/>
                <w:highlight w:val="none"/>
                <w:u w:val="single"/>
              </w:rPr>
              <w:t>。</w:t>
            </w:r>
          </w:p>
        </w:tc>
      </w:tr>
      <w:tr w14:paraId="7120B68C">
        <w:tblPrEx>
          <w:tblCellMar>
            <w:top w:w="0" w:type="dxa"/>
            <w:left w:w="57" w:type="dxa"/>
            <w:bottom w:w="0" w:type="dxa"/>
            <w:right w:w="57" w:type="dxa"/>
          </w:tblCellMar>
        </w:tblPrEx>
        <w:trPr>
          <w:trHeight w:val="2116"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123563AD">
            <w:pPr>
              <w:pStyle w:val="44"/>
              <w:keepNext w:val="0"/>
              <w:keepLines w:val="0"/>
              <w:suppressLineNumbers w:val="0"/>
              <w:kinsoku w:val="0"/>
              <w:spacing w:before="108" w:beforeAutospacing="0" w:after="0" w:afterAutospacing="0"/>
              <w:ind w:left="103" w:right="-5"/>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5.2</w:t>
            </w:r>
          </w:p>
        </w:tc>
        <w:tc>
          <w:tcPr>
            <w:tcW w:w="1826" w:type="dxa"/>
            <w:tcBorders>
              <w:top w:val="single" w:color="000000" w:sz="4" w:space="0"/>
              <w:left w:val="nil"/>
              <w:bottom w:val="single" w:color="auto" w:sz="4" w:space="0"/>
              <w:right w:val="single" w:color="000000" w:sz="4" w:space="0"/>
            </w:tcBorders>
            <w:noWrap/>
            <w:vAlign w:val="center"/>
          </w:tcPr>
          <w:p w14:paraId="7A968DAA">
            <w:pPr>
              <w:pStyle w:val="44"/>
              <w:keepNext w:val="0"/>
              <w:keepLines w:val="0"/>
              <w:suppressLineNumbers w:val="0"/>
              <w:kinsoku w:val="0"/>
              <w:spacing w:before="108"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开标程序</w:t>
            </w:r>
          </w:p>
        </w:tc>
        <w:tc>
          <w:tcPr>
            <w:tcW w:w="6272" w:type="dxa"/>
            <w:tcBorders>
              <w:top w:val="single" w:color="000000" w:sz="4" w:space="0"/>
              <w:left w:val="nil"/>
              <w:bottom w:val="single" w:color="auto" w:sz="4" w:space="0"/>
              <w:right w:val="single" w:color="000000" w:sz="4" w:space="0"/>
            </w:tcBorders>
            <w:noWrap/>
            <w:vAlign w:val="center"/>
          </w:tcPr>
          <w:p w14:paraId="554ADD4E">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（一）宣布开标</w:t>
            </w:r>
          </w:p>
          <w:p w14:paraId="1B5A1F7F">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（二）公布投标人数量</w:t>
            </w:r>
          </w:p>
          <w:p w14:paraId="433FF5EA">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（三）投标人解密（投标文件解密在</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60</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分钟内完成，具体以电子招投标交易平台系统时间为准）</w:t>
            </w:r>
          </w:p>
          <w:p w14:paraId="56DC810C">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（四）清单、参数录入，抽取评标基准价计算方法。（若有）</w:t>
            </w:r>
          </w:p>
          <w:p w14:paraId="490975AE">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（五）公布开标结果</w:t>
            </w:r>
          </w:p>
          <w:p w14:paraId="3D474DF1">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（六）开标结束</w:t>
            </w:r>
          </w:p>
        </w:tc>
      </w:tr>
      <w:tr w14:paraId="5FB6043F">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F6D2D49">
            <w:pPr>
              <w:pStyle w:val="44"/>
              <w:keepNext w:val="0"/>
              <w:keepLines w:val="0"/>
              <w:suppressLineNumbers w:val="0"/>
              <w:kinsoku w:val="0"/>
              <w:spacing w:before="108" w:beforeAutospacing="0" w:after="0" w:afterAutospacing="0"/>
              <w:ind w:left="103" w:right="-5"/>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5.4</w:t>
            </w:r>
          </w:p>
        </w:tc>
        <w:tc>
          <w:tcPr>
            <w:tcW w:w="1826" w:type="dxa"/>
            <w:tcBorders>
              <w:top w:val="single" w:color="000000" w:sz="4" w:space="0"/>
              <w:left w:val="nil"/>
              <w:bottom w:val="single" w:color="000000" w:sz="4" w:space="0"/>
              <w:right w:val="single" w:color="000000" w:sz="4" w:space="0"/>
            </w:tcBorders>
            <w:noWrap/>
            <w:vAlign w:val="center"/>
          </w:tcPr>
          <w:p w14:paraId="2CDB78CE">
            <w:pPr>
              <w:pStyle w:val="44"/>
              <w:keepNext w:val="0"/>
              <w:keepLines w:val="0"/>
              <w:suppressLineNumbers w:val="0"/>
              <w:kinsoku w:val="0"/>
              <w:spacing w:before="108" w:beforeAutospacing="0" w:after="0" w:afterAutospacing="0"/>
              <w:ind w:left="0" w:right="1"/>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2E64B3E9">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highlight w:val="none"/>
              </w:rPr>
              <w:t>1.</w:t>
            </w:r>
            <w:r>
              <w:rPr>
                <w:rFonts w:hint="eastAsia" w:ascii="宋体" w:hAnsi="宋体" w:cs="Times New Roman"/>
                <w:i w:val="0"/>
                <w:iCs w:val="0"/>
                <w:color w:val="auto"/>
                <w:highlight w:val="none"/>
              </w:rPr>
              <w:t>因网络、系统、电力等不可抗力因素投标截止时间延期的，需更新制作投标文件并按招标文件要求重新递交。</w:t>
            </w:r>
          </w:p>
          <w:p w14:paraId="0C726DB7">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default" w:ascii="宋体" w:hAnsi="宋体" w:cs="Times New Roman"/>
                <w:i w:val="0"/>
                <w:iCs w:val="0"/>
                <w:color w:val="auto"/>
                <w:highlight w:val="none"/>
              </w:rPr>
              <w:t>2.</w:t>
            </w:r>
            <w:r>
              <w:rPr>
                <w:rFonts w:hint="eastAsia" w:ascii="宋体" w:hAnsi="宋体" w:cs="Times New Roman"/>
                <w:i w:val="0"/>
                <w:iCs w:val="0"/>
                <w:color w:val="auto"/>
                <w:highlight w:val="none"/>
              </w:rPr>
              <w:t>开标特别说明：（</w:t>
            </w:r>
            <w:r>
              <w:rPr>
                <w:rFonts w:hint="default" w:ascii="宋体" w:hAnsi="宋体" w:cs="Times New Roman"/>
                <w:i w:val="0"/>
                <w:iCs w:val="0"/>
                <w:color w:val="auto"/>
                <w:highlight w:val="none"/>
              </w:rPr>
              <w:t>1</w:t>
            </w:r>
            <w:r>
              <w:rPr>
                <w:rFonts w:hint="eastAsia" w:ascii="宋体" w:hAnsi="宋体" w:cs="Times New Roman"/>
                <w:i w:val="0"/>
                <w:iCs w:val="0"/>
                <w:color w:val="auto"/>
                <w:highlight w:val="none"/>
              </w:rPr>
              <w:t>）因投标人原因造成其电子投标文件未解密的，视为撤销其投标文件；投标截止时间前未完成投标文件传输的，视为撤回投标文件；因投标人之外的原因造成电子投标文件未解密的，视为撤回其投标文件。</w:t>
            </w:r>
          </w:p>
          <w:p w14:paraId="58AFE19C">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r>
              <w:rPr>
                <w:rFonts w:hint="default" w:ascii="宋体" w:hAnsi="宋体" w:cs="Times New Roman"/>
                <w:i w:val="0"/>
                <w:iCs w:val="0"/>
                <w:color w:val="auto"/>
                <w:highlight w:val="none"/>
              </w:rPr>
              <w:t>2</w:t>
            </w:r>
            <w:r>
              <w:rPr>
                <w:rFonts w:hint="eastAsia" w:ascii="宋体" w:hAnsi="宋体" w:cs="Times New Roman"/>
                <w:i w:val="0"/>
                <w:iCs w:val="0"/>
                <w:color w:val="auto"/>
                <w:highlight w:val="none"/>
              </w:rPr>
              <w:t>）投标人必须使用生成电子投标文件的CA数字证书解密电子投标文件。</w:t>
            </w:r>
          </w:p>
          <w:p w14:paraId="17CD844E">
            <w:pPr>
              <w:keepNext w:val="0"/>
              <w:keepLines w:val="0"/>
              <w:suppressLineNumbers w:val="0"/>
              <w:snapToGrid w:val="0"/>
              <w:spacing w:before="0" w:beforeAutospacing="0" w:after="0" w:afterAutospacing="0"/>
              <w:ind w:left="0" w:right="0"/>
              <w:jc w:val="both"/>
              <w:rPr>
                <w:rFonts w:hint="default" w:ascii="Times New Roman" w:hAnsi="Times New Roman" w:cs="Times New Roman"/>
                <w:i w:val="0"/>
                <w:iCs w:val="0"/>
                <w:color w:val="auto"/>
                <w:highlight w:val="none"/>
                <w:u w:val="single"/>
              </w:rPr>
            </w:pPr>
            <w:r>
              <w:rPr>
                <w:rFonts w:hint="default" w:ascii="宋体" w:hAnsi="宋体" w:cs="Times New Roman"/>
                <w:i w:val="0"/>
                <w:iCs w:val="0"/>
                <w:color w:val="auto"/>
                <w:highlight w:val="none"/>
              </w:rPr>
              <w:t>3.</w:t>
            </w:r>
            <w:r>
              <w:rPr>
                <w:rFonts w:hint="eastAsia" w:ascii="宋体" w:hAnsi="宋体" w:cs="Times New Roman"/>
                <w:i w:val="0"/>
                <w:iCs w:val="0"/>
                <w:color w:val="auto"/>
                <w:highlight w:val="none"/>
              </w:rPr>
              <w:t>其他：</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tc>
      </w:tr>
      <w:tr w14:paraId="2730895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897B300">
            <w:pPr>
              <w:pStyle w:val="44"/>
              <w:keepNext w:val="0"/>
              <w:keepLines w:val="0"/>
              <w:suppressLineNumbers w:val="0"/>
              <w:kinsoku w:val="0"/>
              <w:spacing w:before="138" w:beforeAutospacing="0" w:after="0" w:afterAutospacing="0"/>
              <w:ind w:left="0" w:right="0" w:hanging="4"/>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6.1.1</w:t>
            </w:r>
          </w:p>
        </w:tc>
        <w:tc>
          <w:tcPr>
            <w:tcW w:w="1826" w:type="dxa"/>
            <w:tcBorders>
              <w:top w:val="single" w:color="000000" w:sz="4" w:space="0"/>
              <w:left w:val="nil"/>
              <w:bottom w:val="single" w:color="000000" w:sz="4" w:space="0"/>
              <w:right w:val="single" w:color="000000" w:sz="4" w:space="0"/>
            </w:tcBorders>
            <w:noWrap/>
            <w:vAlign w:val="center"/>
          </w:tcPr>
          <w:p w14:paraId="3224E2F7">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75E3844F">
            <w:pPr>
              <w:pStyle w:val="46"/>
              <w:keepNext w:val="0"/>
              <w:keepLines w:val="0"/>
              <w:suppressLineNumbers w:val="0"/>
              <w:kinsoku w:val="0"/>
              <w:snapToGrid w:val="0"/>
              <w:spacing w:before="0" w:beforeAutospacing="0" w:after="0" w:afterAutospacing="0"/>
              <w:ind w:left="0" w:right="0"/>
              <w:jc w:val="both"/>
              <w:rPr>
                <w:rFonts w:hint="default" w:cs="Times New Roman"/>
                <w:i w:val="0"/>
                <w:iCs w:val="0"/>
                <w:color w:val="auto"/>
                <w:highlight w:val="none"/>
              </w:rPr>
            </w:pPr>
            <w:r>
              <w:rPr>
                <w:rFonts w:hint="eastAsia" w:cs="Times New Roman"/>
                <w:i w:val="0"/>
                <w:iCs w:val="0"/>
                <w:color w:val="auto"/>
                <w:spacing w:val="-2"/>
                <w:highlight w:val="none"/>
              </w:rPr>
              <w:t>评标委员会构成：</w:t>
            </w:r>
            <w:r>
              <w:rPr>
                <w:rFonts w:hint="eastAsia" w:cs="Times New Roman"/>
                <w:i w:val="0"/>
                <w:iCs w:val="0"/>
                <w:color w:val="auto"/>
                <w:spacing w:val="-2"/>
                <w:highlight w:val="none"/>
                <w:u w:val="single"/>
              </w:rPr>
              <w:t>招标人代表</w:t>
            </w:r>
            <w:r>
              <w:rPr>
                <w:rFonts w:hint="eastAsia" w:ascii="Times New Roman" w:eastAsia="宋体" w:cs="Times New Roman"/>
                <w:i w:val="0"/>
                <w:iCs w:val="0"/>
                <w:color w:val="auto"/>
                <w:spacing w:val="-2"/>
                <w:highlight w:val="none"/>
                <w:u w:val="single"/>
                <w:lang w:val="en-US" w:eastAsia="zh-CN"/>
              </w:rPr>
              <w:t>2</w:t>
            </w:r>
            <w:r>
              <w:rPr>
                <w:rFonts w:hint="eastAsia" w:cs="Times New Roman"/>
                <w:i w:val="0"/>
                <w:iCs w:val="0"/>
                <w:color w:val="auto"/>
                <w:spacing w:val="-2"/>
                <w:highlight w:val="none"/>
                <w:u w:val="single"/>
              </w:rPr>
              <w:t>人，</w:t>
            </w:r>
            <w:r>
              <w:rPr>
                <w:rFonts w:hint="eastAsia" w:ascii="Times New Roman" w:eastAsia="宋体" w:cs="Times New Roman"/>
                <w:i w:val="0"/>
                <w:iCs w:val="0"/>
                <w:color w:val="auto"/>
                <w:spacing w:val="-2"/>
                <w:highlight w:val="none"/>
                <w:u w:val="single"/>
                <w:lang w:val="en-US" w:eastAsia="zh-CN"/>
              </w:rPr>
              <w:t>省库</w:t>
            </w:r>
            <w:r>
              <w:rPr>
                <w:rFonts w:hint="eastAsia" w:cs="Times New Roman"/>
                <w:i w:val="0"/>
                <w:iCs w:val="0"/>
                <w:color w:val="auto"/>
                <w:spacing w:val="-2"/>
                <w:highlight w:val="none"/>
                <w:u w:val="single"/>
              </w:rPr>
              <w:t>专家</w:t>
            </w:r>
            <w:r>
              <w:rPr>
                <w:rFonts w:hint="eastAsia" w:ascii="Times New Roman" w:eastAsia="宋体" w:cs="Times New Roman"/>
                <w:i w:val="0"/>
                <w:iCs w:val="0"/>
                <w:color w:val="auto"/>
                <w:spacing w:val="-2"/>
                <w:highlight w:val="none"/>
                <w:u w:val="single"/>
                <w:lang w:val="en-US" w:eastAsia="zh-CN"/>
              </w:rPr>
              <w:t>5</w:t>
            </w:r>
            <w:r>
              <w:rPr>
                <w:rFonts w:hint="eastAsia" w:cs="Times New Roman"/>
                <w:i w:val="0"/>
                <w:iCs w:val="0"/>
                <w:color w:val="auto"/>
                <w:spacing w:val="-2"/>
                <w:highlight w:val="none"/>
                <w:u w:val="single"/>
              </w:rPr>
              <w:t>人</w:t>
            </w:r>
            <w:r>
              <w:rPr>
                <w:rFonts w:hint="eastAsia" w:cs="Times New Roman"/>
                <w:i w:val="0"/>
                <w:iCs w:val="0"/>
                <w:color w:val="auto"/>
                <w:spacing w:val="-2"/>
                <w:highlight w:val="none"/>
              </w:rPr>
              <w:t>。</w:t>
            </w:r>
          </w:p>
        </w:tc>
      </w:tr>
      <w:tr w14:paraId="52B2E90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3243564">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6.3</w:t>
            </w:r>
          </w:p>
        </w:tc>
        <w:tc>
          <w:tcPr>
            <w:tcW w:w="1826" w:type="dxa"/>
            <w:tcBorders>
              <w:top w:val="single" w:color="000000" w:sz="4" w:space="0"/>
              <w:left w:val="nil"/>
              <w:bottom w:val="single" w:color="000000" w:sz="4" w:space="0"/>
              <w:right w:val="single" w:color="000000" w:sz="4" w:space="0"/>
            </w:tcBorders>
            <w:noWrap/>
            <w:vAlign w:val="center"/>
          </w:tcPr>
          <w:p w14:paraId="739A6821">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评标办法</w:t>
            </w:r>
          </w:p>
        </w:tc>
        <w:tc>
          <w:tcPr>
            <w:tcW w:w="6272" w:type="dxa"/>
            <w:tcBorders>
              <w:top w:val="single" w:color="000000" w:sz="4" w:space="0"/>
              <w:left w:val="nil"/>
              <w:bottom w:val="single" w:color="000000" w:sz="4" w:space="0"/>
              <w:right w:val="single" w:color="000000" w:sz="4" w:space="0"/>
            </w:tcBorders>
            <w:noWrap/>
            <w:vAlign w:val="center"/>
          </w:tcPr>
          <w:p w14:paraId="3FE7FDC3">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□1.经评审的最低投标价法。</w:t>
            </w:r>
          </w:p>
          <w:p w14:paraId="255FFA2F">
            <w:pPr>
              <w:pStyle w:val="44"/>
              <w:keepNext w:val="0"/>
              <w:keepLines w:val="0"/>
              <w:suppressLineNumbers w:val="0"/>
              <w:kinsoku w:val="0"/>
              <w:snapToGrid w:val="0"/>
              <w:spacing w:before="0" w:beforeAutospacing="0" w:after="0" w:afterAutospacing="0"/>
              <w:ind w:left="480" w:right="0" w:hanging="480" w:hangingChars="20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2.技术标通过制的综合评估法：商务总报价评分（≥85分）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分、工程量清单综合单价评分（≤10分）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分、信用评价评分（≤5分）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 xml:space="preserve"> </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分。</w:t>
            </w:r>
          </w:p>
          <w:p w14:paraId="73BB7BB2">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3.技术标打分制的综合评估法：技术标评分（≤30分）</w:t>
            </w:r>
            <w:r>
              <w:rPr>
                <w:rFonts w:hint="eastAsia" w:ascii="宋体" w:hAnsi="宋体" w:cs="Times New Roman"/>
                <w:i w:val="0"/>
                <w:iCs w:val="0"/>
                <w:color w:val="auto"/>
                <w:highlight w:val="none"/>
                <w:u w:val="single"/>
                <w:lang w:val="en-US" w:eastAsia="zh-CN"/>
              </w:rPr>
              <w:t>30</w:t>
            </w:r>
            <w:r>
              <w:rPr>
                <w:rFonts w:hint="eastAsia" w:ascii="宋体" w:hAnsi="宋体" w:cs="Times New Roman"/>
                <w:i w:val="0"/>
                <w:iCs w:val="0"/>
                <w:color w:val="auto"/>
                <w:highlight w:val="none"/>
              </w:rPr>
              <w:t>分,资信标评分（≤10分）</w:t>
            </w:r>
            <w:r>
              <w:rPr>
                <w:rFonts w:hint="eastAsia" w:ascii="宋体" w:hAnsi="宋体" w:cs="Times New Roman"/>
                <w:i w:val="0"/>
                <w:iCs w:val="0"/>
                <w:color w:val="auto"/>
                <w:highlight w:val="none"/>
                <w:u w:val="single"/>
                <w:lang w:val="en-US" w:eastAsia="zh-CN"/>
              </w:rPr>
              <w:t>10</w:t>
            </w:r>
            <w:r>
              <w:rPr>
                <w:rFonts w:hint="eastAsia" w:ascii="宋体" w:hAnsi="宋体" w:cs="Times New Roman"/>
                <w:i w:val="0"/>
                <w:iCs w:val="0"/>
                <w:color w:val="auto"/>
                <w:highlight w:val="none"/>
              </w:rPr>
              <w:t>分,商务标评分（≥60分）</w:t>
            </w:r>
            <w:r>
              <w:rPr>
                <w:rFonts w:hint="eastAsia" w:ascii="宋体" w:hAnsi="宋体" w:cs="Times New Roman"/>
                <w:i w:val="0"/>
                <w:iCs w:val="0"/>
                <w:color w:val="auto"/>
                <w:highlight w:val="none"/>
                <w:u w:val="single"/>
                <w:lang w:val="en-US" w:eastAsia="zh-CN"/>
              </w:rPr>
              <w:t>60</w:t>
            </w:r>
            <w:r>
              <w:rPr>
                <w:rFonts w:hint="eastAsia" w:ascii="宋体" w:hAnsi="宋体" w:cs="Times New Roman"/>
                <w:i w:val="0"/>
                <w:iCs w:val="0"/>
                <w:color w:val="auto"/>
                <w:highlight w:val="none"/>
              </w:rPr>
              <w:t>分。</w:t>
            </w:r>
          </w:p>
          <w:p w14:paraId="35BB0485">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4.其他：</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tc>
      </w:tr>
      <w:tr w14:paraId="29DA0934">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607EFCB">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□6.3.1</w:t>
            </w:r>
          </w:p>
        </w:tc>
        <w:tc>
          <w:tcPr>
            <w:tcW w:w="1826" w:type="dxa"/>
            <w:tcBorders>
              <w:top w:val="single" w:color="000000" w:sz="4" w:space="0"/>
              <w:left w:val="nil"/>
              <w:bottom w:val="single" w:color="000000" w:sz="4" w:space="0"/>
              <w:right w:val="single" w:color="000000" w:sz="4" w:space="0"/>
            </w:tcBorders>
            <w:noWrap/>
            <w:vAlign w:val="center"/>
          </w:tcPr>
          <w:p w14:paraId="403AF74C">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5A5789AD">
            <w:pPr>
              <w:keepNext w:val="0"/>
              <w:keepLines w:val="0"/>
              <w:suppressLineNumbers w:val="0"/>
              <w:kinsoku w:val="0"/>
              <w:autoSpaceDN/>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按照本示范文本要求确定。</w:t>
            </w:r>
          </w:p>
        </w:tc>
      </w:tr>
      <w:tr w14:paraId="4F346B90">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1D41DB2">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6.3.2</w:t>
            </w:r>
          </w:p>
        </w:tc>
        <w:tc>
          <w:tcPr>
            <w:tcW w:w="1826" w:type="dxa"/>
            <w:tcBorders>
              <w:top w:val="single" w:color="000000" w:sz="4" w:space="0"/>
              <w:left w:val="nil"/>
              <w:bottom w:val="single" w:color="000000" w:sz="4" w:space="0"/>
              <w:right w:val="single" w:color="000000" w:sz="4" w:space="0"/>
            </w:tcBorders>
            <w:noWrap/>
            <w:vAlign w:val="center"/>
          </w:tcPr>
          <w:p w14:paraId="72BA7A04">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6F2CE569">
            <w:pPr>
              <w:keepNext w:val="0"/>
              <w:keepLines w:val="0"/>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1.</w:t>
            </w:r>
            <w:r>
              <w:rPr>
                <w:rFonts w:hint="default" w:ascii="Times New Roman" w:hAnsi="宋体" w:cs="Times New Roman"/>
                <w:i w:val="0"/>
                <w:iCs w:val="0"/>
                <w:color w:val="auto"/>
                <w:highlight w:val="none"/>
                <w:u w:val="single"/>
              </w:rPr>
              <w:t>（</w:t>
            </w:r>
            <w:r>
              <w:rPr>
                <w:rFonts w:hint="default" w:ascii="Times New Roman" w:hAnsi="宋体" w:cs="Times New Roman"/>
                <w:i w:val="0"/>
                <w:iCs w:val="0"/>
                <w:color w:val="auto"/>
                <w:spacing w:val="-2"/>
                <w:highlight w:val="none"/>
                <w:u w:val="single"/>
              </w:rPr>
              <w:t>应根据法律法规及相关文件要求填写</w:t>
            </w:r>
            <w:r>
              <w:rPr>
                <w:rFonts w:hint="default" w:ascii="Times New Roman" w:hAnsi="宋体" w:cs="Times New Roman"/>
                <w:i w:val="0"/>
                <w:iCs w:val="0"/>
                <w:color w:val="auto"/>
                <w:highlight w:val="none"/>
                <w:u w:val="single"/>
              </w:rPr>
              <w:t>）</w:t>
            </w:r>
            <w:r>
              <w:rPr>
                <w:rFonts w:hint="default" w:ascii="Times New Roman" w:hAnsi="宋体" w:cs="Times New Roman"/>
                <w:i w:val="0"/>
                <w:iCs w:val="0"/>
                <w:color w:val="auto"/>
                <w:highlight w:val="none"/>
              </w:rPr>
              <w:t>。</w:t>
            </w:r>
          </w:p>
          <w:p w14:paraId="2E4D1AC0">
            <w:pPr>
              <w:keepNext w:val="0"/>
              <w:keepLines w:val="0"/>
              <w:suppressLineNumbers w:val="0"/>
              <w:kinsoku w:val="0"/>
              <w:autoSpaceDN/>
              <w:snapToGrid w:val="0"/>
              <w:spacing w:before="0" w:beforeAutospacing="0" w:after="0" w:afterAutospacing="0"/>
              <w:ind w:left="0" w:right="0"/>
              <w:jc w:val="both"/>
              <w:rPr>
                <w:rFonts w:hint="eastAsia" w:ascii="Times New Roman" w:hAnsi="宋体" w:cs="Times New Roman"/>
                <w:i w:val="0"/>
                <w:iCs w:val="0"/>
                <w:color w:val="auto"/>
                <w:highlight w:val="none"/>
                <w:u w:val="singl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2.评定分离：</w:t>
            </w:r>
            <w:r>
              <w:rPr>
                <w:rFonts w:hint="eastAsia" w:ascii="Times New Roman" w:hAnsi="宋体" w:cs="Times New Roman"/>
                <w:i w:val="0"/>
                <w:iCs w:val="0"/>
                <w:color w:val="auto"/>
                <w:highlight w:val="none"/>
                <w:u w:val="single"/>
              </w:rPr>
              <w:t>不排序的方式向招标人推荐3-5名中标候选人（当有效投标人数量3家（含）以上且7家（含）以下时，由评标委员会推荐总得分前三名为定标入围单位；当有效投标人数量为7家以上且不足10家时，由评标委员会推荐总得分前四名为定标入围单位；当有效投标人数量为10家（含）以上时，由评标委员会推荐总得分前五名为定标入围单位，若出现总得分相同的情况，取报价低者为定标入围单位，若报价也相同，则由招标人当众抽签确定定标入围单位）。</w:t>
            </w:r>
          </w:p>
          <w:p w14:paraId="63117674">
            <w:pPr>
              <w:keepNext w:val="0"/>
              <w:keepLines w:val="0"/>
              <w:suppressLineNumbers w:val="0"/>
              <w:kinsoku w:val="0"/>
              <w:autoSpaceDN/>
              <w:snapToGrid w:val="0"/>
              <w:spacing w:before="0" w:beforeAutospacing="0" w:after="0" w:afterAutospacing="0"/>
              <w:ind w:left="0" w:right="0"/>
              <w:jc w:val="both"/>
              <w:rPr>
                <w:rFonts w:hint="eastAsia" w:ascii="Times New Roman" w:hAnsi="宋体" w:cs="Times New Roman"/>
                <w:i w:val="0"/>
                <w:iCs w:val="0"/>
                <w:color w:val="auto"/>
                <w:highlight w:val="none"/>
                <w:u w:val="single"/>
              </w:rPr>
            </w:pPr>
            <w:r>
              <w:rPr>
                <w:rFonts w:hint="eastAsia" w:ascii="Times New Roman" w:hAnsi="宋体" w:cs="Times New Roman"/>
                <w:i w:val="0"/>
                <w:iCs w:val="0"/>
                <w:color w:val="auto"/>
                <w:highlight w:val="none"/>
                <w:u w:val="single"/>
              </w:rPr>
              <w:t>在定标前，若中标候选人少于3家时，可以进行下列操作：由评标委员会评定总得分从高到低进行排序，递补至满足3名中标候选人或招标人重新招标；当中标候选人数量大于等于3家时不再进行递补。</w:t>
            </w:r>
          </w:p>
          <w:p w14:paraId="746FAC8D">
            <w:pPr>
              <w:keepNext w:val="0"/>
              <w:keepLines w:val="0"/>
              <w:suppressLineNumbers w:val="0"/>
              <w:kinsoku w:val="0"/>
              <w:autoSpaceDN/>
              <w:snapToGrid w:val="0"/>
              <w:spacing w:before="0" w:beforeAutospacing="0" w:after="0" w:afterAutospacing="0"/>
              <w:ind w:left="0" w:right="0"/>
              <w:jc w:val="both"/>
              <w:rPr>
                <w:rFonts w:hint="default" w:ascii="宋体" w:hAnsi="宋体" w:cs="Times New Roman"/>
                <w:i w:val="0"/>
                <w:iCs w:val="0"/>
                <w:color w:val="auto"/>
                <w:highlight w:val="none"/>
                <w:u w:val="single"/>
              </w:rPr>
            </w:pPr>
            <w:r>
              <w:rPr>
                <w:rFonts w:hint="eastAsia" w:ascii="Times New Roman" w:hAnsi="宋体" w:cs="Times New Roman"/>
                <w:i w:val="0"/>
                <w:iCs w:val="0"/>
                <w:color w:val="auto"/>
                <w:highlight w:val="none"/>
                <w:u w:val="single"/>
              </w:rPr>
              <w:t>在定标后，若中标人放弃中标资格的，则招标人选择重新定标或重新招标。</w:t>
            </w:r>
          </w:p>
        </w:tc>
      </w:tr>
      <w:tr w14:paraId="2320575C">
        <w:tblPrEx>
          <w:tblCellMar>
            <w:top w:w="0" w:type="dxa"/>
            <w:left w:w="57" w:type="dxa"/>
            <w:bottom w:w="0" w:type="dxa"/>
            <w:right w:w="57" w:type="dxa"/>
          </w:tblCellMar>
        </w:tblPrEx>
        <w:trPr>
          <w:trHeight w:val="823" w:hRule="atLeast"/>
        </w:trPr>
        <w:tc>
          <w:tcPr>
            <w:tcW w:w="1058" w:type="dxa"/>
            <w:tcBorders>
              <w:top w:val="nil"/>
              <w:left w:val="single" w:color="000000" w:sz="4" w:space="0"/>
              <w:bottom w:val="single" w:color="auto" w:sz="4" w:space="0"/>
              <w:right w:val="single" w:color="000000" w:sz="4" w:space="0"/>
            </w:tcBorders>
            <w:noWrap/>
            <w:vAlign w:val="center"/>
          </w:tcPr>
          <w:p w14:paraId="0D466ED4">
            <w:pPr>
              <w:pStyle w:val="44"/>
              <w:keepNext w:val="0"/>
              <w:keepLines w:val="0"/>
              <w:suppressLineNumbers w:val="0"/>
              <w:kinsoku w:val="0"/>
              <w:spacing w:before="148" w:beforeAutospacing="0" w:after="0" w:afterAutospacing="0"/>
              <w:ind w:left="2"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7.1</w:t>
            </w:r>
          </w:p>
        </w:tc>
        <w:tc>
          <w:tcPr>
            <w:tcW w:w="1826" w:type="dxa"/>
            <w:tcBorders>
              <w:top w:val="single" w:color="000000" w:sz="4" w:space="0"/>
              <w:left w:val="nil"/>
              <w:bottom w:val="single" w:color="auto" w:sz="4" w:space="0"/>
              <w:right w:val="single" w:color="000000" w:sz="4" w:space="0"/>
            </w:tcBorders>
            <w:noWrap/>
            <w:vAlign w:val="center"/>
          </w:tcPr>
          <w:p w14:paraId="086D3571">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5202EBCF">
            <w:pPr>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rPr>
              <w:t>公示媒介：</w:t>
            </w:r>
            <w:r>
              <w:rPr>
                <w:rFonts w:hint="eastAsia" w:ascii="宋体" w:hAnsi="宋体" w:cs="Times New Roman"/>
                <w:i w:val="0"/>
                <w:iCs w:val="0"/>
                <w:color w:val="auto"/>
                <w:highlight w:val="none"/>
                <w:u w:val="single"/>
              </w:rPr>
              <w:t>绍兴公共资源交易网http://ggb.sx.gov.cn/</w:t>
            </w:r>
          </w:p>
          <w:p w14:paraId="022B2018">
            <w:pPr>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u w:val="single"/>
              </w:rPr>
            </w:pPr>
            <w:r>
              <w:rPr>
                <w:rFonts w:hint="eastAsia" w:ascii="宋体" w:hAnsi="宋体" w:cs="Times New Roman"/>
                <w:i w:val="0"/>
                <w:iCs w:val="0"/>
                <w:color w:val="auto"/>
                <w:highlight w:val="none"/>
                <w:u w:val="single"/>
              </w:rPr>
              <w:t>浙江省公共资源交易服务平台</w:t>
            </w:r>
          </w:p>
          <w:p w14:paraId="4C5803F7">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u w:val="single"/>
              </w:rPr>
              <w:t>http://zjpubservice.zjzwfw.gov.cn/ （网址）</w:t>
            </w:r>
          </w:p>
          <w:p w14:paraId="37DC0C0A">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spacing w:val="-2"/>
                <w:highlight w:val="none"/>
              </w:rPr>
              <w:t>公示期限：不少于3日。如遇国家法定休假日，应顺延至法定休假日后第一个工作日。</w:t>
            </w:r>
          </w:p>
        </w:tc>
      </w:tr>
      <w:tr w14:paraId="6E171D0E">
        <w:tblPrEx>
          <w:tblCellMar>
            <w:top w:w="0" w:type="dxa"/>
            <w:left w:w="57" w:type="dxa"/>
            <w:bottom w:w="0" w:type="dxa"/>
            <w:right w:w="57" w:type="dxa"/>
          </w:tblCellMar>
        </w:tblPrEx>
        <w:trPr>
          <w:trHeight w:val="364"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58C9B59D">
            <w:pPr>
              <w:pStyle w:val="44"/>
              <w:keepNext w:val="0"/>
              <w:keepLines w:val="0"/>
              <w:suppressLineNumbers w:val="0"/>
              <w:snapToGrid w:val="0"/>
              <w:spacing w:before="0" w:beforeAutospacing="0" w:after="0" w:afterAutospacing="0"/>
              <w:ind w:left="0" w:right="0"/>
              <w:jc w:val="center"/>
              <w:rPr>
                <w:rFonts w:hint="default" w:ascii="宋体" w:hAnsi="宋体" w:cs="Times New Roman"/>
                <w:i w:val="0"/>
                <w:iCs w:val="0"/>
                <w:color w:val="auto"/>
                <w:highlight w:val="none"/>
              </w:rPr>
            </w:pPr>
            <w:r>
              <w:rPr>
                <w:rFonts w:hint="default" w:ascii="Times New Roman" w:hAnsi="Times New Roman" w:cs="Times New Roman"/>
                <w:i w:val="0"/>
                <w:iCs w:val="0"/>
                <w:color w:val="auto"/>
                <w:highlight w:val="none"/>
              </w:rPr>
              <w:t>7.2</w:t>
            </w:r>
            <w:r>
              <w:rPr>
                <w:rFonts w:hint="eastAsia" w:ascii="Times New Roman" w:hAnsi="Times New Roman" w:cs="Times New Roman"/>
                <w:i w:val="0"/>
                <w:iCs w:val="0"/>
                <w:color w:val="auto"/>
                <w:highlight w:val="none"/>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4F21B16B">
            <w:pPr>
              <w:pStyle w:val="44"/>
              <w:keepNext w:val="0"/>
              <w:keepLines w:val="0"/>
              <w:suppressLineNumbers w:val="0"/>
              <w:snapToGrid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宋体" w:cs="Times New Roman"/>
                <w:i w:val="0"/>
                <w:iCs w:val="0"/>
                <w:color w:val="auto"/>
                <w:highlight w:val="none"/>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1FA0F848">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授权</w:t>
            </w:r>
            <w:r>
              <w:rPr>
                <w:rFonts w:hint="default" w:ascii="Times New Roman" w:hAnsi="宋体" w:cs="Times New Roman"/>
                <w:i w:val="0"/>
                <w:iCs w:val="0"/>
                <w:color w:val="auto"/>
                <w:highlight w:val="none"/>
              </w:rPr>
              <w:t>评标委员会确定中标人</w:t>
            </w:r>
            <w:r>
              <w:rPr>
                <w:rFonts w:hint="default" w:ascii="宋体" w:hAnsi="宋体" w:cs="Times New Roman"/>
                <w:i w:val="0"/>
                <w:iCs w:val="0"/>
                <w:color w:val="auto"/>
                <w:highlight w:val="none"/>
              </w:rPr>
              <w:t>。</w:t>
            </w:r>
          </w:p>
          <w:p w14:paraId="37E06246">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根据评标委员会推荐，由招标人</w:t>
            </w:r>
            <w:r>
              <w:rPr>
                <w:rFonts w:hint="default" w:ascii="Times New Roman" w:hAnsi="宋体" w:cs="Times New Roman"/>
                <w:i w:val="0"/>
                <w:iCs w:val="0"/>
                <w:color w:val="auto"/>
                <w:highlight w:val="none"/>
              </w:rPr>
              <w:t>确定中标人</w:t>
            </w:r>
            <w:r>
              <w:rPr>
                <w:rFonts w:hint="default" w:ascii="宋体" w:hAnsi="宋体" w:cs="Times New Roman"/>
                <w:i w:val="0"/>
                <w:iCs w:val="0"/>
                <w:color w:val="auto"/>
                <w:highlight w:val="none"/>
              </w:rPr>
              <w:t>。</w:t>
            </w:r>
          </w:p>
          <w:p w14:paraId="117FD9A3">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评定分离，根据评标委员会推荐，另行组织定标会议，由定标委员会</w:t>
            </w:r>
            <w:r>
              <w:rPr>
                <w:rFonts w:hint="default" w:ascii="Times New Roman" w:hAnsi="宋体" w:cs="Times New Roman"/>
                <w:i w:val="0"/>
                <w:iCs w:val="0"/>
                <w:color w:val="auto"/>
                <w:highlight w:val="none"/>
              </w:rPr>
              <w:t>确定中标人</w:t>
            </w:r>
            <w:r>
              <w:rPr>
                <w:rFonts w:hint="default" w:ascii="宋体" w:hAnsi="宋体" w:cs="Times New Roman"/>
                <w:i w:val="0"/>
                <w:iCs w:val="0"/>
                <w:color w:val="auto"/>
                <w:highlight w:val="none"/>
              </w:rPr>
              <w:t>。</w:t>
            </w:r>
          </w:p>
          <w:p w14:paraId="37435E22">
            <w:pPr>
              <w:pStyle w:val="44"/>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其他：</w:t>
            </w:r>
            <w:r>
              <w:rPr>
                <w:rFonts w:hint="default" w:ascii="Times New Roman" w:hAnsi="Times New Roman" w:cs="Times New Roman"/>
                <w:i w:val="0"/>
                <w:iCs w:val="0"/>
                <w:color w:val="auto"/>
                <w:highlight w:val="none"/>
                <w:u w:val="single"/>
              </w:rPr>
              <w:t xml:space="preserve">              </w:t>
            </w:r>
            <w:r>
              <w:rPr>
                <w:rFonts w:hint="default" w:ascii="Times New Roman" w:hAnsi="宋体" w:cs="Times New Roman"/>
                <w:i w:val="0"/>
                <w:iCs w:val="0"/>
                <w:color w:val="auto"/>
                <w:highlight w:val="none"/>
              </w:rPr>
              <w:t>。</w:t>
            </w:r>
          </w:p>
        </w:tc>
      </w:tr>
      <w:tr w14:paraId="7613D050">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3024F626">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7.2.3</w:t>
            </w:r>
          </w:p>
        </w:tc>
        <w:tc>
          <w:tcPr>
            <w:tcW w:w="1826" w:type="dxa"/>
            <w:tcBorders>
              <w:top w:val="single" w:color="auto" w:sz="4" w:space="0"/>
              <w:left w:val="nil"/>
              <w:bottom w:val="nil"/>
              <w:right w:val="single" w:color="000000" w:sz="4" w:space="0"/>
            </w:tcBorders>
            <w:noWrap/>
            <w:vAlign w:val="center"/>
          </w:tcPr>
          <w:p w14:paraId="7804775B">
            <w:pPr>
              <w:keepNext w:val="0"/>
              <w:keepLines w:val="0"/>
              <w:suppressLineNumbers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5E9234D6">
            <w:pPr>
              <w:pStyle w:val="44"/>
              <w:keepNext w:val="0"/>
              <w:keepLines w:val="0"/>
              <w:suppressLineNumbers w:val="0"/>
              <w:snapToGrid w:val="0"/>
              <w:spacing w:before="0" w:beforeAutospacing="0" w:after="0" w:afterAutospacing="0"/>
              <w:ind w:left="0" w:right="0"/>
              <w:jc w:val="both"/>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Times New Roman" w:cs="Times New Roman"/>
                <w:i w:val="0"/>
                <w:iCs w:val="0"/>
                <w:color w:val="auto"/>
                <w:highlight w:val="none"/>
              </w:rPr>
              <w:t>1.</w:t>
            </w:r>
            <w:r>
              <w:rPr>
                <w:rFonts w:hint="eastAsia" w:ascii="Times New Roman" w:hAnsi="宋体" w:cs="Times New Roman"/>
                <w:i w:val="0"/>
                <w:iCs w:val="0"/>
                <w:color w:val="auto"/>
                <w:highlight w:val="none"/>
              </w:rPr>
              <w:t>定</w:t>
            </w:r>
            <w:r>
              <w:rPr>
                <w:rFonts w:hint="default" w:ascii="Times New Roman" w:hAnsi="宋体" w:cs="Times New Roman"/>
                <w:i w:val="0"/>
                <w:iCs w:val="0"/>
                <w:color w:val="auto"/>
                <w:highlight w:val="none"/>
              </w:rPr>
              <w:t>标时间：</w:t>
            </w:r>
            <w:r>
              <w:rPr>
                <w:rFonts w:hint="eastAsia" w:ascii="Times New Roman" w:hAnsi="宋体" w:cs="Times New Roman"/>
                <w:i w:val="0"/>
                <w:iCs w:val="0"/>
                <w:color w:val="auto"/>
                <w:highlight w:val="none"/>
                <w:u w:val="single"/>
              </w:rPr>
              <w:t xml:space="preserve"> 在中标候选人公示结束后确定 </w:t>
            </w:r>
            <w:r>
              <w:rPr>
                <w:rFonts w:hint="default" w:ascii="Times New Roman" w:hAnsi="宋体" w:cs="Times New Roman"/>
                <w:i w:val="0"/>
                <w:iCs w:val="0"/>
                <w:color w:val="auto"/>
                <w:highlight w:val="none"/>
              </w:rPr>
              <w:t>。</w:t>
            </w:r>
          </w:p>
          <w:p w14:paraId="5DD87944">
            <w:pPr>
              <w:pStyle w:val="44"/>
              <w:keepNext w:val="0"/>
              <w:keepLines w:val="0"/>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Times New Roman" w:cs="Times New Roman"/>
                <w:i w:val="0"/>
                <w:iCs w:val="0"/>
                <w:color w:val="auto"/>
                <w:highlight w:val="none"/>
              </w:rPr>
              <w:t>2.</w:t>
            </w:r>
            <w:r>
              <w:rPr>
                <w:rFonts w:hint="eastAsia" w:ascii="Times New Roman" w:hAnsi="宋体" w:cs="Times New Roman"/>
                <w:i w:val="0"/>
                <w:iCs w:val="0"/>
                <w:color w:val="auto"/>
                <w:highlight w:val="none"/>
              </w:rPr>
              <w:t>定</w:t>
            </w:r>
            <w:r>
              <w:rPr>
                <w:rFonts w:hint="default" w:ascii="Times New Roman" w:hAnsi="宋体" w:cs="Times New Roman"/>
                <w:i w:val="0"/>
                <w:iCs w:val="0"/>
                <w:color w:val="auto"/>
                <w:highlight w:val="none"/>
              </w:rPr>
              <w:t>标地点：</w:t>
            </w:r>
            <w:r>
              <w:rPr>
                <w:rFonts w:hint="default"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u w:val="single"/>
              </w:rPr>
              <w:t>在中标候选人公示结束后确定</w:t>
            </w:r>
            <w:r>
              <w:rPr>
                <w:rFonts w:hint="eastAsia" w:ascii="Times New Roman" w:hAnsi="Times New Roman" w:cs="Times New Roman"/>
                <w:i w:val="0"/>
                <w:iCs w:val="0"/>
                <w:color w:val="auto"/>
                <w:highlight w:val="none"/>
                <w:u w:val="single"/>
                <w:lang w:val="en-US" w:eastAsia="zh-CN"/>
              </w:rPr>
              <w:t xml:space="preserve"> </w:t>
            </w:r>
            <w:r>
              <w:rPr>
                <w:rFonts w:hint="default" w:ascii="Times New Roman" w:hAnsi="宋体" w:cs="Times New Roman"/>
                <w:i w:val="0"/>
                <w:iCs w:val="0"/>
                <w:color w:val="auto"/>
                <w:highlight w:val="none"/>
              </w:rPr>
              <w:t>。</w:t>
            </w:r>
          </w:p>
          <w:p w14:paraId="1515B3EE">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招标人根据相关规定在评标结果公示结束后10日内召开定标会议。</w:t>
            </w:r>
          </w:p>
        </w:tc>
      </w:tr>
      <w:tr w14:paraId="4CF9D4DF">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54AD89B7">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7.2.4</w:t>
            </w:r>
          </w:p>
        </w:tc>
        <w:tc>
          <w:tcPr>
            <w:tcW w:w="1826" w:type="dxa"/>
            <w:tcBorders>
              <w:top w:val="single" w:color="000000" w:sz="4" w:space="0"/>
              <w:left w:val="nil"/>
              <w:bottom w:val="nil"/>
              <w:right w:val="single" w:color="000000" w:sz="4" w:space="0"/>
            </w:tcBorders>
            <w:noWrap/>
            <w:vAlign w:val="center"/>
          </w:tcPr>
          <w:p w14:paraId="1C9A8B51">
            <w:pPr>
              <w:keepNext w:val="0"/>
              <w:keepLines w:val="0"/>
              <w:suppressLineNumbers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考察、质询</w:t>
            </w:r>
          </w:p>
        </w:tc>
        <w:tc>
          <w:tcPr>
            <w:tcW w:w="6272" w:type="dxa"/>
            <w:tcBorders>
              <w:top w:val="single" w:color="000000" w:sz="4" w:space="0"/>
              <w:left w:val="nil"/>
              <w:bottom w:val="single" w:color="000000" w:sz="4" w:space="0"/>
              <w:right w:val="single" w:color="000000" w:sz="4" w:space="0"/>
            </w:tcBorders>
            <w:noWrap/>
            <w:vAlign w:val="center"/>
          </w:tcPr>
          <w:p w14:paraId="6607DDEC">
            <w:pPr>
              <w:keepNext w:val="0"/>
              <w:keepLines w:val="0"/>
              <w:suppressLineNumbers w:val="0"/>
              <w:snapToGrid w:val="0"/>
              <w:spacing w:before="0" w:beforeAutospacing="0" w:after="0" w:afterAutospacing="0"/>
              <w:ind w:left="0" w:right="0"/>
              <w:rPr>
                <w:rFonts w:hint="default" w:ascii="Times New Roman" w:hAnsi="宋体" w:cs="Times New Roman"/>
                <w:i w:val="0"/>
                <w:iCs w:val="0"/>
                <w:color w:val="auto"/>
                <w:highlight w:val="none"/>
              </w:rPr>
            </w:pPr>
            <w:r>
              <w:rPr>
                <w:rFonts w:hint="eastAsia" w:ascii="宋体" w:hAnsi="宋体" w:cs="Times New Roman"/>
                <w:i w:val="0"/>
                <w:iCs w:val="0"/>
                <w:color w:val="auto"/>
                <w:highlight w:val="none"/>
              </w:rPr>
              <w:t>□</w:t>
            </w:r>
            <w:r>
              <w:rPr>
                <w:rFonts w:hint="eastAsia" w:ascii="Times New Roman" w:hAnsi="宋体" w:cs="Times New Roman"/>
                <w:i w:val="0"/>
                <w:iCs w:val="0"/>
                <w:color w:val="auto"/>
                <w:highlight w:val="none"/>
              </w:rPr>
              <w:t>1.</w:t>
            </w:r>
            <w:r>
              <w:rPr>
                <w:rFonts w:hint="default" w:ascii="Times New Roman" w:hAnsi="宋体" w:cs="Times New Roman"/>
                <w:i w:val="0"/>
                <w:iCs w:val="0"/>
                <w:color w:val="auto"/>
                <w:highlight w:val="none"/>
              </w:rPr>
              <w:t>在定标会议前</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考察、质询应给予中标候选人合理的准备时间。）对所有中标候选人进行考察、质询。</w:t>
            </w:r>
          </w:p>
          <w:p w14:paraId="7CC54D7C">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w:t>
            </w:r>
            <w:r>
              <w:rPr>
                <w:rFonts w:hint="eastAsia" w:ascii="Times New Roman" w:hAnsi="宋体" w:cs="Times New Roman"/>
                <w:i w:val="0"/>
                <w:iCs w:val="0"/>
                <w:color w:val="auto"/>
                <w:highlight w:val="none"/>
              </w:rPr>
              <w:t>2.</w:t>
            </w:r>
            <w:r>
              <w:rPr>
                <w:rFonts w:hint="default" w:ascii="Times New Roman" w:hAnsi="宋体" w:cs="Times New Roman"/>
                <w:i w:val="0"/>
                <w:iCs w:val="0"/>
                <w:color w:val="auto"/>
                <w:highlight w:val="none"/>
              </w:rPr>
              <w:t>考察、质询小组由</w:t>
            </w:r>
            <w:r>
              <w:rPr>
                <w:rFonts w:hint="default" w:ascii="Times New Roman" w:hAnsi="宋体" w:cs="Times New Roman"/>
                <w:i w:val="0"/>
                <w:iCs w:val="0"/>
                <w:color w:val="auto"/>
                <w:highlight w:val="none"/>
                <w:u w:val="single"/>
              </w:rPr>
              <w:t>（3人及以上单数）</w:t>
            </w:r>
            <w:r>
              <w:rPr>
                <w:rFonts w:hint="default" w:ascii="Times New Roman" w:hAnsi="宋体" w:cs="Times New Roman"/>
                <w:i w:val="0"/>
                <w:iCs w:val="0"/>
                <w:color w:val="auto"/>
                <w:highlight w:val="none"/>
              </w:rPr>
              <w:t>组成。</w:t>
            </w:r>
          </w:p>
        </w:tc>
      </w:tr>
      <w:tr w14:paraId="56B05DE5">
        <w:tblPrEx>
          <w:tblCellMar>
            <w:top w:w="0" w:type="dxa"/>
            <w:left w:w="57" w:type="dxa"/>
            <w:bottom w:w="0" w:type="dxa"/>
            <w:right w:w="57" w:type="dxa"/>
          </w:tblCellMar>
        </w:tblPrEx>
        <w:trPr>
          <w:trHeight w:val="732" w:hRule="atLeast"/>
        </w:trPr>
        <w:tc>
          <w:tcPr>
            <w:tcW w:w="1058" w:type="dxa"/>
            <w:tcBorders>
              <w:top w:val="single" w:color="000000" w:sz="4" w:space="0"/>
              <w:left w:val="single" w:color="000000" w:sz="4" w:space="0"/>
              <w:bottom w:val="nil"/>
              <w:right w:val="single" w:color="000000" w:sz="4" w:space="0"/>
            </w:tcBorders>
            <w:noWrap/>
            <w:vAlign w:val="center"/>
          </w:tcPr>
          <w:p w14:paraId="0F0458D8">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7.2.5</w:t>
            </w:r>
          </w:p>
        </w:tc>
        <w:tc>
          <w:tcPr>
            <w:tcW w:w="1826" w:type="dxa"/>
            <w:tcBorders>
              <w:top w:val="single" w:color="000000" w:sz="4" w:space="0"/>
              <w:left w:val="nil"/>
              <w:bottom w:val="nil"/>
              <w:right w:val="single" w:color="000000" w:sz="4" w:space="0"/>
            </w:tcBorders>
            <w:noWrap/>
            <w:vAlign w:val="center"/>
          </w:tcPr>
          <w:p w14:paraId="4D9F633F">
            <w:pPr>
              <w:pStyle w:val="44"/>
              <w:keepNext w:val="0"/>
              <w:keepLines w:val="0"/>
              <w:suppressLineNumbers w:val="0"/>
              <w:snapToGrid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宋体" w:cs="Times New Roman"/>
                <w:i w:val="0"/>
                <w:iCs w:val="0"/>
                <w:color w:val="auto"/>
                <w:highlight w:val="none"/>
              </w:rPr>
              <w:t>定标委员会</w:t>
            </w:r>
            <w:r>
              <w:rPr>
                <w:rFonts w:hint="eastAsia" w:ascii="Times New Roman" w:hAnsi="宋体" w:cs="Times New Roman"/>
                <w:i w:val="0"/>
                <w:iCs w:val="0"/>
                <w:color w:val="auto"/>
                <w:highlight w:val="none"/>
              </w:rPr>
              <w:t>的组建</w:t>
            </w:r>
          </w:p>
        </w:tc>
        <w:tc>
          <w:tcPr>
            <w:tcW w:w="6272" w:type="dxa"/>
            <w:tcBorders>
              <w:top w:val="single" w:color="000000" w:sz="4" w:space="0"/>
              <w:left w:val="nil"/>
              <w:bottom w:val="single" w:color="000000" w:sz="4" w:space="0"/>
              <w:right w:val="single" w:color="000000" w:sz="4" w:space="0"/>
            </w:tcBorders>
            <w:noWrap/>
            <w:vAlign w:val="center"/>
          </w:tcPr>
          <w:p w14:paraId="59395E39">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default" w:ascii="Times New Roman" w:hAnsi="宋体" w:cs="Times New Roman"/>
                <w:i w:val="0"/>
                <w:iCs w:val="0"/>
                <w:color w:val="auto"/>
                <w:highlight w:val="none"/>
              </w:rPr>
              <w:t>定标委员会</w:t>
            </w:r>
            <w:r>
              <w:rPr>
                <w:rFonts w:hint="eastAsia" w:ascii="Times New Roman" w:hAnsi="宋体" w:cs="Times New Roman"/>
                <w:i w:val="0"/>
                <w:iCs w:val="0"/>
                <w:color w:val="auto"/>
                <w:highlight w:val="none"/>
              </w:rPr>
              <w:t>由（</w:t>
            </w:r>
            <w:r>
              <w:rPr>
                <w:rFonts w:hint="default" w:ascii="Times New Roman" w:hAnsi="宋体" w:cs="Times New Roman"/>
                <w:i w:val="0"/>
                <w:iCs w:val="0"/>
                <w:color w:val="auto"/>
                <w:highlight w:val="none"/>
                <w:u w:val="single"/>
              </w:rPr>
              <w:t>5人及以上单数</w:t>
            </w:r>
            <w:r>
              <w:rPr>
                <w:rFonts w:hint="eastAsia" w:ascii="Times New Roman" w:hAnsi="宋体" w:cs="Times New Roman"/>
                <w:i w:val="0"/>
                <w:iCs w:val="0"/>
                <w:color w:val="auto"/>
                <w:highlight w:val="none"/>
                <w:u w:val="single"/>
              </w:rPr>
              <w:t>）</w:t>
            </w:r>
            <w:r>
              <w:rPr>
                <w:rFonts w:hint="default" w:ascii="Times New Roman" w:hAnsi="宋体" w:cs="Times New Roman"/>
                <w:i w:val="0"/>
                <w:iCs w:val="0"/>
                <w:color w:val="auto"/>
                <w:highlight w:val="none"/>
              </w:rPr>
              <w:t>组成。</w:t>
            </w:r>
          </w:p>
        </w:tc>
      </w:tr>
      <w:tr w14:paraId="4C860DCB">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4AE41BA0">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7.2.6</w:t>
            </w:r>
          </w:p>
        </w:tc>
        <w:tc>
          <w:tcPr>
            <w:tcW w:w="1826" w:type="dxa"/>
            <w:tcBorders>
              <w:top w:val="single" w:color="000000" w:sz="4" w:space="0"/>
              <w:left w:val="nil"/>
              <w:bottom w:val="nil"/>
              <w:right w:val="single" w:color="000000" w:sz="4" w:space="0"/>
            </w:tcBorders>
            <w:noWrap/>
            <w:vAlign w:val="center"/>
          </w:tcPr>
          <w:p w14:paraId="541ACC85">
            <w:pPr>
              <w:pStyle w:val="44"/>
              <w:keepNext w:val="0"/>
              <w:keepLines w:val="0"/>
              <w:suppressLineNumbers w:val="0"/>
              <w:snapToGrid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现场面试</w:t>
            </w:r>
          </w:p>
        </w:tc>
        <w:tc>
          <w:tcPr>
            <w:tcW w:w="6272" w:type="dxa"/>
            <w:tcBorders>
              <w:top w:val="single" w:color="000000" w:sz="4" w:space="0"/>
              <w:left w:val="nil"/>
              <w:bottom w:val="single" w:color="000000" w:sz="4" w:space="0"/>
              <w:right w:val="single" w:color="000000" w:sz="4" w:space="0"/>
            </w:tcBorders>
            <w:noWrap/>
            <w:vAlign w:val="center"/>
          </w:tcPr>
          <w:p w14:paraId="54F53AAD">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0D12428F">
        <w:tblPrEx>
          <w:tblCellMar>
            <w:top w:w="0" w:type="dxa"/>
            <w:left w:w="57" w:type="dxa"/>
            <w:bottom w:w="0" w:type="dxa"/>
            <w:right w:w="57" w:type="dxa"/>
          </w:tblCellMar>
        </w:tblPrEx>
        <w:trPr>
          <w:trHeight w:val="724" w:hRule="atLeast"/>
        </w:trPr>
        <w:tc>
          <w:tcPr>
            <w:tcW w:w="1058" w:type="dxa"/>
            <w:tcBorders>
              <w:top w:val="single" w:color="000000" w:sz="4" w:space="0"/>
              <w:left w:val="single" w:color="000000" w:sz="4" w:space="0"/>
              <w:bottom w:val="nil"/>
              <w:right w:val="single" w:color="000000" w:sz="4" w:space="0"/>
            </w:tcBorders>
            <w:noWrap/>
            <w:vAlign w:val="center"/>
          </w:tcPr>
          <w:p w14:paraId="4C1F5475">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7.2.7</w:t>
            </w:r>
          </w:p>
        </w:tc>
        <w:tc>
          <w:tcPr>
            <w:tcW w:w="1826" w:type="dxa"/>
            <w:tcBorders>
              <w:top w:val="single" w:color="000000" w:sz="4" w:space="0"/>
              <w:left w:val="nil"/>
              <w:bottom w:val="nil"/>
              <w:right w:val="single" w:color="000000" w:sz="4" w:space="0"/>
            </w:tcBorders>
            <w:noWrap/>
            <w:vAlign w:val="center"/>
          </w:tcPr>
          <w:p w14:paraId="6DB46C80">
            <w:pPr>
              <w:pStyle w:val="44"/>
              <w:keepNext w:val="0"/>
              <w:keepLines w:val="0"/>
              <w:suppressLineNumbers w:val="0"/>
              <w:snapToGrid w:val="0"/>
              <w:spacing w:before="0" w:beforeAutospacing="0" w:after="0" w:afterAutospacing="0"/>
              <w:ind w:left="0" w:right="0"/>
              <w:jc w:val="center"/>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宋体" w:cs="Times New Roman"/>
                <w:i w:val="0"/>
                <w:iCs w:val="0"/>
                <w:color w:val="auto"/>
                <w:highlight w:val="none"/>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39C6C292">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1.价格因素：</w:t>
            </w:r>
            <w:r>
              <w:rPr>
                <w:rFonts w:hint="eastAsia" w:ascii="Times New Roman" w:hAnsi="宋体" w:cs="Times New Roman"/>
                <w:i w:val="0"/>
                <w:iCs w:val="0"/>
                <w:color w:val="auto"/>
                <w:highlight w:val="none"/>
                <w:u w:val="single"/>
              </w:rPr>
              <w:t>主要包括商务报价高低、报价的合理性、不平衡报价情况等</w:t>
            </w:r>
            <w:r>
              <w:rPr>
                <w:rFonts w:hint="eastAsia" w:ascii="Times New Roman" w:hAnsi="宋体" w:cs="Times New Roman"/>
                <w:i w:val="0"/>
                <w:iCs w:val="0"/>
                <w:color w:val="auto"/>
                <w:highlight w:val="none"/>
              </w:rPr>
              <w:t>；</w:t>
            </w:r>
          </w:p>
          <w:p w14:paraId="2360CF0E">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2.企业实力：</w:t>
            </w:r>
            <w:r>
              <w:rPr>
                <w:rFonts w:hint="eastAsia" w:ascii="Times New Roman" w:hAnsi="宋体" w:cs="Times New Roman"/>
                <w:i w:val="0"/>
                <w:iCs w:val="0"/>
                <w:color w:val="auto"/>
                <w:highlight w:val="none"/>
                <w:u w:val="single"/>
              </w:rPr>
              <w:t>主要包括企业规模、资质等级、专业技术人员规模、近年的财务状况、过往业绩（含业绩影响力，难易程度）等</w:t>
            </w:r>
            <w:r>
              <w:rPr>
                <w:rFonts w:hint="eastAsia" w:ascii="Times New Roman" w:hAnsi="宋体" w:cs="Times New Roman"/>
                <w:i w:val="0"/>
                <w:iCs w:val="0"/>
                <w:color w:val="auto"/>
                <w:highlight w:val="none"/>
              </w:rPr>
              <w:t>；</w:t>
            </w:r>
          </w:p>
          <w:p w14:paraId="692AFEBC">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3.企业信誉：</w:t>
            </w:r>
            <w:r>
              <w:rPr>
                <w:rFonts w:hint="eastAsia" w:ascii="Times New Roman" w:hAnsi="宋体" w:cs="Times New Roman"/>
                <w:i w:val="0"/>
                <w:iCs w:val="0"/>
                <w:color w:val="auto"/>
                <w:highlight w:val="none"/>
                <w:u w:val="single"/>
              </w:rPr>
              <w:t>主要包括企业信用情况、过往业绩履约情况、建设单位履约评价等</w:t>
            </w:r>
            <w:r>
              <w:rPr>
                <w:rFonts w:hint="eastAsia" w:ascii="Times New Roman" w:hAnsi="宋体" w:cs="Times New Roman"/>
                <w:i w:val="0"/>
                <w:iCs w:val="0"/>
                <w:color w:val="auto"/>
                <w:highlight w:val="none"/>
              </w:rPr>
              <w:t>；</w:t>
            </w:r>
          </w:p>
          <w:p w14:paraId="432F7AC6">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4.投标方案：</w:t>
            </w:r>
            <w:r>
              <w:rPr>
                <w:rFonts w:hint="eastAsia" w:ascii="Times New Roman" w:hAnsi="宋体" w:cs="Times New Roman"/>
                <w:i w:val="0"/>
                <w:iCs w:val="0"/>
                <w:strike w:val="0"/>
                <w:dstrike w:val="0"/>
                <w:color w:val="auto"/>
                <w:highlight w:val="none"/>
                <w:u w:val="single"/>
              </w:rPr>
              <w:t>主要包括</w:t>
            </w:r>
            <w:r>
              <w:rPr>
                <w:rFonts w:hint="eastAsia" w:ascii="Times New Roman" w:hAnsi="宋体" w:cs="Times New Roman"/>
                <w:i w:val="0"/>
                <w:iCs w:val="0"/>
                <w:strike w:val="0"/>
                <w:dstrike w:val="0"/>
                <w:color w:val="auto"/>
                <w:highlight w:val="none"/>
                <w:u w:val="single"/>
                <w:lang w:eastAsia="zh-CN"/>
              </w:rPr>
              <w:t>施工组织设计方案、</w:t>
            </w:r>
            <w:r>
              <w:rPr>
                <w:rFonts w:hint="eastAsia" w:ascii="Times New Roman" w:hAnsi="宋体" w:cs="Times New Roman"/>
                <w:i w:val="0"/>
                <w:iCs w:val="0"/>
                <w:strike w:val="0"/>
                <w:dstrike w:val="0"/>
                <w:color w:val="auto"/>
                <w:highlight w:val="none"/>
                <w:u w:val="single"/>
              </w:rPr>
              <w:t>项目管理班子配备情况</w:t>
            </w:r>
            <w:r>
              <w:rPr>
                <w:rFonts w:hint="eastAsia" w:ascii="Times New Roman" w:hAnsi="宋体" w:cs="Times New Roman"/>
                <w:i w:val="0"/>
                <w:iCs w:val="0"/>
                <w:color w:val="auto"/>
                <w:highlight w:val="none"/>
                <w:u w:val="single"/>
              </w:rPr>
              <w:t>等</w:t>
            </w:r>
            <w:r>
              <w:rPr>
                <w:rFonts w:hint="eastAsia" w:ascii="Times New Roman" w:hAnsi="宋体" w:cs="Times New Roman"/>
                <w:i w:val="0"/>
                <w:iCs w:val="0"/>
                <w:color w:val="auto"/>
                <w:highlight w:val="none"/>
              </w:rPr>
              <w:t>；</w:t>
            </w:r>
          </w:p>
          <w:p w14:paraId="297E5E6F">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5.拟派团队能力与水平：</w:t>
            </w:r>
            <w:r>
              <w:rPr>
                <w:rFonts w:hint="eastAsia" w:ascii="Times New Roman" w:hAnsi="宋体" w:cs="Times New Roman"/>
                <w:i w:val="0"/>
                <w:iCs w:val="0"/>
                <w:color w:val="auto"/>
                <w:highlight w:val="none"/>
                <w:u w:val="single"/>
              </w:rPr>
              <w:t>主要包括团队主要负责人类似工程业绩、拟派项目团队人员的资信实力等</w:t>
            </w:r>
            <w:r>
              <w:rPr>
                <w:rFonts w:hint="eastAsia" w:ascii="Times New Roman" w:hAnsi="宋体" w:cs="Times New Roman"/>
                <w:i w:val="0"/>
                <w:iCs w:val="0"/>
                <w:color w:val="auto"/>
                <w:highlight w:val="none"/>
              </w:rPr>
              <w:t>；</w:t>
            </w:r>
          </w:p>
          <w:p w14:paraId="361E41A1">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6.联合体投标的，联合体组成情况：</w:t>
            </w:r>
            <w:r>
              <w:rPr>
                <w:rFonts w:hint="eastAsia" w:ascii="Times New Roman" w:hAnsi="宋体" w:cs="Times New Roman"/>
                <w:i w:val="0"/>
                <w:iCs w:val="0"/>
                <w:color w:val="auto"/>
                <w:highlight w:val="none"/>
                <w:u w:val="none"/>
              </w:rPr>
              <w:t xml:space="preserve">                  </w:t>
            </w:r>
            <w:r>
              <w:rPr>
                <w:rFonts w:hint="eastAsia" w:ascii="Times New Roman" w:hAnsi="宋体" w:cs="Times New Roman"/>
                <w:i w:val="0"/>
                <w:iCs w:val="0"/>
                <w:color w:val="auto"/>
                <w:highlight w:val="none"/>
              </w:rPr>
              <w:t>；</w:t>
            </w:r>
          </w:p>
          <w:p w14:paraId="4B885CC3">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□7.企业质量安全、无欠薪管理情况：</w:t>
            </w:r>
            <w:r>
              <w:rPr>
                <w:rFonts w:hint="eastAsia" w:ascii="Times New Roman" w:hAnsi="宋体" w:cs="Times New Roman"/>
                <w:i w:val="0"/>
                <w:iCs w:val="0"/>
                <w:color w:val="auto"/>
                <w:highlight w:val="none"/>
                <w:u w:val="none"/>
              </w:rPr>
              <w:t xml:space="preserve">                  </w:t>
            </w:r>
            <w:r>
              <w:rPr>
                <w:rFonts w:hint="eastAsia" w:ascii="Times New Roman" w:hAnsi="宋体" w:cs="Times New Roman"/>
                <w:i w:val="0"/>
                <w:iCs w:val="0"/>
                <w:color w:val="auto"/>
                <w:highlight w:val="none"/>
              </w:rPr>
              <w:t>；</w:t>
            </w:r>
          </w:p>
          <w:p w14:paraId="54973015">
            <w:pPr>
              <w:pStyle w:val="44"/>
              <w:keepNext w:val="0"/>
              <w:keepLines w:val="0"/>
              <w:suppressLineNumbers w:val="0"/>
              <w:snapToGrid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□8.企业项目班组人员到岗履职等管理情况：</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p w14:paraId="055E8AAF">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9.工程保修维护等后续服务便利：</w:t>
            </w:r>
            <w:r>
              <w:rPr>
                <w:rFonts w:hint="eastAsia" w:ascii="Times New Roman" w:hAnsi="宋体" w:cs="Times New Roman"/>
                <w:i w:val="0"/>
                <w:iCs w:val="0"/>
                <w:color w:val="auto"/>
                <w:highlight w:val="none"/>
                <w:u w:val="single"/>
              </w:rPr>
              <w:t>工程保修维护等后续服务便利</w:t>
            </w:r>
            <w:r>
              <w:rPr>
                <w:rFonts w:hint="eastAsia" w:ascii="Times New Roman" w:hAnsi="宋体" w:cs="Times New Roman"/>
                <w:i w:val="0"/>
                <w:iCs w:val="0"/>
                <w:color w:val="auto"/>
                <w:highlight w:val="none"/>
              </w:rPr>
              <w:t>；</w:t>
            </w:r>
          </w:p>
          <w:p w14:paraId="708AD579">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□10.落实建筑业高质量发展政策：</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p w14:paraId="34A0A301">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□11.落实政府其他政策：</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p w14:paraId="4BD4E814">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lang w:eastAsia="zh-CN"/>
              </w:rPr>
              <w:t>☑</w:t>
            </w:r>
            <w:r>
              <w:rPr>
                <w:rFonts w:hint="eastAsia" w:ascii="Times New Roman" w:hAnsi="宋体" w:cs="Times New Roman"/>
                <w:i w:val="0"/>
                <w:iCs w:val="0"/>
                <w:color w:val="auto"/>
                <w:highlight w:val="none"/>
              </w:rPr>
              <w:t>12.评标报告；</w:t>
            </w:r>
          </w:p>
          <w:p w14:paraId="2D483FA1">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□13.质询或（和）考察报告；</w:t>
            </w:r>
          </w:p>
          <w:p w14:paraId="2F482F5F">
            <w:pPr>
              <w:pStyle w:val="44"/>
              <w:keepNext w:val="0"/>
              <w:keepLines w:val="0"/>
              <w:suppressLineNumbers w:val="0"/>
              <w:snapToGrid w:val="0"/>
              <w:spacing w:before="0" w:beforeAutospacing="0" w:after="0" w:afterAutospacing="0"/>
              <w:ind w:left="0" w:right="0"/>
              <w:jc w:val="both"/>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□14.现场面试情况；</w:t>
            </w:r>
          </w:p>
          <w:p w14:paraId="5C23F41A">
            <w:pPr>
              <w:pStyle w:val="44"/>
              <w:keepNext w:val="0"/>
              <w:keepLines w:val="0"/>
              <w:suppressLineNumbers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sym w:font="Wingdings 2" w:char="0052"/>
            </w:r>
            <w:r>
              <w:rPr>
                <w:rFonts w:hint="eastAsia" w:ascii="Times New Roman" w:hAnsi="宋体" w:cs="Times New Roman"/>
                <w:i w:val="0"/>
                <w:iCs w:val="0"/>
                <w:color w:val="auto"/>
                <w:highlight w:val="none"/>
              </w:rPr>
              <w:t>15.</w:t>
            </w:r>
            <w:r>
              <w:rPr>
                <w:rFonts w:hint="default" w:ascii="Times New Roman" w:hAnsi="宋体" w:cs="Times New Roman"/>
                <w:i w:val="0"/>
                <w:iCs w:val="0"/>
                <w:color w:val="auto"/>
                <w:highlight w:val="none"/>
              </w:rPr>
              <w:t>招标人认为需要考量的其他因素</w:t>
            </w:r>
            <w:r>
              <w:rPr>
                <w:rFonts w:hint="eastAsia" w:ascii="Times New Roman" w:hAnsi="宋体" w:cs="Times New Roman"/>
                <w:i w:val="0"/>
                <w:iCs w:val="0"/>
                <w:color w:val="auto"/>
                <w:highlight w:val="none"/>
              </w:rPr>
              <w:t>：</w:t>
            </w:r>
            <w:r>
              <w:rPr>
                <w:rFonts w:hint="eastAsia" w:ascii="Times New Roman" w:hAnsi="宋体" w:cs="Times New Roman"/>
                <w:i w:val="0"/>
                <w:iCs w:val="0"/>
                <w:color w:val="auto"/>
                <w:highlight w:val="none"/>
                <w:u w:val="single"/>
              </w:rPr>
              <w:t xml:space="preserve">                 </w:t>
            </w:r>
            <w:r>
              <w:rPr>
                <w:rFonts w:hint="default" w:ascii="Times New Roman" w:hAnsi="宋体" w:cs="Times New Roman"/>
                <w:i w:val="0"/>
                <w:iCs w:val="0"/>
                <w:color w:val="auto"/>
                <w:highlight w:val="none"/>
              </w:rPr>
              <w:t>。</w:t>
            </w:r>
          </w:p>
        </w:tc>
      </w:tr>
      <w:tr w14:paraId="2E44AF0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2A01A4B">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7.2.8</w:t>
            </w:r>
          </w:p>
        </w:tc>
        <w:tc>
          <w:tcPr>
            <w:tcW w:w="1826" w:type="dxa"/>
            <w:tcBorders>
              <w:top w:val="single" w:color="000000" w:sz="4" w:space="0"/>
              <w:left w:val="nil"/>
              <w:bottom w:val="single" w:color="000000" w:sz="4" w:space="0"/>
              <w:right w:val="single" w:color="000000" w:sz="4" w:space="0"/>
            </w:tcBorders>
            <w:noWrap/>
            <w:vAlign w:val="center"/>
          </w:tcPr>
          <w:p w14:paraId="4192D333">
            <w:pPr>
              <w:pStyle w:val="44"/>
              <w:keepNext w:val="0"/>
              <w:keepLines w:val="0"/>
              <w:suppressLineNumbers w:val="0"/>
              <w:snapToGrid w:val="0"/>
              <w:spacing w:before="0" w:beforeAutospacing="0" w:after="0" w:afterAutospacing="0"/>
              <w:ind w:left="0" w:right="0"/>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default" w:ascii="Times New Roman" w:hAnsi="宋体" w:cs="Times New Roman"/>
                <w:i w:val="0"/>
                <w:iCs w:val="0"/>
                <w:color w:val="auto"/>
                <w:highlight w:val="none"/>
              </w:rPr>
              <w:t>定标方法</w:t>
            </w:r>
          </w:p>
        </w:tc>
        <w:tc>
          <w:tcPr>
            <w:tcW w:w="6272" w:type="dxa"/>
            <w:tcBorders>
              <w:top w:val="single" w:color="000000" w:sz="4" w:space="0"/>
              <w:left w:val="nil"/>
              <w:bottom w:val="single" w:color="000000" w:sz="4" w:space="0"/>
              <w:right w:val="single" w:color="000000" w:sz="4" w:space="0"/>
            </w:tcBorders>
            <w:noWrap/>
            <w:vAlign w:val="center"/>
          </w:tcPr>
          <w:p w14:paraId="2B75FB40">
            <w:pPr>
              <w:pStyle w:val="44"/>
              <w:keepNext w:val="0"/>
              <w:keepLines w:val="0"/>
              <w:suppressLineNumbers w:val="0"/>
              <w:snapToGrid w:val="0"/>
              <w:spacing w:before="0" w:beforeAutospacing="0" w:after="0" w:afterAutospacing="0"/>
              <w:ind w:left="0" w:right="0"/>
              <w:rPr>
                <w:rFonts w:hint="default" w:ascii="Times New Roman"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1.</w:t>
            </w:r>
            <w:r>
              <w:rPr>
                <w:rFonts w:hint="default" w:ascii="Times New Roman" w:hAnsi="宋体" w:cs="Times New Roman"/>
                <w:i w:val="0"/>
                <w:iCs w:val="0"/>
                <w:color w:val="auto"/>
                <w:highlight w:val="none"/>
              </w:rPr>
              <w:t>票决法</w:t>
            </w:r>
            <w:r>
              <w:rPr>
                <w:rFonts w:hint="eastAsia" w:ascii="Times New Roman" w:hAnsi="宋体" w:cs="Times New Roman"/>
                <w:i w:val="0"/>
                <w:iCs w:val="0"/>
                <w:color w:val="auto"/>
                <w:highlight w:val="none"/>
              </w:rPr>
              <w:t>；</w:t>
            </w:r>
          </w:p>
          <w:p w14:paraId="3D7D7890">
            <w:pPr>
              <w:pStyle w:val="44"/>
              <w:keepNext w:val="0"/>
              <w:keepLines w:val="0"/>
              <w:suppressLineNumbers w:val="0"/>
              <w:snapToGrid w:val="0"/>
              <w:spacing w:before="0" w:beforeAutospacing="0" w:after="0" w:afterAutospacing="0"/>
              <w:ind w:left="0" w:right="0"/>
              <w:rPr>
                <w:rFonts w:hint="default" w:ascii="Times New Roman" w:hAnsi="宋体"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2</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集体议事法</w:t>
            </w:r>
            <w:r>
              <w:rPr>
                <w:rFonts w:hint="eastAsia" w:ascii="Times New Roman" w:hAnsi="宋体" w:cs="Times New Roman"/>
                <w:i w:val="0"/>
                <w:iCs w:val="0"/>
                <w:color w:val="auto"/>
                <w:highlight w:val="none"/>
              </w:rPr>
              <w:t>；</w:t>
            </w:r>
          </w:p>
          <w:p w14:paraId="743F0B7C">
            <w:pPr>
              <w:pStyle w:val="44"/>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3</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其他定标办法</w:t>
            </w:r>
            <w:r>
              <w:rPr>
                <w:rFonts w:hint="eastAsia" w:ascii="Times New Roman" w:hAnsi="宋体" w:cs="Times New Roman"/>
                <w:i w:val="0"/>
                <w:iCs w:val="0"/>
                <w:color w:val="auto"/>
                <w:highlight w:val="none"/>
              </w:rPr>
              <w:t>：</w:t>
            </w:r>
            <w:r>
              <w:rPr>
                <w:rFonts w:hint="eastAsia" w:ascii="Times New Roman" w:hAnsi="宋体" w:cs="Times New Roman"/>
                <w:i w:val="0"/>
                <w:iCs w:val="0"/>
                <w:color w:val="auto"/>
                <w:highlight w:val="none"/>
                <w:u w:val="single"/>
              </w:rPr>
              <w:t xml:space="preserve">                          </w:t>
            </w:r>
            <w:r>
              <w:rPr>
                <w:rFonts w:hint="default" w:ascii="Times New Roman" w:hAnsi="宋体" w:cs="Times New Roman"/>
                <w:i w:val="0"/>
                <w:iCs w:val="0"/>
                <w:color w:val="auto"/>
                <w:highlight w:val="none"/>
              </w:rPr>
              <w:t>。</w:t>
            </w:r>
          </w:p>
        </w:tc>
      </w:tr>
      <w:tr w14:paraId="0B4BE26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AA78451">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7.2.9</w:t>
            </w:r>
          </w:p>
        </w:tc>
        <w:tc>
          <w:tcPr>
            <w:tcW w:w="1826" w:type="dxa"/>
            <w:tcBorders>
              <w:top w:val="single" w:color="000000" w:sz="4" w:space="0"/>
              <w:left w:val="nil"/>
              <w:bottom w:val="single" w:color="000000" w:sz="4" w:space="0"/>
              <w:right w:val="single" w:color="000000" w:sz="4" w:space="0"/>
            </w:tcBorders>
            <w:noWrap/>
            <w:vAlign w:val="center"/>
          </w:tcPr>
          <w:p w14:paraId="7D25C14D">
            <w:pPr>
              <w:pStyle w:val="44"/>
              <w:keepNext w:val="0"/>
              <w:keepLines w:val="0"/>
              <w:suppressLineNumbers w:val="0"/>
              <w:snapToGrid w:val="0"/>
              <w:spacing w:before="0" w:beforeAutospacing="0" w:after="0" w:afterAutospacing="0"/>
              <w:ind w:left="0" w:right="0"/>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中标</w:t>
            </w:r>
            <w:r>
              <w:rPr>
                <w:rFonts w:hint="default" w:ascii="Times New Roman" w:hAnsi="宋体" w:cs="Times New Roman"/>
                <w:i w:val="0"/>
                <w:iCs w:val="0"/>
                <w:color w:val="auto"/>
                <w:highlight w:val="none"/>
              </w:rPr>
              <w:t>公</w:t>
            </w:r>
            <w:r>
              <w:rPr>
                <w:rFonts w:hint="eastAsia" w:ascii="Times New Roman" w:hAnsi="宋体" w:cs="Times New Roman"/>
                <w:i w:val="0"/>
                <w:iCs w:val="0"/>
                <w:color w:val="auto"/>
                <w:highlight w:val="none"/>
              </w:rPr>
              <w:t>告</w:t>
            </w:r>
            <w:r>
              <w:rPr>
                <w:rFonts w:hint="default" w:ascii="Times New Roman" w:hAnsi="宋体" w:cs="Times New Roman"/>
                <w:i w:val="0"/>
                <w:iCs w:val="0"/>
                <w:color w:val="auto"/>
                <w:highlight w:val="none"/>
              </w:rPr>
              <w:t>媒介及期限</w:t>
            </w:r>
          </w:p>
        </w:tc>
        <w:tc>
          <w:tcPr>
            <w:tcW w:w="6272" w:type="dxa"/>
            <w:tcBorders>
              <w:top w:val="single" w:color="000000" w:sz="4" w:space="0"/>
              <w:left w:val="nil"/>
              <w:bottom w:val="single" w:color="000000" w:sz="4" w:space="0"/>
              <w:right w:val="single" w:color="000000" w:sz="4" w:space="0"/>
            </w:tcBorders>
            <w:noWrap/>
            <w:vAlign w:val="center"/>
          </w:tcPr>
          <w:p w14:paraId="1039C6D6">
            <w:pPr>
              <w:keepNext w:val="0"/>
              <w:keepLines w:val="0"/>
              <w:suppressLineNumbers w:val="0"/>
              <w:snapToGrid w:val="0"/>
              <w:spacing w:before="0" w:beforeAutospacing="0" w:after="0" w:afterAutospacing="0"/>
              <w:ind w:left="0" w:right="0"/>
              <w:rPr>
                <w:rFonts w:hint="eastAsia" w:ascii="Times New Roman" w:hAnsi="Times New Roman" w:cs="Times New Roman"/>
                <w:i w:val="0"/>
                <w:iCs w:val="0"/>
                <w:color w:val="auto"/>
                <w:highlight w:val="none"/>
                <w:u w:val="single"/>
              </w:rPr>
            </w:pPr>
            <w:r>
              <w:rPr>
                <w:rFonts w:hint="default" w:ascii="Times New Roman" w:hAnsi="宋体" w:cs="Times New Roman"/>
                <w:i w:val="0"/>
                <w:iCs w:val="0"/>
                <w:color w:val="auto"/>
                <w:highlight w:val="none"/>
              </w:rPr>
              <w:t>公</w:t>
            </w:r>
            <w:r>
              <w:rPr>
                <w:rFonts w:hint="eastAsia" w:ascii="Times New Roman" w:hAnsi="宋体" w:cs="Times New Roman"/>
                <w:i w:val="0"/>
                <w:iCs w:val="0"/>
                <w:color w:val="auto"/>
                <w:spacing w:val="-2"/>
                <w:highlight w:val="none"/>
              </w:rPr>
              <w:t>告</w:t>
            </w:r>
            <w:r>
              <w:rPr>
                <w:rFonts w:hint="default" w:ascii="Times New Roman" w:hAnsi="宋体" w:cs="Times New Roman"/>
                <w:i w:val="0"/>
                <w:iCs w:val="0"/>
                <w:color w:val="auto"/>
                <w:highlight w:val="none"/>
              </w:rPr>
              <w:t>媒介：</w:t>
            </w:r>
            <w:r>
              <w:rPr>
                <w:rFonts w:hint="default"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u w:val="single"/>
              </w:rPr>
              <w:t>绍兴公共资源交易网http://ggb.sx.gov.cn/</w:t>
            </w:r>
          </w:p>
          <w:p w14:paraId="5F9589F2">
            <w:pPr>
              <w:keepNext w:val="0"/>
              <w:keepLines w:val="0"/>
              <w:suppressLineNumbers w:val="0"/>
              <w:snapToGrid w:val="0"/>
              <w:spacing w:before="0" w:beforeAutospacing="0" w:after="0" w:afterAutospacing="0"/>
              <w:ind w:left="0" w:right="0"/>
              <w:rPr>
                <w:rFonts w:hint="eastAsia" w:ascii="Times New Roman" w:hAnsi="Times New Roman" w:cs="Times New Roman"/>
                <w:i w:val="0"/>
                <w:iCs w:val="0"/>
                <w:color w:val="auto"/>
                <w:highlight w:val="none"/>
                <w:u w:val="single"/>
              </w:rPr>
            </w:pPr>
            <w:r>
              <w:rPr>
                <w:rFonts w:hint="eastAsia" w:ascii="Times New Roman" w:hAnsi="Times New Roman" w:cs="Times New Roman"/>
                <w:i w:val="0"/>
                <w:iCs w:val="0"/>
                <w:color w:val="auto"/>
                <w:highlight w:val="none"/>
                <w:u w:val="single"/>
              </w:rPr>
              <w:t>浙江省公共资源交易服务平台</w:t>
            </w:r>
          </w:p>
          <w:p w14:paraId="3ED963B1">
            <w:pPr>
              <w:keepNext w:val="0"/>
              <w:keepLines w:val="0"/>
              <w:suppressLineNumbers w:val="0"/>
              <w:snapToGrid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u w:val="single"/>
              </w:rPr>
              <w:t>http://zjpubservice.zjzwfw.gov.cn/ （网址）</w:t>
            </w:r>
          </w:p>
          <w:p w14:paraId="2BAE4ECC">
            <w:pPr>
              <w:pStyle w:val="44"/>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default" w:ascii="Times New Roman" w:hAnsi="宋体" w:cs="Times New Roman"/>
                <w:i w:val="0"/>
                <w:iCs w:val="0"/>
                <w:color w:val="auto"/>
                <w:spacing w:val="-2"/>
                <w:highlight w:val="none"/>
              </w:rPr>
              <w:t>公</w:t>
            </w:r>
            <w:r>
              <w:rPr>
                <w:rFonts w:hint="eastAsia" w:ascii="Times New Roman" w:hAnsi="宋体" w:cs="Times New Roman"/>
                <w:i w:val="0"/>
                <w:iCs w:val="0"/>
                <w:color w:val="auto"/>
                <w:spacing w:val="-2"/>
                <w:highlight w:val="none"/>
              </w:rPr>
              <w:t>告</w:t>
            </w:r>
            <w:r>
              <w:rPr>
                <w:rFonts w:hint="default" w:ascii="Times New Roman" w:hAnsi="宋体" w:cs="Times New Roman"/>
                <w:i w:val="0"/>
                <w:iCs w:val="0"/>
                <w:color w:val="auto"/>
                <w:spacing w:val="-2"/>
                <w:highlight w:val="none"/>
              </w:rPr>
              <w:t>期限：不少于</w:t>
            </w:r>
            <w:r>
              <w:rPr>
                <w:rFonts w:hint="eastAsia" w:ascii="Times New Roman" w:hAnsi="Times New Roman" w:cs="Times New Roman"/>
                <w:i w:val="0"/>
                <w:iCs w:val="0"/>
                <w:color w:val="auto"/>
                <w:spacing w:val="-2"/>
                <w:highlight w:val="none"/>
                <w:u w:val="single"/>
              </w:rPr>
              <w:t xml:space="preserve"> </w:t>
            </w:r>
            <w:r>
              <w:rPr>
                <w:rFonts w:hint="eastAsia" w:ascii="Times New Roman" w:hAnsi="Times New Roman" w:cs="Times New Roman"/>
                <w:i w:val="0"/>
                <w:iCs w:val="0"/>
                <w:color w:val="auto"/>
                <w:spacing w:val="-2"/>
                <w:highlight w:val="none"/>
                <w:u w:val="single"/>
                <w:lang w:val="en-US" w:eastAsia="zh-CN"/>
              </w:rPr>
              <w:t>3</w:t>
            </w:r>
            <w:r>
              <w:rPr>
                <w:rFonts w:hint="eastAsia" w:ascii="Times New Roman" w:hAnsi="Times New Roman" w:cs="Times New Roman"/>
                <w:i w:val="0"/>
                <w:iCs w:val="0"/>
                <w:color w:val="auto"/>
                <w:spacing w:val="-2"/>
                <w:highlight w:val="none"/>
                <w:u w:val="single"/>
              </w:rPr>
              <w:t xml:space="preserve"> </w:t>
            </w:r>
            <w:r>
              <w:rPr>
                <w:rFonts w:hint="default" w:ascii="Times New Roman" w:hAnsi="宋体" w:cs="Times New Roman"/>
                <w:i w:val="0"/>
                <w:iCs w:val="0"/>
                <w:color w:val="auto"/>
                <w:spacing w:val="-2"/>
                <w:highlight w:val="none"/>
              </w:rPr>
              <w:t>日</w:t>
            </w:r>
            <w:r>
              <w:rPr>
                <w:rFonts w:hint="eastAsia" w:ascii="Times New Roman" w:hAnsi="宋体" w:cs="Times New Roman"/>
                <w:i w:val="0"/>
                <w:iCs w:val="0"/>
                <w:color w:val="auto"/>
                <w:spacing w:val="-2"/>
                <w:highlight w:val="none"/>
              </w:rPr>
              <w:t>。</w:t>
            </w:r>
          </w:p>
        </w:tc>
      </w:tr>
      <w:tr w14:paraId="413C4C4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1E3D0F6">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7.2.10</w:t>
            </w:r>
          </w:p>
        </w:tc>
        <w:tc>
          <w:tcPr>
            <w:tcW w:w="1826" w:type="dxa"/>
            <w:tcBorders>
              <w:top w:val="single" w:color="000000" w:sz="4" w:space="0"/>
              <w:left w:val="nil"/>
              <w:bottom w:val="single" w:color="000000" w:sz="4" w:space="0"/>
              <w:right w:val="single" w:color="000000" w:sz="4" w:space="0"/>
            </w:tcBorders>
            <w:noWrap/>
            <w:vAlign w:val="center"/>
          </w:tcPr>
          <w:p w14:paraId="08ADA89F">
            <w:pPr>
              <w:pStyle w:val="44"/>
              <w:keepNext w:val="0"/>
              <w:keepLines w:val="0"/>
              <w:suppressLineNumbers w:val="0"/>
              <w:snapToGrid w:val="0"/>
              <w:spacing w:before="0" w:beforeAutospacing="0" w:after="0" w:afterAutospacing="0"/>
              <w:ind w:left="0" w:right="0"/>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rPr>
              <w:t>□按</w:t>
            </w:r>
            <w:r>
              <w:rPr>
                <w:rFonts w:hint="default" w:ascii="Times New Roman" w:hAnsi="宋体" w:cs="Times New Roman"/>
                <w:i w:val="0"/>
                <w:iCs w:val="0"/>
                <w:color w:val="auto"/>
                <w:highlight w:val="none"/>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6197EC69">
            <w:pPr>
              <w:pStyle w:val="44"/>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eastAsia" w:ascii="Times New Roman" w:hAnsi="宋体" w:cs="Times New Roman"/>
                <w:i w:val="0"/>
                <w:iCs w:val="0"/>
                <w:color w:val="auto"/>
                <w:highlight w:val="none"/>
              </w:rPr>
              <w:t>其他情形：</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tc>
      </w:tr>
      <w:tr w14:paraId="17ABE9D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5F3558C">
            <w:pPr>
              <w:pStyle w:val="44"/>
              <w:keepNext w:val="0"/>
              <w:keepLines w:val="0"/>
              <w:suppressLineNumbers w:val="0"/>
              <w:snapToGrid w:val="0"/>
              <w:spacing w:before="0" w:beforeAutospacing="0" w:after="0" w:afterAutospacing="0"/>
              <w:ind w:left="0" w:right="0"/>
              <w:jc w:val="center"/>
              <w:rPr>
                <w:rFonts w:hint="eastAsia" w:ascii="宋体" w:hAnsi="宋体" w:cs="Times New Roman"/>
                <w:i w:val="0"/>
                <w:iCs w:val="0"/>
                <w:color w:val="auto"/>
                <w:highlight w:val="none"/>
              </w:rPr>
            </w:pPr>
            <w:r>
              <w:rPr>
                <w:rFonts w:hint="eastAsia" w:ascii="Times New Roman" w:hAnsi="Times New Roman" w:cs="Times New Roman"/>
                <w:i w:val="0"/>
                <w:iCs w:val="0"/>
                <w:color w:val="auto"/>
                <w:highlight w:val="none"/>
              </w:rPr>
              <w:t>7.2.11</w:t>
            </w:r>
          </w:p>
        </w:tc>
        <w:tc>
          <w:tcPr>
            <w:tcW w:w="1826" w:type="dxa"/>
            <w:tcBorders>
              <w:top w:val="single" w:color="000000" w:sz="4" w:space="0"/>
              <w:left w:val="nil"/>
              <w:bottom w:val="single" w:color="000000" w:sz="4" w:space="0"/>
              <w:right w:val="single" w:color="000000" w:sz="4" w:space="0"/>
            </w:tcBorders>
            <w:noWrap/>
            <w:vAlign w:val="center"/>
          </w:tcPr>
          <w:p w14:paraId="37D31C8F">
            <w:pPr>
              <w:pStyle w:val="44"/>
              <w:keepNext w:val="0"/>
              <w:keepLines w:val="0"/>
              <w:suppressLineNumbers w:val="0"/>
              <w:snapToGrid w:val="0"/>
              <w:spacing w:before="0" w:beforeAutospacing="0" w:after="0" w:afterAutospacing="0"/>
              <w:ind w:left="0" w:right="0"/>
              <w:rPr>
                <w:rFonts w:hint="eastAsia" w:ascii="宋体" w:hAnsi="Times New Roman" w:cs="Times New Roman"/>
                <w:i w:val="0"/>
                <w:iCs w:val="0"/>
                <w:color w:val="auto"/>
                <w:highlight w:val="none"/>
              </w:rPr>
            </w:pPr>
            <w:r>
              <w:rPr>
                <w:rFonts w:hint="eastAsia" w:ascii="宋体" w:hAnsi="宋体" w:cs="Times New Roman"/>
                <w:i w:val="0"/>
                <w:iCs w:val="0"/>
                <w:color w:val="auto"/>
                <w:highlight w:val="none"/>
              </w:rPr>
              <w:t>□</w:t>
            </w:r>
            <w:r>
              <w:rPr>
                <w:rFonts w:hint="default" w:ascii="Times New Roman" w:hAnsi="宋体" w:cs="Times New Roman"/>
                <w:i w:val="0"/>
                <w:iCs w:val="0"/>
                <w:color w:val="auto"/>
                <w:highlight w:val="none"/>
              </w:rPr>
              <w:t>重新定标</w:t>
            </w:r>
          </w:p>
        </w:tc>
        <w:tc>
          <w:tcPr>
            <w:tcW w:w="6272" w:type="dxa"/>
            <w:tcBorders>
              <w:top w:val="single" w:color="000000" w:sz="4" w:space="0"/>
              <w:left w:val="nil"/>
              <w:bottom w:val="single" w:color="000000" w:sz="4" w:space="0"/>
              <w:right w:val="single" w:color="000000" w:sz="4" w:space="0"/>
            </w:tcBorders>
            <w:noWrap/>
            <w:vAlign w:val="center"/>
          </w:tcPr>
          <w:p w14:paraId="68A4973E">
            <w:pPr>
              <w:pStyle w:val="44"/>
              <w:keepNext w:val="0"/>
              <w:keepLines w:val="0"/>
              <w:suppressLineNumbers w:val="0"/>
              <w:snapToGrid w:val="0"/>
              <w:spacing w:before="0" w:beforeAutospacing="0" w:after="0" w:afterAutospacing="0"/>
              <w:ind w:left="0" w:right="0"/>
              <w:rPr>
                <w:rFonts w:hint="eastAsia" w:ascii="宋体" w:hAnsi="宋体" w:cs="Times New Roman"/>
                <w:i w:val="0"/>
                <w:iCs w:val="0"/>
                <w:color w:val="auto"/>
                <w:highlight w:val="none"/>
              </w:rPr>
            </w:pPr>
            <w:r>
              <w:rPr>
                <w:rFonts w:hint="eastAsia" w:ascii="Times New Roman" w:hAnsi="宋体" w:cs="Times New Roman"/>
                <w:i w:val="0"/>
                <w:iCs w:val="0"/>
                <w:color w:val="auto"/>
                <w:highlight w:val="none"/>
              </w:rPr>
              <w:t>其他情形：</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tc>
      </w:tr>
      <w:tr w14:paraId="6CCAF68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FEBF18C">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7.4</w:t>
            </w:r>
          </w:p>
        </w:tc>
        <w:tc>
          <w:tcPr>
            <w:tcW w:w="1826" w:type="dxa"/>
            <w:tcBorders>
              <w:top w:val="single" w:color="000000" w:sz="4" w:space="0"/>
              <w:left w:val="nil"/>
              <w:bottom w:val="single" w:color="000000" w:sz="4" w:space="0"/>
              <w:right w:val="single" w:color="000000" w:sz="4" w:space="0"/>
            </w:tcBorders>
            <w:noWrap/>
            <w:vAlign w:val="center"/>
          </w:tcPr>
          <w:p w14:paraId="54FABA35">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履约担保</w:t>
            </w:r>
          </w:p>
          <w:p w14:paraId="6AF6F4EE">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及工程款支付</w:t>
            </w:r>
          </w:p>
          <w:p w14:paraId="2BE0A622">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担保</w:t>
            </w:r>
          </w:p>
        </w:tc>
        <w:tc>
          <w:tcPr>
            <w:tcW w:w="6272" w:type="dxa"/>
            <w:tcBorders>
              <w:top w:val="single" w:color="000000" w:sz="4" w:space="0"/>
              <w:left w:val="nil"/>
              <w:bottom w:val="single" w:color="000000" w:sz="4" w:space="0"/>
              <w:right w:val="single" w:color="000000" w:sz="4" w:space="0"/>
            </w:tcBorders>
            <w:noWrap/>
            <w:vAlign w:val="center"/>
          </w:tcPr>
          <w:p w14:paraId="68B7109D">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履约担保的金额：合同总价的</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u w:val="single"/>
                <w:lang w:val="en-US" w:eastAsia="zh-CN"/>
              </w:rPr>
              <w:t>2</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%（不得超过2%）。</w:t>
            </w:r>
          </w:p>
          <w:p w14:paraId="0577F40C">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工程款支付担保的金额：与履约担保同比例。</w:t>
            </w:r>
          </w:p>
          <w:p w14:paraId="0B1AEACE">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履约担保/工程款支付担保的形式：</w:t>
            </w:r>
            <w:bookmarkStart w:id="86" w:name="EB729f8822ed244be9b6cbf8c77e802a6c"/>
            <w:r>
              <w:rPr>
                <w:rFonts w:hint="eastAsia" w:ascii="宋体" w:hAnsi="宋体" w:cs="Times New Roman"/>
                <w:i w:val="0"/>
                <w:iCs w:val="0"/>
                <w:color w:val="auto"/>
                <w:highlight w:val="none"/>
              </w:rPr>
              <w:t>现金、支票、汇票、转账、银行保函、数字保函、融资担保公司保函或者保险机构保证、保险、保单。</w:t>
            </w:r>
            <w:bookmarkEnd w:id="86"/>
          </w:p>
        </w:tc>
      </w:tr>
      <w:tr w14:paraId="7C7FB07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44D995">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8.1</w:t>
            </w:r>
          </w:p>
        </w:tc>
        <w:tc>
          <w:tcPr>
            <w:tcW w:w="1826" w:type="dxa"/>
            <w:tcBorders>
              <w:top w:val="single" w:color="000000" w:sz="4" w:space="0"/>
              <w:left w:val="nil"/>
              <w:bottom w:val="single" w:color="000000" w:sz="4" w:space="0"/>
              <w:right w:val="single" w:color="000000" w:sz="4" w:space="0"/>
            </w:tcBorders>
            <w:noWrap/>
            <w:vAlign w:val="center"/>
          </w:tcPr>
          <w:p w14:paraId="1833D692">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6EB1BB72">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1.招标投标过程中，因项目发生变更，现有招标资格条件与项目工程规模不符的；</w:t>
            </w:r>
          </w:p>
          <w:p w14:paraId="161712C7">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Calibri" w:hAnsi="Calibri" w:cs="Times New Roman"/>
                <w:i w:val="0"/>
                <w:iCs w:val="0"/>
                <w:color w:val="auto"/>
                <w:highlight w:val="none"/>
                <w:lang w:eastAsia="zh-CN" w:bidi="ar"/>
              </w:rPr>
              <w:t>□</w:t>
            </w:r>
            <w:r>
              <w:rPr>
                <w:rFonts w:hint="eastAsia" w:ascii="宋体" w:hAnsi="宋体" w:cs="Times New Roman"/>
                <w:i w:val="0"/>
                <w:iCs w:val="0"/>
                <w:color w:val="auto"/>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w:t>
            </w:r>
            <w:r>
              <w:rPr>
                <w:rFonts w:hint="eastAsia" w:ascii="宋体" w:hAnsi="宋体" w:cs="Times New Roman"/>
                <w:i w:val="0"/>
                <w:iCs w:val="0"/>
                <w:strike w:val="0"/>
                <w:dstrike w:val="0"/>
                <w:color w:val="auto"/>
                <w:highlight w:val="none"/>
              </w:rPr>
              <w:t>也可以重新招标</w:t>
            </w:r>
            <w:r>
              <w:rPr>
                <w:rFonts w:hint="eastAsia" w:ascii="宋体" w:hAnsi="宋体" w:cs="Times New Roman"/>
                <w:i w:val="0"/>
                <w:iCs w:val="0"/>
                <w:color w:val="auto"/>
                <w:highlight w:val="none"/>
              </w:rPr>
              <w:t>。</w:t>
            </w:r>
          </w:p>
          <w:p w14:paraId="73698CB8">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3.法律法规规定的其他情形。</w:t>
            </w:r>
          </w:p>
          <w:p w14:paraId="610B8544">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sym w:font="Wingdings 2" w:char="00A3"/>
            </w:r>
            <w:r>
              <w:rPr>
                <w:rFonts w:hint="eastAsia" w:ascii="宋体" w:hAnsi="宋体" w:cs="Times New Roman"/>
                <w:i w:val="0"/>
                <w:iCs w:val="0"/>
                <w:color w:val="auto"/>
                <w:highlight w:val="none"/>
              </w:rPr>
              <w:t>4.（招标人认为需添加的其他情形）</w:t>
            </w:r>
          </w:p>
        </w:tc>
      </w:tr>
      <w:tr w14:paraId="5E27D47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2A8D611">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8.2</w:t>
            </w:r>
          </w:p>
        </w:tc>
        <w:tc>
          <w:tcPr>
            <w:tcW w:w="1826" w:type="dxa"/>
            <w:tcBorders>
              <w:top w:val="single" w:color="000000" w:sz="4" w:space="0"/>
              <w:left w:val="nil"/>
              <w:bottom w:val="single" w:color="000000" w:sz="4" w:space="0"/>
              <w:right w:val="single" w:color="000000" w:sz="4" w:space="0"/>
            </w:tcBorders>
            <w:noWrap/>
            <w:vAlign w:val="center"/>
          </w:tcPr>
          <w:p w14:paraId="1E83626A">
            <w:pPr>
              <w:pStyle w:val="44"/>
              <w:keepNext w:val="0"/>
              <w:keepLines w:val="0"/>
              <w:suppressLineNumbers w:val="0"/>
              <w:kinsoku w:val="0"/>
              <w:spacing w:before="0" w:beforeAutospacing="0" w:after="0" w:afterAutospacing="0"/>
              <w:ind w:left="0" w:right="1"/>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14BF4FAE">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重新招标后投标人仍少于3个的，属于必须审批、核准的工程建设项目，报经原审批、核准部门审批、核准后可以不再进行招标。</w:t>
            </w:r>
          </w:p>
        </w:tc>
      </w:tr>
      <w:tr w14:paraId="544D811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C9A06D">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w:t>
            </w:r>
          </w:p>
        </w:tc>
        <w:tc>
          <w:tcPr>
            <w:tcW w:w="1826" w:type="dxa"/>
            <w:tcBorders>
              <w:top w:val="single" w:color="000000" w:sz="4" w:space="0"/>
              <w:left w:val="nil"/>
              <w:bottom w:val="single" w:color="000000" w:sz="4" w:space="0"/>
              <w:right w:val="single" w:color="000000" w:sz="4" w:space="0"/>
            </w:tcBorders>
            <w:noWrap/>
            <w:vAlign w:val="center"/>
          </w:tcPr>
          <w:p w14:paraId="06ED5327">
            <w:pPr>
              <w:pStyle w:val="44"/>
              <w:keepNext w:val="0"/>
              <w:keepLines w:val="0"/>
              <w:suppressLineNumbers w:val="0"/>
              <w:kinsoku w:val="0"/>
              <w:spacing w:before="0" w:beforeAutospacing="0" w:after="0" w:afterAutospacing="0"/>
              <w:ind w:left="0" w:right="0"/>
              <w:jc w:val="center"/>
              <w:rPr>
                <w:rFonts w:hint="default" w:ascii="宋体" w:hAnsi="Times New Roman" w:cs="Times New Roman"/>
                <w:i w:val="0"/>
                <w:iCs w:val="0"/>
                <w:color w:val="auto"/>
                <w:highlight w:val="none"/>
              </w:rPr>
            </w:pPr>
            <w:r>
              <w:rPr>
                <w:rFonts w:hint="eastAsia" w:ascii="宋体" w:hAnsi="Times New Roman" w:cs="Times New Roman"/>
                <w:i w:val="0"/>
                <w:iCs w:val="0"/>
                <w:color w:val="auto"/>
                <w:highlight w:val="none"/>
              </w:rPr>
              <w:t>需要补充的</w:t>
            </w:r>
          </w:p>
          <w:p w14:paraId="53908FAE">
            <w:pPr>
              <w:pStyle w:val="44"/>
              <w:keepNext w:val="0"/>
              <w:keepLines w:val="0"/>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Times New Roman" w:cs="Times New Roman"/>
                <w:i w:val="0"/>
                <w:iCs w:val="0"/>
                <w:color w:val="auto"/>
                <w:highlight w:val="none"/>
              </w:rPr>
              <w:t>其他内容</w:t>
            </w:r>
          </w:p>
        </w:tc>
        <w:tc>
          <w:tcPr>
            <w:tcW w:w="6272" w:type="dxa"/>
            <w:tcBorders>
              <w:top w:val="single" w:color="000000" w:sz="4" w:space="0"/>
              <w:left w:val="nil"/>
              <w:bottom w:val="single" w:color="000000" w:sz="4" w:space="0"/>
              <w:right w:val="single" w:color="000000" w:sz="4" w:space="0"/>
            </w:tcBorders>
            <w:noWrap/>
            <w:vAlign w:val="center"/>
          </w:tcPr>
          <w:p w14:paraId="1A8C8689">
            <w:pPr>
              <w:keepNext w:val="0"/>
              <w:keepLines w:val="0"/>
              <w:suppressLineNumbers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投诉受理的具体部门及电话：</w:t>
            </w:r>
            <w:r>
              <w:rPr>
                <w:rFonts w:hint="eastAsia" w:ascii="宋体" w:hAnsi="宋体" w:cs="Times New Roman"/>
                <w:i w:val="0"/>
                <w:iCs w:val="0"/>
                <w:color w:val="auto"/>
                <w:highlight w:val="none"/>
                <w:u w:val="single"/>
              </w:rPr>
              <w:t>绍兴市住房和城乡建设局,电话：0575-85115633 。</w:t>
            </w:r>
          </w:p>
        </w:tc>
      </w:tr>
      <w:tr w14:paraId="6FA661F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5D7FDEC">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10.1</w:t>
            </w:r>
          </w:p>
        </w:tc>
        <w:tc>
          <w:tcPr>
            <w:tcW w:w="1826" w:type="dxa"/>
            <w:tcBorders>
              <w:top w:val="single" w:color="000000" w:sz="4" w:space="0"/>
              <w:left w:val="nil"/>
              <w:bottom w:val="single" w:color="000000" w:sz="4" w:space="0"/>
              <w:right w:val="single" w:color="000000" w:sz="4" w:space="0"/>
            </w:tcBorders>
            <w:noWrap/>
            <w:vAlign w:val="center"/>
          </w:tcPr>
          <w:p w14:paraId="24A4735E">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商务标编制</w:t>
            </w:r>
          </w:p>
          <w:p w14:paraId="33CB0B73">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相关规定</w:t>
            </w:r>
          </w:p>
        </w:tc>
        <w:tc>
          <w:tcPr>
            <w:tcW w:w="6272" w:type="dxa"/>
            <w:tcBorders>
              <w:top w:val="single" w:color="000000" w:sz="4" w:space="0"/>
              <w:left w:val="nil"/>
              <w:bottom w:val="single" w:color="000000" w:sz="4" w:space="0"/>
              <w:right w:val="single" w:color="000000" w:sz="4" w:space="0"/>
            </w:tcBorders>
            <w:noWrap/>
            <w:vAlign w:val="center"/>
          </w:tcPr>
          <w:p w14:paraId="271C5EA5">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根据住房和城乡建设部、省建设主管部门对造价从业人员执业管理的相关法律法规规定以及《建设工程工程量清单计价规范》（GB50500-2013）的规定，投标报价的编制必须遵守以下规定：</w:t>
            </w:r>
          </w:p>
          <w:p w14:paraId="547D9930">
            <w:pPr>
              <w:keepNext w:val="0"/>
              <w:keepLines w:val="0"/>
              <w:suppressLineNumbers w:val="0"/>
              <w:snapToGrid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1.投标报价应由投标人或受其委托具有相应能力的工程造价咨询人编制。</w:t>
            </w:r>
          </w:p>
          <w:p w14:paraId="578B77B5">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2.</w:t>
            </w:r>
            <w:r>
              <w:rPr>
                <w:rFonts w:hint="eastAsia" w:ascii="Times New Roman" w:hAnsi="Times New Roman" w:cs="Times New Roman"/>
                <w:i w:val="0"/>
                <w:iCs w:val="0"/>
                <w:color w:val="auto"/>
                <w:highlight w:val="none"/>
              </w:rPr>
              <w:t>投标文件的编制人不得接受同一工程招标人委托编制</w:t>
            </w:r>
            <w:r>
              <w:rPr>
                <w:rFonts w:hint="eastAsia" w:ascii="宋体" w:hAnsi="宋体" w:cs="Times New Roman"/>
                <w:i w:val="0"/>
                <w:iCs w:val="0"/>
                <w:color w:val="auto"/>
                <w:highlight w:val="none"/>
              </w:rPr>
              <w:t>招标文件（含招标控制价)</w:t>
            </w:r>
            <w:r>
              <w:rPr>
                <w:rFonts w:hint="eastAsia" w:ascii="Times New Roman" w:hAnsi="Times New Roman" w:cs="Times New Roman"/>
                <w:i w:val="0"/>
                <w:iCs w:val="0"/>
                <w:color w:val="auto"/>
                <w:highlight w:val="none"/>
              </w:rPr>
              <w:t>，并不得接受其他投标人委托编制</w:t>
            </w:r>
            <w:r>
              <w:rPr>
                <w:rFonts w:hint="eastAsia" w:ascii="宋体" w:hAnsi="宋体" w:cs="Times New Roman"/>
                <w:i w:val="0"/>
                <w:iCs w:val="0"/>
                <w:color w:val="auto"/>
                <w:highlight w:val="none"/>
              </w:rPr>
              <w:t>投标文件。</w:t>
            </w:r>
          </w:p>
          <w:p w14:paraId="74AC624C">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eastAsia="宋体" w:cs="Times New Roman"/>
                <w:b/>
                <w:bCs/>
                <w:i w:val="0"/>
                <w:iCs w:val="0"/>
                <w:color w:val="auto"/>
                <w:highlight w:val="none"/>
                <w:shd w:val="clear" w:color="auto" w:fill="auto"/>
              </w:rPr>
              <w:t>备注：本项目采用电子投标</w:t>
            </w:r>
            <w:r>
              <w:rPr>
                <w:rFonts w:hint="eastAsia" w:ascii="宋体" w:hAnsi="宋体" w:eastAsia="宋体" w:cs="Times New Roman"/>
                <w:b/>
                <w:bCs/>
                <w:i w:val="0"/>
                <w:iCs w:val="0"/>
                <w:color w:val="auto"/>
                <w:highlight w:val="none"/>
                <w:shd w:val="clear" w:color="auto" w:fill="auto"/>
                <w:lang w:eastAsia="zh-CN"/>
              </w:rPr>
              <w:t>，</w:t>
            </w:r>
            <w:r>
              <w:rPr>
                <w:rFonts w:hint="eastAsia" w:ascii="宋体" w:hAnsi="宋体" w:eastAsia="宋体" w:cs="Times New Roman"/>
                <w:b/>
                <w:bCs/>
                <w:i w:val="0"/>
                <w:iCs w:val="0"/>
                <w:color w:val="auto"/>
                <w:highlight w:val="none"/>
                <w:shd w:val="clear" w:color="auto" w:fill="auto"/>
              </w:rPr>
              <w:t>投标报价扉页中的编制人签字盖章不作强制性要求。</w:t>
            </w:r>
            <w:r>
              <w:rPr>
                <w:rFonts w:hint="default" w:ascii="Times New Roman" w:hAnsi="宋体" w:cs="Times New Roman"/>
                <w:i w:val="0"/>
                <w:iCs w:val="0"/>
                <w:color w:val="auto"/>
                <w:highlight w:val="none"/>
              </w:rPr>
              <w:t xml:space="preserve"> </w:t>
            </w:r>
          </w:p>
        </w:tc>
      </w:tr>
      <w:tr w14:paraId="36316F3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0382A56">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10.2</w:t>
            </w:r>
          </w:p>
        </w:tc>
        <w:tc>
          <w:tcPr>
            <w:tcW w:w="1826" w:type="dxa"/>
            <w:tcBorders>
              <w:top w:val="single" w:color="000000" w:sz="4" w:space="0"/>
              <w:left w:val="nil"/>
              <w:bottom w:val="single" w:color="000000" w:sz="4" w:space="0"/>
              <w:right w:val="single" w:color="000000" w:sz="4" w:space="0"/>
            </w:tcBorders>
            <w:noWrap/>
            <w:vAlign w:val="center"/>
          </w:tcPr>
          <w:p w14:paraId="538F3777">
            <w:pPr>
              <w:pStyle w:val="44"/>
              <w:keepNext w:val="0"/>
              <w:keepLines w:val="0"/>
              <w:suppressLineNumbers w:val="0"/>
              <w:kinsoku w:val="0"/>
              <w:spacing w:before="4" w:beforeAutospacing="0" w:after="0" w:afterAutospacing="0"/>
              <w:ind w:left="0" w:right="0"/>
              <w:jc w:val="center"/>
              <w:rPr>
                <w:rFonts w:hint="default" w:ascii="宋体" w:hAnsi="Times New Roman" w:cs="Times New Roman"/>
                <w:i w:val="0"/>
                <w:iCs w:val="0"/>
                <w:color w:val="auto"/>
                <w:highlight w:val="none"/>
              </w:rPr>
            </w:pPr>
            <w:r>
              <w:rPr>
                <w:rFonts w:hint="eastAsia" w:ascii="Times New Roman" w:hAnsi="Times New Roman" w:cs="Times New Roman"/>
                <w:i w:val="0"/>
                <w:iCs w:val="0"/>
                <w:color w:val="auto"/>
                <w:highlight w:val="none"/>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44F04297">
            <w:pPr>
              <w:pStyle w:val="46"/>
              <w:keepNext w:val="0"/>
              <w:keepLines w:val="0"/>
              <w:numPr>
                <w:ilvl w:val="0"/>
                <w:numId w:val="8"/>
              </w:numPr>
              <w:suppressLineNumbers w:val="0"/>
              <w:snapToGrid w:val="0"/>
              <w:spacing w:before="0" w:beforeAutospacing="0" w:after="0" w:afterAutospacing="0"/>
              <w:ind w:left="0" w:right="0"/>
              <w:jc w:val="both"/>
              <w:rPr>
                <w:rFonts w:hint="eastAsia" w:cs="Times New Roman"/>
                <w:i w:val="0"/>
                <w:iCs w:val="0"/>
                <w:color w:val="auto"/>
                <w:highlight w:val="none"/>
              </w:rPr>
            </w:pPr>
            <w:r>
              <w:rPr>
                <w:rFonts w:hint="eastAsia" w:cs="Times New Roman"/>
                <w:i w:val="0"/>
                <w:iCs w:val="0"/>
                <w:color w:val="auto"/>
                <w:highlight w:val="none"/>
              </w:rPr>
              <w:t>澄清回复时间不得超过在发出通知后</w:t>
            </w:r>
            <w:r>
              <w:rPr>
                <w:rFonts w:hint="eastAsia" w:cs="Times New Roman"/>
                <w:i w:val="0"/>
                <w:iCs w:val="0"/>
                <w:color w:val="auto"/>
                <w:highlight w:val="none"/>
                <w:u w:val="single"/>
              </w:rPr>
              <w:t>30</w:t>
            </w:r>
            <w:r>
              <w:rPr>
                <w:rFonts w:hint="eastAsia" w:cs="Times New Roman"/>
                <w:i w:val="0"/>
                <w:iCs w:val="0"/>
                <w:color w:val="auto"/>
                <w:highlight w:val="none"/>
              </w:rPr>
              <w:t>分钟，投标人逾期或未按要求澄清回复的，将视为不予回复或确认，评标委员会有权否决其投标。投标人通讯不畅通，导致不能及时联系的，视作为投标人不予回复或确认。</w:t>
            </w:r>
          </w:p>
          <w:p w14:paraId="43A9853F">
            <w:pPr>
              <w:pStyle w:val="46"/>
              <w:keepNext w:val="0"/>
              <w:keepLines w:val="0"/>
              <w:suppressLineNumbers w:val="0"/>
              <w:snapToGrid w:val="0"/>
              <w:spacing w:before="0" w:beforeAutospacing="0" w:after="0" w:afterAutospacing="0"/>
              <w:ind w:left="0" w:right="0"/>
              <w:jc w:val="both"/>
              <w:rPr>
                <w:rFonts w:hint="default" w:cs="Times New Roman"/>
                <w:i w:val="0"/>
                <w:iCs w:val="0"/>
                <w:color w:val="auto"/>
                <w:highlight w:val="none"/>
              </w:rPr>
            </w:pPr>
            <w:r>
              <w:rPr>
                <w:rFonts w:hint="eastAsia" w:cs="Times New Roman"/>
                <w:i w:val="0"/>
                <w:iCs w:val="0"/>
                <w:color w:val="auto"/>
                <w:highlight w:val="none"/>
              </w:rPr>
              <w:t>2.评标委员会对投标人提交的澄清、说明或补正有疑问的，可以要求投标人进一步澄清、说明或补正，直至满足评标委员会的要求。</w:t>
            </w:r>
          </w:p>
          <w:p w14:paraId="2ACC8D27">
            <w:pPr>
              <w:pStyle w:val="46"/>
              <w:keepNext w:val="0"/>
              <w:keepLines w:val="0"/>
              <w:suppressLineNumbers w:val="0"/>
              <w:spacing w:before="0" w:beforeAutospacing="0" w:after="0" w:afterAutospacing="0"/>
              <w:ind w:left="0" w:right="0"/>
              <w:rPr>
                <w:rFonts w:hint="default" w:cs="Times New Roman"/>
                <w:i w:val="0"/>
                <w:iCs w:val="0"/>
                <w:color w:val="auto"/>
                <w:highlight w:val="none"/>
              </w:rPr>
            </w:pPr>
            <w:r>
              <w:rPr>
                <w:rFonts w:hint="eastAsia" w:cs="Times New Roman"/>
                <w:i w:val="0"/>
                <w:iCs w:val="0"/>
                <w:color w:val="auto"/>
                <w:highlight w:val="none"/>
              </w:rPr>
              <w:t>3.投标人拒不按照要求对投标文件进行澄清、说明或者补正的，评标委员会可以否决其投标。</w:t>
            </w:r>
          </w:p>
        </w:tc>
      </w:tr>
      <w:tr w14:paraId="4852A30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2C381D2">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default" w:ascii="Wingdings 2" w:hAnsi="Wingdings 2" w:cs="Times New Roman"/>
                <w:i w:val="0"/>
                <w:iCs w:val="0"/>
                <w:color w:val="auto"/>
                <w:highlight w:val="none"/>
              </w:rPr>
              <w:t>□</w:t>
            </w:r>
            <w:r>
              <w:rPr>
                <w:rFonts w:hint="eastAsia" w:ascii="宋体" w:hAnsi="宋体" w:cs="Times New Roman"/>
                <w:i w:val="0"/>
                <w:iCs w:val="0"/>
                <w:color w:val="auto"/>
                <w:highlight w:val="none"/>
              </w:rPr>
              <w:t>10.3</w:t>
            </w:r>
          </w:p>
        </w:tc>
        <w:tc>
          <w:tcPr>
            <w:tcW w:w="1826" w:type="dxa"/>
            <w:tcBorders>
              <w:top w:val="single" w:color="000000" w:sz="4" w:space="0"/>
              <w:left w:val="nil"/>
              <w:bottom w:val="single" w:color="000000" w:sz="4" w:space="0"/>
              <w:right w:val="single" w:color="000000" w:sz="4" w:space="0"/>
            </w:tcBorders>
            <w:noWrap/>
            <w:vAlign w:val="center"/>
          </w:tcPr>
          <w:p w14:paraId="4D7183A6">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陈述和答辩</w:t>
            </w:r>
          </w:p>
        </w:tc>
        <w:tc>
          <w:tcPr>
            <w:tcW w:w="6272" w:type="dxa"/>
            <w:tcBorders>
              <w:top w:val="single" w:color="000000" w:sz="4" w:space="0"/>
              <w:left w:val="nil"/>
              <w:bottom w:val="single" w:color="000000" w:sz="4" w:space="0"/>
              <w:right w:val="single" w:color="000000" w:sz="4" w:space="0"/>
            </w:tcBorders>
            <w:noWrap/>
            <w:vAlign w:val="top"/>
          </w:tcPr>
          <w:p w14:paraId="3D398F76">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1.陈述和答辩人：通过资格审查和技术评审的有效投标人的拟派项目负责人。</w:t>
            </w:r>
          </w:p>
          <w:p w14:paraId="44977090">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2.答辩方式：□现场语音答复□书面答复□电子平台在线答复</w:t>
            </w:r>
          </w:p>
          <w:p w14:paraId="3A0FF2DC">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3.陈述和答辩通知方式及相关规定：</w:t>
            </w:r>
          </w:p>
          <w:p w14:paraId="02981B0E">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（1）入围后进行预通知（通过电话或短信等方式发送给开标委托人，提醒项目负责人做好陈述和答辩准备）；</w:t>
            </w:r>
          </w:p>
          <w:p w14:paraId="7B6FDB5A">
            <w:pPr>
              <w:pStyle w:val="44"/>
              <w:keepNext w:val="0"/>
              <w:keepLines w:val="0"/>
              <w:suppressLineNumbers w:val="0"/>
              <w:kinsoku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43F0FD48">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（3）陈述和答辩人应在陈述和答辩问题的范围内进行陈述和答辩。</w:t>
            </w:r>
          </w:p>
          <w:p w14:paraId="4373A8F0">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4.陈述和答辩地点：</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p w14:paraId="4CE66FAD">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5.陈述和答辩问题：可在招标文件中公布，或者由评标委员会根据招标文件及评审因素内容统一拟定，原则上由评标委员会负责人执笔。</w:t>
            </w:r>
          </w:p>
          <w:p w14:paraId="621E10EF">
            <w:pPr>
              <w:pStyle w:val="44"/>
              <w:keepNext w:val="0"/>
              <w:keepLines w:val="0"/>
              <w:suppressLineNumbers w:val="0"/>
              <w:kinsoku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6.参加答辩人员在进入答辩区域后须缴存通讯工具，进场不允许携带资料。</w:t>
            </w:r>
          </w:p>
          <w:p w14:paraId="4F31BB74">
            <w:pPr>
              <w:pStyle w:val="44"/>
              <w:keepNext w:val="0"/>
              <w:keepLines w:val="0"/>
              <w:suppressLineNumbers w:val="0"/>
              <w:kinsoku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□7.电子平台在线答复：</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w:t>
            </w:r>
          </w:p>
        </w:tc>
      </w:tr>
      <w:tr w14:paraId="675F2942">
        <w:tblPrEx>
          <w:tblCellMar>
            <w:top w:w="0" w:type="dxa"/>
            <w:left w:w="57" w:type="dxa"/>
            <w:bottom w:w="0" w:type="dxa"/>
            <w:right w:w="57" w:type="dxa"/>
          </w:tblCellMar>
        </w:tblPrEx>
        <w:trPr>
          <w:trHeight w:val="122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4E16D26">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10.4</w:t>
            </w:r>
          </w:p>
        </w:tc>
        <w:tc>
          <w:tcPr>
            <w:tcW w:w="1826" w:type="dxa"/>
            <w:tcBorders>
              <w:top w:val="single" w:color="000000" w:sz="4" w:space="0"/>
              <w:left w:val="nil"/>
              <w:bottom w:val="single" w:color="000000" w:sz="4" w:space="0"/>
              <w:right w:val="single" w:color="000000" w:sz="4" w:space="0"/>
            </w:tcBorders>
            <w:noWrap/>
            <w:vAlign w:val="center"/>
          </w:tcPr>
          <w:p w14:paraId="4328B392">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0E3DB50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1.对项目负责人“有在建合同工程”的认定标准：</w:t>
            </w:r>
          </w:p>
          <w:p w14:paraId="014E0789">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（1）拟派项目负责人在投标截止时间尚有在其他在建合同工程中担任项目负责人的情形为“有在建合同工程”。</w:t>
            </w:r>
          </w:p>
          <w:p w14:paraId="06253667">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（2）其他工程项目，包括在中华人民共和国境内所有建设工程，不受地域、行业和投资性质的限制。</w:t>
            </w:r>
          </w:p>
          <w:p w14:paraId="24D58332">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（3）在建合同工程的时间界定：在建合同工程的开始时间为合同工程中标通知书发出日期，或者不通过招标方式的则以合同签订日期为开始时间，结束时间为该合同工程验收合格或合同解除日期）</w:t>
            </w:r>
            <w:bookmarkStart w:id="87" w:name="bookmark193"/>
            <w:bookmarkEnd w:id="87"/>
            <w:r>
              <w:rPr>
                <w:rFonts w:hint="eastAsia" w:ascii="宋体" w:hAnsi="宋体" w:cs="Times New Roman"/>
                <w:i w:val="0"/>
                <w:iCs w:val="0"/>
                <w:color w:val="auto"/>
                <w:highlight w:val="none"/>
              </w:rPr>
              <w:t>。</w:t>
            </w:r>
          </w:p>
          <w:p w14:paraId="51D5C6CB">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以下情形视为“有在建合同工程”：</w:t>
            </w:r>
          </w:p>
          <w:p w14:paraId="13D59E40">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（1）合同协议书尚未签订的，中标通知书中载明的项目负责人；</w:t>
            </w:r>
          </w:p>
          <w:p w14:paraId="15D87AA8">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（2）合同协议书已经签订，合同协议书中明确的项目负责人；</w:t>
            </w:r>
          </w:p>
          <w:p w14:paraId="69280E94">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（3）项目负责人发生更换的，以现任项目负责人视为有“在建合同工程”。</w:t>
            </w:r>
          </w:p>
          <w:p w14:paraId="4E4D41D9">
            <w:pPr>
              <w:pStyle w:val="44"/>
              <w:keepNext w:val="0"/>
              <w:keepLines w:val="0"/>
              <w:suppressLineNumbers w:val="0"/>
              <w:kinsoku w:val="0"/>
              <w:snapToGrid w:val="0"/>
              <w:spacing w:before="0" w:beforeAutospacing="0" w:after="0" w:afterAutospacing="0"/>
              <w:ind w:left="0" w:right="0"/>
              <w:jc w:val="both"/>
              <w:rPr>
                <w:rFonts w:hint="eastAsia" w:ascii="宋体" w:hAnsi="宋体" w:cs="Times New Roman"/>
                <w:i w:val="0"/>
                <w:iCs w:val="0"/>
                <w:color w:val="auto"/>
                <w:highlight w:val="none"/>
              </w:rPr>
            </w:pPr>
            <w:r>
              <w:rPr>
                <w:rFonts w:hint="eastAsia" w:ascii="宋体" w:hAnsi="宋体" w:cs="Times New Roman"/>
                <w:i w:val="0"/>
                <w:iCs w:val="0"/>
                <w:color w:val="auto"/>
                <w:highlight w:val="none"/>
              </w:rPr>
              <w:t>2.在建项目的项目负责人办理更换后，投标时需提供的资料（未提供视作无变更）：</w:t>
            </w:r>
          </w:p>
          <w:p w14:paraId="76ACB561">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（1）项目业主同意更换的证明；</w:t>
            </w:r>
          </w:p>
          <w:p w14:paraId="348CFA4A">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（2）原项目负责人在建项目信息有备案在建设主管部门的，应提供建设主管部门同意更换的证明或网上变更信息扫描件；</w:t>
            </w:r>
          </w:p>
          <w:p w14:paraId="3B28EABB">
            <w:pPr>
              <w:pStyle w:val="44"/>
              <w:keepNext w:val="0"/>
              <w:keepLines w:val="0"/>
              <w:suppressLineNumbers w:val="0"/>
              <w:kinsoku w:val="0"/>
              <w:snapToGrid w:val="0"/>
              <w:spacing w:before="0" w:beforeAutospacing="0" w:after="0" w:afterAutospacing="0"/>
              <w:ind w:left="0" w:right="0"/>
              <w:jc w:val="both"/>
              <w:rPr>
                <w:rFonts w:hint="default" w:ascii="宋体" w:hAnsi="宋体" w:cs="Times New Roman"/>
                <w:i w:val="0"/>
                <w:iCs w:val="0"/>
                <w:color w:val="auto"/>
                <w:highlight w:val="none"/>
              </w:rPr>
            </w:pPr>
            <w:r>
              <w:rPr>
                <w:rFonts w:hint="eastAsia" w:ascii="宋体" w:hAnsi="宋体" w:cs="Times New Roman"/>
                <w:i w:val="0"/>
                <w:iCs w:val="0"/>
                <w:color w:val="auto"/>
                <w:highlight w:val="none"/>
              </w:rPr>
              <w:t>3.在建合同工程和人员信息可参照全国和浙江省建筑市场监管公共服务系统发布的信息。</w:t>
            </w:r>
          </w:p>
        </w:tc>
      </w:tr>
      <w:tr w14:paraId="62A00C65">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4B3F59B">
            <w:pPr>
              <w:pStyle w:val="44"/>
              <w:keepNext w:val="0"/>
              <w:keepLines w:val="0"/>
              <w:suppressLineNumbers w:val="0"/>
              <w:kinsoku w:val="0"/>
              <w:spacing w:before="145"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10.5</w:t>
            </w:r>
          </w:p>
        </w:tc>
        <w:tc>
          <w:tcPr>
            <w:tcW w:w="1826" w:type="dxa"/>
            <w:tcBorders>
              <w:top w:val="single" w:color="000000" w:sz="4" w:space="0"/>
              <w:left w:val="nil"/>
              <w:bottom w:val="single" w:color="000000" w:sz="4" w:space="0"/>
              <w:right w:val="single" w:color="000000" w:sz="4" w:space="0"/>
            </w:tcBorders>
            <w:noWrap/>
            <w:vAlign w:val="center"/>
          </w:tcPr>
          <w:p w14:paraId="24A9F224">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5971E8C6">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投标文件存在以下情形之一的，由评标委员会审核并经过询标程序，其投标文件将被否决：</w:t>
            </w:r>
          </w:p>
          <w:p w14:paraId="12A3A41E">
            <w:pPr>
              <w:keepNext w:val="0"/>
              <w:keepLines w:val="0"/>
              <w:suppressLineNumbers w:val="0"/>
              <w:snapToGrid w:val="0"/>
              <w:spacing w:before="0" w:beforeAutospacing="0" w:after="0" w:afterAutospacing="0"/>
              <w:ind w:left="0" w:right="276" w:rightChars="115"/>
              <w:rPr>
                <w:rFonts w:hint="default" w:ascii="Times New Roman" w:hAnsi="Times New Roman" w:cs="宋体"/>
                <w:i w:val="0"/>
                <w:iCs w:val="0"/>
                <w:color w:val="auto"/>
                <w:highlight w:val="none"/>
              </w:rPr>
            </w:pPr>
            <w:r>
              <w:rPr>
                <w:rFonts w:hint="eastAsia" w:ascii="Times New Roman" w:hAnsi="Times New Roman" w:cs="Times New Roman"/>
                <w:i w:val="0"/>
                <w:iCs w:val="0"/>
                <w:color w:val="auto"/>
                <w:highlight w:val="none"/>
              </w:rPr>
              <w:t>（1</w:t>
            </w:r>
            <w:r>
              <w:rPr>
                <w:rFonts w:hint="eastAsia" w:ascii="宋体" w:hAnsi="宋体" w:cs="Times New Roman"/>
                <w:i w:val="0"/>
                <w:iCs w:val="0"/>
                <w:color w:val="auto"/>
                <w:highlight w:val="none"/>
              </w:rPr>
              <w:t>）</w:t>
            </w:r>
            <w:r>
              <w:rPr>
                <w:rFonts w:hint="eastAsia" w:ascii="宋体" w:hAnsi="宋体" w:cs="Times New Roman"/>
                <w:b/>
                <w:bCs/>
                <w:i w:val="0"/>
                <w:iCs w:val="0"/>
                <w:color w:val="auto"/>
                <w:highlight w:val="none"/>
              </w:rPr>
              <w:t>资格审查内容：</w:t>
            </w:r>
          </w:p>
          <w:p w14:paraId="6AAD6EA1">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①</w:t>
            </w:r>
            <w:r>
              <w:rPr>
                <w:rFonts w:hint="eastAsia" w:ascii="Times New Roman" w:hAnsi="Times New Roman" w:cs="Times New Roman"/>
                <w:i w:val="0"/>
                <w:iCs w:val="0"/>
                <w:color w:val="auto"/>
                <w:highlight w:val="none"/>
              </w:rPr>
              <w:t>投标人不满足招标文件载明的企业资质、人员资格、安全生产许可证、业绩条件（若有）的；</w:t>
            </w:r>
          </w:p>
          <w:p w14:paraId="6AC57329">
            <w:pPr>
              <w:keepNext w:val="0"/>
              <w:keepLines w:val="0"/>
              <w:suppressLineNumbers w:val="0"/>
              <w:snapToGrid w:val="0"/>
              <w:spacing w:before="0" w:beforeAutospacing="0" w:after="0" w:afterAutospacing="0"/>
              <w:ind w:left="0" w:right="276" w:rightChars="115" w:firstLine="480" w:firstLineChars="200"/>
              <w:rPr>
                <w:rFonts w:hint="eastAsia" w:ascii="Calibri" w:hAnsi="Calibri" w:cs="Times New Roman"/>
                <w:i w:val="0"/>
                <w:iCs w:val="0"/>
                <w:color w:val="auto"/>
                <w:highlight w:val="none"/>
              </w:rPr>
            </w:pPr>
            <w:r>
              <w:rPr>
                <w:rFonts w:hint="eastAsia" w:ascii="Calibri" w:hAnsi="Calibri" w:cs="Times New Roman"/>
                <w:i w:val="0"/>
                <w:iCs w:val="0"/>
                <w:color w:val="auto"/>
                <w:highlight w:val="none"/>
              </w:rPr>
              <w:t>企业资质动态核查：投标人</w:t>
            </w:r>
            <w:r>
              <w:rPr>
                <w:rFonts w:hint="eastAsia" w:ascii="Calibri" w:hAnsi="Calibri" w:cs="Times New Roman"/>
                <w:i w:val="0"/>
                <w:iCs w:val="0"/>
                <w:color w:val="auto"/>
                <w:highlight w:val="none"/>
                <w:u w:val="single"/>
                <w:lang w:eastAsia="zh-CN"/>
              </w:rPr>
              <w:t>2</w:t>
            </w:r>
            <w:r>
              <w:rPr>
                <w:rFonts w:hint="eastAsia" w:ascii="Calibri" w:hAnsi="Calibri" w:cs="Times New Roman"/>
                <w:i w:val="0"/>
                <w:iCs w:val="0"/>
                <w:color w:val="auto"/>
                <w:highlight w:val="none"/>
                <w:u w:val="single"/>
                <w:lang w:val="en-US" w:eastAsia="zh-CN"/>
              </w:rPr>
              <w:t>026</w:t>
            </w:r>
            <w:r>
              <w:rPr>
                <w:rFonts w:hint="eastAsia" w:ascii="Calibri" w:hAnsi="Calibri" w:cs="Times New Roman"/>
                <w:i w:val="0"/>
                <w:iCs w:val="0"/>
                <w:color w:val="auto"/>
                <w:highlight w:val="none"/>
              </w:rPr>
              <w:t>年</w:t>
            </w:r>
            <w:r>
              <w:rPr>
                <w:rFonts w:hint="eastAsia" w:ascii="Calibri" w:hAnsi="Calibri" w:cs="Times New Roman"/>
                <w:i w:val="0"/>
                <w:iCs w:val="0"/>
                <w:color w:val="auto"/>
                <w:highlight w:val="none"/>
                <w:u w:val="single"/>
              </w:rPr>
              <w:t xml:space="preserve"> </w:t>
            </w:r>
            <w:r>
              <w:rPr>
                <w:rFonts w:hint="eastAsia" w:ascii="Calibri" w:hAnsi="Calibri" w:cs="Times New Roman"/>
                <w:i w:val="0"/>
                <w:iCs w:val="0"/>
                <w:color w:val="auto"/>
                <w:highlight w:val="none"/>
                <w:u w:val="single"/>
                <w:lang w:val="en-US" w:eastAsia="zh-CN"/>
              </w:rPr>
              <w:t>4</w:t>
            </w:r>
            <w:r>
              <w:rPr>
                <w:rFonts w:hint="eastAsia" w:ascii="Calibri" w:hAnsi="Calibri" w:cs="Times New Roman"/>
                <w:i w:val="0"/>
                <w:iCs w:val="0"/>
                <w:color w:val="auto"/>
                <w:highlight w:val="none"/>
                <w:u w:val="single"/>
              </w:rPr>
              <w:t xml:space="preserve"> </w:t>
            </w:r>
            <w:r>
              <w:rPr>
                <w:rFonts w:hint="eastAsia" w:ascii="Calibri" w:hAnsi="Calibri" w:cs="Times New Roman"/>
                <w:i w:val="0"/>
                <w:iCs w:val="0"/>
                <w:color w:val="auto"/>
                <w:highlight w:val="none"/>
              </w:rPr>
              <w:t>月</w:t>
            </w:r>
            <w:r>
              <w:rPr>
                <w:rFonts w:hint="eastAsia" w:ascii="Calibri" w:hAnsi="Calibri" w:cs="Times New Roman"/>
                <w:i w:val="0"/>
                <w:iCs w:val="0"/>
                <w:color w:val="auto"/>
                <w:highlight w:val="none"/>
                <w:u w:val="single"/>
              </w:rPr>
              <w:t xml:space="preserve"> </w:t>
            </w:r>
            <w:r>
              <w:rPr>
                <w:rFonts w:hint="eastAsia" w:ascii="Calibri" w:hAnsi="Calibri" w:cs="Times New Roman"/>
                <w:i w:val="0"/>
                <w:iCs w:val="0"/>
                <w:color w:val="auto"/>
                <w:highlight w:val="none"/>
                <w:u w:val="single"/>
                <w:lang w:val="en-US" w:eastAsia="zh-CN"/>
              </w:rPr>
              <w:t>13</w:t>
            </w:r>
            <w:r>
              <w:rPr>
                <w:rFonts w:hint="eastAsia" w:ascii="Calibri" w:hAnsi="Calibri" w:cs="Times New Roman"/>
                <w:i w:val="0"/>
                <w:iCs w:val="0"/>
                <w:color w:val="auto"/>
                <w:highlight w:val="none"/>
                <w:u w:val="single"/>
              </w:rPr>
              <w:t xml:space="preserve"> </w:t>
            </w:r>
            <w:r>
              <w:rPr>
                <w:rFonts w:hint="eastAsia" w:ascii="Calibri" w:hAnsi="Calibri" w:cs="Times New Roman"/>
                <w:i w:val="0"/>
                <w:iCs w:val="0"/>
                <w:color w:val="auto"/>
                <w:highlight w:val="none"/>
              </w:rPr>
              <w:t>日在“浙江省建筑市场监管公共服务系统”上，资质动态核查结果处于“不合格”状态的（或者资质“合格”状态的等级低于投标要求的资质等级）；</w:t>
            </w:r>
          </w:p>
          <w:p w14:paraId="0CE6462B">
            <w:pPr>
              <w:keepNext w:val="0"/>
              <w:keepLines w:val="0"/>
              <w:suppressLineNumbers w:val="0"/>
              <w:snapToGrid w:val="0"/>
              <w:spacing w:before="0" w:beforeAutospacing="0" w:after="0" w:afterAutospacing="0"/>
              <w:ind w:left="0" w:right="276" w:rightChars="115" w:firstLine="480" w:firstLineChars="200"/>
              <w:rPr>
                <w:rFonts w:hint="default" w:ascii="Calibri" w:hAnsi="Calibri" w:cs="Times New Roman"/>
                <w:i w:val="0"/>
                <w:iCs w:val="0"/>
                <w:color w:val="auto"/>
                <w:highlight w:val="none"/>
              </w:rPr>
            </w:pPr>
            <w:r>
              <w:rPr>
                <w:rFonts w:hint="eastAsia" w:ascii="Calibri" w:hAnsi="Calibri" w:cs="Times New Roman"/>
                <w:i w:val="0"/>
                <w:iCs w:val="0"/>
                <w:color w:val="auto"/>
                <w:highlight w:val="none"/>
              </w:rPr>
              <w:t>□</w:t>
            </w:r>
            <w:r>
              <w:rPr>
                <w:rFonts w:hint="default" w:ascii="Calibri" w:hAnsi="Calibri" w:cs="Times New Roman"/>
                <w:i w:val="0"/>
                <w:iCs w:val="0"/>
                <w:color w:val="auto"/>
                <w:highlight w:val="none"/>
              </w:rPr>
              <w:t>投标人为非中小企业的</w:t>
            </w:r>
            <w:r>
              <w:rPr>
                <w:rFonts w:hint="eastAsia" w:ascii="Calibri" w:hAnsi="Calibri" w:cs="Times New Roman"/>
                <w:i w:val="0"/>
                <w:iCs w:val="0"/>
                <w:color w:val="auto"/>
                <w:highlight w:val="none"/>
              </w:rPr>
              <w:t>；</w:t>
            </w:r>
            <w:r>
              <w:rPr>
                <w:rFonts w:hint="default" w:ascii="Calibri" w:hAnsi="Calibri" w:cs="Times New Roman"/>
                <w:i w:val="0"/>
                <w:iCs w:val="0"/>
                <w:color w:val="auto"/>
                <w:highlight w:val="none"/>
              </w:rPr>
              <w:t>投标人未提供《中小企业声明函》或未按照招标文件所附的《中小企业声明函》格式提供的；</w:t>
            </w:r>
          </w:p>
          <w:p w14:paraId="36CF3207">
            <w:pPr>
              <w:keepNext w:val="0"/>
              <w:keepLines w:val="0"/>
              <w:suppressLineNumbers w:val="0"/>
              <w:snapToGrid w:val="0"/>
              <w:spacing w:before="0" w:beforeAutospacing="0" w:after="0" w:afterAutospacing="0"/>
              <w:ind w:left="0" w:right="276" w:rightChars="115"/>
              <w:rPr>
                <w:rFonts w:hint="default" w:ascii="Times New Roman" w:hAnsi="宋体" w:cs="Times New Roman"/>
                <w:i w:val="0"/>
                <w:iCs w:val="0"/>
                <w:color w:val="auto"/>
                <w:highlight w:val="none"/>
              </w:rPr>
            </w:pPr>
            <w:r>
              <w:rPr>
                <w:rFonts w:hint="default" w:ascii="宋体" w:hAnsi="宋体" w:cs="Times New Roman"/>
                <w:i w:val="0"/>
                <w:iCs w:val="0"/>
                <w:color w:val="auto"/>
                <w:highlight w:val="none"/>
              </w:rPr>
              <w:t>②</w:t>
            </w:r>
            <w:r>
              <w:rPr>
                <w:rFonts w:hint="default" w:ascii="Times New Roman" w:hAnsi="宋体" w:cs="Times New Roman"/>
                <w:i w:val="0"/>
                <w:iCs w:val="0"/>
                <w:color w:val="auto"/>
                <w:highlight w:val="none"/>
              </w:rPr>
              <w:t>投标人不以自己的名义或投标人未按照招标文件的要求提交投标保证金或提供的投标保证金有缺陷而不能接受的；</w:t>
            </w:r>
          </w:p>
          <w:p w14:paraId="6D19EFD5">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③</w:t>
            </w:r>
            <w:r>
              <w:rPr>
                <w:rFonts w:hint="eastAsia" w:ascii="Times New Roman" w:hAnsi="Times New Roman" w:cs="Times New Roman"/>
                <w:i w:val="0"/>
                <w:iCs w:val="0"/>
                <w:color w:val="auto"/>
                <w:highlight w:val="none"/>
              </w:rPr>
              <w:t>投标人被有关行政监管部门依法限制投标且在限制期内的；</w:t>
            </w:r>
          </w:p>
          <w:p w14:paraId="64B4C365">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④</w:t>
            </w:r>
            <w:r>
              <w:rPr>
                <w:rFonts w:hint="eastAsia" w:ascii="Times New Roman" w:hAnsi="Times New Roman" w:cs="Times New Roman"/>
                <w:i w:val="0"/>
                <w:iCs w:val="0"/>
                <w:color w:val="auto"/>
                <w:highlight w:val="none"/>
              </w:rPr>
              <w:t>投标报价高于最高投标限价的；</w:t>
            </w:r>
          </w:p>
          <w:p w14:paraId="637077B0">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⑤</w:t>
            </w:r>
            <w:r>
              <w:rPr>
                <w:rFonts w:hint="eastAsia" w:ascii="Times New Roman" w:hAnsi="Times New Roman" w:cs="Times New Roman"/>
                <w:i w:val="0"/>
                <w:iCs w:val="0"/>
                <w:color w:val="auto"/>
                <w:highlight w:val="none"/>
              </w:rPr>
              <w:t>不同投标人的</w:t>
            </w:r>
            <w:r>
              <w:rPr>
                <w:rFonts w:hint="eastAsia" w:ascii="Times New Roman" w:hAnsi="Times New Roman" w:cs="Times New Roman"/>
                <w:i w:val="0"/>
                <w:iCs w:val="0"/>
                <w:color w:val="auto"/>
                <w:highlight w:val="none"/>
                <w:u w:val="single"/>
              </w:rPr>
              <w:t>投标文件制作机器码、文件创建标识码</w:t>
            </w:r>
            <w:r>
              <w:rPr>
                <w:rFonts w:hint="eastAsia" w:ascii="Times New Roman" w:hAnsi="Times New Roman" w:cs="Times New Roman"/>
                <w:i w:val="0"/>
                <w:iCs w:val="0"/>
                <w:color w:val="auto"/>
                <w:highlight w:val="none"/>
              </w:rPr>
              <w:t>一致的；（具体说明</w:t>
            </w:r>
            <w:r>
              <w:rPr>
                <w:rFonts w:hint="eastAsia" w:ascii="Times New Roman" w:hAnsi="Times New Roman" w:cs="Times New Roman"/>
                <w:i w:val="0"/>
                <w:iCs w:val="0"/>
                <w:color w:val="auto"/>
                <w:highlight w:val="none"/>
                <w:u w:val="single"/>
              </w:rPr>
              <w:t xml:space="preserve">：不同投标人的投标文件检测码（或制作机器码、创建标识码）一致的；（文件制作机器码是投标人在使用投标文件制作工具时，以电脑的网卡MAC地址、硬盘序列号、 CPU序列号、主板序列号以及工具标识号五大特征加密生成；文件创建标识码是投标人在使用投标文件制作工具新建投标文件时，投标文件中间件产生的一串32位编码，用于标记该文件的唯一性。 </w:t>
            </w:r>
            <w:r>
              <w:rPr>
                <w:rFonts w:hint="eastAsia" w:ascii="Times New Roman" w:hAnsi="Times New Roman" w:cs="Times New Roman"/>
                <w:i w:val="0"/>
                <w:iCs w:val="0"/>
                <w:color w:val="auto"/>
                <w:highlight w:val="none"/>
              </w:rPr>
              <w:t>）</w:t>
            </w:r>
          </w:p>
          <w:p w14:paraId="5EECF776">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⑥</w:t>
            </w:r>
            <w:r>
              <w:rPr>
                <w:rFonts w:hint="default" w:ascii="Wingdings 2" w:hAnsi="Wingdings 2" w:cs="Times New Roman"/>
                <w:i w:val="0"/>
                <w:iCs w:val="0"/>
                <w:color w:val="auto"/>
                <w:highlight w:val="none"/>
              </w:rPr>
              <w:t>□</w:t>
            </w:r>
            <w:r>
              <w:rPr>
                <w:rFonts w:hint="eastAsia" w:ascii="Times New Roman" w:hAnsi="Times New Roman" w:cs="Times New Roman"/>
                <w:i w:val="0"/>
                <w:iCs w:val="0"/>
                <w:color w:val="auto"/>
                <w:highlight w:val="none"/>
              </w:rPr>
              <w:t>投标人提供的纸质投标文件水印码与电子投标文件不一致的；</w:t>
            </w:r>
          </w:p>
          <w:p w14:paraId="48AA920B">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⑦</w:t>
            </w:r>
            <w:r>
              <w:rPr>
                <w:rFonts w:hint="eastAsia" w:ascii="Times New Roman" w:hAnsi="Times New Roman" w:cs="Times New Roman"/>
                <w:i w:val="0"/>
                <w:iCs w:val="0"/>
                <w:color w:val="auto"/>
                <w:highlight w:val="none"/>
              </w:rPr>
              <w:t>委托代理人未提供有效的授权委托书的；</w:t>
            </w:r>
          </w:p>
          <w:p w14:paraId="77ADFBC4">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strike w:val="0"/>
                <w:dstrike w:val="0"/>
                <w:color w:val="auto"/>
                <w:highlight w:val="none"/>
              </w:rPr>
            </w:pPr>
            <w:r>
              <w:rPr>
                <w:rFonts w:hint="eastAsia" w:ascii="宋体" w:hAnsi="宋体" w:cs="Times New Roman"/>
                <w:i w:val="0"/>
                <w:iCs w:val="0"/>
                <w:strike w:val="0"/>
                <w:dstrike w:val="0"/>
                <w:color w:val="auto"/>
                <w:highlight w:val="none"/>
              </w:rPr>
              <w:t>⑧</w:t>
            </w:r>
            <w:r>
              <w:rPr>
                <w:rFonts w:hint="eastAsia" w:ascii="Times New Roman" w:hAnsi="宋体" w:cs="Times New Roman"/>
                <w:i w:val="0"/>
                <w:iCs w:val="0"/>
                <w:strike w:val="0"/>
                <w:dstrike w:val="0"/>
                <w:color w:val="auto"/>
                <w:highlight w:val="none"/>
              </w:rPr>
              <w:t>省外企业未按规定办理省外建设工程企业进浙备案手续的；</w:t>
            </w:r>
          </w:p>
          <w:p w14:paraId="5303240F">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⑨</w:t>
            </w:r>
            <w:r>
              <w:rPr>
                <w:rFonts w:hint="eastAsia" w:ascii="Times New Roman" w:hAnsi="Times New Roman" w:cs="Times New Roman"/>
                <w:i w:val="0"/>
                <w:iCs w:val="0"/>
                <w:color w:val="auto"/>
                <w:highlight w:val="none"/>
              </w:rPr>
              <w:t>存在法律、法规、规章规定的其它否决投标情况的；</w:t>
            </w:r>
          </w:p>
          <w:p w14:paraId="29CBA95E">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u w:val="single"/>
              </w:rPr>
            </w:pPr>
            <w:r>
              <w:rPr>
                <w:rFonts w:hint="eastAsia" w:ascii="宋体" w:hAnsi="宋体" w:cs="Times New Roman"/>
                <w:i w:val="0"/>
                <w:iCs w:val="0"/>
                <w:color w:val="auto"/>
                <w:highlight w:val="none"/>
              </w:rPr>
              <w:t>⑩</w:t>
            </w:r>
            <w:r>
              <w:rPr>
                <w:rFonts w:hint="eastAsia" w:ascii="Times New Roman" w:hAnsi="Times New Roman" w:cs="Times New Roman"/>
                <w:i w:val="0"/>
                <w:iCs w:val="0"/>
                <w:color w:val="auto"/>
                <w:highlight w:val="none"/>
              </w:rPr>
              <w:t>其他：</w:t>
            </w:r>
            <w:r>
              <w:rPr>
                <w:rFonts w:hint="eastAsia" w:ascii="Times New Roman" w:hAnsi="Times New Roman" w:cs="Times New Roman"/>
                <w:i w:val="0"/>
                <w:iCs w:val="0"/>
                <w:color w:val="auto"/>
                <w:highlight w:val="none"/>
                <w:u w:val="single"/>
              </w:rPr>
              <w:t>若拟派项目负责人为一级注册建造师的，电子</w:t>
            </w:r>
          </w:p>
          <w:p w14:paraId="17DB8F59">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u w:val="single"/>
              </w:rPr>
            </w:pPr>
            <w:r>
              <w:rPr>
                <w:rFonts w:hint="eastAsia" w:ascii="Times New Roman" w:hAnsi="Times New Roman" w:cs="Times New Roman"/>
                <w:i w:val="0"/>
                <w:iCs w:val="0"/>
                <w:color w:val="auto"/>
                <w:highlight w:val="none"/>
                <w:u w:val="single"/>
              </w:rPr>
              <w:t>证书应符合《住房和城乡建设部办公厅关于全面实行一</w:t>
            </w:r>
          </w:p>
          <w:p w14:paraId="0CCB98A7">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u w:val="single"/>
              </w:rPr>
            </w:pPr>
            <w:r>
              <w:rPr>
                <w:rFonts w:hint="eastAsia" w:ascii="Times New Roman" w:hAnsi="Times New Roman" w:cs="Times New Roman"/>
                <w:i w:val="0"/>
                <w:iCs w:val="0"/>
                <w:color w:val="auto"/>
                <w:highlight w:val="none"/>
                <w:u w:val="single"/>
              </w:rPr>
              <w:t>建造师电子注册证书的通知》（建办市【2021】40号）文，</w:t>
            </w:r>
          </w:p>
          <w:p w14:paraId="1E521F0A">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u w:val="single"/>
              </w:rPr>
            </w:pPr>
            <w:r>
              <w:rPr>
                <w:rFonts w:hint="eastAsia" w:ascii="Times New Roman" w:hAnsi="Times New Roman" w:cs="Times New Roman"/>
                <w:i w:val="0"/>
                <w:iCs w:val="0"/>
                <w:color w:val="auto"/>
                <w:highlight w:val="none"/>
                <w:u w:val="single"/>
              </w:rPr>
              <w:t>须在个人签名处手写本人签名，未手写签名或与签名图像</w:t>
            </w:r>
          </w:p>
          <w:p w14:paraId="4D2F9DCE">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u w:val="single"/>
              </w:rPr>
              <w:t xml:space="preserve">笔迹不一致的，该电子证书无效，资格审查不予通过 </w:t>
            </w:r>
            <w:r>
              <w:rPr>
                <w:rFonts w:hint="eastAsia" w:ascii="Times New Roman" w:hAnsi="Times New Roman" w:cs="Times New Roman"/>
                <w:i w:val="0"/>
                <w:iCs w:val="0"/>
                <w:color w:val="auto"/>
                <w:highlight w:val="none"/>
              </w:rPr>
              <w:t>。</w:t>
            </w:r>
          </w:p>
          <w:p w14:paraId="7ABC9167">
            <w:pPr>
              <w:keepNext w:val="0"/>
              <w:keepLines w:val="0"/>
              <w:numPr>
                <w:ilvl w:val="0"/>
                <w:numId w:val="9"/>
              </w:numPr>
              <w:suppressLineNumbers w:val="0"/>
              <w:snapToGrid w:val="0"/>
              <w:spacing w:before="0" w:beforeAutospacing="0" w:after="0" w:afterAutospacing="0"/>
              <w:ind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初步评审内容：</w:t>
            </w:r>
          </w:p>
          <w:p w14:paraId="781BD092">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①</w:t>
            </w:r>
            <w:r>
              <w:rPr>
                <w:rFonts w:hint="eastAsia" w:ascii="Times New Roman" w:hAnsi="Times New Roman" w:cs="Times New Roman"/>
                <w:i w:val="0"/>
                <w:iCs w:val="0"/>
                <w:color w:val="auto"/>
                <w:highlight w:val="none"/>
              </w:rPr>
              <w:t>投标文件未经投标人盖章的；投标文件未经法定代表人（或提供有效“授权委托书”的委托代理人）签字和盖章的；</w:t>
            </w:r>
          </w:p>
          <w:p w14:paraId="08C55C50">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②</w:t>
            </w:r>
            <w:r>
              <w:rPr>
                <w:rFonts w:hint="eastAsia" w:ascii="Times New Roman" w:hAnsi="Times New Roman" w:cs="Times New Roman"/>
                <w:i w:val="0"/>
                <w:iCs w:val="0"/>
                <w:color w:val="auto"/>
                <w:highlight w:val="none"/>
              </w:rPr>
              <w:t>投标文件中投标函或投标承诺书未按要求填写；</w:t>
            </w:r>
          </w:p>
          <w:p w14:paraId="0D68C01A">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③</w:t>
            </w:r>
            <w:r>
              <w:rPr>
                <w:rFonts w:hint="eastAsia" w:ascii="Times New Roman" w:hAnsi="Times New Roman" w:cs="Times New Roman"/>
                <w:i w:val="0"/>
                <w:iCs w:val="0"/>
                <w:color w:val="auto"/>
                <w:highlight w:val="none"/>
              </w:rPr>
              <w:t>投标人递交两份或多份内容不同的投标文件，或在一份投标文件中对同一招标项目报有两个或以上报价，且未声明哪一个有效；</w:t>
            </w:r>
          </w:p>
          <w:p w14:paraId="1C617C22">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④</w:t>
            </w:r>
            <w:r>
              <w:rPr>
                <w:rFonts w:hint="eastAsia" w:ascii="Times New Roman" w:hAnsi="Times New Roman" w:cs="Times New Roman"/>
                <w:i w:val="0"/>
                <w:iCs w:val="0"/>
                <w:color w:val="auto"/>
                <w:highlight w:val="none"/>
              </w:rPr>
              <w:t>组成联合体投标的，投标文件未附联合体协议的；</w:t>
            </w:r>
          </w:p>
          <w:p w14:paraId="5181190F">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⑤</w:t>
            </w:r>
            <w:r>
              <w:rPr>
                <w:rFonts w:hint="eastAsia" w:ascii="Times New Roman" w:hAnsi="Times New Roman" w:cs="Times New Roman"/>
                <w:i w:val="0"/>
                <w:iCs w:val="0"/>
                <w:color w:val="auto"/>
                <w:highlight w:val="none"/>
              </w:rPr>
              <w:t>投标文件不能满足招标文件载明的工程质量、工程验收标准、施工工期、保修期要求的；</w:t>
            </w:r>
          </w:p>
          <w:p w14:paraId="1705C0C5">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⑥</w:t>
            </w:r>
            <w:r>
              <w:rPr>
                <w:rFonts w:hint="eastAsia" w:ascii="Times New Roman" w:hAnsi="Times New Roman" w:cs="Times New Roman"/>
                <w:i w:val="0"/>
                <w:iCs w:val="0"/>
                <w:color w:val="auto"/>
                <w:highlight w:val="none"/>
              </w:rPr>
              <w:t>存在法律、法规、规章规定的其它否决投标情况的；</w:t>
            </w:r>
          </w:p>
          <w:p w14:paraId="7BCE4441">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⑦</w:t>
            </w:r>
            <w:r>
              <w:rPr>
                <w:rFonts w:hint="eastAsia" w:ascii="Times New Roman" w:hAnsi="Times New Roman" w:cs="Times New Roman"/>
                <w:i w:val="0"/>
                <w:iCs w:val="0"/>
                <w:color w:val="auto"/>
                <w:highlight w:val="none"/>
              </w:rPr>
              <w:t>其他：</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u w:val="single"/>
                <w:lang w:val="en-US" w:eastAsia="zh-CN"/>
              </w:rPr>
              <w:t>/</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rPr>
              <w:t>。</w:t>
            </w:r>
          </w:p>
          <w:p w14:paraId="67BFC834">
            <w:pPr>
              <w:keepNext w:val="0"/>
              <w:keepLines w:val="0"/>
              <w:numPr>
                <w:ilvl w:val="0"/>
                <w:numId w:val="9"/>
              </w:numPr>
              <w:suppressLineNumbers w:val="0"/>
              <w:snapToGrid w:val="0"/>
              <w:spacing w:before="0" w:beforeAutospacing="0" w:after="0" w:afterAutospacing="0"/>
              <w:ind w:right="276" w:rightChars="115"/>
              <w:rPr>
                <w:rFonts w:hint="default" w:ascii="Times New Roman" w:hAnsi="Times New Roman" w:cs="Times New Roman"/>
                <w:i w:val="0"/>
                <w:iCs w:val="0"/>
                <w:color w:val="auto"/>
                <w:highlight w:val="none"/>
              </w:rPr>
            </w:pPr>
            <w:r>
              <w:rPr>
                <w:rFonts w:hint="eastAsia" w:ascii="Wingdings 2" w:hAnsi="Wingdings 2" w:cs="Times New Roman"/>
                <w:i w:val="0"/>
                <w:iCs w:val="0"/>
                <w:color w:val="auto"/>
                <w:highlight w:val="none"/>
                <w:lang w:eastAsia="zh-CN"/>
              </w:rPr>
              <w:t>☑</w:t>
            </w:r>
            <w:r>
              <w:rPr>
                <w:rFonts w:hint="eastAsia" w:ascii="Times New Roman" w:hAnsi="Times New Roman" w:cs="Times New Roman"/>
                <w:i w:val="0"/>
                <w:iCs w:val="0"/>
                <w:color w:val="auto"/>
                <w:highlight w:val="none"/>
              </w:rPr>
              <w:t>技术标评审内容：</w:t>
            </w:r>
          </w:p>
          <w:p w14:paraId="5B3175A9">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①</w:t>
            </w:r>
            <w:r>
              <w:rPr>
                <w:rFonts w:hint="eastAsia" w:ascii="Times New Roman" w:hAnsi="Times New Roman" w:cs="Times New Roman"/>
                <w:i w:val="0"/>
                <w:iCs w:val="0"/>
                <w:color w:val="auto"/>
                <w:highlight w:val="none"/>
              </w:rPr>
              <w:t>项目管理班子配备不能满足要求的；</w:t>
            </w:r>
          </w:p>
          <w:p w14:paraId="007F03A2">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②</w:t>
            </w:r>
            <w:r>
              <w:rPr>
                <w:rFonts w:hint="eastAsia" w:ascii="Times New Roman" w:hAnsi="Times New Roman" w:cs="Times New Roman"/>
                <w:i w:val="0"/>
                <w:iCs w:val="0"/>
                <w:color w:val="auto"/>
                <w:highlight w:val="none"/>
              </w:rPr>
              <w:t>关键施工技术方案不可行的；</w:t>
            </w:r>
          </w:p>
          <w:p w14:paraId="46DC4769">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③</w:t>
            </w:r>
            <w:r>
              <w:rPr>
                <w:rFonts w:hint="eastAsia" w:ascii="Times New Roman" w:hAnsi="Times New Roman" w:cs="Times New Roman"/>
                <w:i w:val="0"/>
                <w:iCs w:val="0"/>
                <w:color w:val="auto"/>
                <w:highlight w:val="none"/>
              </w:rPr>
              <w:t>生产措施存在重大安全隐患的；</w:t>
            </w:r>
          </w:p>
          <w:p w14:paraId="11185125">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④</w:t>
            </w:r>
            <w:r>
              <w:rPr>
                <w:rFonts w:hint="eastAsia" w:ascii="Times New Roman" w:hAnsi="Times New Roman" w:cs="Times New Roman"/>
                <w:i w:val="0"/>
                <w:iCs w:val="0"/>
                <w:color w:val="auto"/>
                <w:highlight w:val="none"/>
              </w:rPr>
              <w:t>主要施工机械设备不能满足施工需要的；</w:t>
            </w:r>
          </w:p>
          <w:p w14:paraId="2801218F">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⑤</w:t>
            </w:r>
            <w:r>
              <w:rPr>
                <w:rFonts w:hint="eastAsia" w:ascii="Times New Roman" w:hAnsi="Times New Roman" w:cs="Times New Roman"/>
                <w:i w:val="0"/>
                <w:iCs w:val="0"/>
                <w:color w:val="auto"/>
                <w:highlight w:val="none"/>
              </w:rPr>
              <w:t>采用的验收标准或主要技术指标达不到国家强制性标准或招标文件要求的；</w:t>
            </w:r>
          </w:p>
          <w:p w14:paraId="29C90D69">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⑥</w:t>
            </w:r>
            <w:r>
              <w:rPr>
                <w:rFonts w:hint="eastAsia" w:ascii="Times New Roman" w:hAnsi="Times New Roman" w:cs="Times New Roman"/>
                <w:i w:val="0"/>
                <w:iCs w:val="0"/>
                <w:color w:val="auto"/>
                <w:highlight w:val="none"/>
              </w:rPr>
              <w:t>采用的施工工艺、方法或质量安全管理措施不能满足国家强制性标准或要求的。</w:t>
            </w:r>
          </w:p>
          <w:p w14:paraId="4AEF8717">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⑦存在法律、法规、规章规定的其它否决投标情况的；</w:t>
            </w:r>
          </w:p>
          <w:p w14:paraId="13AD6A5E">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⑧</w:t>
            </w:r>
            <w:r>
              <w:rPr>
                <w:rFonts w:hint="default" w:ascii="Times New Roman" w:hAnsi="Times New Roman" w:cs="Times New Roman"/>
                <w:i w:val="0"/>
                <w:iCs w:val="0"/>
                <w:color w:val="auto"/>
                <w:highlight w:val="none"/>
              </w:rPr>
              <w:t>其他：</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u w:val="single"/>
                <w:lang w:val="en-US" w:eastAsia="zh-CN"/>
              </w:rPr>
              <w:t>/</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rPr>
              <w:t xml:space="preserve"> 。</w:t>
            </w:r>
          </w:p>
          <w:p w14:paraId="5FF6AAF1">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（4）商务标评审内容：</w:t>
            </w:r>
          </w:p>
          <w:p w14:paraId="65FEA5B7">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①</w:t>
            </w:r>
            <w:r>
              <w:rPr>
                <w:rFonts w:hint="eastAsia" w:ascii="Times New Roman" w:hAnsi="Times New Roman" w:cs="Times New Roman"/>
                <w:i w:val="0"/>
                <w:iCs w:val="0"/>
                <w:color w:val="auto"/>
                <w:highlight w:val="none"/>
              </w:rPr>
              <w:t>安全文明施工费用（包括安全文明施工基本费和创建安全文明施工标化工地增加费）未按照招标文件和工程量清单要求填报的；</w:t>
            </w:r>
          </w:p>
          <w:p w14:paraId="796DE988">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②</w:t>
            </w:r>
            <w:r>
              <w:rPr>
                <w:rFonts w:hint="eastAsia" w:ascii="Times New Roman" w:hAnsi="Times New Roman" w:cs="Times New Roman"/>
                <w:i w:val="0"/>
                <w:iCs w:val="0"/>
                <w:color w:val="auto"/>
                <w:highlight w:val="none"/>
              </w:rPr>
              <w:t>规费、税金报价不符合现行规定的；</w:t>
            </w:r>
          </w:p>
          <w:p w14:paraId="6356D526">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③</w:t>
            </w:r>
            <w:r>
              <w:rPr>
                <w:rFonts w:hint="eastAsia" w:ascii="Times New Roman" w:hAnsi="Times New Roman" w:cs="Times New Roman"/>
                <w:i w:val="0"/>
                <w:iCs w:val="0"/>
                <w:color w:val="auto"/>
                <w:highlight w:val="none"/>
              </w:rPr>
              <w:t>改变招标文件提供的工程量清单（含分部分项工程及措施项目、其他项目清单项目的编码、项目名称、计量单位、工程数量、项目特征描述）的；</w:t>
            </w:r>
          </w:p>
          <w:p w14:paraId="3BAA8603">
            <w:pPr>
              <w:keepNext w:val="0"/>
              <w:keepLines w:val="0"/>
              <w:suppressLineNumbers w:val="0"/>
              <w:snapToGrid w:val="0"/>
              <w:spacing w:before="0" w:beforeAutospacing="0" w:after="0" w:afterAutospacing="0"/>
              <w:ind w:left="0" w:right="276" w:rightChars="115"/>
              <w:rPr>
                <w:rFonts w:hint="eastAsia" w:ascii="Times New Roman" w:hAnsi="Times New Roman" w:cs="Times New Roman"/>
                <w:i w:val="0"/>
                <w:iCs w:val="0"/>
                <w:color w:val="auto"/>
                <w:highlight w:val="none"/>
              </w:rPr>
            </w:pPr>
            <w:r>
              <w:rPr>
                <w:rFonts w:hint="eastAsia" w:ascii="宋体" w:hAnsi="宋体" w:cs="Times New Roman"/>
                <w:i w:val="0"/>
                <w:iCs w:val="0"/>
                <w:color w:val="auto"/>
                <w:highlight w:val="none"/>
              </w:rPr>
              <w:t>④</w:t>
            </w:r>
            <w:r>
              <w:rPr>
                <w:rFonts w:hint="eastAsia" w:ascii="Times New Roman" w:hAnsi="Times New Roman" w:cs="Times New Roman"/>
                <w:i w:val="0"/>
                <w:iCs w:val="0"/>
                <w:color w:val="auto"/>
                <w:highlight w:val="none"/>
              </w:rPr>
              <w:t>改变招标文件和工程量清单明确的暂列金额和暂估价的；</w:t>
            </w:r>
          </w:p>
          <w:p w14:paraId="26CA9798">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⑤</w:t>
            </w:r>
            <w:r>
              <w:rPr>
                <w:rFonts w:hint="eastAsia" w:ascii="Times New Roman" w:hAnsi="Times New Roman" w:cs="Times New Roman"/>
                <w:i w:val="0"/>
                <w:iCs w:val="0"/>
                <w:color w:val="auto"/>
                <w:highlight w:val="none"/>
              </w:rPr>
              <w:t>经评标委员会认定投标人的投标报价低于成本价，且投标人对其报价不能充分说明理由，或提供的相关资料无法证明报价不低于其成本价的；</w:t>
            </w:r>
          </w:p>
          <w:p w14:paraId="7D7A3EC0">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⑥投标文件的编制人接受同一工程招标人委托编制招标文件（含招标控制价)，或接受其他投标人委托编制投标文件的。</w:t>
            </w:r>
          </w:p>
          <w:p w14:paraId="406E2B95">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⑦存在法律、法规、规章规定的其它否决投标情况的；</w:t>
            </w:r>
          </w:p>
          <w:p w14:paraId="75A30316">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⑧</w:t>
            </w:r>
            <w:r>
              <w:rPr>
                <w:rFonts w:hint="default" w:ascii="Times New Roman" w:hAnsi="Times New Roman" w:cs="Times New Roman"/>
                <w:i w:val="0"/>
                <w:iCs w:val="0"/>
                <w:color w:val="auto"/>
                <w:highlight w:val="none"/>
              </w:rPr>
              <w:t>其他：</w:t>
            </w:r>
          </w:p>
          <w:p w14:paraId="6FE3A3F1">
            <w:pPr>
              <w:keepNext w:val="0"/>
              <w:keepLines w:val="0"/>
              <w:suppressLineNumbers w:val="0"/>
              <w:snapToGrid w:val="0"/>
              <w:spacing w:before="0" w:beforeAutospacing="0" w:after="0" w:afterAutospacing="0"/>
              <w:ind w:left="0" w:right="276" w:rightChars="115"/>
              <w:rPr>
                <w:rFonts w:hint="default" w:ascii="Times New Roman" w:hAnsi="Times New Roman" w:cs="Times New Roman"/>
                <w:i w:val="0"/>
                <w:iCs w:val="0"/>
                <w:color w:val="auto"/>
                <w:highlight w:val="none"/>
              </w:rPr>
            </w:pPr>
            <w:r>
              <w:rPr>
                <w:rFonts w:hint="default" w:ascii="Wingdings 2" w:hAnsi="Wingdings 2" w:cs="Times New Roman"/>
                <w:i w:val="0"/>
                <w:iCs w:val="0"/>
                <w:color w:val="auto"/>
                <w:highlight w:val="none"/>
              </w:rPr>
              <w:t>□</w:t>
            </w:r>
            <w:r>
              <w:rPr>
                <w:rFonts w:hint="eastAsia" w:ascii="Times New Roman" w:hAnsi="Times New Roman" w:cs="Times New Roman"/>
                <w:i w:val="0"/>
                <w:iCs w:val="0"/>
                <w:color w:val="auto"/>
                <w:highlight w:val="none"/>
              </w:rPr>
              <w:t>⑧—1</w:t>
            </w:r>
            <w:r>
              <w:rPr>
                <w:rFonts w:hint="eastAsia" w:ascii="Times New Roman" w:hAnsi="Times New Roman" w:cs="Times New Roman"/>
                <w:i w:val="0"/>
                <w:iCs w:val="0"/>
                <w:color w:val="auto"/>
                <w:highlight w:val="none"/>
                <w:u w:val="single"/>
              </w:rPr>
              <w:t>报价低于风险控制价的投标人需作出书面说明并提供相关证明材料。投标人不能合理说明或者不能提供相关证明材料的，由评标委员会认定该投标人以低于成本报价竞标，应当否决其投标。</w:t>
            </w:r>
          </w:p>
          <w:p w14:paraId="43633E2C">
            <w:pPr>
              <w:pStyle w:val="45"/>
              <w:keepNext w:val="0"/>
              <w:keepLines w:val="0"/>
              <w:suppressLineNumbers w:val="0"/>
              <w:snapToGrid w:val="0"/>
              <w:spacing w:before="0" w:beforeAutospacing="0" w:after="0" w:afterAutospacing="0" w:line="240" w:lineRule="auto"/>
              <w:ind w:left="0" w:right="0" w:firstLine="0" w:firstLineChars="0"/>
              <w:rPr>
                <w:rFonts w:hint="default" w:ascii="Calibri" w:hAnsi="Calibri"/>
                <w:i w:val="0"/>
                <w:iCs w:val="0"/>
                <w:color w:val="auto"/>
                <w:highlight w:val="none"/>
              </w:rPr>
            </w:pPr>
            <w:r>
              <w:rPr>
                <w:rFonts w:hint="eastAsia" w:ascii="Calibri" w:hAnsi="Calibri" w:cs="Times New Roman"/>
                <w:i w:val="0"/>
                <w:iCs w:val="0"/>
                <w:color w:val="auto"/>
                <w:highlight w:val="none"/>
              </w:rPr>
              <w:t>（5）其他：</w:t>
            </w:r>
          </w:p>
          <w:p w14:paraId="425C3C69">
            <w:pPr>
              <w:pStyle w:val="45"/>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default" w:ascii="Times New Roman" w:cs="Times New Roman"/>
                <w:i w:val="0"/>
                <w:iCs w:val="0"/>
                <w:color w:val="auto"/>
                <w:spacing w:val="-7"/>
                <w:highlight w:val="none"/>
              </w:rPr>
            </w:pPr>
            <w:r>
              <w:rPr>
                <w:rFonts w:hint="default" w:cs="Times New Roman"/>
                <w:i w:val="0"/>
                <w:iCs w:val="0"/>
                <w:color w:val="auto"/>
                <w:highlight w:val="none"/>
              </w:rPr>
              <w:t>①</w:t>
            </w:r>
            <w:r>
              <w:rPr>
                <w:rFonts w:hint="default" w:ascii="Times New Roman" w:cs="Times New Roman"/>
                <w:i w:val="0"/>
                <w:iCs w:val="0"/>
                <w:color w:val="auto"/>
                <w:spacing w:val="-7"/>
                <w:highlight w:val="none"/>
              </w:rPr>
              <w:t>在投标截止时间前，投标人</w:t>
            </w:r>
            <w:r>
              <w:rPr>
                <w:rFonts w:hint="eastAsia" w:ascii="Times New Roman" w:cs="Times New Roman"/>
                <w:i w:val="0"/>
                <w:iCs w:val="0"/>
                <w:color w:val="auto"/>
                <w:spacing w:val="-7"/>
                <w:highlight w:val="none"/>
              </w:rPr>
              <w:t>及其拟派项目负责人</w:t>
            </w:r>
            <w:r>
              <w:rPr>
                <w:rFonts w:hint="default" w:ascii="Times New Roman" w:cs="Times New Roman"/>
                <w:i w:val="0"/>
                <w:iCs w:val="0"/>
                <w:color w:val="auto"/>
                <w:spacing w:val="-7"/>
                <w:highlight w:val="none"/>
              </w:rPr>
              <w:t>被列入失信被执行人名单的；</w:t>
            </w:r>
          </w:p>
          <w:p w14:paraId="254491F4">
            <w:pPr>
              <w:pStyle w:val="45"/>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default" w:ascii="Times New Roman" w:cs="Times New Roman"/>
                <w:i w:val="0"/>
                <w:iCs w:val="0"/>
                <w:color w:val="auto"/>
                <w:highlight w:val="none"/>
              </w:rPr>
            </w:pPr>
            <w:r>
              <w:rPr>
                <w:rFonts w:hint="default" w:cs="Times New Roman"/>
                <w:i w:val="0"/>
                <w:iCs w:val="0"/>
                <w:color w:val="auto"/>
                <w:highlight w:val="none"/>
              </w:rPr>
              <w:t>②</w:t>
            </w:r>
            <w:r>
              <w:rPr>
                <w:rFonts w:hint="default" w:ascii="Times New Roman" w:cs="Times New Roman"/>
                <w:i w:val="0"/>
                <w:iCs w:val="0"/>
                <w:color w:val="auto"/>
                <w:highlight w:val="none"/>
              </w:rPr>
              <w:t>投标人及其拟派项目负责人在本招标文件（招标公告）规定时间范围内有行贿犯罪记录的；</w:t>
            </w:r>
          </w:p>
          <w:p w14:paraId="4CF69FEC">
            <w:pPr>
              <w:pStyle w:val="45"/>
              <w:keepNext w:val="0"/>
              <w:keepLines w:val="0"/>
              <w:suppressLineNumbers w:val="0"/>
              <w:snapToGrid w:val="0"/>
              <w:spacing w:before="0" w:beforeAutospacing="0" w:after="0" w:afterAutospacing="0" w:line="240" w:lineRule="auto"/>
              <w:ind w:left="0" w:right="0" w:firstLine="0" w:firstLineChars="0"/>
              <w:rPr>
                <w:rFonts w:hint="eastAsia" w:ascii="Times New Roman" w:cs="Times New Roman"/>
                <w:i w:val="0"/>
                <w:iCs w:val="0"/>
                <w:color w:val="auto"/>
                <w:highlight w:val="none"/>
              </w:rPr>
            </w:pPr>
            <w:r>
              <w:rPr>
                <w:rFonts w:hint="default" w:cs="Times New Roman"/>
                <w:i w:val="0"/>
                <w:iCs w:val="0"/>
                <w:color w:val="auto"/>
                <w:highlight w:val="none"/>
              </w:rPr>
              <w:t>③</w:t>
            </w:r>
            <w:r>
              <w:rPr>
                <w:rFonts w:hint="default" w:ascii="Times New Roman" w:cs="Times New Roman"/>
                <w:i w:val="0"/>
                <w:iCs w:val="0"/>
                <w:color w:val="auto"/>
                <w:highlight w:val="none"/>
              </w:rPr>
              <w:t>投标人及其拟派项目负责人被列入建筑市场严重失信名单的</w:t>
            </w:r>
            <w:r>
              <w:rPr>
                <w:rFonts w:hint="eastAsia" w:ascii="Times New Roman" w:cs="Times New Roman"/>
                <w:i w:val="0"/>
                <w:iCs w:val="0"/>
                <w:color w:val="auto"/>
                <w:highlight w:val="none"/>
              </w:rPr>
              <w:t>、被市场监督管理机关在全国企业信用信息公示系统中列入严重违法失信企业名单的、被人力资源社会保障行政部门列入失信联合惩戒名单（有效期内）并共享至信用信息共享平台；</w:t>
            </w:r>
          </w:p>
          <w:p w14:paraId="31324B9C">
            <w:pPr>
              <w:pStyle w:val="45"/>
              <w:keepNext w:val="0"/>
              <w:keepLines w:val="0"/>
              <w:suppressLineNumbers w:val="0"/>
              <w:snapToGrid w:val="0"/>
              <w:spacing w:before="0" w:beforeAutospacing="0" w:after="0" w:afterAutospacing="0" w:line="240" w:lineRule="auto"/>
              <w:ind w:left="0" w:right="0" w:firstLine="0" w:firstLineChars="0"/>
              <w:rPr>
                <w:rFonts w:hint="default" w:ascii="Calibri" w:hAnsi="Calibri"/>
                <w:i w:val="0"/>
                <w:iCs w:val="0"/>
                <w:color w:val="auto"/>
                <w:highlight w:val="none"/>
              </w:rPr>
            </w:pPr>
            <w:r>
              <w:rPr>
                <w:rFonts w:hint="default" w:cs="Times New Roman"/>
                <w:i w:val="0"/>
                <w:iCs w:val="0"/>
                <w:color w:val="auto"/>
                <w:highlight w:val="none"/>
              </w:rPr>
              <w:t>④</w:t>
            </w:r>
            <w:r>
              <w:rPr>
                <w:rFonts w:hint="eastAsia" w:ascii="Calibri" w:hAnsi="Calibri" w:cs="Times New Roman"/>
                <w:i w:val="0"/>
                <w:iCs w:val="0"/>
                <w:color w:val="auto"/>
                <w:highlight w:val="none"/>
              </w:rPr>
              <w:t>投标人未按投标人须知前附表10.2</w:t>
            </w:r>
            <w:r>
              <w:rPr>
                <w:rFonts w:hint="eastAsia" w:cs="Times New Roman"/>
                <w:i w:val="0"/>
                <w:iCs w:val="0"/>
                <w:color w:val="auto"/>
                <w:highlight w:val="none"/>
              </w:rPr>
              <w:t>项，投标人须知第</w:t>
            </w:r>
            <w:r>
              <w:rPr>
                <w:rFonts w:hint="default" w:ascii="Calibri" w:hAnsi="Calibri"/>
                <w:i w:val="0"/>
                <w:iCs w:val="0"/>
                <w:color w:val="auto"/>
                <w:highlight w:val="none"/>
              </w:rPr>
              <w:t>1.4.4</w:t>
            </w:r>
            <w:r>
              <w:rPr>
                <w:rFonts w:hint="eastAsia" w:ascii="Calibri" w:hAnsi="Calibri" w:cs="Times New Roman"/>
                <w:i w:val="0"/>
                <w:iCs w:val="0"/>
                <w:color w:val="auto"/>
                <w:highlight w:val="none"/>
              </w:rPr>
              <w:t>项、1.12</w:t>
            </w:r>
            <w:r>
              <w:rPr>
                <w:rFonts w:hint="eastAsia" w:cs="Times New Roman"/>
                <w:i w:val="0"/>
                <w:iCs w:val="0"/>
                <w:color w:val="auto"/>
                <w:highlight w:val="none"/>
              </w:rPr>
              <w:t>项和</w:t>
            </w:r>
            <w:r>
              <w:rPr>
                <w:rFonts w:hint="eastAsia" w:ascii="Calibri" w:hAnsi="Calibri" w:cs="Times New Roman"/>
                <w:i w:val="0"/>
                <w:iCs w:val="0"/>
                <w:color w:val="auto"/>
                <w:highlight w:val="none"/>
              </w:rPr>
              <w:t>3.6</w:t>
            </w:r>
            <w:r>
              <w:rPr>
                <w:rFonts w:hint="eastAsia" w:cs="Times New Roman"/>
                <w:i w:val="0"/>
                <w:iCs w:val="0"/>
                <w:color w:val="auto"/>
                <w:highlight w:val="none"/>
              </w:rPr>
              <w:t>项规定执行的；</w:t>
            </w:r>
          </w:p>
          <w:p w14:paraId="6A66F401">
            <w:pPr>
              <w:pStyle w:val="45"/>
              <w:keepNext w:val="0"/>
              <w:keepLines w:val="0"/>
              <w:suppressLineNumbers w:val="0"/>
              <w:snapToGrid w:val="0"/>
              <w:spacing w:before="0" w:beforeAutospacing="0" w:after="0" w:afterAutospacing="0" w:line="240" w:lineRule="auto"/>
              <w:ind w:left="0" w:right="0" w:firstLine="0" w:firstLineChars="0"/>
              <w:rPr>
                <w:rFonts w:hint="default" w:ascii="Calibri" w:hAnsi="Calibri"/>
                <w:i w:val="0"/>
                <w:iCs w:val="0"/>
                <w:color w:val="auto"/>
                <w:highlight w:val="none"/>
              </w:rPr>
            </w:pPr>
            <w:r>
              <w:rPr>
                <w:rFonts w:hint="eastAsia" w:cs="Times New Roman"/>
                <w:i w:val="0"/>
                <w:iCs w:val="0"/>
                <w:color w:val="auto"/>
                <w:highlight w:val="none"/>
              </w:rPr>
              <w:t>⑤</w:t>
            </w:r>
            <w:r>
              <w:rPr>
                <w:rFonts w:hint="eastAsia" w:ascii="Calibri" w:hAnsi="Calibri" w:cs="Times New Roman"/>
                <w:i w:val="0"/>
                <w:iCs w:val="0"/>
                <w:color w:val="auto"/>
                <w:highlight w:val="none"/>
              </w:rPr>
              <w:t>存在法律、法规、规章规定的其它否决投标情况的。</w:t>
            </w:r>
          </w:p>
          <w:p w14:paraId="7A5D2120">
            <w:pPr>
              <w:keepNext w:val="0"/>
              <w:keepLines w:val="0"/>
              <w:suppressLineNumbers w:val="0"/>
              <w:kinsoku w:val="0"/>
              <w:snapToGrid w:val="0"/>
              <w:spacing w:before="0" w:beforeAutospacing="0" w:after="0" w:afterAutospacing="0"/>
              <w:ind w:left="0" w:right="276" w:rightChars="115"/>
              <w:jc w:val="both"/>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注：凡评标委员会拟作出否决投标决定的，应先向投标人进行书面询问核对。</w:t>
            </w:r>
          </w:p>
        </w:tc>
      </w:tr>
      <w:tr w14:paraId="50C1BF2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6E158ED">
            <w:pPr>
              <w:pStyle w:val="44"/>
              <w:keepNext w:val="0"/>
              <w:keepLines w:val="0"/>
              <w:suppressLineNumbers w:val="0"/>
              <w:kinsoku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10.6</w:t>
            </w:r>
          </w:p>
        </w:tc>
        <w:tc>
          <w:tcPr>
            <w:tcW w:w="1826" w:type="dxa"/>
            <w:tcBorders>
              <w:top w:val="single" w:color="000000" w:sz="4" w:space="0"/>
              <w:left w:val="nil"/>
              <w:bottom w:val="single" w:color="000000" w:sz="4" w:space="0"/>
              <w:right w:val="single" w:color="000000" w:sz="4" w:space="0"/>
            </w:tcBorders>
            <w:noWrap/>
            <w:vAlign w:val="center"/>
          </w:tcPr>
          <w:p w14:paraId="1F2BA7CE">
            <w:pPr>
              <w:pStyle w:val="44"/>
              <w:keepNext w:val="0"/>
              <w:keepLines w:val="0"/>
              <w:suppressLineNumbers w:val="0"/>
              <w:kinsoku w:val="0"/>
              <w:spacing w:before="4"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特别说明</w:t>
            </w:r>
          </w:p>
        </w:tc>
        <w:tc>
          <w:tcPr>
            <w:tcW w:w="6272" w:type="dxa"/>
            <w:tcBorders>
              <w:top w:val="single" w:color="000000" w:sz="4" w:space="0"/>
              <w:left w:val="nil"/>
              <w:bottom w:val="single" w:color="000000" w:sz="4" w:space="0"/>
              <w:right w:val="single" w:color="000000" w:sz="4" w:space="0"/>
            </w:tcBorders>
            <w:noWrap/>
            <w:vAlign w:val="center"/>
          </w:tcPr>
          <w:p w14:paraId="7419687A">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1.本前附表是投标人须知正文内容的补充和细化，应当与正文内容一致。如本前附表与正文内容表述不一，以本前附表为准。</w:t>
            </w:r>
          </w:p>
          <w:p w14:paraId="5B30B8CB">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2.</w:t>
            </w:r>
            <w:r>
              <w:rPr>
                <w:rFonts w:hint="eastAsia" w:ascii="Wingdings 2" w:hAnsi="Wingdings 2" w:cs="Times New Roman"/>
                <w:i w:val="0"/>
                <w:iCs w:val="0"/>
                <w:color w:val="auto"/>
                <w:highlight w:val="none"/>
                <w:lang w:eastAsia="zh-CN"/>
              </w:rPr>
              <w:t>☑</w:t>
            </w:r>
            <w:r>
              <w:rPr>
                <w:rFonts w:hint="eastAsia" w:ascii="宋体" w:hAnsi="宋体" w:cs="Times New Roman"/>
                <w:i w:val="0"/>
                <w:iCs w:val="0"/>
                <w:color w:val="auto"/>
                <w:highlight w:val="none"/>
              </w:rPr>
              <w:t>监测设施经费保障要求：本工程处于安装监测设施工程范围，投标人扬尘控制及在线监测设施安装、运行费用应充分考虑并列入报价，在合同签订前应向招标人提供对应的实施方案。</w:t>
            </w:r>
          </w:p>
          <w:p w14:paraId="5D001CDA">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宋体" w:cs="Times New Roman"/>
                <w:i w:val="0"/>
                <w:iCs w:val="0"/>
                <w:color w:val="auto"/>
                <w:highlight w:val="none"/>
              </w:rPr>
              <w:t>3.暂估价：</w:t>
            </w:r>
          </w:p>
          <w:p w14:paraId="51EA784A">
            <w:pPr>
              <w:keepNext w:val="0"/>
              <w:keepLines w:val="0"/>
              <w:suppressLineNumbers w:val="0"/>
              <w:tabs>
                <w:tab w:val="left" w:pos="9360"/>
              </w:tabs>
              <w:spacing w:before="0" w:beforeAutospacing="0" w:after="0" w:afterAutospacing="0"/>
              <w:ind w:left="0" w:right="0"/>
              <w:rPr>
                <w:rFonts w:hint="eastAsia" w:hAnsi="宋体" w:cs="Times New Roman"/>
                <w:i w:val="0"/>
                <w:iCs w:val="0"/>
                <w:color w:val="auto"/>
                <w:highlight w:val="none"/>
                <w:u w:val="single"/>
                <w:lang w:val="en-US" w:eastAsia="zh-CN"/>
              </w:rPr>
            </w:pPr>
            <w:r>
              <w:rPr>
                <w:rFonts w:hint="default" w:ascii="Times New Roman" w:hAnsi="宋体" w:cs="Times New Roman"/>
                <w:i w:val="0"/>
                <w:iCs w:val="0"/>
                <w:color w:val="auto"/>
                <w:highlight w:val="none"/>
              </w:rPr>
              <w:t>（1）内容</w:t>
            </w:r>
            <w:r>
              <w:rPr>
                <w:rFonts w:hint="eastAsia" w:ascii="Times New Roman" w:hAnsi="宋体" w:cs="Times New Roman"/>
                <w:i w:val="0"/>
                <w:iCs w:val="0"/>
                <w:color w:val="auto"/>
                <w:highlight w:val="none"/>
              </w:rPr>
              <w:t>：</w:t>
            </w:r>
            <w:r>
              <w:rPr>
                <w:rFonts w:hint="eastAsia" w:ascii="Times New Roman" w:hAnsi="宋体" w:cs="Times New Roman"/>
                <w:i w:val="0"/>
                <w:iCs w:val="0"/>
                <w:color w:val="auto"/>
                <w:highlight w:val="none"/>
                <w:u w:val="single"/>
              </w:rPr>
              <w:t xml:space="preserve"> </w:t>
            </w:r>
            <w:r>
              <w:rPr>
                <w:rFonts w:hint="eastAsia" w:hAnsi="宋体" w:cs="Times New Roman"/>
                <w:i w:val="0"/>
                <w:iCs w:val="0"/>
                <w:color w:val="auto"/>
                <w:highlight w:val="none"/>
                <w:u w:val="single"/>
                <w:lang w:val="en-US" w:eastAsia="zh-CN"/>
              </w:rPr>
              <w:t>一期包含（B7、B8#楼、B9、B10、B11#楼</w:t>
            </w:r>
          </w:p>
          <w:p w14:paraId="4D7B5526">
            <w:pPr>
              <w:keepNext w:val="0"/>
              <w:keepLines w:val="0"/>
              <w:suppressLineNumbers w:val="0"/>
              <w:tabs>
                <w:tab w:val="left" w:pos="9360"/>
              </w:tabs>
              <w:spacing w:before="0" w:beforeAutospacing="0" w:after="0" w:afterAutospacing="0"/>
              <w:ind w:left="0" w:right="0"/>
              <w:rPr>
                <w:rFonts w:hint="eastAsia" w:hAnsi="宋体" w:cs="Times New Roman"/>
                <w:i w:val="0"/>
                <w:iCs w:val="0"/>
                <w:color w:val="auto"/>
                <w:highlight w:val="none"/>
                <w:u w:val="single"/>
                <w:lang w:val="en-US" w:eastAsia="zh-CN"/>
              </w:rPr>
            </w:pPr>
            <w:r>
              <w:rPr>
                <w:rFonts w:hint="eastAsia" w:hAnsi="宋体" w:cs="Times New Roman"/>
                <w:i w:val="0"/>
                <w:iCs w:val="0"/>
                <w:color w:val="auto"/>
                <w:highlight w:val="none"/>
                <w:u w:val="single"/>
                <w:lang w:val="en-US" w:eastAsia="zh-CN"/>
              </w:rPr>
              <w:t>B12#楼、B13#楼、B-14#（戏台）、幕墙工程、室内装饰</w:t>
            </w:r>
          </w:p>
          <w:p w14:paraId="4DAC8C87">
            <w:pPr>
              <w:keepNext w:val="0"/>
              <w:keepLines w:val="0"/>
              <w:suppressLineNumbers w:val="0"/>
              <w:tabs>
                <w:tab w:val="left" w:pos="9360"/>
              </w:tabs>
              <w:spacing w:before="0" w:beforeAutospacing="0" w:after="0" w:afterAutospacing="0"/>
              <w:ind w:left="0" w:right="0"/>
              <w:rPr>
                <w:rFonts w:hint="eastAsia" w:hAnsi="宋体" w:cs="Times New Roman"/>
                <w:i w:val="0"/>
                <w:iCs w:val="0"/>
                <w:color w:val="auto"/>
                <w:highlight w:val="none"/>
                <w:u w:val="single"/>
                <w:lang w:val="en-US" w:eastAsia="zh-CN"/>
              </w:rPr>
            </w:pPr>
            <w:r>
              <w:rPr>
                <w:rFonts w:hint="eastAsia" w:hAnsi="宋体" w:cs="Times New Roman"/>
                <w:i w:val="0"/>
                <w:iCs w:val="0"/>
                <w:color w:val="auto"/>
                <w:highlight w:val="none"/>
                <w:u w:val="single"/>
                <w:lang w:val="en-US" w:eastAsia="zh-CN"/>
              </w:rPr>
              <w:t>泛光照明、1#、2#、3#、4#栈道、水岸平台廊架36*8m、护坡挡墙、健林区 运动器械组合一~三、蹦蹦床、攀爬洞、码头 河坎40m、南侧湖畔水岸护岸、精神堡垒、构架、2#桥</w:t>
            </w:r>
          </w:p>
          <w:p w14:paraId="615006BB">
            <w:pPr>
              <w:keepNext w:val="0"/>
              <w:keepLines w:val="0"/>
              <w:suppressLineNumbers w:val="0"/>
              <w:tabs>
                <w:tab w:val="left" w:pos="9360"/>
              </w:tabs>
              <w:spacing w:before="0" w:beforeAutospacing="0" w:after="0" w:afterAutospacing="0"/>
              <w:ind w:left="0" w:right="0"/>
              <w:rPr>
                <w:rFonts w:hint="default" w:ascii="Times New Roman" w:hAnsi="宋体" w:cs="Times New Roman"/>
                <w:i w:val="0"/>
                <w:iCs w:val="0"/>
                <w:color w:val="auto"/>
                <w:highlight w:val="none"/>
              </w:rPr>
            </w:pPr>
            <w:r>
              <w:rPr>
                <w:rFonts w:hint="eastAsia" w:hAnsi="宋体" w:cs="Times New Roman"/>
                <w:i w:val="0"/>
                <w:iCs w:val="0"/>
                <w:color w:val="auto"/>
                <w:highlight w:val="none"/>
                <w:u w:val="single"/>
                <w:lang w:val="en-US" w:eastAsia="zh-CN"/>
              </w:rPr>
              <w:t>4#人行桥3*8m、5#箱涵、户外景观部分标识、标线、单项双车道辅道、钢筋混凝土雨水调蓄池400m3，包含设备、钢筋混凝土化粪池100m3）；二期包含幕墙、A9#楼、室内装饰、建筑及室内部分标识、户外景观部分标识、标线、单项双车道辅道、景观塔、1#桥梁、5#栈道、6#栈道、儿童区廊桥、泛光照明</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 xml:space="preserve">  </w:t>
            </w:r>
          </w:p>
          <w:p w14:paraId="7AAE87DB">
            <w:pPr>
              <w:keepNext w:val="0"/>
              <w:keepLines w:val="0"/>
              <w:numPr>
                <w:ilvl w:val="0"/>
                <w:numId w:val="10"/>
              </w:numPr>
              <w:suppressLineNumbers w:val="0"/>
              <w:spacing w:before="0" w:beforeAutospacing="0" w:after="0" w:afterAutospacing="0"/>
              <w:ind w:left="0" w:right="0"/>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金额：</w:t>
            </w:r>
            <w:r>
              <w:rPr>
                <w:rFonts w:hint="eastAsia" w:ascii="Times New Roman" w:hAnsi="宋体" w:cs="Times New Roman"/>
                <w:i w:val="0"/>
                <w:iCs w:val="0"/>
                <w:color w:val="auto"/>
                <w:highlight w:val="none"/>
                <w:u w:val="single"/>
              </w:rPr>
              <w:t xml:space="preserve"> </w:t>
            </w:r>
            <w:r>
              <w:rPr>
                <w:rFonts w:hint="eastAsia" w:hAnsi="宋体" w:cs="Times New Roman"/>
                <w:i w:val="0"/>
                <w:iCs w:val="0"/>
                <w:color w:val="auto"/>
                <w:highlight w:val="none"/>
                <w:u w:val="single"/>
                <w:lang w:val="en-US" w:eastAsia="zh-CN"/>
              </w:rPr>
              <w:t>139286510元</w:t>
            </w:r>
            <w:r>
              <w:rPr>
                <w:rFonts w:hint="eastAsia" w:ascii="Times New Roman" w:hAnsi="宋体" w:cs="Times New Roman"/>
                <w:i w:val="0"/>
                <w:iCs w:val="0"/>
                <w:color w:val="auto"/>
                <w:highlight w:val="none"/>
              </w:rPr>
              <w:t>；</w:t>
            </w:r>
            <w:r>
              <w:rPr>
                <w:rFonts w:hint="default" w:ascii="Times New Roman" w:hAnsi="宋体" w:cs="Times New Roman"/>
                <w:i w:val="0"/>
                <w:iCs w:val="0"/>
                <w:color w:val="auto"/>
                <w:highlight w:val="none"/>
              </w:rPr>
              <w:t xml:space="preserve">  </w:t>
            </w:r>
          </w:p>
          <w:p w14:paraId="51ECADE0">
            <w:pPr>
              <w:keepNext w:val="0"/>
              <w:keepLines w:val="0"/>
              <w:numPr>
                <w:ilvl w:val="0"/>
                <w:numId w:val="10"/>
              </w:numPr>
              <w:suppressLineNumbers w:val="0"/>
              <w:spacing w:before="0" w:beforeAutospacing="0" w:after="0" w:afterAutospacing="0"/>
              <w:ind w:left="0" w:right="0"/>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占招标控制价比例：</w:t>
            </w:r>
            <w:r>
              <w:rPr>
                <w:rFonts w:hint="eastAsia" w:ascii="Times New Roman" w:hAnsi="宋体" w:cs="Times New Roman"/>
                <w:i w:val="0"/>
                <w:iCs w:val="0"/>
                <w:color w:val="auto"/>
                <w:highlight w:val="none"/>
                <w:u w:val="single"/>
              </w:rPr>
              <w:t xml:space="preserve"> </w:t>
            </w:r>
            <w:r>
              <w:rPr>
                <w:rFonts w:hint="eastAsia" w:hAnsi="宋体" w:cs="Times New Roman"/>
                <w:i w:val="0"/>
                <w:iCs w:val="0"/>
                <w:color w:val="auto"/>
                <w:highlight w:val="none"/>
                <w:u w:val="single"/>
                <w:lang w:val="en-US" w:eastAsia="zh-CN"/>
              </w:rPr>
              <w:t>19.52%</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p w14:paraId="5EF8128F">
            <w:pPr>
              <w:keepNext w:val="0"/>
              <w:keepLines w:val="0"/>
              <w:suppressLineNumbers w:val="0"/>
              <w:spacing w:before="0" w:beforeAutospacing="0" w:after="0" w:afterAutospacing="0"/>
              <w:ind w:left="0" w:right="0"/>
              <w:rPr>
                <w:rFonts w:hint="default" w:ascii="Times New Roman" w:hAnsi="宋体" w:cs="Times New Roman"/>
                <w:i w:val="0"/>
                <w:iCs w:val="0"/>
                <w:color w:val="auto"/>
                <w:highlight w:val="none"/>
              </w:rPr>
            </w:pPr>
            <w:r>
              <w:rPr>
                <w:rFonts w:hint="default" w:ascii="宋体" w:hAnsi="宋体" w:cs="Times New Roman"/>
                <w:i w:val="0"/>
                <w:iCs w:val="0"/>
                <w:color w:val="auto"/>
                <w:highlight w:val="none"/>
              </w:rPr>
              <w:t>□</w:t>
            </w:r>
            <w:r>
              <w:rPr>
                <w:rFonts w:hint="default" w:ascii="Times New Roman" w:hAnsi="宋体" w:cs="Times New Roman"/>
                <w:i w:val="0"/>
                <w:iCs w:val="0"/>
                <w:color w:val="auto"/>
                <w:highlight w:val="none"/>
              </w:rPr>
              <w:t>（</w:t>
            </w:r>
            <w:r>
              <w:rPr>
                <w:rFonts w:hint="eastAsia" w:ascii="Times New Roman" w:hAnsi="宋体" w:cs="Times New Roman"/>
                <w:i w:val="0"/>
                <w:iCs w:val="0"/>
                <w:color w:val="auto"/>
                <w:highlight w:val="none"/>
              </w:rPr>
              <w:t>4</w:t>
            </w:r>
            <w:r>
              <w:rPr>
                <w:rFonts w:hint="default" w:ascii="Times New Roman" w:hAnsi="宋体" w:cs="Times New Roman"/>
                <w:i w:val="0"/>
                <w:iCs w:val="0"/>
                <w:color w:val="auto"/>
                <w:highlight w:val="none"/>
              </w:rPr>
              <w:t>）</w:t>
            </w:r>
            <w:r>
              <w:rPr>
                <w:rFonts w:hint="eastAsia" w:ascii="Times New Roman" w:hAnsi="宋体" w:cs="Times New Roman"/>
                <w:i w:val="0"/>
                <w:iCs w:val="0"/>
                <w:color w:val="auto"/>
                <w:highlight w:val="none"/>
              </w:rPr>
              <w:t>招标计划及内容：</w:t>
            </w:r>
            <w:r>
              <w:rPr>
                <w:rFonts w:hint="eastAsia" w:ascii="Times New Roman" w:hAnsi="宋体" w:cs="Times New Roman"/>
                <w:i w:val="0"/>
                <w:iCs w:val="0"/>
                <w:color w:val="auto"/>
                <w:highlight w:val="none"/>
                <w:u w:val="single"/>
              </w:rPr>
              <w:t xml:space="preserve">                。</w:t>
            </w:r>
            <w:r>
              <w:rPr>
                <w:rFonts w:hint="default" w:ascii="Times New Roman" w:hAnsi="宋体" w:cs="Times New Roman"/>
                <w:i w:val="0"/>
                <w:iCs w:val="0"/>
                <w:color w:val="auto"/>
                <w:highlight w:val="none"/>
              </w:rPr>
              <w:t xml:space="preserve"> </w:t>
            </w:r>
          </w:p>
          <w:p w14:paraId="55A503D8">
            <w:pPr>
              <w:keepNext w:val="0"/>
              <w:keepLines w:val="0"/>
              <w:suppressLineNumbers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4.建筑工人实名制管理和经费保障要求：</w:t>
            </w:r>
            <w:r>
              <w:rPr>
                <w:rFonts w:hint="eastAsia" w:ascii="宋体" w:hAnsi="宋体" w:cs="Times New Roman"/>
                <w:i w:val="0"/>
                <w:iCs w:val="0"/>
                <w:color w:val="auto"/>
                <w:highlight w:val="none"/>
                <w:u w:val="single"/>
              </w:rPr>
              <w:t xml:space="preserve">              </w:t>
            </w:r>
          </w:p>
          <w:p w14:paraId="1A30B04E">
            <w:pPr>
              <w:keepNext w:val="0"/>
              <w:keepLines w:val="0"/>
              <w:suppressLineNumbers w:val="0"/>
              <w:spacing w:before="0" w:beforeAutospacing="0" w:after="0" w:afterAutospacing="0"/>
              <w:ind w:left="0" w:right="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5.价款结算方式：</w:t>
            </w:r>
          </w:p>
          <w:p w14:paraId="2C493558">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宋体" w:hAnsi="宋体" w:cs="Times New Roman"/>
                <w:i w:val="0"/>
                <w:iCs w:val="0"/>
                <w:color w:val="auto"/>
                <w:highlight w:val="none"/>
              </w:rPr>
              <w:t>竣工后一次性结算</w:t>
            </w:r>
          </w:p>
          <w:p w14:paraId="27F1D730">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□施工过程分段结算：□房建工程分段节点</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（如可按桩基工程、地下室工程、地上主体结构工程和装饰装修工程划分，或分专业、分单项等）；□市政工程分段节点按划分</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748486CD">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6.农民工工资保证金：</w:t>
            </w:r>
          </w:p>
          <w:p w14:paraId="244883EB">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（1）投标人应在投标前仔细核查本企业农民工工资保证金缴纳情况，应按当地有关农民工工资保证金管理制度执行。</w:t>
            </w:r>
          </w:p>
          <w:p w14:paraId="30297C2E">
            <w:pPr>
              <w:keepNext w:val="0"/>
              <w:keepLines w:val="0"/>
              <w:suppressLineNumbers w:val="0"/>
              <w:spacing w:before="0" w:beforeAutospacing="0" w:after="0" w:afterAutospacing="0"/>
              <w:ind w:left="0" w:right="0"/>
              <w:rPr>
                <w:rFonts w:hint="eastAsia" w:ascii="宋体" w:hAnsi="宋体" w:cs="Times New Roman"/>
                <w:i w:val="0"/>
                <w:iCs w:val="0"/>
                <w:color w:val="auto"/>
                <w:highlight w:val="none"/>
              </w:rPr>
            </w:pPr>
            <w:r>
              <w:rPr>
                <w:rFonts w:hint="eastAsia" w:ascii="宋体" w:hAnsi="宋体" w:cs="Times New Roman"/>
                <w:i w:val="0"/>
                <w:iCs w:val="0"/>
                <w:color w:val="auto"/>
                <w:highlight w:val="none"/>
              </w:rPr>
              <w:t>（2）农民工工资支付按照当地相关文件执行，具体在合同专用条款中明确。</w:t>
            </w:r>
          </w:p>
          <w:p w14:paraId="2A33198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7</w:t>
            </w:r>
            <w:r>
              <w:rPr>
                <w:rFonts w:hint="default" w:ascii="Times New Roman" w:hAnsi="Times New Roman" w:cs="Times New Roman"/>
                <w:i w:val="0"/>
                <w:iCs w:val="0"/>
                <w:color w:val="auto"/>
                <w:highlight w:val="none"/>
              </w:rPr>
              <w:t>.招标人应当按规定向中标人提供工程款支付担保</w:t>
            </w:r>
          </w:p>
          <w:p w14:paraId="2224AC2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u w:val="single"/>
              </w:rPr>
            </w:pPr>
            <w:r>
              <w:rPr>
                <w:rFonts w:hint="eastAsia" w:ascii="宋体" w:hAnsi="宋体" w:cs="Times New Roman"/>
                <w:i w:val="0"/>
                <w:iCs w:val="0"/>
                <w:color w:val="auto"/>
                <w:highlight w:val="none"/>
              </w:rPr>
              <w:t>□</w:t>
            </w:r>
            <w:r>
              <w:rPr>
                <w:rFonts w:hint="eastAsia" w:ascii="Times New Roman" w:hAnsi="Times New Roman" w:cs="Times New Roman"/>
                <w:i w:val="0"/>
                <w:iCs w:val="0"/>
                <w:color w:val="auto"/>
                <w:highlight w:val="none"/>
              </w:rPr>
              <w:t>8</w:t>
            </w:r>
            <w:r>
              <w:rPr>
                <w:rFonts w:hint="default" w:ascii="Times New Roman" w:hAnsi="Times New Roman" w:cs="Times New Roman"/>
                <w:i w:val="0"/>
                <w:iCs w:val="0"/>
                <w:color w:val="auto"/>
                <w:highlight w:val="none"/>
              </w:rPr>
              <w:t>.</w:t>
            </w:r>
            <w:r>
              <w:rPr>
                <w:rFonts w:hint="eastAsia" w:ascii="Times New Roman" w:hAnsi="Times New Roman" w:cs="Times New Roman"/>
                <w:i w:val="0"/>
                <w:iCs w:val="0"/>
                <w:color w:val="auto"/>
                <w:highlight w:val="none"/>
              </w:rPr>
              <w:t>实施BIM</w:t>
            </w:r>
            <w:r>
              <w:rPr>
                <w:rFonts w:hint="eastAsia" w:ascii="宋体" w:hAnsi="宋体" w:cs="Times New Roman"/>
                <w:i w:val="0"/>
                <w:iCs w:val="0"/>
                <w:color w:val="auto"/>
                <w:highlight w:val="none"/>
              </w:rPr>
              <w:t>的内容：</w:t>
            </w:r>
            <w:r>
              <w:rPr>
                <w:rFonts w:hint="eastAsia" w:ascii="Times New Roman" w:hAnsi="Times New Roman" w:cs="Times New Roman"/>
                <w:i w:val="0"/>
                <w:iCs w:val="0"/>
                <w:color w:val="auto"/>
                <w:highlight w:val="none"/>
                <w:u w:val="single"/>
              </w:rPr>
              <w:t xml:space="preserve">                </w:t>
            </w:r>
            <w:r>
              <w:rPr>
                <w:rFonts w:hint="eastAsia" w:ascii="Times New Roman" w:hAnsi="Times New Roman" w:cs="Times New Roman"/>
                <w:i w:val="0"/>
                <w:iCs w:val="0"/>
                <w:color w:val="auto"/>
                <w:highlight w:val="none"/>
              </w:rPr>
              <w:t>。</w:t>
            </w:r>
          </w:p>
          <w:p w14:paraId="0C55753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lang w:eastAsia="zh-CN"/>
              </w:rPr>
              <w:t>☑</w:t>
            </w:r>
            <w:r>
              <w:rPr>
                <w:rFonts w:hint="eastAsia" w:ascii="Times New Roman" w:hAnsi="Times New Roman" w:cs="Times New Roman"/>
                <w:i w:val="0"/>
                <w:iCs w:val="0"/>
                <w:color w:val="auto"/>
                <w:highlight w:val="none"/>
              </w:rPr>
              <w:t>9</w:t>
            </w:r>
            <w:r>
              <w:rPr>
                <w:rFonts w:hint="default" w:ascii="Times New Roman" w:hAnsi="Times New Roman" w:cs="Times New Roman"/>
                <w:i w:val="0"/>
                <w:iCs w:val="0"/>
                <w:color w:val="auto"/>
                <w:highlight w:val="none"/>
              </w:rPr>
              <w:t>.</w:t>
            </w:r>
            <w:r>
              <w:rPr>
                <w:rFonts w:hint="eastAsia" w:ascii="Times New Roman" w:hAnsi="Times New Roman" w:cs="Times New Roman"/>
                <w:i w:val="0"/>
                <w:iCs w:val="0"/>
                <w:color w:val="auto"/>
                <w:highlight w:val="none"/>
              </w:rPr>
              <w:t>投标人存在撤销投标文件和无正当理由放弃中标、不与招标人签订书面合同等情形或被行政部门查实存在违法行为，招标人重新招标的，招标人可以拒绝投标人再次投标该项目。</w:t>
            </w:r>
          </w:p>
          <w:p w14:paraId="715DAC60">
            <w:pPr>
              <w:keepNext w:val="0"/>
              <w:keepLines w:val="0"/>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u w:val="single"/>
              </w:rPr>
            </w:pPr>
            <w:r>
              <w:rPr>
                <w:rFonts w:hint="eastAsia" w:ascii="Times New Roman" w:hAnsi="宋体" w:cs="Times New Roman"/>
                <w:i w:val="0"/>
                <w:iCs w:val="0"/>
                <w:color w:val="auto"/>
                <w:highlight w:val="none"/>
              </w:rPr>
              <w:t>10.创安全文明标准化工地等级要求：</w:t>
            </w:r>
            <w:r>
              <w:rPr>
                <w:rFonts w:hint="eastAsia" w:ascii="Times New Roman" w:hAnsi="宋体" w:cs="Times New Roman"/>
                <w:i w:val="0"/>
                <w:iCs w:val="0"/>
                <w:color w:val="auto"/>
                <w:highlight w:val="none"/>
                <w:u w:val="single"/>
              </w:rPr>
              <w:t>按合同相关条款执行</w:t>
            </w:r>
          </w:p>
          <w:p w14:paraId="60811D9A">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11.本招标文件项目负责人一般情况下是指项目经理。</w:t>
            </w:r>
          </w:p>
          <w:p w14:paraId="4D738138">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42369136">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13.工伤保险按相关规定要求执行。</w:t>
            </w:r>
          </w:p>
          <w:p w14:paraId="605BA80D">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14.本招标文件信用评价执行《浙江省建筑施工企业信用评价的实施意见》 《浙江省注册建造师信用评价的实施意见》。</w:t>
            </w:r>
          </w:p>
          <w:p w14:paraId="17EA43A6">
            <w:pPr>
              <w:keepNext w:val="0"/>
              <w:keepLines w:val="0"/>
              <w:suppressLineNumbers w:val="0"/>
              <w:spacing w:before="0" w:beforeAutospacing="0" w:after="0" w:afterAutospacing="0"/>
              <w:ind w:left="0" w:right="0"/>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15.投标人应在投标前自行做好“浙江省建筑市场监管公共服务系统”相关信息的维护工作，并对企业资质、人员资格、项目状况、信用评价等信息的真实性、准确性、完整性负责。</w:t>
            </w:r>
          </w:p>
          <w:p w14:paraId="6D06A36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宋体" w:cs="Times New Roman"/>
                <w:i w:val="0"/>
                <w:iCs w:val="0"/>
                <w:color w:val="auto"/>
                <w:highlight w:val="none"/>
              </w:rPr>
              <w:t>16.其他：</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u w:val="single"/>
                <w:lang w:val="en-US" w:eastAsia="zh-CN"/>
              </w:rPr>
              <w:t>/</w:t>
            </w:r>
            <w:r>
              <w:rPr>
                <w:rFonts w:hint="eastAsia" w:ascii="Times New Roman" w:hAnsi="宋体" w:cs="Times New Roman"/>
                <w:i w:val="0"/>
                <w:iCs w:val="0"/>
                <w:color w:val="auto"/>
                <w:highlight w:val="none"/>
                <w:u w:val="single"/>
              </w:rPr>
              <w:t xml:space="preserve">           </w:t>
            </w:r>
            <w:r>
              <w:rPr>
                <w:rFonts w:hint="eastAsia" w:ascii="Times New Roman" w:hAnsi="宋体" w:cs="Times New Roman"/>
                <w:i w:val="0"/>
                <w:iCs w:val="0"/>
                <w:color w:val="auto"/>
                <w:highlight w:val="none"/>
              </w:rPr>
              <w:t>。</w:t>
            </w:r>
          </w:p>
        </w:tc>
      </w:tr>
      <w:tr w14:paraId="31D8A59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971DFC0">
            <w:pPr>
              <w:pStyle w:val="45"/>
              <w:keepNext w:val="0"/>
              <w:keepLines w:val="0"/>
              <w:suppressLineNumbers w:val="0"/>
              <w:tabs>
                <w:tab w:val="left" w:pos="3376"/>
              </w:tabs>
              <w:snapToGrid w:val="0"/>
              <w:spacing w:before="0" w:beforeAutospacing="0" w:after="0" w:afterAutospacing="0" w:line="240" w:lineRule="auto"/>
              <w:ind w:left="0" w:right="0" w:firstLine="0" w:firstLineChars="0"/>
              <w:jc w:val="center"/>
              <w:rPr>
                <w:rFonts w:hint="eastAsia"/>
                <w:i w:val="0"/>
                <w:iCs w:val="0"/>
                <w:color w:val="auto"/>
                <w:highlight w:val="none"/>
              </w:rPr>
            </w:pPr>
            <w:r>
              <w:rPr>
                <w:rFonts w:hint="default" w:ascii="Times New Roman" w:cs="Times New Roman"/>
                <w:i w:val="0"/>
                <w:iCs w:val="0"/>
                <w:color w:val="auto"/>
                <w:highlight w:val="none"/>
              </w:rPr>
              <w:t>10.</w:t>
            </w:r>
            <w:r>
              <w:rPr>
                <w:rFonts w:hint="eastAsia" w:ascii="Times New Roman" w:cs="Times New Roman"/>
                <w:i w:val="0"/>
                <w:iCs w:val="0"/>
                <w:color w:val="auto"/>
                <w:highlight w:val="none"/>
              </w:rPr>
              <w:t>7</w:t>
            </w:r>
          </w:p>
        </w:tc>
        <w:tc>
          <w:tcPr>
            <w:tcW w:w="1826" w:type="dxa"/>
            <w:tcBorders>
              <w:top w:val="single" w:color="000000" w:sz="4" w:space="0"/>
              <w:left w:val="nil"/>
              <w:bottom w:val="single" w:color="000000" w:sz="4" w:space="0"/>
              <w:right w:val="single" w:color="000000" w:sz="4" w:space="0"/>
            </w:tcBorders>
            <w:noWrap/>
            <w:vAlign w:val="center"/>
          </w:tcPr>
          <w:p w14:paraId="68F40FEA">
            <w:pPr>
              <w:pStyle w:val="45"/>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eastAsia"/>
                <w:i w:val="0"/>
                <w:iCs w:val="0"/>
                <w:color w:val="auto"/>
                <w:highlight w:val="none"/>
              </w:rPr>
            </w:pPr>
            <w:r>
              <w:rPr>
                <w:rFonts w:hint="default" w:ascii="Times New Roman" w:cs="Times New Roman"/>
                <w:i w:val="0"/>
                <w:iCs w:val="0"/>
                <w:color w:val="auto"/>
                <w:highlight w:val="none"/>
              </w:rPr>
              <w:t>异议与投诉</w:t>
            </w:r>
          </w:p>
        </w:tc>
        <w:tc>
          <w:tcPr>
            <w:tcW w:w="6272" w:type="dxa"/>
            <w:tcBorders>
              <w:top w:val="single" w:color="000000" w:sz="4" w:space="0"/>
              <w:left w:val="nil"/>
              <w:bottom w:val="single" w:color="000000" w:sz="4" w:space="0"/>
              <w:right w:val="single" w:color="000000" w:sz="4" w:space="0"/>
            </w:tcBorders>
            <w:noWrap/>
            <w:vAlign w:val="center"/>
          </w:tcPr>
          <w:p w14:paraId="1869B6A5">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1.异议：</w:t>
            </w:r>
          </w:p>
          <w:p w14:paraId="6AA0656F">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4ABD5E33">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6616DAE1">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3A1EF446">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（4）其他：</w:t>
            </w:r>
            <w:r>
              <w:rPr>
                <w:rFonts w:hint="eastAsia" w:ascii="Times New Roman" w:cs="Times New Roman"/>
                <w:i w:val="0"/>
                <w:iCs w:val="0"/>
                <w:color w:val="auto"/>
                <w:highlight w:val="none"/>
                <w:u w:val="single"/>
                <w:lang w:val="en-US" w:eastAsia="zh-CN"/>
              </w:rPr>
              <w:t>/</w:t>
            </w:r>
            <w:r>
              <w:rPr>
                <w:rFonts w:hint="default" w:ascii="Times New Roman" w:cs="Times New Roman"/>
                <w:i w:val="0"/>
                <w:iCs w:val="0"/>
                <w:color w:val="auto"/>
                <w:highlight w:val="none"/>
                <w:u w:val="single"/>
              </w:rPr>
              <w:t xml:space="preserve">    </w:t>
            </w:r>
            <w:r>
              <w:rPr>
                <w:rFonts w:hint="default" w:ascii="Times New Roman" w:cs="Times New Roman"/>
                <w:i w:val="0"/>
                <w:iCs w:val="0"/>
                <w:color w:val="auto"/>
                <w:highlight w:val="none"/>
              </w:rPr>
              <w:t>。</w:t>
            </w:r>
          </w:p>
          <w:p w14:paraId="54F9AA7B">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2.投诉：</w:t>
            </w:r>
          </w:p>
          <w:p w14:paraId="73D1D077">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09CF37F4">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（2）其他：</w:t>
            </w:r>
            <w:r>
              <w:rPr>
                <w:rFonts w:hint="eastAsia" w:ascii="Times New Roman" w:cs="Times New Roman"/>
                <w:i w:val="0"/>
                <w:iCs w:val="0"/>
                <w:color w:val="auto"/>
                <w:highlight w:val="none"/>
                <w:u w:val="single"/>
                <w:lang w:val="en-US" w:eastAsia="zh-CN"/>
              </w:rPr>
              <w:t>/</w:t>
            </w:r>
            <w:r>
              <w:rPr>
                <w:rFonts w:hint="default" w:ascii="Times New Roman" w:cs="Times New Roman"/>
                <w:i w:val="0"/>
                <w:iCs w:val="0"/>
                <w:color w:val="auto"/>
                <w:highlight w:val="none"/>
                <w:u w:val="single"/>
              </w:rPr>
              <w:t xml:space="preserve">        </w:t>
            </w:r>
            <w:r>
              <w:rPr>
                <w:rFonts w:hint="default" w:ascii="Times New Roman" w:cs="Times New Roman"/>
                <w:i w:val="0"/>
                <w:iCs w:val="0"/>
                <w:color w:val="auto"/>
                <w:highlight w:val="none"/>
              </w:rPr>
              <w:t>。</w:t>
            </w:r>
          </w:p>
          <w:p w14:paraId="0A218E06">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eastAsia" w:ascii="Times New Roman" w:cs="Times New Roman"/>
                <w:i w:val="0"/>
                <w:iCs w:val="0"/>
                <w:color w:val="auto"/>
                <w:highlight w:val="none"/>
              </w:rPr>
            </w:pPr>
            <w:r>
              <w:rPr>
                <w:rFonts w:hint="eastAsia" w:ascii="Times New Roman" w:cs="Times New Roman"/>
                <w:i w:val="0"/>
                <w:iCs w:val="0"/>
                <w:color w:val="auto"/>
                <w:highlight w:val="none"/>
              </w:rPr>
              <w:t>3.上述时限最后一日如遇国家法定节假日的，顺延至法定节假日后的第一个工作日。</w:t>
            </w:r>
          </w:p>
          <w:p w14:paraId="00D27B20">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eastAsia" w:ascii="Times New Roman" w:cs="Times New Roman"/>
                <w:i w:val="0"/>
                <w:iCs w:val="0"/>
                <w:color w:val="auto"/>
                <w:highlight w:val="none"/>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5F26AC4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F99E90">
            <w:pPr>
              <w:pStyle w:val="45"/>
              <w:keepNext w:val="0"/>
              <w:keepLines w:val="0"/>
              <w:suppressLineNumbers w:val="0"/>
              <w:tabs>
                <w:tab w:val="left" w:pos="3376"/>
              </w:tabs>
              <w:snapToGrid w:val="0"/>
              <w:spacing w:before="0" w:beforeAutospacing="0" w:after="0" w:afterAutospacing="0" w:line="240" w:lineRule="auto"/>
              <w:ind w:left="0" w:right="0" w:firstLine="0" w:firstLineChars="0"/>
              <w:jc w:val="center"/>
              <w:rPr>
                <w:rFonts w:hint="eastAsia"/>
                <w:i w:val="0"/>
                <w:iCs w:val="0"/>
                <w:color w:val="auto"/>
                <w:highlight w:val="none"/>
              </w:rPr>
            </w:pPr>
            <w:r>
              <w:rPr>
                <w:rFonts w:hint="default" w:ascii="Times New Roman" w:cs="Times New Roman"/>
                <w:i w:val="0"/>
                <w:iCs w:val="0"/>
                <w:color w:val="auto"/>
                <w:highlight w:val="none"/>
              </w:rPr>
              <w:t>10.</w:t>
            </w:r>
            <w:r>
              <w:rPr>
                <w:rFonts w:hint="eastAsia" w:ascii="Times New Roman" w:cs="Times New Roman"/>
                <w:i w:val="0"/>
                <w:iCs w:val="0"/>
                <w:color w:val="auto"/>
                <w:highlight w:val="none"/>
              </w:rPr>
              <w:t>8</w:t>
            </w:r>
          </w:p>
        </w:tc>
        <w:tc>
          <w:tcPr>
            <w:tcW w:w="1826" w:type="dxa"/>
            <w:tcBorders>
              <w:top w:val="single" w:color="000000" w:sz="4" w:space="0"/>
              <w:left w:val="nil"/>
              <w:bottom w:val="single" w:color="000000" w:sz="4" w:space="0"/>
              <w:right w:val="single" w:color="000000" w:sz="4" w:space="0"/>
            </w:tcBorders>
            <w:noWrap/>
            <w:vAlign w:val="center"/>
          </w:tcPr>
          <w:p w14:paraId="198BF413">
            <w:pPr>
              <w:pStyle w:val="45"/>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eastAsia"/>
                <w:i w:val="0"/>
                <w:iCs w:val="0"/>
                <w:color w:val="auto"/>
                <w:highlight w:val="none"/>
              </w:rPr>
            </w:pPr>
            <w:r>
              <w:rPr>
                <w:rFonts w:hint="default" w:ascii="Times New Roman" w:cs="Times New Roman"/>
                <w:i w:val="0"/>
                <w:iCs w:val="0"/>
                <w:color w:val="auto"/>
                <w:highlight w:val="none"/>
              </w:rPr>
              <w:t>定标前</w:t>
            </w:r>
            <w:r>
              <w:rPr>
                <w:rFonts w:hint="eastAsia" w:ascii="Times New Roman" w:cs="Times New Roman"/>
                <w:i w:val="0"/>
                <w:iCs w:val="0"/>
                <w:color w:val="auto"/>
                <w:highlight w:val="none"/>
              </w:rPr>
              <w:t>核查</w:t>
            </w:r>
          </w:p>
        </w:tc>
        <w:tc>
          <w:tcPr>
            <w:tcW w:w="6272" w:type="dxa"/>
            <w:tcBorders>
              <w:top w:val="single" w:color="000000" w:sz="4" w:space="0"/>
              <w:left w:val="nil"/>
              <w:bottom w:val="single" w:color="000000" w:sz="4" w:space="0"/>
              <w:right w:val="single" w:color="000000" w:sz="4" w:space="0"/>
            </w:tcBorders>
            <w:noWrap/>
            <w:vAlign w:val="center"/>
          </w:tcPr>
          <w:p w14:paraId="3E23F2FF">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1.招标人定标前，将组织:</w:t>
            </w:r>
          </w:p>
          <w:p w14:paraId="4218A3F0">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（1）核验《安全生产许可证》和有效的安全生产考核合格证书；</w:t>
            </w:r>
            <w:r>
              <w:rPr>
                <w:rFonts w:hint="eastAsia" w:ascii="Times New Roman" w:cs="Times New Roman"/>
                <w:i w:val="0"/>
                <w:iCs w:val="0"/>
                <w:color w:val="auto"/>
                <w:highlight w:val="none"/>
              </w:rPr>
              <w:t>资质动态核查处于“合格”状态(根据相关文件要求进行核查)。</w:t>
            </w:r>
          </w:p>
          <w:p w14:paraId="09DC8D16">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i w:val="0"/>
                <w:iCs w:val="0"/>
                <w:color w:val="auto"/>
                <w:highlight w:val="none"/>
              </w:rPr>
            </w:pPr>
            <w:r>
              <w:rPr>
                <w:rFonts w:hint="default" w:ascii="Times New Roman" w:cs="Times New Roman"/>
                <w:i w:val="0"/>
                <w:iCs w:val="0"/>
                <w:color w:val="auto"/>
                <w:highlight w:val="none"/>
              </w:rPr>
              <w:t>（2）查询拟中标人及拟派项目负责人等是否符合招标公告“（三）其他”的要求。</w:t>
            </w:r>
          </w:p>
          <w:p w14:paraId="6C8FFAD6">
            <w:pPr>
              <w:pStyle w:val="45"/>
              <w:keepNext w:val="0"/>
              <w:keepLines w:val="0"/>
              <w:suppressLineNumbers w:val="0"/>
              <w:tabs>
                <w:tab w:val="left" w:pos="3376"/>
              </w:tabs>
              <w:snapToGrid w:val="0"/>
              <w:spacing w:before="0" w:beforeAutospacing="0" w:after="0" w:afterAutospacing="0" w:line="240" w:lineRule="auto"/>
              <w:ind w:left="0" w:right="0" w:firstLine="0" w:firstLineChars="0"/>
              <w:rPr>
                <w:rFonts w:hint="eastAsia" w:ascii="Times New Roman" w:cs="Times New Roman"/>
                <w:i w:val="0"/>
                <w:iCs w:val="0"/>
                <w:color w:val="auto"/>
                <w:highlight w:val="none"/>
              </w:rPr>
            </w:pPr>
            <w:r>
              <w:rPr>
                <w:rFonts w:hint="eastAsia" w:ascii="Times New Roman" w:cs="Times New Roman"/>
                <w:i w:val="0"/>
                <w:iCs w:val="0"/>
                <w:color w:val="auto"/>
                <w:highlight w:val="none"/>
              </w:rPr>
              <w:t>□（3）面向中小企业招标的，核验中标候选人的中小企业身份。</w:t>
            </w:r>
          </w:p>
        </w:tc>
      </w:tr>
      <w:tr w14:paraId="3FE6BF3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38D9D7C">
            <w:pPr>
              <w:pStyle w:val="44"/>
              <w:keepNext w:val="0"/>
              <w:keepLines w:val="0"/>
              <w:suppressLineNumbers w:val="0"/>
              <w:kinsoku w:val="0"/>
              <w:spacing w:before="0" w:beforeAutospacing="0" w:after="0" w:afterAutospacing="0"/>
              <w:ind w:left="0" w:right="0"/>
              <w:jc w:val="center"/>
              <w:rPr>
                <w:rFonts w:hint="default" w:ascii="宋体" w:hAnsi="宋体" w:eastAsia="宋体" w:cs="Times New Roman"/>
                <w:i w:val="0"/>
                <w:iCs w:val="0"/>
                <w:color w:val="auto"/>
                <w:highlight w:val="none"/>
                <w:lang w:val="en-US" w:eastAsia="zh-CN"/>
              </w:rPr>
            </w:pPr>
            <w:r>
              <w:rPr>
                <w:rFonts w:hint="eastAsia" w:ascii="宋体" w:hAnsi="宋体" w:cs="Times New Roman"/>
                <w:i w:val="0"/>
                <w:iCs w:val="0"/>
                <w:color w:val="auto"/>
                <w:highlight w:val="none"/>
                <w:lang w:val="en-US" w:eastAsia="zh-CN"/>
              </w:rPr>
              <w:t>10.9</w:t>
            </w:r>
          </w:p>
        </w:tc>
        <w:tc>
          <w:tcPr>
            <w:tcW w:w="8098" w:type="dxa"/>
            <w:gridSpan w:val="2"/>
            <w:tcBorders>
              <w:top w:val="single" w:color="000000" w:sz="4" w:space="0"/>
              <w:left w:val="nil"/>
              <w:bottom w:val="single" w:color="000000" w:sz="4" w:space="0"/>
              <w:right w:val="single" w:color="000000" w:sz="4" w:space="0"/>
            </w:tcBorders>
            <w:noWrap/>
            <w:vAlign w:val="center"/>
          </w:tcPr>
          <w:p w14:paraId="4E278F65">
            <w:pPr>
              <w:keepNext w:val="0"/>
              <w:keepLines w:val="0"/>
              <w:suppressLineNumbers w:val="0"/>
              <w:spacing w:before="0" w:beforeAutospacing="0" w:after="0" w:afterAutospacing="0"/>
              <w:ind w:left="0" w:right="0"/>
              <w:rPr>
                <w:rFonts w:hint="eastAsia" w:ascii="Times New Roman" w:hAnsi="Times New Roman" w:cs="Times New Roman"/>
                <w:i w:val="0"/>
                <w:iCs w:val="0"/>
                <w:color w:val="auto"/>
                <w:highlight w:val="none"/>
              </w:rPr>
            </w:pPr>
            <w:r>
              <w:rPr>
                <w:rFonts w:hint="eastAsia" w:ascii="宋体" w:hAnsi="宋体" w:cs="Times New Roman"/>
                <w:i w:val="0"/>
                <w:iCs w:val="0"/>
                <w:color w:val="auto"/>
                <w:sz w:val="21"/>
                <w:szCs w:val="21"/>
                <w:highlight w:val="none"/>
              </w:rPr>
              <w:t>投标文件格式文件要求投标人盖章、法定代表人（或委托代理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tc>
      </w:tr>
      <w:tr w14:paraId="7F7CD02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053B0702">
            <w:pPr>
              <w:pStyle w:val="44"/>
              <w:keepNext w:val="0"/>
              <w:keepLines w:val="0"/>
              <w:suppressLineNumbers w:val="0"/>
              <w:kinsoku w:val="0"/>
              <w:spacing w:before="159" w:beforeAutospacing="0" w:after="0" w:afterAutospacing="0"/>
              <w:ind w:left="367" w:right="0"/>
              <w:rPr>
                <w:rFonts w:hint="default" w:ascii="宋体" w:hAnsi="宋体" w:cs="Times New Roman"/>
                <w:i w:val="0"/>
                <w:iCs w:val="0"/>
                <w:color w:val="auto"/>
                <w:highlight w:val="none"/>
              </w:rPr>
            </w:pPr>
            <w:r>
              <w:rPr>
                <w:rFonts w:hint="eastAsia" w:ascii="宋体" w:hAnsi="宋体" w:cs="Times New Roman"/>
                <w:i w:val="0"/>
                <w:iCs w:val="0"/>
                <w:color w:val="auto"/>
                <w:sz w:val="21"/>
                <w:szCs w:val="21"/>
                <w:highlight w:val="none"/>
              </w:rPr>
              <w:t>……</w:t>
            </w:r>
          </w:p>
        </w:tc>
        <w:tc>
          <w:tcPr>
            <w:tcW w:w="8098" w:type="dxa"/>
            <w:gridSpan w:val="2"/>
            <w:tcBorders>
              <w:top w:val="single" w:color="000000" w:sz="4" w:space="0"/>
              <w:left w:val="nil"/>
              <w:bottom w:val="single" w:color="000000" w:sz="4" w:space="0"/>
              <w:right w:val="single" w:color="000000" w:sz="4" w:space="0"/>
            </w:tcBorders>
            <w:noWrap/>
            <w:vAlign w:val="top"/>
          </w:tcPr>
          <w:p w14:paraId="6063E5C6">
            <w:pPr>
              <w:pStyle w:val="44"/>
              <w:keepNext w:val="0"/>
              <w:keepLines w:val="0"/>
              <w:suppressLineNumbers w:val="0"/>
              <w:kinsoku w:val="0"/>
              <w:spacing w:before="159" w:beforeAutospacing="0" w:after="0" w:afterAutospacing="0"/>
              <w:ind w:left="2" w:right="0"/>
              <w:jc w:val="center"/>
              <w:rPr>
                <w:rFonts w:hint="default" w:ascii="宋体" w:hAnsi="宋体" w:cs="Times New Roman"/>
                <w:i w:val="0"/>
                <w:iCs w:val="0"/>
                <w:color w:val="auto"/>
                <w:sz w:val="21"/>
                <w:szCs w:val="21"/>
                <w:highlight w:val="none"/>
              </w:rPr>
            </w:pPr>
            <w:r>
              <w:rPr>
                <w:rFonts w:hint="eastAsia" w:ascii="宋体" w:hAnsi="宋体" w:cs="Times New Roman"/>
                <w:i w:val="0"/>
                <w:iCs w:val="0"/>
                <w:color w:val="auto"/>
                <w:sz w:val="21"/>
                <w:szCs w:val="21"/>
                <w:highlight w:val="none"/>
              </w:rPr>
              <w:t>……</w:t>
            </w:r>
          </w:p>
        </w:tc>
      </w:tr>
    </w:tbl>
    <w:p w14:paraId="1D921941">
      <w:pPr>
        <w:widowControl/>
        <w:autoSpaceDE/>
        <w:autoSpaceDN/>
        <w:adjustRightInd/>
        <w:rPr>
          <w:rFonts w:ascii="黑体" w:hAnsi="黑体" w:eastAsia="黑体"/>
          <w:i w:val="0"/>
          <w:iCs w:val="0"/>
          <w:color w:val="auto"/>
          <w:sz w:val="44"/>
          <w:szCs w:val="44"/>
          <w:highlight w:val="none"/>
        </w:rPr>
        <w:sectPr>
          <w:type w:val="continuous"/>
          <w:pgSz w:w="11907" w:h="16839"/>
          <w:pgMar w:top="1360" w:right="1100" w:bottom="1100" w:left="1580" w:header="0" w:footer="901" w:gutter="0"/>
          <w:cols w:space="720" w:num="1"/>
        </w:sectPr>
      </w:pPr>
    </w:p>
    <w:p w14:paraId="14717582">
      <w:pPr>
        <w:spacing w:line="360" w:lineRule="auto"/>
        <w:jc w:val="center"/>
        <w:rPr>
          <w:rFonts w:hint="eastAsia" w:ascii="黑体" w:hAnsi="黑体" w:eastAsia="黑体"/>
          <w:i w:val="0"/>
          <w:iCs w:val="0"/>
          <w:color w:val="auto"/>
          <w:sz w:val="44"/>
          <w:szCs w:val="44"/>
          <w:highlight w:val="none"/>
        </w:rPr>
      </w:pPr>
      <w:bookmarkStart w:id="88" w:name="bookmark22"/>
      <w:bookmarkEnd w:id="88"/>
      <w:bookmarkStart w:id="89" w:name="_Toc723"/>
      <w:bookmarkEnd w:id="89"/>
      <w:bookmarkStart w:id="90" w:name="_Toc45697231"/>
      <w:bookmarkEnd w:id="90"/>
      <w:bookmarkStart w:id="91" w:name="_Toc22828068"/>
    </w:p>
    <w:p w14:paraId="1AB702AA">
      <w:pPr>
        <w:spacing w:line="360" w:lineRule="auto"/>
        <w:jc w:val="center"/>
        <w:rPr>
          <w:rFonts w:ascii="黑体" w:hAnsi="黑体" w:eastAsia="黑体"/>
          <w:i w:val="0"/>
          <w:iCs w:val="0"/>
          <w:color w:val="auto"/>
          <w:sz w:val="44"/>
          <w:szCs w:val="44"/>
          <w:highlight w:val="none"/>
        </w:rPr>
      </w:pPr>
      <w:r>
        <w:rPr>
          <w:rFonts w:hint="eastAsia" w:ascii="黑体" w:hAnsi="黑体" w:eastAsia="黑体"/>
          <w:i w:val="0"/>
          <w:iCs w:val="0"/>
          <w:color w:val="auto"/>
          <w:sz w:val="44"/>
          <w:szCs w:val="44"/>
          <w:highlight w:val="none"/>
        </w:rPr>
        <w:br w:type="page"/>
      </w:r>
      <w:r>
        <w:rPr>
          <w:rFonts w:hint="eastAsia" w:ascii="黑体" w:hAnsi="黑体" w:eastAsia="黑体"/>
          <w:i w:val="0"/>
          <w:iCs w:val="0"/>
          <w:color w:val="auto"/>
          <w:sz w:val="44"/>
          <w:szCs w:val="44"/>
          <w:highlight w:val="none"/>
        </w:rPr>
        <w:t>投标人须知</w:t>
      </w:r>
      <w:bookmarkEnd w:id="91"/>
    </w:p>
    <w:p w14:paraId="39F7106E">
      <w:pPr>
        <w:rPr>
          <w:rFonts w:ascii="宋体" w:hAnsi="宋体"/>
          <w:b/>
          <w:i w:val="0"/>
          <w:iCs w:val="0"/>
          <w:color w:val="auto"/>
          <w:sz w:val="32"/>
          <w:szCs w:val="32"/>
          <w:highlight w:val="none"/>
        </w:rPr>
      </w:pPr>
      <w:bookmarkStart w:id="92" w:name="_Toc45697232"/>
      <w:bookmarkEnd w:id="92"/>
      <w:bookmarkStart w:id="93" w:name="_Toc18780"/>
      <w:r>
        <w:rPr>
          <w:rFonts w:hint="eastAsia" w:ascii="宋体" w:hAnsi="宋体"/>
          <w:b/>
          <w:i w:val="0"/>
          <w:iCs w:val="0"/>
          <w:color w:val="auto"/>
          <w:sz w:val="32"/>
          <w:szCs w:val="32"/>
          <w:highlight w:val="none"/>
        </w:rPr>
        <w:t>1.总则</w:t>
      </w:r>
      <w:bookmarkEnd w:id="93"/>
    </w:p>
    <w:p w14:paraId="279726DE">
      <w:pPr>
        <w:ind w:firstLine="275" w:firstLineChars="98"/>
        <w:rPr>
          <w:rFonts w:ascii="宋体" w:hAnsi="宋体"/>
          <w:b/>
          <w:i w:val="0"/>
          <w:iCs w:val="0"/>
          <w:color w:val="auto"/>
          <w:sz w:val="28"/>
          <w:szCs w:val="28"/>
          <w:highlight w:val="none"/>
        </w:rPr>
      </w:pPr>
      <w:bookmarkStart w:id="94" w:name="bookmark23"/>
      <w:bookmarkEnd w:id="94"/>
      <w:r>
        <w:rPr>
          <w:rFonts w:hint="eastAsia" w:ascii="宋体" w:hAnsi="宋体"/>
          <w:b/>
          <w:i w:val="0"/>
          <w:iCs w:val="0"/>
          <w:color w:val="auto"/>
          <w:sz w:val="28"/>
          <w:szCs w:val="28"/>
          <w:highlight w:val="none"/>
        </w:rPr>
        <w:t>1.1招标项目概况</w:t>
      </w:r>
    </w:p>
    <w:p w14:paraId="2422A56A">
      <w:pPr>
        <w:pStyle w:val="9"/>
        <w:numPr>
          <w:ilvl w:val="2"/>
          <w:numId w:val="11"/>
        </w:numPr>
        <w:kinsoku w:val="0"/>
        <w:snapToGrid w:val="0"/>
        <w:spacing w:before="0" w:beforeAutospacing="0" w:after="0" w:afterAutospacing="0"/>
        <w:ind w:left="0" w:firstLine="448" w:firstLineChars="200"/>
        <w:rPr>
          <w:rFonts w:hAnsi="宋体"/>
          <w:i w:val="0"/>
          <w:iCs w:val="0"/>
          <w:color w:val="auto"/>
          <w:highlight w:val="none"/>
        </w:rPr>
      </w:pPr>
      <w:r>
        <w:rPr>
          <w:rFonts w:hint="eastAsia" w:ascii="宋体" w:hAnsi="宋体"/>
          <w:i w:val="0"/>
          <w:iCs w:val="0"/>
          <w:color w:val="auto"/>
          <w:spacing w:val="-8"/>
          <w:highlight w:val="none"/>
        </w:rPr>
        <w:t>根据《中华人民共和国招标投标法》《中华人民共和国招标投标法实施条例》等有关</w:t>
      </w:r>
      <w:r>
        <w:rPr>
          <w:rFonts w:hint="eastAsia" w:ascii="宋体" w:hAnsi="宋体"/>
          <w:i w:val="0"/>
          <w:iCs w:val="0"/>
          <w:color w:val="auto"/>
          <w:highlight w:val="none"/>
        </w:rPr>
        <w:t>法律、法规和规章的规定，本招标项目已具备招标条件，现对项目施工进行招标。</w:t>
      </w:r>
    </w:p>
    <w:p w14:paraId="21C2A70F">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招标人：见投标人须知前附表。</w:t>
      </w:r>
    </w:p>
    <w:p w14:paraId="30108392">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招标代理机构：见投标人须知前附表。</w:t>
      </w:r>
    </w:p>
    <w:p w14:paraId="24A9EA7F">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工程名称：见投标人须知前附表。</w:t>
      </w:r>
    </w:p>
    <w:p w14:paraId="153237E7">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工程建设地点：见投标人须知前附表。</w:t>
      </w:r>
    </w:p>
    <w:p w14:paraId="2D95BF40">
      <w:pPr>
        <w:pStyle w:val="9"/>
        <w:numPr>
          <w:ilvl w:val="2"/>
          <w:numId w:val="11"/>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工程承包方式：见投标人须知前附表。</w:t>
      </w:r>
    </w:p>
    <w:p w14:paraId="7DDEBA28">
      <w:pPr>
        <w:ind w:firstLine="275" w:firstLineChars="98"/>
        <w:rPr>
          <w:rFonts w:ascii="宋体" w:hAnsi="宋体"/>
          <w:b/>
          <w:i w:val="0"/>
          <w:iCs w:val="0"/>
          <w:color w:val="auto"/>
          <w:sz w:val="28"/>
          <w:szCs w:val="28"/>
          <w:highlight w:val="none"/>
        </w:rPr>
      </w:pPr>
      <w:bookmarkStart w:id="95" w:name="bookmark24"/>
      <w:bookmarkEnd w:id="95"/>
      <w:r>
        <w:rPr>
          <w:rFonts w:hint="eastAsia" w:ascii="宋体" w:hAnsi="宋体"/>
          <w:b/>
          <w:i w:val="0"/>
          <w:iCs w:val="0"/>
          <w:color w:val="auto"/>
          <w:sz w:val="28"/>
          <w:szCs w:val="28"/>
          <w:highlight w:val="none"/>
        </w:rPr>
        <w:t>1.2招标项目的资金来源和落实情况</w:t>
      </w:r>
    </w:p>
    <w:p w14:paraId="08B138E8">
      <w:pPr>
        <w:pStyle w:val="9"/>
        <w:numPr>
          <w:ilvl w:val="2"/>
          <w:numId w:val="12"/>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资金来源及比例：见投标人须知前附表。</w:t>
      </w:r>
    </w:p>
    <w:p w14:paraId="50D3F0E2">
      <w:pPr>
        <w:pStyle w:val="9"/>
        <w:numPr>
          <w:ilvl w:val="2"/>
          <w:numId w:val="12"/>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资金落实情况：见投标人须知前附表。</w:t>
      </w:r>
    </w:p>
    <w:p w14:paraId="57737D04">
      <w:pPr>
        <w:ind w:firstLine="275" w:firstLineChars="98"/>
        <w:rPr>
          <w:rFonts w:ascii="宋体" w:hAnsi="宋体"/>
          <w:b/>
          <w:i w:val="0"/>
          <w:iCs w:val="0"/>
          <w:color w:val="auto"/>
          <w:sz w:val="28"/>
          <w:szCs w:val="28"/>
          <w:highlight w:val="none"/>
        </w:rPr>
      </w:pPr>
      <w:bookmarkStart w:id="96" w:name="bookmark25"/>
      <w:bookmarkEnd w:id="96"/>
      <w:r>
        <w:rPr>
          <w:rFonts w:hint="eastAsia" w:ascii="宋体" w:hAnsi="宋体"/>
          <w:b/>
          <w:i w:val="0"/>
          <w:iCs w:val="0"/>
          <w:color w:val="auto"/>
          <w:sz w:val="28"/>
          <w:szCs w:val="28"/>
          <w:highlight w:val="none"/>
        </w:rPr>
        <w:t>1.3招标范围、计划工期和质量要求</w:t>
      </w:r>
    </w:p>
    <w:p w14:paraId="412A5814">
      <w:pPr>
        <w:pStyle w:val="9"/>
        <w:numPr>
          <w:ilvl w:val="2"/>
          <w:numId w:val="13"/>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招标范围：见投标人须知前附表。</w:t>
      </w:r>
    </w:p>
    <w:p w14:paraId="39460A29">
      <w:pPr>
        <w:pStyle w:val="9"/>
        <w:numPr>
          <w:ilvl w:val="2"/>
          <w:numId w:val="13"/>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计划工期：见投标人须知前附表。</w:t>
      </w:r>
    </w:p>
    <w:p w14:paraId="60F1F061">
      <w:pPr>
        <w:pStyle w:val="9"/>
        <w:numPr>
          <w:ilvl w:val="2"/>
          <w:numId w:val="13"/>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质量要求：见投标人须知前附表。</w:t>
      </w:r>
    </w:p>
    <w:p w14:paraId="2A63F848">
      <w:pPr>
        <w:ind w:firstLine="275" w:firstLineChars="98"/>
        <w:rPr>
          <w:rFonts w:ascii="宋体" w:hAnsi="宋体"/>
          <w:b/>
          <w:i w:val="0"/>
          <w:iCs w:val="0"/>
          <w:color w:val="auto"/>
          <w:sz w:val="28"/>
          <w:szCs w:val="28"/>
          <w:highlight w:val="none"/>
        </w:rPr>
      </w:pPr>
      <w:bookmarkStart w:id="97" w:name="bookmark26"/>
      <w:bookmarkEnd w:id="97"/>
      <w:r>
        <w:rPr>
          <w:rFonts w:hint="eastAsia" w:ascii="宋体" w:hAnsi="宋体"/>
          <w:b/>
          <w:i w:val="0"/>
          <w:iCs w:val="0"/>
          <w:color w:val="auto"/>
          <w:sz w:val="28"/>
          <w:szCs w:val="28"/>
          <w:highlight w:val="none"/>
        </w:rPr>
        <w:t>1.4投标人资格要求</w:t>
      </w:r>
    </w:p>
    <w:p w14:paraId="3593FAAD">
      <w:pPr>
        <w:pStyle w:val="9"/>
        <w:numPr>
          <w:ilvl w:val="2"/>
          <w:numId w:val="14"/>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投标人应具备承担本招标项目资质条件、能力和信誉：</w:t>
      </w:r>
    </w:p>
    <w:p w14:paraId="18D72459">
      <w:pPr>
        <w:pStyle w:val="9"/>
        <w:numPr>
          <w:ilvl w:val="0"/>
          <w:numId w:val="1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资质要求：见投标人须知前附表；</w:t>
      </w:r>
    </w:p>
    <w:p w14:paraId="3D079193">
      <w:pPr>
        <w:pStyle w:val="9"/>
        <w:numPr>
          <w:ilvl w:val="0"/>
          <w:numId w:val="1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业绩要求：见投标人须知前附表；</w:t>
      </w:r>
    </w:p>
    <w:p w14:paraId="1E6B6CAF">
      <w:pPr>
        <w:pStyle w:val="9"/>
        <w:numPr>
          <w:ilvl w:val="0"/>
          <w:numId w:val="1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拟派项目负责人</w:t>
      </w:r>
      <w:r>
        <w:rPr>
          <w:rFonts w:hint="eastAsia" w:ascii="宋体" w:hAnsi="宋体"/>
          <w:i w:val="0"/>
          <w:iCs w:val="0"/>
          <w:color w:val="auto"/>
          <w:spacing w:val="-6"/>
          <w:highlight w:val="none"/>
        </w:rPr>
        <w:t>的资格要求：见投标</w:t>
      </w:r>
      <w:r>
        <w:rPr>
          <w:rFonts w:hint="eastAsia" w:ascii="宋体" w:hAnsi="宋体"/>
          <w:i w:val="0"/>
          <w:iCs w:val="0"/>
          <w:color w:val="auto"/>
          <w:highlight w:val="none"/>
        </w:rPr>
        <w:t>人须知前附表；</w:t>
      </w:r>
    </w:p>
    <w:p w14:paraId="37EDFCCA">
      <w:pPr>
        <w:pStyle w:val="9"/>
        <w:numPr>
          <w:ilvl w:val="0"/>
          <w:numId w:val="1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其他要求：见投标人须知前附表。</w:t>
      </w:r>
    </w:p>
    <w:p w14:paraId="27BFD36A">
      <w:pPr>
        <w:pStyle w:val="9"/>
        <w:numPr>
          <w:ilvl w:val="2"/>
          <w:numId w:val="14"/>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投标人须知前附表规定接受联合体投标的，联合体除应符合本章</w:t>
      </w:r>
      <w:r>
        <w:rPr>
          <w:rFonts w:hAnsi="宋体"/>
          <w:i w:val="0"/>
          <w:iCs w:val="0"/>
          <w:color w:val="auto"/>
          <w:highlight w:val="none"/>
        </w:rPr>
        <w:t>1.4.1</w:t>
      </w:r>
      <w:r>
        <w:rPr>
          <w:rFonts w:hint="eastAsia" w:ascii="宋体" w:hAnsi="宋体"/>
          <w:i w:val="0"/>
          <w:iCs w:val="0"/>
          <w:color w:val="auto"/>
          <w:highlight w:val="none"/>
        </w:rPr>
        <w:t>项和投标人须知前附表的要求外，还应遵守以下规定：</w:t>
      </w:r>
    </w:p>
    <w:p w14:paraId="30A93671">
      <w:pPr>
        <w:pStyle w:val="9"/>
        <w:numPr>
          <w:ilvl w:val="0"/>
          <w:numId w:val="16"/>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联合体各方应按招标文件提供的格式签订联合体协议书，明确联合体牵头人和各方权利义务；</w:t>
      </w:r>
    </w:p>
    <w:p w14:paraId="33A50B48">
      <w:pPr>
        <w:pStyle w:val="9"/>
        <w:numPr>
          <w:ilvl w:val="0"/>
          <w:numId w:val="16"/>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联合体的各专业资质等级，根据联合体协议约定的专业分工，分别按照承担相应专业工作的资质等级较低的单位确定；</w:t>
      </w:r>
    </w:p>
    <w:p w14:paraId="4F34BCB6">
      <w:pPr>
        <w:pStyle w:val="9"/>
        <w:numPr>
          <w:ilvl w:val="0"/>
          <w:numId w:val="16"/>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联合体各方不得再以自己名义单独或参加其他联合体在同一标段中投标。</w:t>
      </w:r>
    </w:p>
    <w:p w14:paraId="278FAB54">
      <w:pPr>
        <w:pStyle w:val="9"/>
        <w:numPr>
          <w:ilvl w:val="0"/>
          <w:numId w:val="16"/>
        </w:numPr>
        <w:kinsoku w:val="0"/>
        <w:spacing w:before="0" w:beforeAutospacing="0" w:after="0" w:afterAutospacing="0"/>
        <w:ind w:left="0" w:firstLine="480" w:firstLineChars="200"/>
        <w:rPr>
          <w:rFonts w:hAnsi="宋体"/>
          <w:i w:val="0"/>
          <w:iCs w:val="0"/>
          <w:color w:val="auto"/>
          <w:highlight w:val="none"/>
        </w:rPr>
      </w:pPr>
      <w:r>
        <w:rPr>
          <w:rFonts w:hint="eastAsia" w:hAnsi="宋体"/>
          <w:i w:val="0"/>
          <w:iCs w:val="0"/>
          <w:color w:val="auto"/>
          <w:highlight w:val="none"/>
        </w:rPr>
        <w:t>联合体投标其他要求见投标人须知前附表。</w:t>
      </w:r>
    </w:p>
    <w:p w14:paraId="4C541CDB">
      <w:pPr>
        <w:pStyle w:val="9"/>
        <w:numPr>
          <w:ilvl w:val="2"/>
          <w:numId w:val="14"/>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投标人的资格审查方式</w:t>
      </w:r>
      <w:r>
        <w:rPr>
          <w:rFonts w:hAnsi="宋体"/>
          <w:i w:val="0"/>
          <w:iCs w:val="0"/>
          <w:color w:val="auto"/>
          <w:highlight w:val="none"/>
        </w:rPr>
        <w:t>:</w:t>
      </w:r>
      <w:r>
        <w:rPr>
          <w:rFonts w:hint="eastAsia" w:ascii="宋体" w:hAnsi="宋体"/>
          <w:i w:val="0"/>
          <w:iCs w:val="0"/>
          <w:color w:val="auto"/>
          <w:highlight w:val="none"/>
        </w:rPr>
        <w:t>见投标人须知前附表。</w:t>
      </w:r>
    </w:p>
    <w:p w14:paraId="2BF94C5C">
      <w:pPr>
        <w:pStyle w:val="9"/>
        <w:numPr>
          <w:ilvl w:val="2"/>
          <w:numId w:val="14"/>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投标人不得存在下列情形之一：</w:t>
      </w:r>
    </w:p>
    <w:p w14:paraId="127835C2">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为招标人不具有独立法人资格的附属机构（单位）；</w:t>
      </w:r>
    </w:p>
    <w:p w14:paraId="3A6C5B6B">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为与招标人存在利害关系可能影响招标公正性的法人、其他组织或者个人；</w:t>
      </w:r>
    </w:p>
    <w:p w14:paraId="03367AE4">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不同投标人的单位负责人为同一人或者互相存在控股、管理关系的；</w:t>
      </w:r>
    </w:p>
    <w:p w14:paraId="07353DB3">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为本标段前期准备提供设计或咨询服务的；</w:t>
      </w:r>
    </w:p>
    <w:p w14:paraId="45CE6873">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为本标段的监理人；</w:t>
      </w:r>
    </w:p>
    <w:p w14:paraId="154798BE">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为本标段的代建人；</w:t>
      </w:r>
    </w:p>
    <w:p w14:paraId="26C1BDA8">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为本标段提供招标代理服务的；</w:t>
      </w:r>
    </w:p>
    <w:p w14:paraId="2522E257">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与本标段的监理人或代建人或招标代理机构同为一个法定代表人的；</w:t>
      </w:r>
    </w:p>
    <w:p w14:paraId="4B0F21BA">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与本标段的监理人或代建人或招标代理机构相互控股或参股的；</w:t>
      </w:r>
    </w:p>
    <w:p w14:paraId="59C45017">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与本标段的监理人或代建人或招标代理机构相互任职或工作的；</w:t>
      </w:r>
    </w:p>
    <w:p w14:paraId="0A0BBB0C">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被责令停产停业、暂扣或者吊销许可证、暂扣或者吊销执照；</w:t>
      </w:r>
    </w:p>
    <w:p w14:paraId="57D52C72">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进入清算程序，或被宣告破产；</w:t>
      </w:r>
    </w:p>
    <w:p w14:paraId="4B37D90B">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被依法暂停或取消投标资格的；</w:t>
      </w:r>
    </w:p>
    <w:p w14:paraId="31AA6966">
      <w:pPr>
        <w:pStyle w:val="9"/>
        <w:numPr>
          <w:ilvl w:val="0"/>
          <w:numId w:val="17"/>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法律法规或投标人须知前附表规定的其他情形。</w:t>
      </w:r>
    </w:p>
    <w:p w14:paraId="4776A308">
      <w:pPr>
        <w:ind w:firstLine="275" w:firstLineChars="98"/>
        <w:rPr>
          <w:rFonts w:ascii="宋体" w:hAnsi="宋体"/>
          <w:b/>
          <w:i w:val="0"/>
          <w:iCs w:val="0"/>
          <w:color w:val="auto"/>
          <w:sz w:val="28"/>
          <w:szCs w:val="28"/>
          <w:highlight w:val="none"/>
        </w:rPr>
      </w:pPr>
      <w:bookmarkStart w:id="98" w:name="bookmark27"/>
      <w:bookmarkEnd w:id="98"/>
      <w:r>
        <w:rPr>
          <w:rFonts w:hint="eastAsia" w:ascii="宋体" w:hAnsi="宋体"/>
          <w:b/>
          <w:i w:val="0"/>
          <w:iCs w:val="0"/>
          <w:color w:val="auto"/>
          <w:sz w:val="28"/>
          <w:szCs w:val="28"/>
          <w:highlight w:val="none"/>
        </w:rPr>
        <w:t>1.5费用承担</w:t>
      </w:r>
    </w:p>
    <w:p w14:paraId="20255411">
      <w:pPr>
        <w:pStyle w:val="9"/>
        <w:kinsoku w:val="0"/>
        <w:spacing w:before="0" w:beforeAutospacing="0" w:after="0" w:afterAutospacing="0"/>
        <w:ind w:right="44"/>
        <w:rPr>
          <w:rFonts w:hAnsi="宋体"/>
          <w:i w:val="0"/>
          <w:iCs w:val="0"/>
          <w:color w:val="auto"/>
          <w:highlight w:val="none"/>
        </w:rPr>
      </w:pPr>
      <w:r>
        <w:rPr>
          <w:rFonts w:hint="eastAsia" w:ascii="宋体" w:hAnsi="宋体"/>
          <w:i w:val="0"/>
          <w:iCs w:val="0"/>
          <w:color w:val="auto"/>
          <w:highlight w:val="none"/>
        </w:rPr>
        <w:t>投标人准备和参加投标活动发生的费用自理。</w:t>
      </w:r>
    </w:p>
    <w:p w14:paraId="6E968164">
      <w:pPr>
        <w:ind w:firstLine="275" w:firstLineChars="98"/>
        <w:rPr>
          <w:rFonts w:ascii="宋体" w:hAnsi="宋体"/>
          <w:b/>
          <w:i w:val="0"/>
          <w:iCs w:val="0"/>
          <w:color w:val="auto"/>
          <w:sz w:val="28"/>
          <w:szCs w:val="28"/>
          <w:highlight w:val="none"/>
        </w:rPr>
      </w:pPr>
      <w:bookmarkStart w:id="99" w:name="bookmark28"/>
      <w:bookmarkEnd w:id="99"/>
      <w:r>
        <w:rPr>
          <w:rFonts w:hint="eastAsia" w:ascii="宋体" w:hAnsi="宋体"/>
          <w:b/>
          <w:i w:val="0"/>
          <w:iCs w:val="0"/>
          <w:color w:val="auto"/>
          <w:sz w:val="28"/>
          <w:szCs w:val="28"/>
          <w:highlight w:val="none"/>
        </w:rPr>
        <w:t>1.6保密</w:t>
      </w:r>
    </w:p>
    <w:p w14:paraId="60950359">
      <w:pPr>
        <w:pStyle w:val="9"/>
        <w:kinsoku w:val="0"/>
        <w:snapToGrid w:val="0"/>
        <w:spacing w:before="0" w:beforeAutospacing="0" w:after="0" w:afterAutospacing="0"/>
        <w:ind w:left="0" w:firstLine="476" w:firstLineChars="200"/>
        <w:rPr>
          <w:rFonts w:hAnsi="宋体"/>
          <w:i w:val="0"/>
          <w:iCs w:val="0"/>
          <w:color w:val="auto"/>
          <w:highlight w:val="none"/>
        </w:rPr>
      </w:pPr>
      <w:r>
        <w:rPr>
          <w:rFonts w:hint="eastAsia" w:ascii="宋体" w:hAnsi="宋体"/>
          <w:i w:val="0"/>
          <w:iCs w:val="0"/>
          <w:color w:val="auto"/>
          <w:spacing w:val="-1"/>
          <w:highlight w:val="none"/>
        </w:rPr>
        <w:t>参与招标投标活动的各方应对招标文件和投标文件中的商业和技术等秘密保密，否则应承</w:t>
      </w:r>
      <w:r>
        <w:rPr>
          <w:rFonts w:hint="eastAsia" w:ascii="宋体" w:hAnsi="宋体"/>
          <w:i w:val="0"/>
          <w:iCs w:val="0"/>
          <w:color w:val="auto"/>
          <w:highlight w:val="none"/>
        </w:rPr>
        <w:t>担相应的法律责任。</w:t>
      </w:r>
    </w:p>
    <w:p w14:paraId="17C2C29E">
      <w:pPr>
        <w:ind w:firstLine="275" w:firstLineChars="98"/>
        <w:rPr>
          <w:rFonts w:ascii="宋体" w:hAnsi="宋体"/>
          <w:b/>
          <w:i w:val="0"/>
          <w:iCs w:val="0"/>
          <w:color w:val="auto"/>
          <w:sz w:val="28"/>
          <w:szCs w:val="28"/>
          <w:highlight w:val="none"/>
        </w:rPr>
      </w:pPr>
      <w:bookmarkStart w:id="100" w:name="bookmark29"/>
      <w:bookmarkEnd w:id="100"/>
      <w:r>
        <w:rPr>
          <w:rFonts w:hint="eastAsia" w:ascii="宋体" w:hAnsi="宋体"/>
          <w:b/>
          <w:i w:val="0"/>
          <w:iCs w:val="0"/>
          <w:color w:val="auto"/>
          <w:sz w:val="28"/>
          <w:szCs w:val="28"/>
          <w:highlight w:val="none"/>
        </w:rPr>
        <w:t>1.7语言文字</w:t>
      </w:r>
    </w:p>
    <w:p w14:paraId="67522576">
      <w:pPr>
        <w:pStyle w:val="9"/>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招标投标文件使用的语言文字为中文。专用术语使用外文的，应附有中文注释。</w:t>
      </w:r>
    </w:p>
    <w:p w14:paraId="2542D501">
      <w:pPr>
        <w:ind w:firstLine="275" w:firstLineChars="98"/>
        <w:rPr>
          <w:rFonts w:ascii="宋体" w:hAnsi="宋体"/>
          <w:b/>
          <w:i w:val="0"/>
          <w:iCs w:val="0"/>
          <w:color w:val="auto"/>
          <w:sz w:val="28"/>
          <w:szCs w:val="28"/>
          <w:highlight w:val="none"/>
        </w:rPr>
      </w:pPr>
      <w:bookmarkStart w:id="101" w:name="bookmark30"/>
      <w:bookmarkEnd w:id="101"/>
      <w:r>
        <w:rPr>
          <w:rFonts w:hint="eastAsia" w:ascii="宋体" w:hAnsi="宋体"/>
          <w:b/>
          <w:i w:val="0"/>
          <w:iCs w:val="0"/>
          <w:color w:val="auto"/>
          <w:sz w:val="28"/>
          <w:szCs w:val="28"/>
          <w:highlight w:val="none"/>
        </w:rPr>
        <w:t>1.8计量单位</w:t>
      </w:r>
    </w:p>
    <w:p w14:paraId="54C98A3B">
      <w:pPr>
        <w:pStyle w:val="9"/>
        <w:kinsoku w:val="0"/>
        <w:spacing w:before="0" w:beforeAutospacing="0" w:after="0" w:afterAutospacing="0"/>
        <w:ind w:right="44"/>
        <w:rPr>
          <w:rFonts w:hAnsi="宋体"/>
          <w:i w:val="0"/>
          <w:iCs w:val="0"/>
          <w:color w:val="auto"/>
          <w:highlight w:val="none"/>
        </w:rPr>
      </w:pPr>
      <w:r>
        <w:rPr>
          <w:rFonts w:hint="eastAsia" w:ascii="宋体" w:hAnsi="宋体"/>
          <w:i w:val="0"/>
          <w:iCs w:val="0"/>
          <w:color w:val="auto"/>
          <w:highlight w:val="none"/>
        </w:rPr>
        <w:t>所有计量均采用中华人民共和国法定计量单位。</w:t>
      </w:r>
    </w:p>
    <w:p w14:paraId="4B0DE88B">
      <w:pPr>
        <w:ind w:firstLine="275" w:firstLineChars="98"/>
        <w:rPr>
          <w:rFonts w:ascii="宋体" w:hAnsi="宋体"/>
          <w:b/>
          <w:i w:val="0"/>
          <w:iCs w:val="0"/>
          <w:color w:val="auto"/>
          <w:sz w:val="28"/>
          <w:szCs w:val="28"/>
          <w:highlight w:val="none"/>
        </w:rPr>
      </w:pPr>
      <w:bookmarkStart w:id="102" w:name="bookmark31"/>
      <w:bookmarkEnd w:id="102"/>
      <w:r>
        <w:rPr>
          <w:rFonts w:hint="eastAsia" w:ascii="宋体" w:hAnsi="宋体"/>
          <w:b/>
          <w:i w:val="0"/>
          <w:iCs w:val="0"/>
          <w:color w:val="auto"/>
          <w:sz w:val="28"/>
          <w:szCs w:val="28"/>
          <w:highlight w:val="none"/>
        </w:rPr>
        <w:t>1.9踏勘现场</w:t>
      </w:r>
    </w:p>
    <w:p w14:paraId="5CB93136">
      <w:pPr>
        <w:pStyle w:val="9"/>
        <w:numPr>
          <w:ilvl w:val="2"/>
          <w:numId w:val="18"/>
        </w:numPr>
        <w:kinsoku w:val="0"/>
        <w:snapToGrid w:val="0"/>
        <w:spacing w:before="0" w:beforeAutospacing="0" w:after="0" w:afterAutospacing="0"/>
        <w:ind w:left="0" w:firstLine="464" w:firstLineChars="200"/>
        <w:rPr>
          <w:rFonts w:hAnsi="宋体"/>
          <w:i w:val="0"/>
          <w:iCs w:val="0"/>
          <w:color w:val="auto"/>
          <w:spacing w:val="-6"/>
          <w:highlight w:val="none"/>
        </w:rPr>
      </w:pPr>
      <w:r>
        <w:rPr>
          <w:rFonts w:hint="eastAsia" w:ascii="宋体" w:hAnsi="宋体"/>
          <w:i w:val="0"/>
          <w:iCs w:val="0"/>
          <w:color w:val="auto"/>
          <w:spacing w:val="-4"/>
          <w:highlight w:val="none"/>
        </w:rPr>
        <w:t>投标人须知前附表规定组织踏勘现场的，招标人按投标人须知前附表规定的时间、地</w:t>
      </w:r>
      <w:r>
        <w:rPr>
          <w:rFonts w:hint="eastAsia" w:ascii="宋体" w:hAnsi="宋体"/>
          <w:i w:val="0"/>
          <w:iCs w:val="0"/>
          <w:color w:val="auto"/>
          <w:spacing w:val="-6"/>
          <w:highlight w:val="none"/>
        </w:rPr>
        <w:t>点组织投标人踏勘项目现场。部分投标人未按时参加踏勘现场的，不影响踏勘现场的正常进行。</w:t>
      </w:r>
    </w:p>
    <w:p w14:paraId="2295CB1F">
      <w:pPr>
        <w:pStyle w:val="9"/>
        <w:numPr>
          <w:ilvl w:val="2"/>
          <w:numId w:val="18"/>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投标人踏勘现场发生的费用自理。</w:t>
      </w:r>
    </w:p>
    <w:p w14:paraId="63B0CFDD">
      <w:pPr>
        <w:pStyle w:val="9"/>
        <w:numPr>
          <w:ilvl w:val="2"/>
          <w:numId w:val="18"/>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除招标人的原因外，投标人自行负责在踏勘现场中所发生的人员伤亡和财产损失。</w:t>
      </w:r>
    </w:p>
    <w:p w14:paraId="2F70D95A">
      <w:pPr>
        <w:pStyle w:val="9"/>
        <w:numPr>
          <w:ilvl w:val="2"/>
          <w:numId w:val="18"/>
        </w:numPr>
        <w:kinsoku w:val="0"/>
        <w:snapToGrid w:val="0"/>
        <w:spacing w:before="0" w:beforeAutospacing="0" w:after="0" w:afterAutospacing="0"/>
        <w:ind w:left="0" w:firstLine="464" w:firstLineChars="200"/>
        <w:rPr>
          <w:rFonts w:hAnsi="宋体"/>
          <w:i w:val="0"/>
          <w:iCs w:val="0"/>
          <w:color w:val="auto"/>
          <w:highlight w:val="none"/>
        </w:rPr>
      </w:pPr>
      <w:r>
        <w:rPr>
          <w:rFonts w:hint="eastAsia" w:ascii="宋体" w:hAnsi="宋体"/>
          <w:i w:val="0"/>
          <w:iCs w:val="0"/>
          <w:color w:val="auto"/>
          <w:spacing w:val="-4"/>
          <w:highlight w:val="none"/>
        </w:rPr>
        <w:t>招标人在踏勘现场中介绍的工程场地和相关的周边环境情况，供投标人在编制投标文</w:t>
      </w:r>
      <w:r>
        <w:rPr>
          <w:rFonts w:hint="eastAsia" w:ascii="宋体" w:hAnsi="宋体"/>
          <w:i w:val="0"/>
          <w:iCs w:val="0"/>
          <w:color w:val="auto"/>
          <w:highlight w:val="none"/>
        </w:rPr>
        <w:t>件时参考，招标人不对投标人据此作出的判断和决策负责。</w:t>
      </w:r>
    </w:p>
    <w:p w14:paraId="3742C5EE">
      <w:pPr>
        <w:ind w:firstLine="275" w:firstLineChars="98"/>
        <w:rPr>
          <w:rFonts w:ascii="宋体" w:hAnsi="宋体"/>
          <w:b/>
          <w:i w:val="0"/>
          <w:iCs w:val="0"/>
          <w:color w:val="auto"/>
          <w:sz w:val="28"/>
          <w:szCs w:val="28"/>
          <w:highlight w:val="none"/>
        </w:rPr>
      </w:pPr>
      <w:bookmarkStart w:id="103" w:name="bookmark32"/>
      <w:bookmarkEnd w:id="103"/>
      <w:r>
        <w:rPr>
          <w:rFonts w:hint="eastAsia" w:ascii="宋体" w:hAnsi="宋体"/>
          <w:b/>
          <w:i w:val="0"/>
          <w:iCs w:val="0"/>
          <w:color w:val="auto"/>
          <w:sz w:val="28"/>
          <w:szCs w:val="28"/>
          <w:highlight w:val="none"/>
        </w:rPr>
        <w:t>1.10投标预备会</w:t>
      </w:r>
    </w:p>
    <w:p w14:paraId="76D2788B">
      <w:pPr>
        <w:pStyle w:val="9"/>
        <w:numPr>
          <w:ilvl w:val="2"/>
          <w:numId w:val="19"/>
        </w:numPr>
        <w:kinsoku w:val="0"/>
        <w:spacing w:before="0" w:beforeAutospacing="0" w:after="0" w:afterAutospacing="0"/>
        <w:ind w:left="0" w:right="45" w:firstLine="480" w:firstLineChars="200"/>
        <w:rPr>
          <w:rFonts w:hAnsi="宋体"/>
          <w:i w:val="0"/>
          <w:iCs w:val="0"/>
          <w:color w:val="auto"/>
          <w:highlight w:val="none"/>
        </w:rPr>
      </w:pPr>
      <w:r>
        <w:rPr>
          <w:rFonts w:hint="eastAsia" w:ascii="宋体" w:hAnsi="宋体"/>
          <w:i w:val="0"/>
          <w:iCs w:val="0"/>
          <w:color w:val="auto"/>
          <w:highlight w:val="none"/>
        </w:rPr>
        <w:t>投标人须知前附表规定召开投标预备会的，招标人按投标人须知前附表规定的时间和地点召开投标预备会，澄清投标人提出的问题。</w:t>
      </w:r>
    </w:p>
    <w:p w14:paraId="6C9A7813">
      <w:pPr>
        <w:ind w:firstLine="275" w:firstLineChars="98"/>
        <w:rPr>
          <w:rFonts w:ascii="宋体" w:hAnsi="宋体"/>
          <w:b/>
          <w:i w:val="0"/>
          <w:iCs w:val="0"/>
          <w:color w:val="auto"/>
          <w:sz w:val="28"/>
          <w:szCs w:val="28"/>
          <w:highlight w:val="none"/>
        </w:rPr>
      </w:pPr>
      <w:bookmarkStart w:id="104" w:name="bookmark33"/>
      <w:bookmarkEnd w:id="104"/>
      <w:r>
        <w:rPr>
          <w:rFonts w:hint="eastAsia" w:ascii="宋体" w:hAnsi="宋体"/>
          <w:b/>
          <w:i w:val="0"/>
          <w:iCs w:val="0"/>
          <w:color w:val="auto"/>
          <w:sz w:val="28"/>
          <w:szCs w:val="28"/>
          <w:highlight w:val="none"/>
        </w:rPr>
        <w:t>1.11分包</w:t>
      </w:r>
    </w:p>
    <w:p w14:paraId="2FDFC21A">
      <w:pPr>
        <w:pStyle w:val="9"/>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投标人拟在中标后将中标项目的非主体、非关键性工作进行分包的，</w:t>
      </w:r>
      <w:bookmarkStart w:id="105" w:name="_Hlk27203995"/>
      <w:r>
        <w:rPr>
          <w:rFonts w:hint="eastAsia" w:ascii="宋体" w:hAnsi="宋体"/>
          <w:i w:val="0"/>
          <w:iCs w:val="0"/>
          <w:color w:val="auto"/>
          <w:highlight w:val="none"/>
        </w:rPr>
        <w:t>应符合相关法律法规规定。</w:t>
      </w:r>
      <w:bookmarkEnd w:id="105"/>
    </w:p>
    <w:p w14:paraId="6347F26D">
      <w:pPr>
        <w:ind w:firstLine="275" w:firstLineChars="98"/>
        <w:rPr>
          <w:rFonts w:ascii="宋体" w:hAnsi="宋体"/>
          <w:b/>
          <w:i w:val="0"/>
          <w:iCs w:val="0"/>
          <w:color w:val="auto"/>
          <w:sz w:val="28"/>
          <w:szCs w:val="28"/>
          <w:highlight w:val="none"/>
        </w:rPr>
      </w:pPr>
      <w:bookmarkStart w:id="106" w:name="bookmark34"/>
      <w:bookmarkEnd w:id="106"/>
      <w:r>
        <w:rPr>
          <w:rFonts w:hint="eastAsia" w:ascii="宋体" w:hAnsi="宋体"/>
          <w:b/>
          <w:i w:val="0"/>
          <w:iCs w:val="0"/>
          <w:color w:val="auto"/>
          <w:sz w:val="28"/>
          <w:szCs w:val="28"/>
          <w:highlight w:val="none"/>
        </w:rPr>
        <w:t>1.12偏差</w:t>
      </w:r>
    </w:p>
    <w:p w14:paraId="14FF51F4">
      <w:pPr>
        <w:pStyle w:val="9"/>
        <w:numPr>
          <w:ilvl w:val="2"/>
          <w:numId w:val="20"/>
        </w:numPr>
        <w:kinsoku w:val="0"/>
        <w:spacing w:before="0" w:beforeAutospacing="0" w:after="0" w:afterAutospacing="0"/>
        <w:ind w:left="0" w:firstLine="480" w:firstLineChars="200"/>
        <w:rPr>
          <w:rFonts w:hAnsi="宋体"/>
          <w:i w:val="0"/>
          <w:iCs w:val="0"/>
          <w:color w:val="auto"/>
          <w:spacing w:val="-1"/>
          <w:highlight w:val="none"/>
        </w:rPr>
      </w:pPr>
      <w:r>
        <w:rPr>
          <w:rFonts w:hint="eastAsia" w:ascii="宋体" w:hAnsi="宋体"/>
          <w:i w:val="0"/>
          <w:iCs w:val="0"/>
          <w:color w:val="auto"/>
          <w:highlight w:val="none"/>
        </w:rPr>
        <w:t>投标文件应当对招标文件的实质性要求和条件作出满足性或更有利于招标人的响应，否则，投标人的投标将被否决。实质性要求和条件见投标人须知前附表。</w:t>
      </w:r>
    </w:p>
    <w:p w14:paraId="7B579914">
      <w:pPr>
        <w:pStyle w:val="9"/>
        <w:numPr>
          <w:ilvl w:val="2"/>
          <w:numId w:val="20"/>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297769C2">
      <w:pPr>
        <w:rPr>
          <w:rFonts w:ascii="宋体" w:hAnsi="宋体"/>
          <w:b/>
          <w:i w:val="0"/>
          <w:iCs w:val="0"/>
          <w:color w:val="auto"/>
          <w:sz w:val="32"/>
          <w:szCs w:val="32"/>
          <w:highlight w:val="none"/>
        </w:rPr>
      </w:pPr>
      <w:bookmarkStart w:id="107" w:name="_Toc12149"/>
      <w:bookmarkEnd w:id="107"/>
      <w:bookmarkStart w:id="108" w:name="_Toc45697233"/>
      <w:bookmarkEnd w:id="108"/>
      <w:bookmarkStart w:id="109" w:name="_Toc22828069"/>
      <w:r>
        <w:rPr>
          <w:rFonts w:hint="eastAsia" w:ascii="宋体" w:hAnsi="宋体"/>
          <w:b/>
          <w:i w:val="0"/>
          <w:iCs w:val="0"/>
          <w:color w:val="auto"/>
          <w:sz w:val="32"/>
          <w:szCs w:val="32"/>
          <w:highlight w:val="none"/>
        </w:rPr>
        <w:t>2.招标文件</w:t>
      </w:r>
      <w:bookmarkEnd w:id="109"/>
    </w:p>
    <w:p w14:paraId="6F4565B0">
      <w:pPr>
        <w:ind w:firstLine="275" w:firstLineChars="98"/>
        <w:rPr>
          <w:rFonts w:ascii="宋体" w:hAnsi="宋体"/>
          <w:b/>
          <w:i w:val="0"/>
          <w:iCs w:val="0"/>
          <w:color w:val="auto"/>
          <w:sz w:val="28"/>
          <w:szCs w:val="28"/>
          <w:highlight w:val="none"/>
        </w:rPr>
      </w:pPr>
      <w:bookmarkStart w:id="110" w:name="bookmark36"/>
      <w:bookmarkEnd w:id="110"/>
      <w:r>
        <w:rPr>
          <w:rFonts w:hint="eastAsia" w:ascii="宋体" w:hAnsi="宋体"/>
          <w:b/>
          <w:i w:val="0"/>
          <w:iCs w:val="0"/>
          <w:color w:val="auto"/>
          <w:sz w:val="28"/>
          <w:szCs w:val="28"/>
          <w:highlight w:val="none"/>
        </w:rPr>
        <w:t>2.1招标文件的组成</w:t>
      </w:r>
    </w:p>
    <w:p w14:paraId="6B9D369B">
      <w:pPr>
        <w:pStyle w:val="9"/>
        <w:kinsoku w:val="0"/>
        <w:snapToGrid w:val="0"/>
        <w:spacing w:before="0" w:beforeAutospacing="0" w:after="0" w:afterAutospacing="0"/>
        <w:ind w:left="0" w:firstLine="240" w:firstLineChars="100"/>
        <w:rPr>
          <w:rFonts w:hAnsi="宋体"/>
          <w:i w:val="0"/>
          <w:iCs w:val="0"/>
          <w:color w:val="auto"/>
          <w:highlight w:val="none"/>
        </w:rPr>
      </w:pPr>
      <w:r>
        <w:rPr>
          <w:rFonts w:hint="eastAsia" w:ascii="宋体" w:hAnsi="宋体"/>
          <w:i w:val="0"/>
          <w:iCs w:val="0"/>
          <w:color w:val="auto"/>
          <w:highlight w:val="none"/>
        </w:rPr>
        <w:t>本招标文件包括：</w:t>
      </w:r>
    </w:p>
    <w:p w14:paraId="5FA3FB58">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招标公告（或投标邀请书）；</w:t>
      </w:r>
    </w:p>
    <w:p w14:paraId="5614BDEF">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投标人须知；</w:t>
      </w:r>
    </w:p>
    <w:p w14:paraId="72B0F090">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评标定标办法；</w:t>
      </w:r>
    </w:p>
    <w:p w14:paraId="151B0B6E">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合同条款及格式；</w:t>
      </w:r>
    </w:p>
    <w:p w14:paraId="3D764207">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工程量清单编制；</w:t>
      </w:r>
    </w:p>
    <w:p w14:paraId="281EF1F2">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技术标准和要求；</w:t>
      </w:r>
    </w:p>
    <w:p w14:paraId="1DEE0DC4">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图纸及其他资料；</w:t>
      </w:r>
    </w:p>
    <w:p w14:paraId="6EAE4E72">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投标文件格式；</w:t>
      </w:r>
    </w:p>
    <w:p w14:paraId="6DCD66D4">
      <w:pPr>
        <w:pStyle w:val="9"/>
        <w:numPr>
          <w:ilvl w:val="0"/>
          <w:numId w:val="21"/>
        </w:numPr>
        <w:kinsoku w:val="0"/>
        <w:spacing w:before="0" w:beforeAutospacing="0" w:after="0" w:afterAutospacing="0"/>
        <w:ind w:left="272" w:firstLine="448"/>
        <w:rPr>
          <w:rFonts w:hAnsi="宋体"/>
          <w:i w:val="0"/>
          <w:iCs w:val="0"/>
          <w:color w:val="auto"/>
          <w:spacing w:val="-8"/>
          <w:highlight w:val="none"/>
        </w:rPr>
      </w:pPr>
      <w:r>
        <w:rPr>
          <w:rFonts w:hint="eastAsia" w:ascii="宋体" w:hAnsi="宋体"/>
          <w:i w:val="0"/>
          <w:iCs w:val="0"/>
          <w:color w:val="auto"/>
          <w:spacing w:val="-8"/>
          <w:highlight w:val="none"/>
        </w:rPr>
        <w:t>投标人须知前附表规定的其他材料。</w:t>
      </w:r>
    </w:p>
    <w:p w14:paraId="455E81A4">
      <w:pPr>
        <w:pStyle w:val="9"/>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根据本章第</w:t>
      </w:r>
      <w:r>
        <w:rPr>
          <w:rFonts w:hAnsi="宋体"/>
          <w:i w:val="0"/>
          <w:iCs w:val="0"/>
          <w:color w:val="auto"/>
          <w:highlight w:val="none"/>
        </w:rPr>
        <w:t>1.10</w:t>
      </w:r>
      <w:r>
        <w:rPr>
          <w:rFonts w:hint="eastAsia" w:ascii="宋体" w:hAnsi="宋体"/>
          <w:i w:val="0"/>
          <w:iCs w:val="0"/>
          <w:color w:val="auto"/>
          <w:highlight w:val="none"/>
        </w:rPr>
        <w:t>款、第</w:t>
      </w:r>
      <w:r>
        <w:rPr>
          <w:rFonts w:hAnsi="宋体"/>
          <w:i w:val="0"/>
          <w:iCs w:val="0"/>
          <w:color w:val="auto"/>
          <w:highlight w:val="none"/>
        </w:rPr>
        <w:t>2.2</w:t>
      </w:r>
      <w:r>
        <w:rPr>
          <w:rFonts w:hint="eastAsia" w:ascii="宋体" w:hAnsi="宋体"/>
          <w:i w:val="0"/>
          <w:iCs w:val="0"/>
          <w:color w:val="auto"/>
          <w:highlight w:val="none"/>
        </w:rPr>
        <w:t>款和第</w:t>
      </w:r>
      <w:r>
        <w:rPr>
          <w:rFonts w:hAnsi="宋体"/>
          <w:i w:val="0"/>
          <w:iCs w:val="0"/>
          <w:color w:val="auto"/>
          <w:highlight w:val="none"/>
        </w:rPr>
        <w:t>2.3</w:t>
      </w:r>
      <w:r>
        <w:rPr>
          <w:rFonts w:hint="eastAsia" w:ascii="宋体" w:hAnsi="宋体"/>
          <w:i w:val="0"/>
          <w:iCs w:val="0"/>
          <w:color w:val="auto"/>
          <w:highlight w:val="none"/>
        </w:rPr>
        <w:t>款对招标文件所作的澄清、修改，构成招标文件的组成部分。</w:t>
      </w:r>
    </w:p>
    <w:p w14:paraId="0CEBE2AE">
      <w:pPr>
        <w:ind w:firstLine="275" w:firstLineChars="98"/>
        <w:rPr>
          <w:rFonts w:ascii="宋体" w:hAnsi="宋体"/>
          <w:b/>
          <w:i w:val="0"/>
          <w:iCs w:val="0"/>
          <w:color w:val="auto"/>
          <w:sz w:val="28"/>
          <w:szCs w:val="28"/>
          <w:highlight w:val="none"/>
        </w:rPr>
      </w:pPr>
      <w:bookmarkStart w:id="111" w:name="bookmark37"/>
      <w:bookmarkEnd w:id="111"/>
      <w:r>
        <w:rPr>
          <w:rFonts w:hint="eastAsia" w:ascii="宋体" w:hAnsi="宋体"/>
          <w:b/>
          <w:i w:val="0"/>
          <w:iCs w:val="0"/>
          <w:color w:val="auto"/>
          <w:sz w:val="28"/>
          <w:szCs w:val="28"/>
          <w:highlight w:val="none"/>
        </w:rPr>
        <w:t>2.2招标文件的澄清</w:t>
      </w:r>
    </w:p>
    <w:p w14:paraId="63543D60">
      <w:pPr>
        <w:pStyle w:val="9"/>
        <w:numPr>
          <w:ilvl w:val="2"/>
          <w:numId w:val="22"/>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58642859">
      <w:pPr>
        <w:ind w:firstLine="275" w:firstLineChars="98"/>
        <w:rPr>
          <w:rFonts w:ascii="宋体" w:hAnsi="宋体"/>
          <w:b/>
          <w:i w:val="0"/>
          <w:iCs w:val="0"/>
          <w:color w:val="auto"/>
          <w:sz w:val="28"/>
          <w:szCs w:val="28"/>
          <w:highlight w:val="none"/>
        </w:rPr>
      </w:pPr>
      <w:bookmarkStart w:id="112" w:name="bookmark38"/>
      <w:bookmarkEnd w:id="112"/>
      <w:r>
        <w:rPr>
          <w:rFonts w:hint="eastAsia" w:ascii="宋体" w:hAnsi="宋体"/>
          <w:b/>
          <w:i w:val="0"/>
          <w:iCs w:val="0"/>
          <w:color w:val="auto"/>
          <w:sz w:val="28"/>
          <w:szCs w:val="28"/>
          <w:highlight w:val="none"/>
        </w:rPr>
        <w:t>2.3招标文件的修改</w:t>
      </w:r>
    </w:p>
    <w:p w14:paraId="03EB0542">
      <w:pPr>
        <w:pStyle w:val="9"/>
        <w:numPr>
          <w:ilvl w:val="2"/>
          <w:numId w:val="23"/>
        </w:numPr>
        <w:kinsoku w:val="0"/>
        <w:spacing w:before="0" w:beforeAutospacing="0" w:after="0" w:afterAutospacing="0"/>
        <w:ind w:left="0" w:firstLine="468" w:firstLineChars="200"/>
        <w:rPr>
          <w:rFonts w:hAnsi="宋体"/>
          <w:i w:val="0"/>
          <w:iCs w:val="0"/>
          <w:color w:val="auto"/>
          <w:highlight w:val="none"/>
        </w:rPr>
      </w:pPr>
      <w:r>
        <w:rPr>
          <w:rFonts w:hint="eastAsia" w:ascii="宋体" w:hAnsi="宋体"/>
          <w:i w:val="0"/>
          <w:iCs w:val="0"/>
          <w:color w:val="auto"/>
          <w:spacing w:val="-3"/>
          <w:highlight w:val="none"/>
        </w:rPr>
        <w:t>招标人以投标人须知前附表规定的形式修改招标文件，并通知所有潜在投标人。</w:t>
      </w:r>
      <w:r>
        <w:rPr>
          <w:rFonts w:hint="eastAsia" w:ascii="宋体" w:hAnsi="宋体"/>
          <w:i w:val="0"/>
          <w:iCs w:val="0"/>
          <w:color w:val="auto"/>
          <w:highlight w:val="none"/>
        </w:rPr>
        <w:t>修改的内容可能影响投标文件编制的，招标人将在投标截止时间至少</w:t>
      </w:r>
      <w:r>
        <w:rPr>
          <w:rFonts w:hAnsi="宋体"/>
          <w:i w:val="0"/>
          <w:iCs w:val="0"/>
          <w:color w:val="auto"/>
          <w:highlight w:val="none"/>
        </w:rPr>
        <w:t>15</w:t>
      </w:r>
      <w:r>
        <w:rPr>
          <w:rFonts w:hint="eastAsia" w:ascii="宋体" w:hAnsi="宋体"/>
          <w:i w:val="0"/>
          <w:iCs w:val="0"/>
          <w:color w:val="auto"/>
          <w:highlight w:val="none"/>
        </w:rPr>
        <w:t>日前发布修改文件；不足</w:t>
      </w:r>
      <w:r>
        <w:rPr>
          <w:rFonts w:hAnsi="宋体"/>
          <w:i w:val="0"/>
          <w:iCs w:val="0"/>
          <w:color w:val="auto"/>
          <w:highlight w:val="none"/>
        </w:rPr>
        <w:t>15</w:t>
      </w:r>
      <w:r>
        <w:rPr>
          <w:rFonts w:hint="eastAsia" w:ascii="宋体" w:hAnsi="宋体"/>
          <w:i w:val="0"/>
          <w:iCs w:val="0"/>
          <w:color w:val="auto"/>
          <w:highlight w:val="none"/>
        </w:rPr>
        <w:t>日的，招标人应当顺延提交投标文件的截止时间。</w:t>
      </w:r>
    </w:p>
    <w:p w14:paraId="6AD9B89D">
      <w:pPr>
        <w:pStyle w:val="9"/>
        <w:numPr>
          <w:ilvl w:val="2"/>
          <w:numId w:val="23"/>
        </w:numPr>
        <w:kinsoku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当招标文件的修改内容与招标文件相互矛盾时，以最后发出的补充文件为准。</w:t>
      </w:r>
    </w:p>
    <w:p w14:paraId="58DDB69B">
      <w:pPr>
        <w:pStyle w:val="9"/>
        <w:kinsoku w:val="0"/>
        <w:spacing w:before="0" w:beforeAutospacing="0" w:after="0" w:afterAutospacing="0"/>
        <w:ind w:left="0"/>
        <w:rPr>
          <w:rFonts w:hAnsi="宋体"/>
          <w:i w:val="0"/>
          <w:iCs w:val="0"/>
          <w:color w:val="auto"/>
          <w:sz w:val="14"/>
          <w:szCs w:val="14"/>
          <w:highlight w:val="none"/>
        </w:rPr>
      </w:pPr>
      <w:r>
        <w:rPr>
          <w:rFonts w:hAnsi="宋体"/>
          <w:i w:val="0"/>
          <w:iCs w:val="0"/>
          <w:color w:val="auto"/>
          <w:sz w:val="14"/>
          <w:szCs w:val="14"/>
          <w:highlight w:val="none"/>
        </w:rPr>
        <w:tab/>
      </w:r>
    </w:p>
    <w:p w14:paraId="5F71D178">
      <w:pPr>
        <w:rPr>
          <w:rFonts w:ascii="宋体" w:hAnsi="宋体"/>
          <w:b/>
          <w:i w:val="0"/>
          <w:iCs w:val="0"/>
          <w:color w:val="auto"/>
          <w:sz w:val="32"/>
          <w:szCs w:val="32"/>
          <w:highlight w:val="none"/>
        </w:rPr>
      </w:pPr>
      <w:bookmarkStart w:id="113" w:name="_Toc12864"/>
      <w:bookmarkEnd w:id="113"/>
      <w:bookmarkStart w:id="114" w:name="bookmark39"/>
      <w:bookmarkEnd w:id="114"/>
      <w:bookmarkStart w:id="115" w:name="_Toc45697234"/>
      <w:bookmarkEnd w:id="115"/>
      <w:bookmarkStart w:id="116" w:name="bookmark40"/>
      <w:bookmarkEnd w:id="116"/>
      <w:bookmarkStart w:id="117" w:name="_Toc22828070"/>
      <w:r>
        <w:rPr>
          <w:rFonts w:hint="eastAsia" w:ascii="宋体" w:hAnsi="宋体"/>
          <w:b/>
          <w:i w:val="0"/>
          <w:iCs w:val="0"/>
          <w:color w:val="auto"/>
          <w:sz w:val="32"/>
          <w:szCs w:val="32"/>
          <w:highlight w:val="none"/>
        </w:rPr>
        <w:t>3.投标文件</w:t>
      </w:r>
      <w:bookmarkEnd w:id="117"/>
    </w:p>
    <w:p w14:paraId="26C33D22">
      <w:pPr>
        <w:ind w:firstLine="275" w:firstLineChars="98"/>
        <w:rPr>
          <w:rFonts w:ascii="宋体" w:hAnsi="宋体"/>
          <w:b/>
          <w:i w:val="0"/>
          <w:iCs w:val="0"/>
          <w:color w:val="auto"/>
          <w:sz w:val="28"/>
          <w:szCs w:val="28"/>
          <w:highlight w:val="none"/>
        </w:rPr>
      </w:pPr>
      <w:bookmarkStart w:id="118" w:name="bookmark41"/>
      <w:bookmarkEnd w:id="118"/>
      <w:r>
        <w:rPr>
          <w:rFonts w:hint="eastAsia" w:ascii="宋体" w:hAnsi="宋体"/>
          <w:b/>
          <w:i w:val="0"/>
          <w:iCs w:val="0"/>
          <w:color w:val="auto"/>
          <w:sz w:val="28"/>
          <w:szCs w:val="28"/>
          <w:highlight w:val="none"/>
        </w:rPr>
        <w:t>3.1投标文件的组成</w:t>
      </w:r>
    </w:p>
    <w:p w14:paraId="353B4625">
      <w:pPr>
        <w:pStyle w:val="42"/>
        <w:snapToGrid w:val="0"/>
        <w:ind w:firstLine="480" w:firstLineChars="200"/>
        <w:rPr>
          <w:rFonts w:hint="eastAsia"/>
          <w:b/>
          <w:i w:val="0"/>
          <w:iCs w:val="0"/>
          <w:color w:val="auto"/>
          <w:highlight w:val="none"/>
        </w:rPr>
      </w:pPr>
      <w:r>
        <w:rPr>
          <w:rFonts w:hint="eastAsia" w:ascii="宋体" w:hAnsi="宋体"/>
          <w:bCs/>
          <w:i w:val="0"/>
          <w:iCs w:val="0"/>
          <w:color w:val="auto"/>
          <w:highlight w:val="none"/>
        </w:rPr>
        <w:t>投标文件根据评标办法由投标文件商务标、技术标、资信标、资格审查资料组成。</w:t>
      </w:r>
      <w:r>
        <w:rPr>
          <w:rFonts w:hint="eastAsia" w:ascii="宋体" w:hAnsi="宋体"/>
          <w:bCs/>
          <w:i w:val="0"/>
          <w:iCs w:val="0"/>
          <w:color w:val="auto"/>
          <w:highlight w:val="none"/>
          <w:u w:val="single"/>
        </w:rPr>
        <w:t>（招标人可将下列投标人须知前附表3.1投标资料按相应的评标办法进行组合）</w:t>
      </w:r>
    </w:p>
    <w:p w14:paraId="06F3CB2D">
      <w:pPr>
        <w:ind w:firstLine="275" w:firstLineChars="98"/>
        <w:rPr>
          <w:rFonts w:ascii="宋体" w:hAnsi="宋体"/>
          <w:b/>
          <w:i w:val="0"/>
          <w:iCs w:val="0"/>
          <w:color w:val="auto"/>
          <w:sz w:val="28"/>
          <w:szCs w:val="28"/>
          <w:highlight w:val="none"/>
        </w:rPr>
      </w:pPr>
      <w:bookmarkStart w:id="119" w:name="bookmark42"/>
      <w:bookmarkEnd w:id="119"/>
      <w:r>
        <w:rPr>
          <w:rFonts w:hint="eastAsia" w:ascii="宋体" w:hAnsi="宋体"/>
          <w:b/>
          <w:i w:val="0"/>
          <w:iCs w:val="0"/>
          <w:color w:val="auto"/>
          <w:sz w:val="28"/>
          <w:szCs w:val="28"/>
          <w:highlight w:val="none"/>
        </w:rPr>
        <w:t>3.2投标报价</w:t>
      </w:r>
    </w:p>
    <w:p w14:paraId="216BA758">
      <w:pPr>
        <w:pStyle w:val="9"/>
        <w:numPr>
          <w:ilvl w:val="2"/>
          <w:numId w:val="24"/>
        </w:numPr>
        <w:kinsoku w:val="0"/>
        <w:spacing w:before="0" w:beforeAutospacing="0" w:after="0" w:afterAutospacing="0"/>
        <w:ind w:left="0" w:firstLine="480" w:firstLineChars="200"/>
        <w:rPr>
          <w:rFonts w:hAnsi="宋体" w:cs="Arial"/>
          <w:i w:val="0"/>
          <w:iCs w:val="0"/>
          <w:color w:val="auto"/>
          <w:highlight w:val="none"/>
        </w:rPr>
      </w:pPr>
      <w:r>
        <w:rPr>
          <w:rFonts w:ascii="宋体" w:hAnsi="宋体" w:cs="Arial"/>
          <w:i w:val="0"/>
          <w:iCs w:val="0"/>
          <w:color w:val="auto"/>
          <w:highlight w:val="none"/>
        </w:rPr>
        <w:t>投标人应按照第八章</w:t>
      </w:r>
      <w:r>
        <w:rPr>
          <w:rFonts w:hAnsi="宋体" w:cs="Arial"/>
          <w:i w:val="0"/>
          <w:iCs w:val="0"/>
          <w:color w:val="auto"/>
          <w:highlight w:val="none"/>
        </w:rPr>
        <w:t>“投标文件格式”的要求填写投标报价。</w:t>
      </w:r>
    </w:p>
    <w:p w14:paraId="1F82F60F">
      <w:pPr>
        <w:pStyle w:val="9"/>
        <w:numPr>
          <w:ilvl w:val="2"/>
          <w:numId w:val="24"/>
        </w:numPr>
        <w:kinsoku w:val="0"/>
        <w:spacing w:before="0" w:beforeAutospacing="0" w:after="0" w:afterAutospacing="0"/>
        <w:ind w:left="0" w:firstLine="480" w:firstLineChars="200"/>
        <w:rPr>
          <w:rFonts w:hAnsi="宋体" w:cs="Arial"/>
          <w:i w:val="0"/>
          <w:iCs w:val="0"/>
          <w:color w:val="auto"/>
          <w:highlight w:val="none"/>
        </w:rPr>
      </w:pPr>
      <w:r>
        <w:rPr>
          <w:rFonts w:ascii="宋体" w:hAnsi="宋体" w:cs="Arial"/>
          <w:i w:val="0"/>
          <w:iCs w:val="0"/>
          <w:color w:val="auto"/>
          <w:highlight w:val="none"/>
        </w:rPr>
        <w:t>投标人在投标截止时间前修改投标函中的投标报价总额，应同时修改投标文件</w:t>
      </w:r>
      <w:r>
        <w:rPr>
          <w:rFonts w:hAnsi="宋体" w:cs="Arial"/>
          <w:i w:val="0"/>
          <w:iCs w:val="0"/>
          <w:color w:val="auto"/>
          <w:highlight w:val="none"/>
        </w:rPr>
        <w:t>“投标报价”中的相应报价，投标报价总额为各分项金额之和。此修改须符合本章</w:t>
      </w:r>
      <w:r>
        <w:rPr>
          <w:rFonts w:hint="eastAsia" w:ascii="宋体" w:hAnsi="宋体" w:cs="Arial"/>
          <w:i w:val="0"/>
          <w:iCs w:val="0"/>
          <w:color w:val="auto"/>
          <w:highlight w:val="none"/>
        </w:rPr>
        <w:t>第4.3款</w:t>
      </w:r>
      <w:r>
        <w:rPr>
          <w:rFonts w:ascii="宋体" w:hAnsi="宋体" w:cs="Arial"/>
          <w:i w:val="0"/>
          <w:iCs w:val="0"/>
          <w:color w:val="auto"/>
          <w:highlight w:val="none"/>
        </w:rPr>
        <w:t>的有关要求。</w:t>
      </w:r>
    </w:p>
    <w:p w14:paraId="33D62A50">
      <w:pPr>
        <w:pStyle w:val="9"/>
        <w:numPr>
          <w:ilvl w:val="2"/>
          <w:numId w:val="24"/>
        </w:numPr>
        <w:kinsoku w:val="0"/>
        <w:spacing w:before="0" w:beforeAutospacing="0" w:after="0" w:afterAutospacing="0"/>
        <w:ind w:left="0" w:firstLine="480" w:firstLineChars="200"/>
        <w:rPr>
          <w:rFonts w:hAnsi="宋体" w:cs="Arial"/>
          <w:i w:val="0"/>
          <w:iCs w:val="0"/>
          <w:color w:val="auto"/>
          <w:highlight w:val="none"/>
        </w:rPr>
      </w:pPr>
      <w:r>
        <w:rPr>
          <w:rFonts w:ascii="宋体" w:hAnsi="宋体" w:cs="Arial"/>
          <w:i w:val="0"/>
          <w:iCs w:val="0"/>
          <w:color w:val="auto"/>
          <w:highlight w:val="none"/>
        </w:rPr>
        <w:t>工程量清单计价方式：见投标人须知前附表，投标人应按第</w:t>
      </w:r>
      <w:r>
        <w:rPr>
          <w:rFonts w:hint="eastAsia" w:ascii="宋体" w:hAnsi="宋体" w:cs="Arial"/>
          <w:i w:val="0"/>
          <w:iCs w:val="0"/>
          <w:color w:val="auto"/>
          <w:highlight w:val="none"/>
        </w:rPr>
        <w:t>五</w:t>
      </w:r>
      <w:r>
        <w:rPr>
          <w:rFonts w:ascii="宋体" w:hAnsi="宋体" w:cs="Arial"/>
          <w:i w:val="0"/>
          <w:iCs w:val="0"/>
          <w:color w:val="auto"/>
          <w:highlight w:val="none"/>
        </w:rPr>
        <w:t>章</w:t>
      </w:r>
      <w:r>
        <w:rPr>
          <w:rFonts w:hAnsi="宋体" w:cs="Arial"/>
          <w:i w:val="0"/>
          <w:iCs w:val="0"/>
          <w:color w:val="auto"/>
          <w:highlight w:val="none"/>
        </w:rPr>
        <w:t>“工程量清单编制”的要求填写相应表格，具体表式按招标文件第八章“投标文件格式”提供并报价</w:t>
      </w:r>
      <w:r>
        <w:rPr>
          <w:rFonts w:hint="eastAsia" w:ascii="宋体" w:hAnsi="宋体" w:cs="Arial"/>
          <w:i w:val="0"/>
          <w:iCs w:val="0"/>
          <w:color w:val="auto"/>
          <w:highlight w:val="none"/>
        </w:rPr>
        <w:t>。</w:t>
      </w:r>
    </w:p>
    <w:p w14:paraId="6B2DCD4B">
      <w:pPr>
        <w:pStyle w:val="9"/>
        <w:numPr>
          <w:ilvl w:val="2"/>
          <w:numId w:val="24"/>
        </w:numPr>
        <w:kinsoku w:val="0"/>
        <w:spacing w:before="0" w:beforeAutospacing="0" w:after="0" w:afterAutospacing="0"/>
        <w:ind w:left="0" w:firstLine="480" w:firstLineChars="200"/>
        <w:rPr>
          <w:rFonts w:hAnsi="宋体" w:cs="Arial"/>
          <w:i w:val="0"/>
          <w:iCs w:val="0"/>
          <w:color w:val="auto"/>
          <w:highlight w:val="none"/>
        </w:rPr>
      </w:pPr>
      <w:r>
        <w:rPr>
          <w:rFonts w:hint="eastAsia" w:ascii="宋体" w:hAnsi="宋体" w:cs="Arial"/>
          <w:i w:val="0"/>
          <w:iCs w:val="0"/>
          <w:color w:val="auto"/>
          <w:highlight w:val="none"/>
        </w:rPr>
        <w:t>招标人设有最高投标限价的，投标人的投标报价不得超过最高投标限价，最高投标限价或其计算方法在投标人须知前附表中载明。</w:t>
      </w:r>
    </w:p>
    <w:p w14:paraId="6D70C189">
      <w:pPr>
        <w:pStyle w:val="9"/>
        <w:numPr>
          <w:ilvl w:val="2"/>
          <w:numId w:val="24"/>
        </w:numPr>
        <w:kinsoku w:val="0"/>
        <w:spacing w:before="0" w:beforeAutospacing="0" w:after="0" w:afterAutospacing="0"/>
        <w:ind w:left="0" w:firstLine="480" w:firstLineChars="200"/>
        <w:rPr>
          <w:rFonts w:hAnsi="宋体"/>
          <w:i w:val="0"/>
          <w:iCs w:val="0"/>
          <w:color w:val="auto"/>
          <w:sz w:val="19"/>
          <w:szCs w:val="19"/>
          <w:highlight w:val="none"/>
        </w:rPr>
      </w:pPr>
      <w:r>
        <w:rPr>
          <w:rFonts w:hint="eastAsia" w:ascii="宋体" w:hAnsi="宋体" w:cs="Arial"/>
          <w:i w:val="0"/>
          <w:iCs w:val="0"/>
          <w:color w:val="auto"/>
          <w:highlight w:val="none"/>
        </w:rPr>
        <w:t>投标报价的其他要求见投标人须知前附表。</w:t>
      </w:r>
    </w:p>
    <w:p w14:paraId="78EEBE61">
      <w:pPr>
        <w:ind w:firstLine="275" w:firstLineChars="98"/>
        <w:rPr>
          <w:rFonts w:ascii="宋体" w:hAnsi="宋体"/>
          <w:b/>
          <w:i w:val="0"/>
          <w:iCs w:val="0"/>
          <w:color w:val="auto"/>
          <w:sz w:val="28"/>
          <w:szCs w:val="28"/>
          <w:highlight w:val="none"/>
        </w:rPr>
      </w:pPr>
      <w:bookmarkStart w:id="120" w:name="bookmark43"/>
      <w:bookmarkEnd w:id="120"/>
      <w:r>
        <w:rPr>
          <w:rFonts w:hint="eastAsia" w:ascii="宋体" w:hAnsi="宋体"/>
          <w:b/>
          <w:i w:val="0"/>
          <w:iCs w:val="0"/>
          <w:color w:val="auto"/>
          <w:sz w:val="28"/>
          <w:szCs w:val="28"/>
          <w:highlight w:val="none"/>
        </w:rPr>
        <w:t>3.3投标有效期</w:t>
      </w:r>
    </w:p>
    <w:p w14:paraId="400FE61D">
      <w:pPr>
        <w:pStyle w:val="9"/>
        <w:numPr>
          <w:ilvl w:val="2"/>
          <w:numId w:val="2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在投标人须知前附表规定的投标有效期内，投标人不得要求撤销或修改其投标文件。</w:t>
      </w:r>
    </w:p>
    <w:p w14:paraId="7CE41CFD">
      <w:pPr>
        <w:pStyle w:val="9"/>
        <w:numPr>
          <w:ilvl w:val="2"/>
          <w:numId w:val="2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在投标有效期内，投标人撤销投标文件的，应承担招标文件和法律规定的责任。</w:t>
      </w:r>
    </w:p>
    <w:p w14:paraId="1AC29B6F">
      <w:pPr>
        <w:pStyle w:val="9"/>
        <w:numPr>
          <w:ilvl w:val="2"/>
          <w:numId w:val="25"/>
        </w:numPr>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2CBFB9C5">
      <w:pPr>
        <w:ind w:firstLine="275" w:firstLineChars="98"/>
        <w:rPr>
          <w:rFonts w:ascii="宋体" w:hAnsi="宋体"/>
          <w:b/>
          <w:i w:val="0"/>
          <w:iCs w:val="0"/>
          <w:color w:val="auto"/>
          <w:sz w:val="28"/>
          <w:szCs w:val="28"/>
          <w:highlight w:val="none"/>
        </w:rPr>
      </w:pPr>
      <w:bookmarkStart w:id="121" w:name="bookmark44"/>
      <w:bookmarkEnd w:id="121"/>
      <w:r>
        <w:rPr>
          <w:rFonts w:hint="eastAsia" w:ascii="宋体" w:hAnsi="宋体"/>
          <w:b/>
          <w:i w:val="0"/>
          <w:iCs w:val="0"/>
          <w:color w:val="auto"/>
          <w:sz w:val="28"/>
          <w:szCs w:val="28"/>
          <w:highlight w:val="none"/>
        </w:rPr>
        <w:t>3.4投标保证金</w:t>
      </w:r>
    </w:p>
    <w:p w14:paraId="7B14BF10">
      <w:pPr>
        <w:pStyle w:val="9"/>
        <w:numPr>
          <w:ilvl w:val="2"/>
          <w:numId w:val="26"/>
        </w:numPr>
        <w:kinsoku w:val="0"/>
        <w:snapToGrid w:val="0"/>
        <w:spacing w:before="0" w:beforeAutospacing="0" w:after="0" w:afterAutospacing="0"/>
        <w:ind w:left="0" w:firstLine="456" w:firstLineChars="200"/>
        <w:jc w:val="both"/>
        <w:rPr>
          <w:rFonts w:hAnsi="宋体"/>
          <w:i w:val="0"/>
          <w:iCs w:val="0"/>
          <w:color w:val="auto"/>
          <w:highlight w:val="none"/>
        </w:rPr>
      </w:pPr>
      <w:r>
        <w:rPr>
          <w:rFonts w:hint="eastAsia" w:ascii="宋体" w:hAnsi="宋体"/>
          <w:i w:val="0"/>
          <w:iCs w:val="0"/>
          <w:color w:val="auto"/>
          <w:spacing w:val="-6"/>
          <w:highlight w:val="none"/>
        </w:rPr>
        <w:t>投标人在递交投标文件的同时，应按投标人须知前附表</w:t>
      </w:r>
      <w:r>
        <w:rPr>
          <w:rFonts w:hint="eastAsia" w:ascii="宋体" w:hAnsi="宋体"/>
          <w:i w:val="0"/>
          <w:iCs w:val="0"/>
          <w:color w:val="auto"/>
          <w:highlight w:val="none"/>
        </w:rPr>
        <w:t>规定的金额、形式</w:t>
      </w:r>
      <w:r>
        <w:rPr>
          <w:rFonts w:hint="eastAsia" w:ascii="宋体" w:hAnsi="宋体"/>
          <w:i w:val="0"/>
          <w:iCs w:val="0"/>
          <w:color w:val="auto"/>
          <w:spacing w:val="-3"/>
          <w:highlight w:val="none"/>
        </w:rPr>
        <w:t>递交投标保证金，并作为其投标文件的组成部分。</w:t>
      </w:r>
      <w:r>
        <w:rPr>
          <w:rFonts w:hint="eastAsia" w:ascii="宋体" w:hAnsi="宋体"/>
          <w:i w:val="0"/>
          <w:iCs w:val="0"/>
          <w:color w:val="auto"/>
          <w:spacing w:val="-1"/>
          <w:highlight w:val="none"/>
        </w:rPr>
        <w:t>联合体投标的由联合体牵头人递交投标保证金，并应符合投标人须知前附表的</w:t>
      </w:r>
      <w:r>
        <w:rPr>
          <w:rFonts w:hint="eastAsia" w:ascii="宋体" w:hAnsi="宋体"/>
          <w:i w:val="0"/>
          <w:iCs w:val="0"/>
          <w:color w:val="auto"/>
          <w:highlight w:val="none"/>
        </w:rPr>
        <w:t>规定。</w:t>
      </w:r>
    </w:p>
    <w:p w14:paraId="0A1F73B0">
      <w:pPr>
        <w:pStyle w:val="9"/>
        <w:numPr>
          <w:ilvl w:val="2"/>
          <w:numId w:val="26"/>
        </w:numPr>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投标人不按本章第</w:t>
      </w:r>
      <w:r>
        <w:rPr>
          <w:rFonts w:hAnsi="宋体"/>
          <w:i w:val="0"/>
          <w:iCs w:val="0"/>
          <w:color w:val="auto"/>
          <w:highlight w:val="none"/>
        </w:rPr>
        <w:t>3.4.1</w:t>
      </w:r>
      <w:r>
        <w:rPr>
          <w:rFonts w:hint="eastAsia" w:ascii="宋体" w:hAnsi="宋体"/>
          <w:i w:val="0"/>
          <w:iCs w:val="0"/>
          <w:color w:val="auto"/>
          <w:highlight w:val="none"/>
        </w:rPr>
        <w:t>项要求递交投标保证金的，评标委员会将否决其投标。</w:t>
      </w:r>
    </w:p>
    <w:p w14:paraId="57F85256">
      <w:pPr>
        <w:pStyle w:val="9"/>
        <w:numPr>
          <w:ilvl w:val="2"/>
          <w:numId w:val="26"/>
        </w:numPr>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投标保证金的退还：</w:t>
      </w:r>
    </w:p>
    <w:p w14:paraId="468CE324">
      <w:pPr>
        <w:pStyle w:val="9"/>
        <w:numPr>
          <w:ilvl w:val="2"/>
          <w:numId w:val="27"/>
        </w:numPr>
        <w:kinsoku w:val="0"/>
        <w:spacing w:before="0" w:beforeAutospacing="0" w:after="0" w:afterAutospacing="0"/>
        <w:ind w:left="0" w:firstLine="480" w:firstLineChars="200"/>
        <w:jc w:val="both"/>
        <w:rPr>
          <w:i w:val="0"/>
          <w:iCs w:val="0"/>
          <w:color w:val="auto"/>
          <w:highlight w:val="none"/>
        </w:rPr>
      </w:pPr>
      <w:r>
        <w:rPr>
          <w:rFonts w:hint="eastAsia" w:ascii="宋体" w:hAnsi="宋体"/>
          <w:i w:val="0"/>
          <w:iCs w:val="0"/>
          <w:color w:val="auto"/>
          <w:highlight w:val="none"/>
        </w:rPr>
        <w:t>未中标单位的在中标通知书发出后退还。</w:t>
      </w:r>
    </w:p>
    <w:p w14:paraId="6C51E302">
      <w:pPr>
        <w:pStyle w:val="9"/>
        <w:numPr>
          <w:ilvl w:val="2"/>
          <w:numId w:val="27"/>
        </w:numPr>
        <w:kinsoku w:val="0"/>
        <w:spacing w:before="0" w:beforeAutospacing="0" w:after="0" w:afterAutospacing="0"/>
        <w:ind w:left="0" w:firstLine="480" w:firstLineChars="200"/>
        <w:jc w:val="both"/>
        <w:rPr>
          <w:rFonts w:hAnsi="宋体"/>
          <w:i w:val="0"/>
          <w:iCs w:val="0"/>
          <w:color w:val="auto"/>
          <w:spacing w:val="-3"/>
          <w:highlight w:val="none"/>
        </w:rPr>
      </w:pPr>
      <w:r>
        <w:rPr>
          <w:rFonts w:hint="eastAsia" w:ascii="宋体" w:hAnsi="宋体"/>
          <w:i w:val="0"/>
          <w:iCs w:val="0"/>
          <w:color w:val="auto"/>
          <w:highlight w:val="none"/>
        </w:rPr>
        <w:t>中标单位的在合同签订后退还。</w:t>
      </w:r>
    </w:p>
    <w:p w14:paraId="0D0D8BDB">
      <w:pPr>
        <w:pStyle w:val="9"/>
        <w:numPr>
          <w:ilvl w:val="2"/>
          <w:numId w:val="26"/>
        </w:numPr>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有下列情形之一的，投标保证金将不予退还：</w:t>
      </w:r>
    </w:p>
    <w:p w14:paraId="6EE274C3">
      <w:pPr>
        <w:pStyle w:val="9"/>
        <w:numPr>
          <w:ilvl w:val="0"/>
          <w:numId w:val="28"/>
        </w:numPr>
        <w:kinsoku w:val="0"/>
        <w:snapToGrid w:val="0"/>
        <w:spacing w:before="0" w:beforeAutospacing="0" w:after="0" w:afterAutospacing="0"/>
        <w:ind w:left="240" w:firstLine="476"/>
        <w:rPr>
          <w:rFonts w:hAnsi="宋体"/>
          <w:i w:val="0"/>
          <w:iCs w:val="0"/>
          <w:color w:val="auto"/>
          <w:highlight w:val="none"/>
        </w:rPr>
      </w:pPr>
      <w:r>
        <w:rPr>
          <w:rFonts w:hint="eastAsia" w:ascii="宋体" w:hAnsi="宋体"/>
          <w:i w:val="0"/>
          <w:iCs w:val="0"/>
          <w:color w:val="auto"/>
          <w:spacing w:val="-1"/>
          <w:highlight w:val="none"/>
        </w:rPr>
        <w:t>在提交投标文件截止时间后到招标文件规定的投标有效期终止之前，投标人撤销其投标文件的</w:t>
      </w:r>
      <w:r>
        <w:rPr>
          <w:rFonts w:hAnsi="宋体"/>
          <w:i w:val="0"/>
          <w:iCs w:val="0"/>
          <w:color w:val="auto"/>
          <w:spacing w:val="-1"/>
          <w:highlight w:val="none"/>
        </w:rPr>
        <w:t>;</w:t>
      </w:r>
    </w:p>
    <w:p w14:paraId="3DAEF6C5">
      <w:pPr>
        <w:pStyle w:val="9"/>
        <w:numPr>
          <w:ilvl w:val="0"/>
          <w:numId w:val="28"/>
        </w:numPr>
        <w:kinsoku w:val="0"/>
        <w:snapToGrid w:val="0"/>
        <w:spacing w:before="0" w:beforeAutospacing="0" w:after="0" w:afterAutospacing="0"/>
        <w:ind w:left="240" w:firstLine="476"/>
        <w:rPr>
          <w:rFonts w:hAnsi="宋体"/>
          <w:i w:val="0"/>
          <w:iCs w:val="0"/>
          <w:color w:val="auto"/>
          <w:highlight w:val="none"/>
        </w:rPr>
      </w:pPr>
      <w:r>
        <w:rPr>
          <w:rFonts w:hint="eastAsia" w:ascii="宋体" w:hAnsi="宋体"/>
          <w:i w:val="0"/>
          <w:iCs w:val="0"/>
          <w:color w:val="auto"/>
          <w:spacing w:val="-1"/>
          <w:highlight w:val="none"/>
        </w:rPr>
        <w:t>中标人在收到中标通知书后，无正当理由不与招标人订立合同，在签订合同时向招标</w:t>
      </w:r>
      <w:r>
        <w:rPr>
          <w:rFonts w:hint="eastAsia" w:ascii="宋体" w:hAnsi="宋体"/>
          <w:i w:val="0"/>
          <w:iCs w:val="0"/>
          <w:color w:val="auto"/>
          <w:highlight w:val="none"/>
        </w:rPr>
        <w:t>人提出附加条件，或者不按照招标文件要求提交履约担保；</w:t>
      </w:r>
    </w:p>
    <w:p w14:paraId="0DCE34BD">
      <w:pPr>
        <w:pStyle w:val="9"/>
        <w:numPr>
          <w:ilvl w:val="0"/>
          <w:numId w:val="28"/>
        </w:numPr>
        <w:kinsoku w:val="0"/>
        <w:snapToGrid w:val="0"/>
        <w:spacing w:before="0" w:beforeAutospacing="0" w:after="0" w:afterAutospacing="0"/>
        <w:ind w:left="240" w:firstLine="480"/>
        <w:rPr>
          <w:rFonts w:hAnsi="宋体"/>
          <w:i w:val="0"/>
          <w:iCs w:val="0"/>
          <w:color w:val="auto"/>
          <w:highlight w:val="none"/>
        </w:rPr>
      </w:pPr>
      <w:r>
        <w:rPr>
          <w:rFonts w:hint="eastAsia" w:ascii="宋体" w:hAnsi="宋体"/>
          <w:i w:val="0"/>
          <w:iCs w:val="0"/>
          <w:color w:val="auto"/>
          <w:highlight w:val="none"/>
        </w:rPr>
        <w:t>投标人须知前附表规定的其他情形。</w:t>
      </w:r>
    </w:p>
    <w:p w14:paraId="73FD19F1">
      <w:pPr>
        <w:ind w:firstLine="273" w:firstLineChars="97"/>
        <w:rPr>
          <w:rFonts w:hint="eastAsia" w:ascii="宋体" w:hAnsi="宋体"/>
          <w:i w:val="0"/>
          <w:iCs w:val="0"/>
          <w:strike/>
          <w:color w:val="auto"/>
          <w:highlight w:val="none"/>
        </w:rPr>
      </w:pPr>
      <w:bookmarkStart w:id="122" w:name="bookmark45"/>
      <w:bookmarkEnd w:id="122"/>
      <w:r>
        <w:rPr>
          <w:rFonts w:hint="eastAsia" w:ascii="宋体" w:hAnsi="宋体"/>
          <w:b/>
          <w:i w:val="0"/>
          <w:iCs w:val="0"/>
          <w:color w:val="auto"/>
          <w:sz w:val="28"/>
          <w:szCs w:val="28"/>
          <w:highlight w:val="none"/>
        </w:rPr>
        <w:t>3.5资格审查证明资料</w:t>
      </w:r>
    </w:p>
    <w:p w14:paraId="7AF026BC">
      <w:pPr>
        <w:pStyle w:val="9"/>
        <w:kinsoku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见投标人须知前附表3.5。</w:t>
      </w:r>
    </w:p>
    <w:p w14:paraId="226827A7">
      <w:pPr>
        <w:ind w:firstLine="273" w:firstLineChars="97"/>
        <w:rPr>
          <w:rFonts w:ascii="宋体" w:hAnsi="宋体"/>
          <w:b/>
          <w:i w:val="0"/>
          <w:iCs w:val="0"/>
          <w:color w:val="auto"/>
          <w:sz w:val="28"/>
          <w:szCs w:val="28"/>
          <w:highlight w:val="none"/>
        </w:rPr>
      </w:pPr>
      <w:bookmarkStart w:id="123" w:name="bookmark47"/>
      <w:bookmarkEnd w:id="123"/>
      <w:r>
        <w:rPr>
          <w:rFonts w:hint="eastAsia" w:ascii="宋体" w:hAnsi="宋体"/>
          <w:b/>
          <w:i w:val="0"/>
          <w:iCs w:val="0"/>
          <w:color w:val="auto"/>
          <w:sz w:val="28"/>
          <w:szCs w:val="28"/>
          <w:highlight w:val="none"/>
        </w:rPr>
        <w:t>3.6备选投标方案</w:t>
      </w:r>
    </w:p>
    <w:p w14:paraId="21280393">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3.6.1投标人不得递交备选投标方案，否则其投标将被否决。</w:t>
      </w:r>
    </w:p>
    <w:p w14:paraId="0B45C946">
      <w:pPr>
        <w:ind w:firstLine="273" w:firstLineChars="97"/>
        <w:rPr>
          <w:rFonts w:ascii="宋体" w:hAnsi="宋体"/>
          <w:b/>
          <w:i w:val="0"/>
          <w:iCs w:val="0"/>
          <w:color w:val="auto"/>
          <w:sz w:val="28"/>
          <w:szCs w:val="28"/>
          <w:highlight w:val="none"/>
        </w:rPr>
      </w:pPr>
      <w:bookmarkStart w:id="124" w:name="bookmark48"/>
      <w:bookmarkEnd w:id="124"/>
      <w:r>
        <w:rPr>
          <w:rFonts w:hint="eastAsia" w:ascii="宋体" w:hAnsi="宋体"/>
          <w:b/>
          <w:i w:val="0"/>
          <w:iCs w:val="0"/>
          <w:color w:val="auto"/>
          <w:sz w:val="28"/>
          <w:szCs w:val="28"/>
          <w:highlight w:val="none"/>
        </w:rPr>
        <w:t>3.7投标文件的编制</w:t>
      </w:r>
    </w:p>
    <w:p w14:paraId="4BD5B208">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47C379E3">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3.7.2投标文件应当对招标文件有关工期、投标有效期、质量要求、技术标准和要求、招标范围等实质性内容作出响应。</w:t>
      </w:r>
    </w:p>
    <w:p w14:paraId="06582C35">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3.7.3电子投标的要求</w:t>
      </w:r>
    </w:p>
    <w:p w14:paraId="25928D46">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（1）电子投标文件签字或盖章的具体要求见投标人须知前附表。</w:t>
      </w:r>
    </w:p>
    <w:p w14:paraId="176E272D">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（2）电子投标文件制作要求见投标人须知前附表。</w:t>
      </w:r>
    </w:p>
    <w:p w14:paraId="14D8C4E7">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（3）电子投标文件所附证书证件及业绩证明文件要求见投标人须知前附表规定。</w:t>
      </w:r>
    </w:p>
    <w:p w14:paraId="32BDFEC4">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3.7.4投标文件格式</w:t>
      </w:r>
    </w:p>
    <w:p w14:paraId="66BFE962">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投标文件包括本须知第3.1条中规定的内容，投标人提交的投标文件应使用招标文件所提供的投标文件全部格式(表格可以按同样格式扩展)。</w:t>
      </w:r>
    </w:p>
    <w:p w14:paraId="39E7D572">
      <w:pPr>
        <w:rPr>
          <w:rFonts w:ascii="宋体" w:hAnsi="宋体"/>
          <w:b/>
          <w:i w:val="0"/>
          <w:iCs w:val="0"/>
          <w:color w:val="auto"/>
          <w:sz w:val="32"/>
          <w:szCs w:val="32"/>
          <w:highlight w:val="none"/>
        </w:rPr>
      </w:pPr>
      <w:bookmarkStart w:id="125" w:name="_Toc9226"/>
      <w:bookmarkEnd w:id="125"/>
      <w:bookmarkStart w:id="126" w:name="_Toc22828071"/>
      <w:bookmarkEnd w:id="126"/>
      <w:bookmarkStart w:id="127" w:name="bookmark49"/>
      <w:bookmarkEnd w:id="127"/>
      <w:bookmarkStart w:id="128" w:name="_Toc45697235"/>
      <w:r>
        <w:rPr>
          <w:rFonts w:hint="eastAsia" w:ascii="宋体" w:hAnsi="宋体"/>
          <w:b/>
          <w:i w:val="0"/>
          <w:iCs w:val="0"/>
          <w:color w:val="auto"/>
          <w:sz w:val="32"/>
          <w:szCs w:val="32"/>
          <w:highlight w:val="none"/>
        </w:rPr>
        <w:t>4.投标</w:t>
      </w:r>
      <w:bookmarkEnd w:id="128"/>
    </w:p>
    <w:p w14:paraId="0B97CC09">
      <w:pPr>
        <w:numPr>
          <w:ilvl w:val="1"/>
          <w:numId w:val="29"/>
        </w:numPr>
        <w:ind w:left="0" w:firstLine="275" w:firstLineChars="98"/>
        <w:rPr>
          <w:rFonts w:ascii="宋体" w:hAnsi="宋体"/>
          <w:b/>
          <w:i w:val="0"/>
          <w:iCs w:val="0"/>
          <w:color w:val="auto"/>
          <w:sz w:val="28"/>
          <w:szCs w:val="28"/>
          <w:highlight w:val="none"/>
        </w:rPr>
      </w:pPr>
      <w:bookmarkStart w:id="129" w:name="bookmark50"/>
      <w:bookmarkEnd w:id="129"/>
      <w:r>
        <w:rPr>
          <w:rFonts w:hint="eastAsia" w:ascii="宋体" w:hAnsi="宋体"/>
          <w:b/>
          <w:i w:val="0"/>
          <w:iCs w:val="0"/>
          <w:color w:val="auto"/>
          <w:sz w:val="28"/>
          <w:szCs w:val="28"/>
          <w:highlight w:val="none"/>
        </w:rPr>
        <w:t>投标文件的密封和标记</w:t>
      </w:r>
    </w:p>
    <w:p w14:paraId="0C9A5326">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4.1.1</w:t>
      </w:r>
      <w:r>
        <w:rPr>
          <w:rFonts w:hint="eastAsia" w:ascii="宋体" w:hAnsi="宋体"/>
          <w:i w:val="0"/>
          <w:iCs w:val="0"/>
          <w:color w:val="auto"/>
          <w:spacing w:val="-2"/>
          <w:highlight w:val="none"/>
        </w:rPr>
        <w:t>投标文件的密封、标记和电子投标加密要求</w:t>
      </w:r>
      <w:r>
        <w:rPr>
          <w:rFonts w:hint="eastAsia" w:ascii="宋体" w:hAnsi="宋体"/>
          <w:i w:val="0"/>
          <w:iCs w:val="0"/>
          <w:color w:val="auto"/>
          <w:highlight w:val="none"/>
        </w:rPr>
        <w:t>见投标人须知前附表。</w:t>
      </w:r>
    </w:p>
    <w:p w14:paraId="5DE300AF">
      <w:pPr>
        <w:numPr>
          <w:ilvl w:val="1"/>
          <w:numId w:val="29"/>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投标文件的递交</w:t>
      </w:r>
    </w:p>
    <w:p w14:paraId="3FC1B7E4">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4.2.1投标人应在投标人须知前附表规定的投标截止时间前递交投标文件。</w:t>
      </w:r>
    </w:p>
    <w:p w14:paraId="47242178">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4.2.2投标人通过下载招标文件的电子招标投标交易平台递交电子投标文件。</w:t>
      </w:r>
    </w:p>
    <w:p w14:paraId="161D386A">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4.2.3除投标人须知前附表另有规定外，投标人所递交的投标文件不予退还。</w:t>
      </w:r>
    </w:p>
    <w:p w14:paraId="7AB14314">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4.2.4投标人完成电子投标文件上传后，电子招标投标交易平台即时向投标人发出递交回执通知。递交时间以递交回执通知载明的传输完成时间为准。</w:t>
      </w:r>
    </w:p>
    <w:p w14:paraId="7BB3401D">
      <w:pPr>
        <w:pStyle w:val="9"/>
        <w:kinsoku w:val="0"/>
        <w:snapToGrid w:val="0"/>
        <w:spacing w:before="0" w:beforeAutospacing="0" w:after="0" w:afterAutospacing="0"/>
        <w:ind w:left="0" w:firstLine="480" w:firstLineChars="200"/>
        <w:rPr>
          <w:rFonts w:ascii="宋体" w:hAnsi="宋体"/>
          <w:i w:val="0"/>
          <w:iCs w:val="0"/>
          <w:color w:val="auto"/>
          <w:sz w:val="19"/>
          <w:szCs w:val="19"/>
          <w:highlight w:val="none"/>
        </w:rPr>
      </w:pPr>
      <w:r>
        <w:rPr>
          <w:rFonts w:hint="eastAsia" w:ascii="宋体" w:hAnsi="宋体"/>
          <w:i w:val="0"/>
          <w:iCs w:val="0"/>
          <w:color w:val="auto"/>
          <w:highlight w:val="none"/>
        </w:rPr>
        <w:t>4.2.5电子投标文件的拒收情形：见投标人须知前附表。</w:t>
      </w:r>
    </w:p>
    <w:p w14:paraId="0ABB19DD">
      <w:pPr>
        <w:numPr>
          <w:ilvl w:val="1"/>
          <w:numId w:val="29"/>
        </w:numPr>
        <w:ind w:left="0" w:firstLine="275" w:firstLineChars="98"/>
        <w:rPr>
          <w:rFonts w:ascii="宋体" w:hAnsi="宋体"/>
          <w:b/>
          <w:i w:val="0"/>
          <w:iCs w:val="0"/>
          <w:color w:val="auto"/>
          <w:sz w:val="28"/>
          <w:szCs w:val="28"/>
          <w:highlight w:val="none"/>
        </w:rPr>
      </w:pPr>
      <w:bookmarkStart w:id="130" w:name="bookmark52"/>
      <w:bookmarkEnd w:id="130"/>
      <w:r>
        <w:rPr>
          <w:rFonts w:hint="eastAsia" w:ascii="宋体" w:hAnsi="宋体"/>
          <w:b/>
          <w:i w:val="0"/>
          <w:iCs w:val="0"/>
          <w:color w:val="auto"/>
          <w:sz w:val="28"/>
          <w:szCs w:val="28"/>
          <w:highlight w:val="none"/>
        </w:rPr>
        <w:t>投标文件的修改与撤回</w:t>
      </w:r>
    </w:p>
    <w:p w14:paraId="5EB9B441">
      <w:pPr>
        <w:pStyle w:val="9"/>
        <w:kinsoku w:val="0"/>
        <w:spacing w:before="0" w:beforeAutospacing="0" w:after="0" w:afterAutospacing="0"/>
        <w:ind w:left="0" w:firstLine="480" w:firstLineChars="200"/>
        <w:rPr>
          <w:rFonts w:ascii="宋体" w:hAnsi="宋体"/>
          <w:i w:val="0"/>
          <w:iCs w:val="0"/>
          <w:color w:val="auto"/>
          <w:spacing w:val="-4"/>
          <w:highlight w:val="none"/>
        </w:rPr>
      </w:pPr>
      <w:r>
        <w:rPr>
          <w:rFonts w:hint="eastAsia" w:ascii="宋体" w:hAnsi="宋体"/>
          <w:i w:val="0"/>
          <w:iCs w:val="0"/>
          <w:color w:val="auto"/>
          <w:highlight w:val="none"/>
        </w:rPr>
        <w:t>4.3.1在本章第4.2.1</w:t>
      </w:r>
      <w:r>
        <w:rPr>
          <w:rFonts w:hint="eastAsia" w:ascii="宋体" w:hAnsi="宋体"/>
          <w:i w:val="0"/>
          <w:iCs w:val="0"/>
          <w:color w:val="auto"/>
          <w:spacing w:val="-4"/>
          <w:highlight w:val="none"/>
        </w:rPr>
        <w:t>项规定的投标截止时间前，投标人可以修改或撤回已递交的投标文件，</w:t>
      </w:r>
      <w:r>
        <w:rPr>
          <w:rFonts w:hint="eastAsia" w:ascii="宋体" w:hAnsi="宋体"/>
          <w:i w:val="0"/>
          <w:iCs w:val="0"/>
          <w:color w:val="auto"/>
          <w:highlight w:val="none"/>
        </w:rPr>
        <w:t>但应以书面形式通知招标人。</w:t>
      </w:r>
      <w:r>
        <w:rPr>
          <w:rFonts w:hint="eastAsia" w:ascii="宋体" w:hAnsi="宋体"/>
          <w:i w:val="0"/>
          <w:iCs w:val="0"/>
          <w:color w:val="auto"/>
          <w:spacing w:val="-4"/>
          <w:highlight w:val="none"/>
        </w:rPr>
        <w:t>投标截止时间前未完成投标文件传输的，视为撤回投标文件。</w:t>
      </w:r>
    </w:p>
    <w:p w14:paraId="04064801">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4.3.2投标人修改或撤回已递交投标文件的通知，应按照本章第3.7.3项的要求加盖电子印章。电子招标投标交易平台收到通知后，即时向投标人发出确认回执通知。</w:t>
      </w:r>
    </w:p>
    <w:p w14:paraId="20E01A67">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4.3.3</w:t>
      </w:r>
      <w:r>
        <w:rPr>
          <w:rFonts w:hint="eastAsia" w:ascii="宋体" w:hAnsi="宋体"/>
          <w:i w:val="0"/>
          <w:iCs w:val="0"/>
          <w:color w:val="auto"/>
          <w:spacing w:val="-4"/>
          <w:highlight w:val="none"/>
        </w:rPr>
        <w:t>投标人撤回投标文件的，招标人自收到投标人书面撤回通知之日起</w:t>
      </w:r>
      <w:r>
        <w:rPr>
          <w:rFonts w:hint="eastAsia" w:ascii="宋体" w:hAnsi="宋体"/>
          <w:i w:val="0"/>
          <w:iCs w:val="0"/>
          <w:color w:val="auto"/>
          <w:highlight w:val="none"/>
        </w:rPr>
        <w:t>5日内退还已收取的投标保证金。</w:t>
      </w:r>
    </w:p>
    <w:p w14:paraId="4CB66BCC">
      <w:pPr>
        <w:pStyle w:val="9"/>
        <w:kinsoku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4.3.4</w:t>
      </w:r>
      <w:r>
        <w:rPr>
          <w:rFonts w:hint="eastAsia" w:ascii="宋体" w:hAnsi="宋体"/>
          <w:i w:val="0"/>
          <w:iCs w:val="0"/>
          <w:color w:val="auto"/>
          <w:spacing w:val="-3"/>
          <w:highlight w:val="none"/>
        </w:rPr>
        <w:t>修改的内容为投标文件的组成部分。修改的投标文件应按照本章第</w:t>
      </w:r>
      <w:r>
        <w:rPr>
          <w:rFonts w:hint="eastAsia" w:ascii="宋体" w:hAnsi="宋体"/>
          <w:i w:val="0"/>
          <w:iCs w:val="0"/>
          <w:color w:val="auto"/>
          <w:highlight w:val="none"/>
        </w:rPr>
        <w:t>3</w:t>
      </w:r>
      <w:r>
        <w:rPr>
          <w:rFonts w:hint="eastAsia" w:ascii="宋体" w:hAnsi="宋体"/>
          <w:i w:val="0"/>
          <w:iCs w:val="0"/>
          <w:color w:val="auto"/>
          <w:spacing w:val="-14"/>
          <w:highlight w:val="none"/>
        </w:rPr>
        <w:t>条、第</w:t>
      </w:r>
      <w:r>
        <w:rPr>
          <w:rFonts w:hint="eastAsia" w:ascii="宋体" w:hAnsi="宋体"/>
          <w:i w:val="0"/>
          <w:iCs w:val="0"/>
          <w:color w:val="auto"/>
          <w:highlight w:val="none"/>
        </w:rPr>
        <w:t>4条的规定进行编制、密封、标记和递交，并标明“修改”字样。</w:t>
      </w:r>
    </w:p>
    <w:p w14:paraId="764497E1">
      <w:pPr>
        <w:rPr>
          <w:rFonts w:ascii="宋体" w:hAnsi="宋体"/>
          <w:b/>
          <w:i w:val="0"/>
          <w:iCs w:val="0"/>
          <w:color w:val="auto"/>
          <w:sz w:val="32"/>
          <w:szCs w:val="32"/>
          <w:highlight w:val="none"/>
        </w:rPr>
      </w:pPr>
      <w:bookmarkStart w:id="131" w:name="_Toc45697236"/>
      <w:bookmarkEnd w:id="131"/>
      <w:bookmarkStart w:id="132" w:name="_Toc22828072"/>
      <w:bookmarkEnd w:id="132"/>
      <w:bookmarkStart w:id="133" w:name="bookmark53"/>
      <w:bookmarkEnd w:id="133"/>
      <w:bookmarkStart w:id="134" w:name="_Toc21471"/>
      <w:r>
        <w:rPr>
          <w:rFonts w:hint="eastAsia" w:ascii="宋体" w:hAnsi="宋体"/>
          <w:b/>
          <w:i w:val="0"/>
          <w:iCs w:val="0"/>
          <w:color w:val="auto"/>
          <w:sz w:val="32"/>
          <w:szCs w:val="32"/>
          <w:highlight w:val="none"/>
        </w:rPr>
        <w:t>5.开标</w:t>
      </w:r>
      <w:bookmarkEnd w:id="134"/>
    </w:p>
    <w:p w14:paraId="799B6414">
      <w:pPr>
        <w:numPr>
          <w:ilvl w:val="1"/>
          <w:numId w:val="30"/>
        </w:numPr>
        <w:ind w:left="0" w:firstLine="275" w:firstLineChars="98"/>
        <w:rPr>
          <w:rFonts w:ascii="宋体" w:hAnsi="宋体"/>
          <w:b/>
          <w:i w:val="0"/>
          <w:iCs w:val="0"/>
          <w:color w:val="auto"/>
          <w:sz w:val="28"/>
          <w:szCs w:val="28"/>
          <w:highlight w:val="none"/>
        </w:rPr>
      </w:pPr>
      <w:bookmarkStart w:id="135" w:name="bookmark54"/>
      <w:bookmarkEnd w:id="135"/>
      <w:r>
        <w:rPr>
          <w:rFonts w:hint="eastAsia" w:ascii="宋体" w:hAnsi="宋体"/>
          <w:b/>
          <w:i w:val="0"/>
          <w:iCs w:val="0"/>
          <w:color w:val="auto"/>
          <w:sz w:val="28"/>
          <w:szCs w:val="28"/>
          <w:highlight w:val="none"/>
        </w:rPr>
        <w:t>开标时间和地点</w:t>
      </w:r>
    </w:p>
    <w:p w14:paraId="5FB94B4E">
      <w:pPr>
        <w:pStyle w:val="9"/>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见投标人须知前附表。</w:t>
      </w:r>
    </w:p>
    <w:p w14:paraId="5950B2F0">
      <w:pPr>
        <w:numPr>
          <w:ilvl w:val="1"/>
          <w:numId w:val="30"/>
        </w:numPr>
        <w:ind w:left="0" w:firstLine="275" w:firstLineChars="98"/>
        <w:rPr>
          <w:rFonts w:ascii="宋体" w:hAnsi="宋体"/>
          <w:b/>
          <w:bCs/>
          <w:i w:val="0"/>
          <w:iCs w:val="0"/>
          <w:color w:val="auto"/>
          <w:sz w:val="28"/>
          <w:szCs w:val="28"/>
          <w:highlight w:val="none"/>
          <w:u w:val="single"/>
        </w:rPr>
      </w:pPr>
      <w:bookmarkStart w:id="136" w:name="bookmark55"/>
      <w:bookmarkEnd w:id="136"/>
      <w:bookmarkStart w:id="137" w:name="bookmark56"/>
      <w:bookmarkEnd w:id="137"/>
      <w:r>
        <w:rPr>
          <w:rFonts w:hint="eastAsia" w:ascii="宋体" w:hAnsi="宋体"/>
          <w:b/>
          <w:i w:val="0"/>
          <w:iCs w:val="0"/>
          <w:color w:val="auto"/>
          <w:sz w:val="28"/>
          <w:szCs w:val="28"/>
          <w:highlight w:val="none"/>
        </w:rPr>
        <w:t>开标程序</w:t>
      </w:r>
    </w:p>
    <w:p w14:paraId="50364705">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5.2.1 开标程序</w:t>
      </w:r>
    </w:p>
    <w:p w14:paraId="67B378DC">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（一）宣布开标</w:t>
      </w:r>
    </w:p>
    <w:p w14:paraId="2AAA79CE">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至投标截止时间，招标人（或其招标代理机构）宣布开始开标，宣读开标项目名称、招标人代表、监标人等有关人员姓名。</w:t>
      </w:r>
    </w:p>
    <w:p w14:paraId="56B505CB">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（二）公布投标人数量</w:t>
      </w:r>
    </w:p>
    <w:p w14:paraId="4FB2E2C1">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招标人公布投标人数量及保证金缴纳情况。若递交投标文件的单位数量少于 3家，招标人公布已递交投标文件单位名称，宣布本次招标失败。</w:t>
      </w:r>
    </w:p>
    <w:p w14:paraId="78039136">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（三）投标人解密（投标文件解密在60分钟内完成，具体以电子招投标交易平台系统时间为准）</w:t>
      </w:r>
    </w:p>
    <w:p w14:paraId="27816065">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递交投标文件的投标人数量大于等于3家，进入投标人解密环节。</w:t>
      </w:r>
    </w:p>
    <w:p w14:paraId="53B84C9C">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投标人解密方式：投标人登录不见面开标大厅：</w:t>
      </w:r>
      <w:r>
        <w:rPr>
          <w:rFonts w:hint="eastAsia" w:ascii="宋体" w:hAnsi="宋体"/>
          <w:i w:val="0"/>
          <w:iCs w:val="0"/>
          <w:color w:val="auto"/>
          <w:highlight w:val="none"/>
          <w:u w:val="single"/>
          <w:lang w:eastAsia="zh-CN"/>
        </w:rPr>
        <w:t xml:space="preserve"> http://220.187.225.202:18088/BidOpening/bidopeninghallaction/hall/login</w:t>
      </w:r>
      <w:r>
        <w:rPr>
          <w:rFonts w:hint="eastAsia" w:ascii="宋体" w:hAnsi="宋体"/>
          <w:i w:val="0"/>
          <w:iCs w:val="0"/>
          <w:color w:val="auto"/>
          <w:highlight w:val="none"/>
          <w:u w:val="single"/>
        </w:rPr>
        <w:t>(按各交易平台开标大厅)</w:t>
      </w:r>
      <w:r>
        <w:rPr>
          <w:rFonts w:hint="eastAsia" w:ascii="宋体" w:hAnsi="宋体"/>
          <w:i w:val="0"/>
          <w:iCs w:val="0"/>
          <w:color w:val="auto"/>
          <w:highlight w:val="none"/>
        </w:rPr>
        <w:t>。待招标人点击解密指令后，投标人使用生成投标文件的CA数字证书在线解密，解密失败的，不再导入非加密电子投标文件。</w:t>
      </w:r>
    </w:p>
    <w:p w14:paraId="06F5B1AD">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若成功解密的投标人少于3家，招标人宣布本次招标失败。</w:t>
      </w:r>
    </w:p>
    <w:p w14:paraId="3FB07D05">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（四）清单、参数录入，抽取评标基准价计算方法。（若有）</w:t>
      </w:r>
    </w:p>
    <w:p w14:paraId="0E0B9B6B">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录入最高投标限价、工程量清单评价项目，抽取评标基准价计算方法、技术通过制综合评估法中Ｋ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（权重系数）和Ｋ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（平均浮动系数）等。</w:t>
      </w:r>
    </w:p>
    <w:p w14:paraId="62A19171">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（五）公布开标结果</w:t>
      </w:r>
    </w:p>
    <w:p w14:paraId="4CEAAC64">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投标人解密完成后，开标系统公布投标报价、工期、质量目标等内容。</w:t>
      </w:r>
    </w:p>
    <w:p w14:paraId="7D05C3C4">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（六）开标结束</w:t>
      </w:r>
    </w:p>
    <w:p w14:paraId="176476B3">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招标人宣布本次开标结束。</w:t>
      </w:r>
    </w:p>
    <w:p w14:paraId="684E20C0">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 xml:space="preserve"> 5.2.2 不见面开标软硬件要求</w:t>
      </w:r>
    </w:p>
    <w:p w14:paraId="26A81654">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（一）建议电脑配置：4G以上内存，MicrosoftWindows7以上操作系统，正版office软件，及相应的配套硬件设备（摄像头、耳机、麦克风等）。</w:t>
      </w:r>
    </w:p>
    <w:p w14:paraId="0229D019">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（二） 50M 以上网络带宽连接。</w:t>
      </w:r>
    </w:p>
    <w:p w14:paraId="7437C4DB">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（三）安装浙江省公共资源交易CA签章互认驱动及开标大厅直播播放器。相关软件可在</w:t>
      </w:r>
      <w:r>
        <w:rPr>
          <w:rFonts w:hint="eastAsia" w:ascii="宋体" w:hAnsi="宋体"/>
          <w:b/>
          <w:bCs/>
          <w:i w:val="0"/>
          <w:iCs w:val="0"/>
          <w:color w:val="auto"/>
          <w:highlight w:val="none"/>
          <w:u w:val="single"/>
        </w:rPr>
        <w:t>绍兴公共资源交易网（按各平台情况填写）</w:t>
      </w:r>
      <w:r>
        <w:rPr>
          <w:rFonts w:hint="eastAsia" w:ascii="宋体" w:hAnsi="宋体"/>
          <w:i w:val="0"/>
          <w:iCs w:val="0"/>
          <w:color w:val="auto"/>
          <w:highlight w:val="none"/>
        </w:rPr>
        <w:t>下载专区页面下载。</w:t>
      </w:r>
    </w:p>
    <w:p w14:paraId="5DF6FA17">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（四）使用MicrosoftInternetExplorer11（IE 11）及以上浏览器，加入可信任站点，添加兼容性视图设置修改 Activex控件和插件设置，关闭弹出窗口拦截。</w:t>
      </w:r>
    </w:p>
    <w:p w14:paraId="2A637B15">
      <w:pPr>
        <w:pStyle w:val="9"/>
        <w:kinsoku w:val="0"/>
        <w:snapToGrid w:val="0"/>
        <w:spacing w:before="0" w:beforeAutospacing="0" w:after="0" w:afterAutospacing="0"/>
        <w:ind w:left="0"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5.2.3 特殊情况的处置</w:t>
      </w:r>
    </w:p>
    <w:p w14:paraId="24CDFE84">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1、特殊情况的处置</w:t>
      </w:r>
    </w:p>
    <w:p w14:paraId="1B58C16C">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（一）因网络、系统、电力等不可抗力因素延期开标的，需更新制作投标文件并按招标文件要求重新递交。</w:t>
      </w:r>
    </w:p>
    <w:p w14:paraId="6B733F5F">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（二）因电子交易系统故障、投标人数量过多等非投标人原因，导致投标文件不能在规定时间内完成解密的，招标人可向监管部门申请并征得同意后延长解密时间，告知在线的投标人。</w:t>
      </w:r>
    </w:p>
    <w:p w14:paraId="3ED77F39">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（三）投标人电脑终端的硬件设备和软件系统配置必须符合不见面开标技术要求并运行正常，否则投标人自行承担不利后果。</w:t>
      </w:r>
    </w:p>
    <w:p w14:paraId="6CEAAFE8">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2、开标特别说明</w:t>
      </w:r>
    </w:p>
    <w:p w14:paraId="0C496284">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（一）开标解密使用投标人上传的加密电子投标文件。</w:t>
      </w:r>
    </w:p>
    <w:p w14:paraId="6686244D">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76F548FE">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（三）部分投标人的电子文件无法解密的，其他投标文件的开标可以继续进行。</w:t>
      </w:r>
    </w:p>
    <w:p w14:paraId="2243A7D0">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247D63E3">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6A757D8B">
      <w:pPr>
        <w:pStyle w:val="9"/>
        <w:kinsoku w:val="0"/>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未及时登录不见面开标系统参与在线开标，投标人将无法及时获取解密指令、废标、澄清、唱标、评审结果等实时情况。投标人应自行承担由此引起的相关风险。</w:t>
      </w:r>
    </w:p>
    <w:p w14:paraId="4DC40E54">
      <w:pPr>
        <w:numPr>
          <w:ilvl w:val="1"/>
          <w:numId w:val="30"/>
        </w:numPr>
        <w:ind w:left="0" w:firstLine="275" w:firstLineChars="98"/>
        <w:rPr>
          <w:rFonts w:ascii="宋体" w:hAnsi="宋体"/>
          <w:b/>
          <w:i w:val="0"/>
          <w:iCs w:val="0"/>
          <w:color w:val="auto"/>
          <w:sz w:val="28"/>
          <w:szCs w:val="28"/>
          <w:highlight w:val="none"/>
        </w:rPr>
      </w:pPr>
      <w:bookmarkStart w:id="138" w:name="bookmark57"/>
      <w:bookmarkEnd w:id="138"/>
      <w:r>
        <w:rPr>
          <w:rFonts w:hint="eastAsia" w:ascii="宋体" w:hAnsi="宋体"/>
          <w:b/>
          <w:i w:val="0"/>
          <w:iCs w:val="0"/>
          <w:color w:val="auto"/>
          <w:sz w:val="28"/>
          <w:szCs w:val="28"/>
          <w:highlight w:val="none"/>
        </w:rPr>
        <w:t>开标异议</w:t>
      </w:r>
    </w:p>
    <w:p w14:paraId="4DE95811">
      <w:pPr>
        <w:pStyle w:val="9"/>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投标人对开标有异议的，应当在开标时提出，招标人当场作出答复，并制作记录。</w:t>
      </w:r>
    </w:p>
    <w:p w14:paraId="25480F6D">
      <w:pPr>
        <w:numPr>
          <w:ilvl w:val="1"/>
          <w:numId w:val="30"/>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特殊情况处置</w:t>
      </w:r>
    </w:p>
    <w:p w14:paraId="00D70953">
      <w:pPr>
        <w:pStyle w:val="9"/>
        <w:kinsoku w:val="0"/>
        <w:snapToGrid w:val="0"/>
        <w:spacing w:before="0" w:beforeAutospacing="0" w:after="0" w:afterAutospacing="0"/>
        <w:ind w:left="0" w:firstLine="480" w:firstLineChars="200"/>
        <w:jc w:val="both"/>
        <w:rPr>
          <w:rFonts w:hAnsi="宋体"/>
          <w:i w:val="0"/>
          <w:iCs w:val="0"/>
          <w:color w:val="auto"/>
          <w:highlight w:val="none"/>
        </w:rPr>
      </w:pPr>
      <w:r>
        <w:rPr>
          <w:rFonts w:hint="eastAsia" w:ascii="宋体" w:hAnsi="宋体"/>
          <w:i w:val="0"/>
          <w:iCs w:val="0"/>
          <w:color w:val="auto"/>
          <w:highlight w:val="none"/>
        </w:rPr>
        <w:t>见投标人须知前附表</w:t>
      </w:r>
    </w:p>
    <w:p w14:paraId="28897EE4">
      <w:pPr>
        <w:rPr>
          <w:rFonts w:ascii="宋体" w:hAnsi="宋体"/>
          <w:b/>
          <w:i w:val="0"/>
          <w:iCs w:val="0"/>
          <w:color w:val="auto"/>
          <w:sz w:val="32"/>
          <w:szCs w:val="32"/>
          <w:highlight w:val="none"/>
        </w:rPr>
      </w:pPr>
      <w:bookmarkStart w:id="139" w:name="bookmark58"/>
      <w:bookmarkEnd w:id="139"/>
      <w:r>
        <w:rPr>
          <w:rFonts w:hint="eastAsia" w:ascii="宋体" w:hAnsi="宋体"/>
          <w:b/>
          <w:i w:val="0"/>
          <w:iCs w:val="0"/>
          <w:color w:val="auto"/>
          <w:sz w:val="32"/>
          <w:szCs w:val="32"/>
          <w:highlight w:val="none"/>
        </w:rPr>
        <w:t>6.</w:t>
      </w:r>
      <w:bookmarkStart w:id="140" w:name="_Toc45697237"/>
      <w:bookmarkEnd w:id="140"/>
      <w:bookmarkStart w:id="141" w:name="_Toc6578"/>
      <w:bookmarkEnd w:id="141"/>
      <w:bookmarkStart w:id="142" w:name="_Toc22828073"/>
      <w:r>
        <w:rPr>
          <w:rFonts w:hint="eastAsia" w:ascii="宋体" w:hAnsi="宋体"/>
          <w:b/>
          <w:i w:val="0"/>
          <w:iCs w:val="0"/>
          <w:color w:val="auto"/>
          <w:sz w:val="32"/>
          <w:szCs w:val="32"/>
          <w:highlight w:val="none"/>
        </w:rPr>
        <w:t>评标</w:t>
      </w:r>
      <w:bookmarkEnd w:id="142"/>
    </w:p>
    <w:p w14:paraId="0B8931D4">
      <w:pPr>
        <w:numPr>
          <w:ilvl w:val="1"/>
          <w:numId w:val="31"/>
        </w:numPr>
        <w:ind w:left="0" w:firstLine="275" w:firstLineChars="98"/>
        <w:rPr>
          <w:rFonts w:ascii="宋体" w:hAnsi="宋体"/>
          <w:b/>
          <w:i w:val="0"/>
          <w:iCs w:val="0"/>
          <w:color w:val="auto"/>
          <w:sz w:val="28"/>
          <w:szCs w:val="28"/>
          <w:highlight w:val="none"/>
        </w:rPr>
      </w:pPr>
      <w:bookmarkStart w:id="143" w:name="bookmark59"/>
      <w:bookmarkEnd w:id="143"/>
      <w:r>
        <w:rPr>
          <w:rFonts w:hint="eastAsia" w:ascii="宋体" w:hAnsi="宋体"/>
          <w:b/>
          <w:i w:val="0"/>
          <w:iCs w:val="0"/>
          <w:color w:val="auto"/>
          <w:sz w:val="28"/>
          <w:szCs w:val="28"/>
          <w:highlight w:val="none"/>
        </w:rPr>
        <w:t>评标委员会</w:t>
      </w:r>
    </w:p>
    <w:p w14:paraId="778A8289">
      <w:pPr>
        <w:pStyle w:val="9"/>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6.1.1</w:t>
      </w:r>
      <w:r>
        <w:rPr>
          <w:rFonts w:hint="eastAsia" w:ascii="宋体" w:hAnsi="宋体"/>
          <w:i w:val="0"/>
          <w:iCs w:val="0"/>
          <w:color w:val="auto"/>
          <w:spacing w:val="-4"/>
          <w:highlight w:val="none"/>
        </w:rPr>
        <w:t>评标由招标人依法组建的评标委员会负责。评标委员会由招标人或其委托的招标代理</w:t>
      </w:r>
      <w:r>
        <w:rPr>
          <w:rFonts w:hint="eastAsia" w:ascii="宋体" w:hAnsi="宋体"/>
          <w:i w:val="0"/>
          <w:iCs w:val="0"/>
          <w:color w:val="auto"/>
          <w:spacing w:val="-1"/>
          <w:highlight w:val="none"/>
        </w:rPr>
        <w:t>机构熟悉相关业务的代表，以及有关技术、经济等方面的专家组成。评标委员会成员人数以及</w:t>
      </w:r>
      <w:r>
        <w:rPr>
          <w:rFonts w:hint="eastAsia" w:ascii="宋体" w:hAnsi="宋体"/>
          <w:i w:val="0"/>
          <w:iCs w:val="0"/>
          <w:color w:val="auto"/>
          <w:highlight w:val="none"/>
        </w:rPr>
        <w:t>技术、经济等方面专家的确定方式见投标人须知前附表。</w:t>
      </w:r>
    </w:p>
    <w:p w14:paraId="1AE13CD8">
      <w:pPr>
        <w:numPr>
          <w:ilvl w:val="1"/>
          <w:numId w:val="31"/>
        </w:numPr>
        <w:ind w:left="0" w:firstLine="275" w:firstLineChars="98"/>
        <w:rPr>
          <w:rFonts w:ascii="宋体" w:hAnsi="宋体"/>
          <w:b/>
          <w:i w:val="0"/>
          <w:iCs w:val="0"/>
          <w:color w:val="auto"/>
          <w:sz w:val="28"/>
          <w:szCs w:val="28"/>
          <w:highlight w:val="none"/>
        </w:rPr>
      </w:pPr>
      <w:bookmarkStart w:id="144" w:name="bookmark60"/>
      <w:bookmarkEnd w:id="144"/>
      <w:r>
        <w:rPr>
          <w:rFonts w:hint="eastAsia" w:ascii="宋体" w:hAnsi="宋体"/>
          <w:b/>
          <w:i w:val="0"/>
          <w:iCs w:val="0"/>
          <w:color w:val="auto"/>
          <w:sz w:val="28"/>
          <w:szCs w:val="28"/>
          <w:highlight w:val="none"/>
        </w:rPr>
        <w:t>评标原则</w:t>
      </w:r>
    </w:p>
    <w:p w14:paraId="769A2F77">
      <w:pPr>
        <w:pStyle w:val="9"/>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评标活动遵循公平、公正、科学和择优的原则。</w:t>
      </w:r>
    </w:p>
    <w:p w14:paraId="608941BC">
      <w:pPr>
        <w:numPr>
          <w:ilvl w:val="1"/>
          <w:numId w:val="31"/>
        </w:numPr>
        <w:ind w:left="0" w:firstLine="275" w:firstLineChars="98"/>
        <w:rPr>
          <w:rFonts w:ascii="宋体" w:hAnsi="宋体"/>
          <w:b/>
          <w:i w:val="0"/>
          <w:iCs w:val="0"/>
          <w:color w:val="auto"/>
          <w:sz w:val="28"/>
          <w:szCs w:val="28"/>
          <w:highlight w:val="none"/>
        </w:rPr>
      </w:pPr>
      <w:bookmarkStart w:id="145" w:name="bookmark61"/>
      <w:bookmarkEnd w:id="145"/>
      <w:r>
        <w:rPr>
          <w:rFonts w:hint="eastAsia" w:ascii="宋体" w:hAnsi="宋体"/>
          <w:b/>
          <w:i w:val="0"/>
          <w:iCs w:val="0"/>
          <w:color w:val="auto"/>
          <w:sz w:val="28"/>
          <w:szCs w:val="28"/>
          <w:highlight w:val="none"/>
        </w:rPr>
        <w:t>评标</w:t>
      </w:r>
    </w:p>
    <w:p w14:paraId="6FE672FA">
      <w:pPr>
        <w:pStyle w:val="9"/>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6.3.1评标委员会按照第三章“评标办法”规定的方法、评审因素、标准和程序对投标文件进行评审。第三章“评标办法”没有规定的方法、评审因素和标准，不作为评标依据。</w:t>
      </w:r>
    </w:p>
    <w:p w14:paraId="2970040B">
      <w:pPr>
        <w:pStyle w:val="9"/>
        <w:snapToGrid w:val="0"/>
        <w:spacing w:before="0" w:beforeAutospacing="0" w:after="0" w:afterAutospacing="0"/>
        <w:ind w:left="0" w:firstLine="480" w:firstLineChars="200"/>
        <w:jc w:val="both"/>
        <w:rPr>
          <w:rFonts w:ascii="宋体" w:hAnsi="宋体"/>
          <w:i w:val="0"/>
          <w:iCs w:val="0"/>
          <w:color w:val="auto"/>
          <w:highlight w:val="none"/>
        </w:rPr>
      </w:pPr>
      <w:r>
        <w:rPr>
          <w:rFonts w:hint="eastAsia" w:ascii="宋体" w:hAnsi="宋体"/>
          <w:i w:val="0"/>
          <w:iCs w:val="0"/>
          <w:color w:val="auto"/>
          <w:highlight w:val="none"/>
        </w:rPr>
        <w:t>6.3.2评标完成后，评标委员会应当向招标人提交书面评标报告和中标候选人名单。评标委员会推荐中标候选人的人数见投标人须知前附表。</w:t>
      </w:r>
    </w:p>
    <w:p w14:paraId="7DA2DBC5">
      <w:pPr>
        <w:rPr>
          <w:rFonts w:ascii="宋体" w:hAnsi="宋体"/>
          <w:b/>
          <w:i w:val="0"/>
          <w:iCs w:val="0"/>
          <w:color w:val="auto"/>
          <w:sz w:val="32"/>
          <w:szCs w:val="32"/>
          <w:highlight w:val="none"/>
        </w:rPr>
      </w:pPr>
      <w:bookmarkStart w:id="146" w:name="bookmark62"/>
      <w:bookmarkEnd w:id="146"/>
      <w:bookmarkStart w:id="147" w:name="_Toc45697238"/>
      <w:bookmarkEnd w:id="147"/>
      <w:bookmarkStart w:id="148" w:name="_Toc22898"/>
      <w:bookmarkEnd w:id="148"/>
      <w:bookmarkStart w:id="149" w:name="_Toc22828074"/>
      <w:r>
        <w:rPr>
          <w:rFonts w:hint="eastAsia" w:ascii="宋体" w:hAnsi="宋体"/>
          <w:b/>
          <w:i w:val="0"/>
          <w:iCs w:val="0"/>
          <w:color w:val="auto"/>
          <w:sz w:val="32"/>
          <w:szCs w:val="32"/>
          <w:highlight w:val="none"/>
        </w:rPr>
        <w:t>7.合同授予</w:t>
      </w:r>
      <w:bookmarkEnd w:id="149"/>
    </w:p>
    <w:p w14:paraId="13FFE658">
      <w:pPr>
        <w:numPr>
          <w:ilvl w:val="1"/>
          <w:numId w:val="32"/>
        </w:numPr>
        <w:ind w:left="0" w:firstLine="275" w:firstLineChars="98"/>
        <w:rPr>
          <w:rFonts w:ascii="宋体" w:hAnsi="宋体"/>
          <w:b/>
          <w:i w:val="0"/>
          <w:iCs w:val="0"/>
          <w:color w:val="auto"/>
          <w:sz w:val="28"/>
          <w:szCs w:val="28"/>
          <w:highlight w:val="none"/>
        </w:rPr>
      </w:pPr>
      <w:bookmarkStart w:id="150" w:name="bookmark63"/>
      <w:bookmarkEnd w:id="150"/>
      <w:bookmarkStart w:id="151" w:name="bookmark66"/>
      <w:bookmarkEnd w:id="151"/>
      <w:r>
        <w:rPr>
          <w:rFonts w:hint="eastAsia" w:ascii="宋体" w:hAnsi="宋体"/>
          <w:b/>
          <w:i w:val="0"/>
          <w:iCs w:val="0"/>
          <w:color w:val="auto"/>
          <w:sz w:val="28"/>
          <w:szCs w:val="28"/>
          <w:highlight w:val="none"/>
        </w:rPr>
        <w:t>中标候选人公示媒介及期限</w:t>
      </w:r>
    </w:p>
    <w:p w14:paraId="79C56797">
      <w:pPr>
        <w:pStyle w:val="9"/>
        <w:kinsoku w:val="0"/>
        <w:snapToGrid w:val="0"/>
        <w:spacing w:before="0" w:beforeAutospacing="0" w:after="0" w:afterAutospacing="0"/>
        <w:ind w:left="0" w:firstLine="480" w:firstLineChars="200"/>
        <w:rPr>
          <w:rFonts w:hAnsi="宋体"/>
          <w:i w:val="0"/>
          <w:iCs w:val="0"/>
          <w:color w:val="auto"/>
          <w:sz w:val="20"/>
          <w:szCs w:val="20"/>
          <w:highlight w:val="none"/>
        </w:rPr>
      </w:pPr>
      <w:r>
        <w:rPr>
          <w:rFonts w:hint="eastAsia" w:ascii="宋体" w:hAnsi="宋体"/>
          <w:i w:val="0"/>
          <w:iCs w:val="0"/>
          <w:color w:val="auto"/>
          <w:highlight w:val="none"/>
        </w:rPr>
        <w:t>中标候选人公示媒介及期限见投标人须知前附表。</w:t>
      </w:r>
    </w:p>
    <w:p w14:paraId="12495147">
      <w:pPr>
        <w:numPr>
          <w:ilvl w:val="1"/>
          <w:numId w:val="32"/>
        </w:numPr>
        <w:ind w:left="0" w:firstLine="275" w:firstLineChars="98"/>
        <w:rPr>
          <w:rFonts w:ascii="宋体" w:hAnsi="宋体"/>
          <w:b/>
          <w:i w:val="0"/>
          <w:iCs w:val="0"/>
          <w:color w:val="auto"/>
          <w:sz w:val="28"/>
          <w:szCs w:val="28"/>
          <w:highlight w:val="none"/>
        </w:rPr>
      </w:pPr>
      <w:bookmarkStart w:id="152" w:name="bookmark67"/>
      <w:bookmarkEnd w:id="152"/>
      <w:r>
        <w:rPr>
          <w:rFonts w:hint="eastAsia" w:ascii="宋体" w:hAnsi="宋体"/>
          <w:b/>
          <w:i w:val="0"/>
          <w:iCs w:val="0"/>
          <w:color w:val="auto"/>
          <w:sz w:val="28"/>
          <w:szCs w:val="28"/>
          <w:highlight w:val="none"/>
        </w:rPr>
        <w:t>定标方式</w:t>
      </w:r>
    </w:p>
    <w:p w14:paraId="60F89AAE">
      <w:pPr>
        <w:adjustRightInd/>
        <w:ind w:firstLine="480" w:firstLineChars="200"/>
        <w:jc w:val="both"/>
        <w:rPr>
          <w:rFonts w:hAnsi="宋体"/>
          <w:i w:val="0"/>
          <w:iCs w:val="0"/>
          <w:color w:val="auto"/>
          <w:highlight w:val="none"/>
        </w:rPr>
      </w:pPr>
      <w:r>
        <w:rPr>
          <w:rFonts w:hint="eastAsia" w:hAnsi="宋体"/>
          <w:i w:val="0"/>
          <w:iCs w:val="0"/>
          <w:color w:val="auto"/>
          <w:highlight w:val="none"/>
        </w:rPr>
        <w:t>7.2.1招标人授权</w:t>
      </w:r>
      <w:r>
        <w:rPr>
          <w:rFonts w:hAnsi="宋体"/>
          <w:i w:val="0"/>
          <w:iCs w:val="0"/>
          <w:color w:val="auto"/>
          <w:highlight w:val="none"/>
        </w:rPr>
        <w:t>评标委员会确定中标人</w:t>
      </w:r>
      <w:r>
        <w:rPr>
          <w:rFonts w:hint="eastAsia" w:hAnsi="宋体"/>
          <w:i w:val="0"/>
          <w:iCs w:val="0"/>
          <w:color w:val="auto"/>
          <w:highlight w:val="none"/>
        </w:rPr>
        <w:t>或根据评标委员会推荐招标人确定中标人的（评定分离除外），</w:t>
      </w:r>
      <w:r>
        <w:rPr>
          <w:rFonts w:hAnsi="宋体"/>
          <w:i w:val="0"/>
          <w:iCs w:val="0"/>
          <w:color w:val="auto"/>
          <w:highlight w:val="none"/>
        </w:rPr>
        <w:t>国有资金占控股或者主导地位的依法必须进行招标的项目，</w:t>
      </w:r>
      <w:r>
        <w:rPr>
          <w:rFonts w:hint="eastAsia" w:hAnsi="宋体"/>
          <w:i w:val="0"/>
          <w:iCs w:val="0"/>
          <w:color w:val="auto"/>
          <w:highlight w:val="none"/>
        </w:rPr>
        <w:t>招标人</w:t>
      </w:r>
      <w:r>
        <w:rPr>
          <w:rFonts w:hAnsi="宋体"/>
          <w:i w:val="0"/>
          <w:iCs w:val="0"/>
          <w:color w:val="auto"/>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w:t>
      </w:r>
      <w:r>
        <w:rPr>
          <w:rFonts w:hAnsi="宋体"/>
          <w:i w:val="0"/>
          <w:iCs w:val="0"/>
          <w:strike/>
          <w:dstrike w:val="0"/>
          <w:color w:val="auto"/>
          <w:highlight w:val="none"/>
        </w:rPr>
        <w:t>也可以重新招标</w:t>
      </w:r>
      <w:r>
        <w:rPr>
          <w:rFonts w:hAnsi="宋体"/>
          <w:i w:val="0"/>
          <w:iCs w:val="0"/>
          <w:color w:val="auto"/>
          <w:highlight w:val="none"/>
        </w:rPr>
        <w:t>。</w:t>
      </w:r>
    </w:p>
    <w:p w14:paraId="0B63B005">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7.2.2 定标原则：招标人负责制、公开透明、诚信守约的原则。</w:t>
      </w:r>
    </w:p>
    <w:p w14:paraId="01E0E92B">
      <w:pPr>
        <w:pStyle w:val="18"/>
        <w:spacing w:before="0" w:beforeAutospacing="0" w:after="0" w:afterAutospacing="0"/>
        <w:ind w:firstLine="480" w:firstLineChars="200"/>
        <w:rPr>
          <w:rFonts w:hint="default" w:ascii="Times New Roman"/>
          <w:i w:val="0"/>
          <w:iCs w:val="0"/>
          <w:color w:val="auto"/>
          <w:highlight w:val="none"/>
        </w:rPr>
      </w:pPr>
      <w:r>
        <w:rPr>
          <w:rFonts w:ascii="Times New Roman"/>
          <w:i w:val="0"/>
          <w:iCs w:val="0"/>
          <w:color w:val="auto"/>
          <w:highlight w:val="none"/>
        </w:rPr>
        <w:t>7.2.3定</w:t>
      </w:r>
      <w:r>
        <w:rPr>
          <w:rFonts w:hint="default" w:ascii="Times New Roman"/>
          <w:i w:val="0"/>
          <w:iCs w:val="0"/>
          <w:color w:val="auto"/>
          <w:highlight w:val="none"/>
        </w:rPr>
        <w:t>标会议时间和地点：招标人在</w:t>
      </w:r>
      <w:r>
        <w:rPr>
          <w:rFonts w:ascii="Times New Roman"/>
          <w:i w:val="0"/>
          <w:iCs w:val="0"/>
          <w:color w:val="auto"/>
          <w:highlight w:val="none"/>
        </w:rPr>
        <w:t>投标人须知前附表</w:t>
      </w:r>
      <w:r>
        <w:rPr>
          <w:rFonts w:hint="default" w:ascii="Times New Roman"/>
          <w:i w:val="0"/>
          <w:iCs w:val="0"/>
          <w:color w:val="auto"/>
          <w:highlight w:val="none"/>
        </w:rPr>
        <w:t>7.2.3规定的时间和地点召开定标</w:t>
      </w:r>
      <w:r>
        <w:rPr>
          <w:rFonts w:ascii="Times New Roman"/>
          <w:i w:val="0"/>
          <w:iCs w:val="0"/>
          <w:color w:val="auto"/>
          <w:highlight w:val="none"/>
        </w:rPr>
        <w:t>会议</w:t>
      </w:r>
      <w:r>
        <w:rPr>
          <w:rFonts w:hint="default" w:ascii="Times New Roman"/>
          <w:i w:val="0"/>
          <w:iCs w:val="0"/>
          <w:color w:val="auto"/>
          <w:highlight w:val="none"/>
        </w:rPr>
        <w:t>，招标人的纪检监察部门应对招标投标活动的全过程进行监督。</w:t>
      </w:r>
    </w:p>
    <w:p w14:paraId="4ED8ACEA">
      <w:pPr>
        <w:pStyle w:val="18"/>
        <w:spacing w:before="0" w:beforeAutospacing="0" w:after="0" w:afterAutospacing="0"/>
        <w:ind w:firstLine="480"/>
        <w:rPr>
          <w:rFonts w:ascii="Times New Roman"/>
          <w:i w:val="0"/>
          <w:iCs w:val="0"/>
          <w:color w:val="auto"/>
          <w:highlight w:val="none"/>
        </w:rPr>
      </w:pPr>
      <w:r>
        <w:rPr>
          <w:rFonts w:ascii="Times New Roman"/>
          <w:i w:val="0"/>
          <w:iCs w:val="0"/>
          <w:color w:val="auto"/>
          <w:highlight w:val="none"/>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716B3FDD">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7.2.5 定标委员会由招标人负责组建。定标委员会由投标人须知前附表7.2.5规定的人数组成。定标委员会成员与中标候选人有利害关系的应主动说明并申请回避，定标委员会名单在中标结果确定前保密。</w:t>
      </w:r>
    </w:p>
    <w:p w14:paraId="25CADD5C">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63A4FF41">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7.2.7 定标要素应参考评标委员会评标报告、质询或考察报告、现场面试情况，此外，根据投标人须知前附表7.2.7选定内容为定标要素</w:t>
      </w:r>
    </w:p>
    <w:p w14:paraId="2DC8D20D">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（1）价格因素：主要包括商务报价高低、主要材料报价的合理性、不平衡报价情况等；</w:t>
      </w:r>
    </w:p>
    <w:p w14:paraId="59F717C7">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（2）企业实力：主要包括企业规模、资质等级、专业技术人员规模、近年的财务状况、过往业绩（含业绩影响力、难易程度）等；</w:t>
      </w:r>
    </w:p>
    <w:p w14:paraId="0EBA338E">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76880EB9">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（4）投标方案：主要包括技术标情况、工程建设重难点解决方案、主要材料品牌等；</w:t>
      </w:r>
    </w:p>
    <w:p w14:paraId="56B972B7">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（5）拟派团队能力与水平：主要包括团队主要负责人类似工程业绩、拟派项目团队人员的资信实力等；</w:t>
      </w:r>
    </w:p>
    <w:p w14:paraId="7D34C209">
      <w:pPr>
        <w:adjustRightInd/>
        <w:ind w:firstLine="480" w:firstLineChars="200"/>
        <w:rPr>
          <w:rFonts w:hint="eastAsia" w:hAnsi="宋体"/>
          <w:i w:val="0"/>
          <w:iCs w:val="0"/>
          <w:color w:val="auto"/>
          <w:highlight w:val="none"/>
        </w:rPr>
      </w:pPr>
      <w:r>
        <w:rPr>
          <w:rFonts w:hint="eastAsia" w:hAnsi="宋体"/>
          <w:i w:val="0"/>
          <w:iCs w:val="0"/>
          <w:color w:val="auto"/>
          <w:highlight w:val="none"/>
        </w:rPr>
        <w:t>（6）联合体投标的，联合体组成情况；</w:t>
      </w:r>
    </w:p>
    <w:p w14:paraId="4F2340D6">
      <w:pPr>
        <w:adjustRightInd/>
        <w:ind w:firstLine="480" w:firstLineChars="200"/>
        <w:rPr>
          <w:rFonts w:hint="eastAsia" w:hAnsi="宋体"/>
          <w:i w:val="0"/>
          <w:iCs w:val="0"/>
          <w:color w:val="auto"/>
          <w:highlight w:val="none"/>
        </w:rPr>
      </w:pPr>
      <w:r>
        <w:rPr>
          <w:rFonts w:hint="eastAsia" w:hAnsi="宋体"/>
          <w:i w:val="0"/>
          <w:iCs w:val="0"/>
          <w:color w:val="auto"/>
          <w:highlight w:val="none"/>
        </w:rPr>
        <w:t>（7）企业质量安全、无欠薪管理情况；</w:t>
      </w:r>
    </w:p>
    <w:p w14:paraId="6B868C86">
      <w:pPr>
        <w:adjustRightInd/>
        <w:ind w:firstLine="480" w:firstLineChars="200"/>
        <w:rPr>
          <w:rFonts w:hint="eastAsia" w:hAnsi="宋体"/>
          <w:i w:val="0"/>
          <w:iCs w:val="0"/>
          <w:color w:val="auto"/>
          <w:highlight w:val="none"/>
        </w:rPr>
      </w:pPr>
      <w:r>
        <w:rPr>
          <w:rFonts w:hint="eastAsia" w:hAnsi="宋体"/>
          <w:i w:val="0"/>
          <w:iCs w:val="0"/>
          <w:color w:val="auto"/>
          <w:highlight w:val="none"/>
        </w:rPr>
        <w:t>（8）企业项目班组人员到岗履职等管理情况；</w:t>
      </w:r>
    </w:p>
    <w:p w14:paraId="1691F716">
      <w:pPr>
        <w:adjustRightInd/>
        <w:ind w:firstLine="480" w:firstLineChars="200"/>
        <w:rPr>
          <w:rFonts w:hint="eastAsia" w:hAnsi="宋体"/>
          <w:i w:val="0"/>
          <w:iCs w:val="0"/>
          <w:color w:val="auto"/>
          <w:highlight w:val="none"/>
        </w:rPr>
      </w:pPr>
      <w:r>
        <w:rPr>
          <w:rFonts w:hint="eastAsia" w:hAnsi="宋体"/>
          <w:i w:val="0"/>
          <w:iCs w:val="0"/>
          <w:color w:val="auto"/>
          <w:highlight w:val="none"/>
        </w:rPr>
        <w:t>（9）工程保修维护等后续服务便利；</w:t>
      </w:r>
    </w:p>
    <w:p w14:paraId="2115345F">
      <w:pPr>
        <w:adjustRightInd/>
        <w:ind w:firstLine="480" w:firstLineChars="200"/>
        <w:rPr>
          <w:rFonts w:hint="eastAsia" w:hAnsi="宋体"/>
          <w:i w:val="0"/>
          <w:iCs w:val="0"/>
          <w:color w:val="auto"/>
          <w:highlight w:val="none"/>
        </w:rPr>
      </w:pPr>
      <w:r>
        <w:rPr>
          <w:rFonts w:hint="eastAsia" w:hAnsi="宋体"/>
          <w:i w:val="0"/>
          <w:iCs w:val="0"/>
          <w:color w:val="auto"/>
          <w:highlight w:val="none"/>
        </w:rPr>
        <w:t>（10）落实建筑业高质量发展政策；</w:t>
      </w:r>
    </w:p>
    <w:p w14:paraId="26568130">
      <w:pPr>
        <w:adjustRightInd/>
        <w:ind w:firstLine="480" w:firstLineChars="200"/>
        <w:rPr>
          <w:rFonts w:hint="eastAsia" w:hAnsi="宋体"/>
          <w:i w:val="0"/>
          <w:iCs w:val="0"/>
          <w:color w:val="auto"/>
          <w:highlight w:val="none"/>
        </w:rPr>
      </w:pPr>
      <w:r>
        <w:rPr>
          <w:rFonts w:hint="eastAsia" w:hAnsi="宋体"/>
          <w:i w:val="0"/>
          <w:iCs w:val="0"/>
          <w:color w:val="auto"/>
          <w:highlight w:val="none"/>
        </w:rPr>
        <w:t>（11）落实政府其他政策；</w:t>
      </w:r>
    </w:p>
    <w:p w14:paraId="182C32C6">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（12）招标人认为需要考量的其他因素。</w:t>
      </w:r>
    </w:p>
    <w:p w14:paraId="260A4AED">
      <w:p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7.2.8定标方法可采用下列方法或者下列方法的组合：</w:t>
      </w:r>
    </w:p>
    <w:p w14:paraId="3B8B64FB">
      <w:pPr>
        <w:numPr>
          <w:ilvl w:val="0"/>
          <w:numId w:val="33"/>
        </w:num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票决法。由定标委员会以直接票决或者逐轮票决的方式确定中标人。</w:t>
      </w:r>
    </w:p>
    <w:p w14:paraId="03A691E3">
      <w:pPr>
        <w:numPr>
          <w:ilvl w:val="0"/>
          <w:numId w:val="33"/>
        </w:numPr>
        <w:adjustRightInd/>
        <w:ind w:firstLine="480" w:firstLineChars="200"/>
        <w:jc w:val="both"/>
        <w:rPr>
          <w:rFonts w:hint="eastAsia" w:hAnsi="宋体"/>
          <w:i w:val="0"/>
          <w:iCs w:val="0"/>
          <w:color w:val="auto"/>
          <w:highlight w:val="none"/>
        </w:rPr>
      </w:pPr>
      <w:r>
        <w:rPr>
          <w:rFonts w:hint="eastAsia" w:hAnsi="宋体"/>
          <w:i w:val="0"/>
          <w:iCs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4E269C31">
      <w:pPr>
        <w:numPr>
          <w:ilvl w:val="0"/>
          <w:numId w:val="33"/>
        </w:numPr>
        <w:ind w:firstLine="480" w:firstLineChars="200"/>
        <w:rPr>
          <w:rFonts w:hint="eastAsia" w:hAnsi="宋体"/>
          <w:i w:val="0"/>
          <w:iCs w:val="0"/>
          <w:color w:val="auto"/>
          <w:highlight w:val="none"/>
        </w:rPr>
      </w:pPr>
      <w:r>
        <w:rPr>
          <w:rFonts w:hint="eastAsia" w:hAnsi="宋体"/>
          <w:i w:val="0"/>
          <w:iCs w:val="0"/>
          <w:color w:val="auto"/>
          <w:highlight w:val="none"/>
        </w:rPr>
        <w:t>投标人须知前附表7.2.8规定的其他定标办法。</w:t>
      </w:r>
    </w:p>
    <w:p w14:paraId="3F9D1150">
      <w:pPr>
        <w:ind w:firstLine="480" w:firstLineChars="200"/>
        <w:rPr>
          <w:rFonts w:hint="eastAsia" w:hAnsi="宋体"/>
          <w:i w:val="0"/>
          <w:iCs w:val="0"/>
          <w:color w:val="auto"/>
          <w:highlight w:val="none"/>
        </w:rPr>
      </w:pPr>
      <w:r>
        <w:rPr>
          <w:rFonts w:hint="eastAsia" w:hAnsi="宋体"/>
          <w:i w:val="0"/>
          <w:iCs w:val="0"/>
          <w:color w:val="auto"/>
          <w:highlight w:val="none"/>
        </w:rPr>
        <w:t>7.2.9招标人应当将中标结果情况在投标人须知前附表7.2.9规定的媒介上公告不少于3日。</w:t>
      </w:r>
    </w:p>
    <w:p w14:paraId="1B753DCE">
      <w:pPr>
        <w:ind w:firstLine="480" w:firstLineChars="200"/>
        <w:rPr>
          <w:rFonts w:hint="eastAsia" w:hAnsi="宋体"/>
          <w:i w:val="0"/>
          <w:iCs w:val="0"/>
          <w:color w:val="auto"/>
          <w:highlight w:val="none"/>
        </w:rPr>
      </w:pPr>
      <w:r>
        <w:rPr>
          <w:rFonts w:hint="eastAsia" w:hAnsi="宋体"/>
          <w:i w:val="0"/>
          <w:iCs w:val="0"/>
          <w:color w:val="auto"/>
          <w:highlight w:val="none"/>
        </w:rPr>
        <w:t>7.2.10定标后且中标通知书发出前有下列情形之一的，招标人可以组织原定标委员会从其他中标候选人中按原定标方法确定中标人：</w:t>
      </w:r>
    </w:p>
    <w:p w14:paraId="45AF6014">
      <w:pPr>
        <w:numPr>
          <w:ilvl w:val="0"/>
          <w:numId w:val="34"/>
        </w:numPr>
        <w:ind w:firstLine="480" w:firstLineChars="200"/>
        <w:rPr>
          <w:rFonts w:hint="eastAsia" w:hAnsi="宋体"/>
          <w:i w:val="0"/>
          <w:iCs w:val="0"/>
          <w:color w:val="auto"/>
          <w:highlight w:val="none"/>
        </w:rPr>
      </w:pPr>
      <w:r>
        <w:rPr>
          <w:rFonts w:hint="eastAsia" w:hAnsi="宋体"/>
          <w:i w:val="0"/>
          <w:iCs w:val="0"/>
          <w:color w:val="auto"/>
          <w:highlight w:val="none"/>
        </w:rPr>
        <w:t>中标人放弃中标资格或者拒不签订合同的；</w:t>
      </w:r>
    </w:p>
    <w:p w14:paraId="4509489C">
      <w:pPr>
        <w:numPr>
          <w:ilvl w:val="0"/>
          <w:numId w:val="34"/>
        </w:numPr>
        <w:ind w:firstLine="480" w:firstLineChars="200"/>
        <w:rPr>
          <w:rFonts w:hint="eastAsia" w:hAnsi="宋体"/>
          <w:i w:val="0"/>
          <w:iCs w:val="0"/>
          <w:color w:val="auto"/>
          <w:highlight w:val="none"/>
        </w:rPr>
      </w:pPr>
      <w:r>
        <w:rPr>
          <w:rFonts w:hint="eastAsia" w:hAnsi="宋体"/>
          <w:i w:val="0"/>
          <w:iCs w:val="0"/>
          <w:color w:val="auto"/>
          <w:highlight w:val="none"/>
        </w:rPr>
        <w:t>中标人被查实存在违法行为影响中标结果的；</w:t>
      </w:r>
    </w:p>
    <w:p w14:paraId="6C9A7A18">
      <w:pPr>
        <w:numPr>
          <w:ilvl w:val="0"/>
          <w:numId w:val="34"/>
        </w:numPr>
        <w:ind w:firstLine="480" w:firstLineChars="200"/>
        <w:rPr>
          <w:rFonts w:hint="eastAsia" w:hAnsi="宋体"/>
          <w:i w:val="0"/>
          <w:iCs w:val="0"/>
          <w:color w:val="auto"/>
          <w:highlight w:val="none"/>
        </w:rPr>
      </w:pPr>
      <w:r>
        <w:rPr>
          <w:rFonts w:hint="eastAsia" w:hAnsi="宋体"/>
          <w:i w:val="0"/>
          <w:iCs w:val="0"/>
          <w:color w:val="auto"/>
          <w:highlight w:val="none"/>
        </w:rPr>
        <w:t>投标人须知前附表7.2.10规定的其他情形。</w:t>
      </w:r>
    </w:p>
    <w:p w14:paraId="1C010007">
      <w:pPr>
        <w:ind w:firstLine="480" w:firstLineChars="200"/>
        <w:rPr>
          <w:rFonts w:hint="eastAsia" w:hAnsi="宋体"/>
          <w:i w:val="0"/>
          <w:iCs w:val="0"/>
          <w:color w:val="auto"/>
          <w:highlight w:val="none"/>
        </w:rPr>
      </w:pPr>
      <w:r>
        <w:rPr>
          <w:rFonts w:hint="eastAsia" w:hAnsi="宋体"/>
          <w:i w:val="0"/>
          <w:iCs w:val="0"/>
          <w:color w:val="auto"/>
          <w:highlight w:val="none"/>
        </w:rPr>
        <w:t xml:space="preserve"> 7.2.11定标后有下列情形之一的，应重新定标：</w:t>
      </w:r>
    </w:p>
    <w:p w14:paraId="4E093ACD">
      <w:pPr>
        <w:ind w:firstLine="480" w:firstLineChars="200"/>
        <w:rPr>
          <w:rFonts w:hint="eastAsia" w:hAnsi="宋体"/>
          <w:i w:val="0"/>
          <w:iCs w:val="0"/>
          <w:color w:val="auto"/>
          <w:highlight w:val="none"/>
        </w:rPr>
      </w:pPr>
      <w:r>
        <w:rPr>
          <w:rFonts w:hint="eastAsia" w:hAnsi="宋体"/>
          <w:i w:val="0"/>
          <w:iCs w:val="0"/>
          <w:color w:val="auto"/>
          <w:highlight w:val="none"/>
        </w:rPr>
        <w:t>（1）查实定标委员会未按定标办法公正履职的；</w:t>
      </w:r>
    </w:p>
    <w:p w14:paraId="77563FB6">
      <w:pPr>
        <w:ind w:firstLine="480" w:firstLineChars="200"/>
        <w:rPr>
          <w:rFonts w:hint="eastAsia" w:hAnsi="宋体"/>
          <w:i w:val="0"/>
          <w:iCs w:val="0"/>
          <w:color w:val="auto"/>
          <w:highlight w:val="none"/>
        </w:rPr>
      </w:pPr>
      <w:r>
        <w:rPr>
          <w:rFonts w:hint="eastAsia" w:hAnsi="宋体"/>
          <w:i w:val="0"/>
          <w:iCs w:val="0"/>
          <w:color w:val="auto"/>
          <w:highlight w:val="none"/>
        </w:rPr>
        <w:t>（2）有定标委员会成员与中标候选人有利害关系且未申请回避的；</w:t>
      </w:r>
    </w:p>
    <w:p w14:paraId="4358F3C8">
      <w:pPr>
        <w:snapToGrid w:val="0"/>
        <w:spacing w:line="360" w:lineRule="auto"/>
        <w:ind w:firstLine="480" w:firstLineChars="200"/>
        <w:rPr>
          <w:rFonts w:ascii="宋体" w:hAnsi="宋体"/>
          <w:i w:val="0"/>
          <w:iCs w:val="0"/>
          <w:color w:val="auto"/>
          <w:highlight w:val="none"/>
        </w:rPr>
      </w:pPr>
      <w:r>
        <w:rPr>
          <w:rFonts w:hint="eastAsia" w:hAnsi="宋体"/>
          <w:i w:val="0"/>
          <w:iCs w:val="0"/>
          <w:color w:val="auto"/>
          <w:highlight w:val="none"/>
        </w:rPr>
        <w:t>（3）投标人须知前附表7.2.11规定的其他情形。</w:t>
      </w:r>
    </w:p>
    <w:p w14:paraId="0CE30740">
      <w:pPr>
        <w:numPr>
          <w:ilvl w:val="1"/>
          <w:numId w:val="32"/>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中标通知</w:t>
      </w:r>
    </w:p>
    <w:p w14:paraId="19695C4C">
      <w:pPr>
        <w:pStyle w:val="9"/>
        <w:kinsoku w:val="0"/>
        <w:snapToGrid w:val="0"/>
        <w:spacing w:before="0" w:beforeAutospacing="0" w:after="0" w:afterAutospacing="0"/>
        <w:ind w:left="0" w:firstLine="480" w:firstLineChars="200"/>
        <w:rPr>
          <w:rFonts w:hAnsi="宋体"/>
          <w:i w:val="0"/>
          <w:iCs w:val="0"/>
          <w:color w:val="auto"/>
          <w:highlight w:val="none"/>
        </w:rPr>
      </w:pPr>
      <w:r>
        <w:rPr>
          <w:rFonts w:hint="eastAsia" w:ascii="宋体" w:hAnsi="宋体"/>
          <w:i w:val="0"/>
          <w:iCs w:val="0"/>
          <w:color w:val="auto"/>
          <w:highlight w:val="none"/>
        </w:rPr>
        <w:t>在本章第</w:t>
      </w:r>
      <w:r>
        <w:rPr>
          <w:rFonts w:hAnsi="宋体"/>
          <w:i w:val="0"/>
          <w:iCs w:val="0"/>
          <w:color w:val="auto"/>
          <w:highlight w:val="none"/>
        </w:rPr>
        <w:t>3.3</w:t>
      </w:r>
      <w:r>
        <w:rPr>
          <w:rFonts w:hint="eastAsia" w:ascii="宋体" w:hAnsi="宋体"/>
          <w:i w:val="0"/>
          <w:iCs w:val="0"/>
          <w:color w:val="auto"/>
          <w:highlight w:val="none"/>
        </w:rPr>
        <w:t>款规定的投标有效期内，招标人以书面形式向中标人发出中标通知书，同时将中标结果通知未中标的投标人。</w:t>
      </w:r>
    </w:p>
    <w:p w14:paraId="4D9B2958">
      <w:pPr>
        <w:numPr>
          <w:ilvl w:val="1"/>
          <w:numId w:val="32"/>
        </w:numPr>
        <w:ind w:left="0" w:firstLine="275" w:firstLineChars="98"/>
        <w:rPr>
          <w:rFonts w:ascii="宋体" w:hAnsi="宋体"/>
          <w:b/>
          <w:i w:val="0"/>
          <w:iCs w:val="0"/>
          <w:color w:val="auto"/>
          <w:sz w:val="28"/>
          <w:szCs w:val="28"/>
          <w:highlight w:val="none"/>
        </w:rPr>
      </w:pPr>
      <w:bookmarkStart w:id="153" w:name="bookmark68"/>
      <w:bookmarkEnd w:id="153"/>
      <w:bookmarkStart w:id="154" w:name="bookmark69"/>
      <w:bookmarkEnd w:id="154"/>
      <w:r>
        <w:rPr>
          <w:rFonts w:hint="eastAsia" w:ascii="宋体" w:hAnsi="宋体"/>
          <w:b/>
          <w:i w:val="0"/>
          <w:iCs w:val="0"/>
          <w:color w:val="auto"/>
          <w:sz w:val="28"/>
          <w:szCs w:val="28"/>
          <w:highlight w:val="none"/>
        </w:rPr>
        <w:t>履约担保</w:t>
      </w:r>
    </w:p>
    <w:p w14:paraId="505EB761">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1C3522E2">
      <w:pPr>
        <w:pStyle w:val="9"/>
        <w:kinsoku w:val="0"/>
        <w:snapToGrid w:val="0"/>
        <w:spacing w:before="0" w:beforeAutospacing="0" w:after="0" w:afterAutospacing="0"/>
        <w:ind w:left="0" w:firstLine="480" w:firstLineChars="200"/>
        <w:rPr>
          <w:rFonts w:ascii="宋体" w:hAnsi="宋体"/>
          <w:i w:val="0"/>
          <w:iCs w:val="0"/>
          <w:color w:val="auto"/>
          <w:sz w:val="14"/>
          <w:szCs w:val="14"/>
          <w:highlight w:val="none"/>
        </w:rPr>
      </w:pPr>
      <w:r>
        <w:rPr>
          <w:rFonts w:hint="eastAsia" w:ascii="宋体" w:hAnsi="宋体"/>
          <w:i w:val="0"/>
          <w:iCs w:val="0"/>
          <w:color w:val="auto"/>
          <w:highlight w:val="none"/>
        </w:rPr>
        <w:t>7.4.2中标人不能按本章第7.4.1项要求提交履约担保的，视为放弃中标，其投标保证金不予退还，给招标人造成的损失超过投标保证金数额的，中标人还应当对超过部分予以赔偿。</w:t>
      </w:r>
    </w:p>
    <w:p w14:paraId="25291335">
      <w:pPr>
        <w:numPr>
          <w:ilvl w:val="1"/>
          <w:numId w:val="32"/>
        </w:numPr>
        <w:ind w:left="0" w:firstLine="275" w:firstLineChars="98"/>
        <w:rPr>
          <w:rFonts w:ascii="宋体" w:hAnsi="宋体"/>
          <w:b/>
          <w:i w:val="0"/>
          <w:iCs w:val="0"/>
          <w:color w:val="auto"/>
          <w:sz w:val="28"/>
          <w:szCs w:val="28"/>
          <w:highlight w:val="none"/>
        </w:rPr>
      </w:pPr>
      <w:bookmarkStart w:id="155" w:name="bookmark70"/>
      <w:bookmarkEnd w:id="155"/>
      <w:r>
        <w:rPr>
          <w:rFonts w:hint="eastAsia" w:ascii="宋体" w:hAnsi="宋体"/>
          <w:b/>
          <w:i w:val="0"/>
          <w:iCs w:val="0"/>
          <w:color w:val="auto"/>
          <w:sz w:val="28"/>
          <w:szCs w:val="28"/>
          <w:highlight w:val="none"/>
        </w:rPr>
        <w:t>签订合同</w:t>
      </w:r>
    </w:p>
    <w:p w14:paraId="54267129">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D10A124">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7.5.2发出中标通知书后，招标人无正当理由拒签合同，招标人向中标人退还投标保证金；给中标人造成损失的，还应当赔偿损失。</w:t>
      </w:r>
    </w:p>
    <w:p w14:paraId="65725FD1">
      <w:pPr>
        <w:pStyle w:val="9"/>
        <w:kinsoku w:val="0"/>
        <w:snapToGrid w:val="0"/>
        <w:spacing w:before="0" w:beforeAutospacing="0" w:after="0" w:afterAutospacing="0"/>
        <w:ind w:left="0" w:firstLine="480" w:firstLineChars="200"/>
        <w:rPr>
          <w:rFonts w:ascii="宋体" w:hAnsi="宋体"/>
          <w:i w:val="0"/>
          <w:iCs w:val="0"/>
          <w:color w:val="auto"/>
          <w:highlight w:val="none"/>
        </w:rPr>
      </w:pPr>
      <w:r>
        <w:rPr>
          <w:rFonts w:hint="eastAsia" w:ascii="宋体" w:hAnsi="宋体"/>
          <w:i w:val="0"/>
          <w:iCs w:val="0"/>
          <w:color w:val="auto"/>
          <w:highlight w:val="none"/>
        </w:rPr>
        <w:t>7.5.3联合体中标的，联合体各方应当共同与招标人签订合同，就中标项目向招标人承担连带责任。</w:t>
      </w:r>
    </w:p>
    <w:p w14:paraId="604DC467">
      <w:pPr>
        <w:rPr>
          <w:rFonts w:ascii="宋体" w:hAnsi="宋体"/>
          <w:b/>
          <w:i w:val="0"/>
          <w:iCs w:val="0"/>
          <w:color w:val="auto"/>
          <w:sz w:val="32"/>
          <w:szCs w:val="32"/>
          <w:highlight w:val="none"/>
        </w:rPr>
      </w:pPr>
      <w:bookmarkStart w:id="156" w:name="_Toc45697239"/>
      <w:bookmarkEnd w:id="156"/>
      <w:bookmarkStart w:id="157" w:name="bookmark71"/>
      <w:bookmarkEnd w:id="157"/>
      <w:bookmarkStart w:id="158" w:name="_Toc494121485"/>
      <w:bookmarkEnd w:id="158"/>
      <w:bookmarkStart w:id="159" w:name="_Toc29433"/>
      <w:bookmarkEnd w:id="159"/>
      <w:bookmarkStart w:id="160" w:name="_Toc22828075"/>
      <w:r>
        <w:rPr>
          <w:rFonts w:hint="eastAsia" w:ascii="宋体" w:hAnsi="宋体"/>
          <w:b/>
          <w:i w:val="0"/>
          <w:iCs w:val="0"/>
          <w:color w:val="auto"/>
          <w:sz w:val="32"/>
          <w:szCs w:val="32"/>
          <w:highlight w:val="none"/>
        </w:rPr>
        <w:t>8.重新招标和不再招标</w:t>
      </w:r>
      <w:bookmarkEnd w:id="160"/>
    </w:p>
    <w:p w14:paraId="1A1D70A6">
      <w:pPr>
        <w:numPr>
          <w:ilvl w:val="1"/>
          <w:numId w:val="35"/>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重新招标</w:t>
      </w:r>
    </w:p>
    <w:p w14:paraId="290D575E">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有下列情形之一的，招标人将重新招标：</w:t>
      </w:r>
    </w:p>
    <w:p w14:paraId="4B04E32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（1）投标截止时间止，投标人少于3个的；</w:t>
      </w:r>
    </w:p>
    <w:p w14:paraId="16B3358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（2）经评标委员会评审后否决所有投标的；</w:t>
      </w:r>
    </w:p>
    <w:p w14:paraId="26E0373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（3）其他情形见须知前附表。</w:t>
      </w:r>
    </w:p>
    <w:p w14:paraId="3539CF3A">
      <w:pPr>
        <w:numPr>
          <w:ilvl w:val="1"/>
          <w:numId w:val="35"/>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不再招标</w:t>
      </w:r>
    </w:p>
    <w:p w14:paraId="3708FB07">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见投标人须知前附表。</w:t>
      </w:r>
    </w:p>
    <w:p w14:paraId="060D44E6">
      <w:pPr>
        <w:rPr>
          <w:rFonts w:ascii="宋体" w:hAnsi="宋体"/>
          <w:b/>
          <w:i w:val="0"/>
          <w:iCs w:val="0"/>
          <w:color w:val="auto"/>
          <w:sz w:val="32"/>
          <w:szCs w:val="32"/>
          <w:highlight w:val="none"/>
        </w:rPr>
      </w:pPr>
      <w:bookmarkStart w:id="161" w:name="bookmark77"/>
      <w:bookmarkEnd w:id="161"/>
      <w:bookmarkStart w:id="162" w:name="_Toc494121486"/>
      <w:bookmarkEnd w:id="162"/>
      <w:bookmarkStart w:id="163" w:name="_Toc45697240"/>
      <w:bookmarkEnd w:id="163"/>
      <w:bookmarkStart w:id="164" w:name="_Toc14014"/>
      <w:bookmarkEnd w:id="164"/>
      <w:bookmarkStart w:id="165" w:name="_Toc22828076"/>
      <w:r>
        <w:rPr>
          <w:rFonts w:hint="eastAsia" w:ascii="宋体" w:hAnsi="宋体"/>
          <w:b/>
          <w:i w:val="0"/>
          <w:iCs w:val="0"/>
          <w:color w:val="auto"/>
          <w:sz w:val="32"/>
          <w:szCs w:val="32"/>
          <w:highlight w:val="none"/>
        </w:rPr>
        <w:t>9.纪律和监督</w:t>
      </w:r>
      <w:bookmarkEnd w:id="165"/>
    </w:p>
    <w:p w14:paraId="356CC2D7">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对招标人的纪律要求</w:t>
      </w:r>
    </w:p>
    <w:p w14:paraId="49E5BA77">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招标人不得泄漏招标投标活动中应当保密的情况和资料，不得与投标人串通损害国家利益、社会公共利益或者他人合法权益。</w:t>
      </w:r>
    </w:p>
    <w:p w14:paraId="4A66AB62">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对投标人的纪律要求</w:t>
      </w:r>
    </w:p>
    <w:p w14:paraId="69E1C1C7">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3B0580B">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对评标委员会成员的纪律要求</w:t>
      </w:r>
    </w:p>
    <w:p w14:paraId="64ABC72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783DA8B4">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对与评标活动有关的工作人员的纪律要求</w:t>
      </w:r>
    </w:p>
    <w:p w14:paraId="787CD9D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585EE2D">
      <w:pPr>
        <w:numPr>
          <w:ilvl w:val="1"/>
          <w:numId w:val="36"/>
        </w:numPr>
        <w:ind w:left="0" w:firstLine="275" w:firstLineChars="98"/>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异议和投诉</w:t>
      </w:r>
    </w:p>
    <w:p w14:paraId="15C7FD4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9.5.1异议</w:t>
      </w:r>
    </w:p>
    <w:p w14:paraId="5AB426AA">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06F82D6F">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3789C13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00B92BC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9.5.2投诉</w:t>
      </w:r>
    </w:p>
    <w:p w14:paraId="741FA0A9">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576C0346">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上述时限最后一日如遇国家法定休假日的，顺延至法定休假日后的第一个工作日。</w:t>
      </w:r>
    </w:p>
    <w:p w14:paraId="7399B25E">
      <w:pPr>
        <w:rPr>
          <w:rFonts w:ascii="宋体" w:hAnsi="宋体"/>
          <w:b/>
          <w:i w:val="0"/>
          <w:iCs w:val="0"/>
          <w:color w:val="auto"/>
          <w:sz w:val="32"/>
          <w:szCs w:val="32"/>
          <w:highlight w:val="none"/>
        </w:rPr>
      </w:pPr>
      <w:bookmarkStart w:id="166" w:name="_Toc819"/>
      <w:bookmarkEnd w:id="166"/>
      <w:bookmarkStart w:id="167" w:name="bookmark78"/>
      <w:bookmarkEnd w:id="167"/>
      <w:bookmarkStart w:id="168" w:name="_Toc45697241"/>
      <w:bookmarkEnd w:id="168"/>
      <w:bookmarkStart w:id="169" w:name="_Toc22828077"/>
      <w:r>
        <w:rPr>
          <w:rFonts w:hint="eastAsia" w:ascii="宋体" w:hAnsi="宋体"/>
          <w:b/>
          <w:i w:val="0"/>
          <w:iCs w:val="0"/>
          <w:color w:val="auto"/>
          <w:sz w:val="32"/>
          <w:szCs w:val="32"/>
          <w:highlight w:val="none"/>
        </w:rPr>
        <w:t>10.需要补充的其他内容</w:t>
      </w:r>
      <w:bookmarkEnd w:id="169"/>
    </w:p>
    <w:p w14:paraId="3FCDAE16">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需要补充的其他内容：见投标人须知前附表。</w:t>
      </w:r>
    </w:p>
    <w:p w14:paraId="56183CCC">
      <w:pPr>
        <w:spacing w:line="400" w:lineRule="exact"/>
        <w:ind w:firstLine="120" w:firstLineChars="50"/>
        <w:rPr>
          <w:rFonts w:hint="eastAsia" w:ascii="黑体" w:eastAsia="黑体"/>
          <w:i w:val="0"/>
          <w:iCs w:val="0"/>
          <w:color w:val="auto"/>
          <w:highlight w:val="none"/>
        </w:rPr>
      </w:pPr>
      <w:bookmarkStart w:id="170" w:name="bookmark79"/>
      <w:bookmarkEnd w:id="170"/>
    </w:p>
    <w:p w14:paraId="69149A05">
      <w:pPr>
        <w:spacing w:line="400" w:lineRule="exact"/>
        <w:ind w:firstLine="120" w:firstLineChars="50"/>
        <w:rPr>
          <w:rFonts w:hint="eastAsia" w:ascii="黑体" w:eastAsia="黑体"/>
          <w:i w:val="0"/>
          <w:iCs w:val="0"/>
          <w:color w:val="auto"/>
          <w:highlight w:val="none"/>
        </w:rPr>
      </w:pPr>
    </w:p>
    <w:p w14:paraId="1DD9E7EF">
      <w:pPr>
        <w:spacing w:line="400" w:lineRule="exact"/>
        <w:ind w:firstLine="120" w:firstLineChars="50"/>
        <w:rPr>
          <w:rFonts w:hint="eastAsia" w:ascii="黑体" w:eastAsia="黑体"/>
          <w:i w:val="0"/>
          <w:iCs w:val="0"/>
          <w:color w:val="auto"/>
          <w:highlight w:val="none"/>
        </w:rPr>
      </w:pPr>
    </w:p>
    <w:p w14:paraId="1A262942">
      <w:pPr>
        <w:spacing w:line="400" w:lineRule="exact"/>
        <w:ind w:firstLine="120" w:firstLineChars="50"/>
        <w:rPr>
          <w:rFonts w:hint="eastAsia" w:ascii="黑体" w:eastAsia="黑体"/>
          <w:i w:val="0"/>
          <w:iCs w:val="0"/>
          <w:color w:val="auto"/>
          <w:highlight w:val="none"/>
        </w:rPr>
      </w:pPr>
    </w:p>
    <w:p w14:paraId="4550BAF1">
      <w:pPr>
        <w:spacing w:line="400" w:lineRule="exact"/>
        <w:ind w:firstLine="120" w:firstLineChars="50"/>
        <w:rPr>
          <w:rFonts w:hint="eastAsia" w:ascii="黑体" w:eastAsia="黑体"/>
          <w:i w:val="0"/>
          <w:iCs w:val="0"/>
          <w:color w:val="auto"/>
          <w:highlight w:val="none"/>
        </w:rPr>
      </w:pPr>
    </w:p>
    <w:p w14:paraId="44439DCC">
      <w:pPr>
        <w:spacing w:line="400" w:lineRule="exact"/>
        <w:ind w:firstLine="120" w:firstLineChars="50"/>
        <w:rPr>
          <w:rFonts w:ascii="黑体" w:eastAsia="黑体"/>
          <w:i w:val="0"/>
          <w:iCs w:val="0"/>
          <w:color w:val="auto"/>
          <w:highlight w:val="none"/>
        </w:rPr>
      </w:pPr>
      <w:r>
        <w:rPr>
          <w:rFonts w:hint="eastAsia" w:ascii="黑体" w:hAnsi="黑体" w:eastAsia="黑体"/>
          <w:i w:val="0"/>
          <w:iCs w:val="0"/>
          <w:color w:val="auto"/>
          <w:highlight w:val="none"/>
        </w:rPr>
        <w:t>附表一：开标记录表</w:t>
      </w:r>
    </w:p>
    <w:p w14:paraId="783BD6FF">
      <w:pPr>
        <w:spacing w:before="240" w:beforeLines="100" w:after="240" w:afterLines="100" w:line="400" w:lineRule="exact"/>
        <w:ind w:firstLine="1960" w:firstLineChars="700"/>
        <w:outlineLvl w:val="0"/>
        <w:rPr>
          <w:rFonts w:ascii="黑体" w:eastAsia="黑体"/>
          <w:i w:val="0"/>
          <w:iCs w:val="0"/>
          <w:color w:val="auto"/>
          <w:sz w:val="28"/>
          <w:szCs w:val="28"/>
          <w:highlight w:val="none"/>
        </w:rPr>
      </w:pPr>
      <w:bookmarkStart w:id="171" w:name="_Toc7383"/>
      <w:r>
        <w:rPr>
          <w:rFonts w:hint="eastAsia" w:ascii="黑体" w:hAnsi="黑体" w:eastAsia="黑体"/>
          <w:i w:val="0"/>
          <w:iCs w:val="0"/>
          <w:color w:val="auto"/>
          <w:sz w:val="28"/>
          <w:szCs w:val="28"/>
          <w:highlight w:val="none"/>
          <w:u w:val="single"/>
        </w:rPr>
        <w:t>（工程名称）</w:t>
      </w:r>
      <w:r>
        <w:rPr>
          <w:rFonts w:hint="eastAsia" w:ascii="黑体" w:hAnsi="黑体" w:eastAsia="黑体"/>
          <w:i w:val="0"/>
          <w:iCs w:val="0"/>
          <w:color w:val="auto"/>
          <w:sz w:val="28"/>
          <w:szCs w:val="28"/>
          <w:highlight w:val="none"/>
        </w:rPr>
        <w:t>标段施工开标记录表</w:t>
      </w:r>
      <w:bookmarkEnd w:id="171"/>
    </w:p>
    <w:p w14:paraId="5459BAF7">
      <w:pPr>
        <w:spacing w:line="400" w:lineRule="exact"/>
        <w:ind w:firstLine="120" w:firstLineChars="50"/>
        <w:rPr>
          <w:rFonts w:ascii="黑体" w:eastAsia="黑体"/>
          <w:i w:val="0"/>
          <w:iCs w:val="0"/>
          <w:color w:val="auto"/>
          <w:highlight w:val="none"/>
        </w:rPr>
      </w:pPr>
      <w:r>
        <w:rPr>
          <w:rFonts w:hint="eastAsia" w:ascii="黑体" w:hAnsi="黑体" w:eastAsia="黑体"/>
          <w:i w:val="0"/>
          <w:iCs w:val="0"/>
          <w:color w:val="auto"/>
          <w:highlight w:val="none"/>
        </w:rPr>
        <w:t>开标时间：  年  月  日  时  分</w:t>
      </w:r>
    </w:p>
    <w:p w14:paraId="40611BE1">
      <w:pPr>
        <w:spacing w:line="400" w:lineRule="exact"/>
        <w:ind w:firstLine="120" w:firstLineChars="50"/>
        <w:rPr>
          <w:rFonts w:ascii="黑体" w:eastAsia="黑体"/>
          <w:i w:val="0"/>
          <w:iCs w:val="0"/>
          <w:color w:val="auto"/>
          <w:highlight w:val="none"/>
        </w:rPr>
      </w:pPr>
      <w:r>
        <w:rPr>
          <w:rFonts w:hint="eastAsia" w:ascii="黑体" w:hAnsi="黑体" w:eastAsia="黑体"/>
          <w:i w:val="0"/>
          <w:iCs w:val="0"/>
          <w:color w:val="auto"/>
          <w:highlight w:val="none"/>
        </w:rPr>
        <w:t>开标地点：</w:t>
      </w:r>
    </w:p>
    <w:p w14:paraId="47EC941D">
      <w:pPr>
        <w:spacing w:line="400" w:lineRule="exact"/>
        <w:ind w:firstLine="120" w:firstLineChars="50"/>
        <w:rPr>
          <w:rFonts w:ascii="黑体" w:eastAsia="黑体"/>
          <w:i w:val="0"/>
          <w:iCs w:val="0"/>
          <w:color w:val="auto"/>
          <w:highlight w:val="none"/>
        </w:rPr>
      </w:pPr>
      <w:r>
        <w:rPr>
          <w:rFonts w:hint="eastAsia" w:ascii="黑体" w:hAnsi="黑体" w:eastAsia="黑体"/>
          <w:i w:val="0"/>
          <w:iCs w:val="0"/>
          <w:color w:val="auto"/>
          <w:highlight w:val="none"/>
        </w:rPr>
        <w:t>（一）唱标记录</w:t>
      </w:r>
    </w:p>
    <w:tbl>
      <w:tblPr>
        <w:tblStyle w:val="21"/>
        <w:tblW w:w="9015"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5C42C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BF1E1C6">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E4957E3">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8236D6D">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8264F7F">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56291983">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432A4F7">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BBD90AB">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74AACF8">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6E9E3C6">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r>
              <w:rPr>
                <w:rFonts w:hint="eastAsia" w:ascii="黑体" w:hAnsi="Times New Roman" w:eastAsia="黑体" w:cs="Times New Roman"/>
                <w:i w:val="0"/>
                <w:iCs w:val="0"/>
                <w:color w:val="auto"/>
                <w:highlight w:val="none"/>
              </w:rPr>
              <w:t>投标人确认</w:t>
            </w:r>
            <w:r>
              <w:rPr>
                <w:rFonts w:hint="eastAsia" w:ascii="黑体" w:hAnsi="Times New Roman" w:eastAsia="黑体" w:cs="Times New Roman"/>
                <w:i w:val="0"/>
                <w:iCs w:val="0"/>
                <w:strike/>
                <w:color w:val="auto"/>
                <w:highlight w:val="none"/>
              </w:rPr>
              <w:t>签字</w:t>
            </w:r>
          </w:p>
        </w:tc>
      </w:tr>
      <w:tr w14:paraId="3AC29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F6A6C6C">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F2F96CA">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318803F">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51E1BC1">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DE44F9A">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E2B646D">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1A1EC78">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7222EB4">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49367BE">
            <w:pPr>
              <w:keepNext w:val="0"/>
              <w:keepLines w:val="0"/>
              <w:suppressLineNumbers w:val="0"/>
              <w:spacing w:before="0" w:beforeAutospacing="0" w:after="0" w:afterAutospacing="0"/>
              <w:ind w:left="0" w:right="0"/>
              <w:jc w:val="center"/>
              <w:rPr>
                <w:rFonts w:hint="default" w:ascii="黑体" w:hAnsi="Times New Roman" w:eastAsia="黑体" w:cs="Times New Roman"/>
                <w:i w:val="0"/>
                <w:iCs w:val="0"/>
                <w:color w:val="auto"/>
                <w:highlight w:val="none"/>
              </w:rPr>
            </w:pPr>
          </w:p>
        </w:tc>
      </w:tr>
      <w:tr w14:paraId="2C49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CE9623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848D65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ED99E3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5829C9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8DED5E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EA3A53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872BF6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9B794A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985CCE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075F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1069A1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7D1695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C16C3F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5C0306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5F9E45F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A2EA02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8EF6FC4">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31EE35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91FAF5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353A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431A0F9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CA9942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A56BA9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53F852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42BA96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A5B547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63C844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7B50FF4">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620883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17D6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7D4F26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298A34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0C5F40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73C3A5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7BAC36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F1AFFA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405E3B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F1E799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D7DDAD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37D6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F1A6B3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B64564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F2A13E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9FAA27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2FF261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943B65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B15B4B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E07FFD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27EFCB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491F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057D5D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18FDDE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D55B83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333DDF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898A31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773680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8704C2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200867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92A93E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33139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414F9FC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21ACB9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057068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7B37F9B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93CB6E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6A4EAF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CCC04F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D0A8C5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2603D9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55C3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645404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A07DCD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592174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6BB624E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BC513B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F9564F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2B40A7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8B678B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C9BAE1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r w14:paraId="3B92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4222A10B">
            <w:pPr>
              <w:keepNext w:val="0"/>
              <w:keepLines w:val="0"/>
              <w:suppressLineNumbers w:val="0"/>
              <w:spacing w:before="0" w:beforeAutospacing="0" w:after="0" w:afterAutospacing="0" w:line="400" w:lineRule="exact"/>
              <w:ind w:left="0" w:right="0"/>
              <w:jc w:val="center"/>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招标人编制的</w:t>
            </w:r>
          </w:p>
          <w:p w14:paraId="00523EF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60E4C25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i w:val="0"/>
                <w:iCs w:val="0"/>
                <w:color w:val="auto"/>
                <w:highlight w:val="none"/>
              </w:rPr>
            </w:pPr>
          </w:p>
        </w:tc>
      </w:tr>
    </w:tbl>
    <w:p w14:paraId="2A36491C">
      <w:pPr>
        <w:spacing w:line="400" w:lineRule="exact"/>
        <w:rPr>
          <w:rFonts w:ascii="黑体" w:eastAsia="黑体"/>
          <w:i w:val="0"/>
          <w:iCs w:val="0"/>
          <w:color w:val="auto"/>
          <w:highlight w:val="none"/>
        </w:rPr>
      </w:pPr>
      <w:r>
        <w:rPr>
          <w:rFonts w:hint="eastAsia" w:ascii="黑体" w:hAnsi="黑体" w:eastAsia="黑体"/>
          <w:i w:val="0"/>
          <w:iCs w:val="0"/>
          <w:color w:val="auto"/>
          <w:highlight w:val="none"/>
        </w:rPr>
        <w:t>（二）开标过程中的其他事项记录</w:t>
      </w:r>
    </w:p>
    <w:p w14:paraId="7AA0B86A">
      <w:pPr>
        <w:spacing w:line="400" w:lineRule="exact"/>
        <w:rPr>
          <w:rFonts w:ascii="黑体" w:eastAsia="黑体"/>
          <w:i w:val="0"/>
          <w:iCs w:val="0"/>
          <w:color w:val="auto"/>
          <w:highlight w:val="none"/>
          <w:u w:val="single"/>
        </w:rPr>
      </w:pPr>
    </w:p>
    <w:p w14:paraId="61949291">
      <w:pPr>
        <w:spacing w:line="400" w:lineRule="exact"/>
        <w:rPr>
          <w:rFonts w:ascii="黑体" w:eastAsia="黑体"/>
          <w:i w:val="0"/>
          <w:iCs w:val="0"/>
          <w:color w:val="auto"/>
          <w:highlight w:val="none"/>
          <w:u w:val="single"/>
        </w:rPr>
      </w:pPr>
    </w:p>
    <w:p w14:paraId="28C00638">
      <w:pPr>
        <w:spacing w:line="400" w:lineRule="exact"/>
        <w:rPr>
          <w:rFonts w:ascii="黑体" w:eastAsia="黑体"/>
          <w:i w:val="0"/>
          <w:iCs w:val="0"/>
          <w:color w:val="auto"/>
          <w:highlight w:val="none"/>
          <w:u w:val="single"/>
        </w:rPr>
      </w:pPr>
    </w:p>
    <w:p w14:paraId="23882AEC">
      <w:pPr>
        <w:spacing w:line="400" w:lineRule="exact"/>
        <w:rPr>
          <w:rFonts w:hint="eastAsia" w:ascii="等线" w:hAnsi="等线"/>
          <w:i w:val="0"/>
          <w:iCs w:val="0"/>
          <w:color w:val="auto"/>
          <w:sz w:val="22"/>
          <w:szCs w:val="22"/>
          <w:highlight w:val="none"/>
        </w:rPr>
      </w:pPr>
    </w:p>
    <w:p w14:paraId="20571946">
      <w:pPr>
        <w:spacing w:line="400" w:lineRule="exact"/>
        <w:rPr>
          <w:rFonts w:ascii="宋体" w:hAnsi="宋体"/>
          <w:i w:val="0"/>
          <w:iCs w:val="0"/>
          <w:color w:val="auto"/>
          <w:highlight w:val="none"/>
        </w:rPr>
      </w:pPr>
    </w:p>
    <w:p w14:paraId="6E82B06C">
      <w:pPr>
        <w:spacing w:line="400" w:lineRule="exact"/>
        <w:rPr>
          <w:rFonts w:ascii="黑体" w:hAnsi="黑体" w:eastAsia="黑体"/>
          <w:i w:val="0"/>
          <w:iCs w:val="0"/>
          <w:color w:val="auto"/>
          <w:highlight w:val="none"/>
        </w:rPr>
      </w:pPr>
      <w:r>
        <w:rPr>
          <w:rFonts w:hint="eastAsia" w:ascii="黑体" w:hAnsi="黑体" w:eastAsia="黑体"/>
          <w:i w:val="0"/>
          <w:iCs w:val="0"/>
          <w:color w:val="auto"/>
          <w:highlight w:val="none"/>
        </w:rPr>
        <w:t>（三）出席开标会的单位和人员（附签到表）</w:t>
      </w:r>
    </w:p>
    <w:p w14:paraId="5A09B10D">
      <w:pPr>
        <w:spacing w:line="400" w:lineRule="exact"/>
        <w:rPr>
          <w:i w:val="0"/>
          <w:iCs w:val="0"/>
          <w:color w:val="auto"/>
          <w:highlight w:val="none"/>
        </w:rPr>
      </w:pPr>
    </w:p>
    <w:p w14:paraId="75596BA3">
      <w:pPr>
        <w:spacing w:line="400" w:lineRule="exact"/>
        <w:rPr>
          <w:i w:val="0"/>
          <w:iCs w:val="0"/>
          <w:color w:val="auto"/>
          <w:highlight w:val="none"/>
        </w:rPr>
      </w:pPr>
    </w:p>
    <w:p w14:paraId="7AF6BA5C">
      <w:pPr>
        <w:spacing w:line="400" w:lineRule="exact"/>
        <w:rPr>
          <w:rFonts w:ascii="黑体" w:eastAsia="黑体"/>
          <w:i w:val="0"/>
          <w:iCs w:val="0"/>
          <w:color w:val="auto"/>
          <w:highlight w:val="none"/>
          <w:u w:val="single"/>
        </w:rPr>
      </w:pPr>
      <w:r>
        <w:rPr>
          <w:rFonts w:hint="eastAsia" w:ascii="黑体" w:hAnsi="黑体" w:eastAsia="黑体"/>
          <w:i w:val="0"/>
          <w:iCs w:val="0"/>
          <w:color w:val="auto"/>
          <w:highlight w:val="none"/>
        </w:rPr>
        <w:t>招标人代表：　　　　　记录人：　　　　　监标人：</w:t>
      </w:r>
    </w:p>
    <w:p w14:paraId="282D97C7">
      <w:pPr>
        <w:spacing w:line="400" w:lineRule="exact"/>
        <w:rPr>
          <w:i w:val="0"/>
          <w:iCs w:val="0"/>
          <w:color w:val="auto"/>
          <w:highlight w:val="none"/>
        </w:rPr>
      </w:pPr>
    </w:p>
    <w:p w14:paraId="6E4A70E0">
      <w:pPr>
        <w:spacing w:line="400" w:lineRule="exact"/>
        <w:ind w:firstLine="6000" w:firstLineChars="2500"/>
        <w:rPr>
          <w:rFonts w:ascii="黑体" w:hAnsi="黑体" w:eastAsia="黑体"/>
          <w:i w:val="0"/>
          <w:iCs w:val="0"/>
          <w:color w:val="auto"/>
          <w:highlight w:val="none"/>
        </w:rPr>
      </w:pPr>
      <w:r>
        <w:rPr>
          <w:rFonts w:hint="eastAsia" w:ascii="宋体" w:hAnsi="宋体"/>
          <w:i w:val="0"/>
          <w:iCs w:val="0"/>
          <w:color w:val="auto"/>
          <w:highlight w:val="none"/>
        </w:rPr>
        <w:t>年 　月 　日</w:t>
      </w:r>
    </w:p>
    <w:p w14:paraId="71E675CA">
      <w:pPr>
        <w:spacing w:line="400" w:lineRule="exact"/>
        <w:rPr>
          <w:rFonts w:ascii="黑体" w:hAnsi="黑体" w:eastAsia="黑体"/>
          <w:i w:val="0"/>
          <w:iCs w:val="0"/>
          <w:color w:val="auto"/>
          <w:highlight w:val="none"/>
        </w:rPr>
      </w:pPr>
    </w:p>
    <w:p w14:paraId="75CC93D5">
      <w:pPr>
        <w:spacing w:line="400" w:lineRule="exact"/>
        <w:rPr>
          <w:rFonts w:ascii="黑体" w:hAnsi="黑体" w:eastAsia="黑体"/>
          <w:i w:val="0"/>
          <w:iCs w:val="0"/>
          <w:color w:val="auto"/>
          <w:highlight w:val="none"/>
        </w:rPr>
      </w:pPr>
    </w:p>
    <w:p w14:paraId="389F5974">
      <w:pPr>
        <w:spacing w:line="400" w:lineRule="exact"/>
        <w:rPr>
          <w:rFonts w:ascii="黑体" w:hAnsi="黑体" w:eastAsia="黑体"/>
          <w:i w:val="0"/>
          <w:iCs w:val="0"/>
          <w:color w:val="auto"/>
          <w:highlight w:val="none"/>
        </w:rPr>
      </w:pPr>
    </w:p>
    <w:p w14:paraId="67F847B5">
      <w:pPr>
        <w:spacing w:line="400" w:lineRule="exact"/>
        <w:rPr>
          <w:rFonts w:ascii="黑体" w:eastAsia="黑体"/>
          <w:i w:val="0"/>
          <w:iCs w:val="0"/>
          <w:color w:val="auto"/>
          <w:highlight w:val="none"/>
        </w:rPr>
      </w:pPr>
      <w:r>
        <w:rPr>
          <w:rFonts w:hint="eastAsia" w:ascii="黑体" w:hAnsi="黑体" w:eastAsia="黑体"/>
          <w:i w:val="0"/>
          <w:iCs w:val="0"/>
          <w:color w:val="auto"/>
          <w:highlight w:val="none"/>
        </w:rPr>
        <w:t>附表二：问题澄清通知</w:t>
      </w:r>
    </w:p>
    <w:p w14:paraId="56CFEE2E">
      <w:pPr>
        <w:spacing w:before="240" w:beforeLines="100" w:after="240" w:afterLines="100" w:line="400" w:lineRule="exact"/>
        <w:jc w:val="center"/>
        <w:rPr>
          <w:rFonts w:ascii="黑体" w:eastAsia="黑体"/>
          <w:i w:val="0"/>
          <w:iCs w:val="0"/>
          <w:color w:val="auto"/>
          <w:sz w:val="28"/>
          <w:szCs w:val="28"/>
          <w:highlight w:val="none"/>
        </w:rPr>
      </w:pPr>
      <w:r>
        <w:rPr>
          <w:rFonts w:hint="eastAsia" w:ascii="黑体" w:hAnsi="黑体" w:eastAsia="黑体"/>
          <w:i w:val="0"/>
          <w:iCs w:val="0"/>
          <w:color w:val="auto"/>
          <w:sz w:val="28"/>
          <w:szCs w:val="28"/>
          <w:highlight w:val="none"/>
        </w:rPr>
        <w:t>问题澄清通知</w:t>
      </w:r>
    </w:p>
    <w:p w14:paraId="2F4AD9EE">
      <w:pPr>
        <w:spacing w:line="400" w:lineRule="exact"/>
        <w:ind w:firstLine="6120" w:firstLineChars="2550"/>
        <w:rPr>
          <w:i w:val="0"/>
          <w:iCs w:val="0"/>
          <w:color w:val="auto"/>
          <w:highlight w:val="none"/>
          <w:u w:val="single"/>
        </w:rPr>
      </w:pPr>
      <w:r>
        <w:rPr>
          <w:rFonts w:hint="eastAsia" w:ascii="宋体" w:hAnsi="宋体"/>
          <w:i w:val="0"/>
          <w:iCs w:val="0"/>
          <w:color w:val="auto"/>
          <w:highlight w:val="none"/>
        </w:rPr>
        <w:t>编号：</w:t>
      </w:r>
    </w:p>
    <w:p w14:paraId="62439442">
      <w:pPr>
        <w:spacing w:line="480" w:lineRule="exact"/>
        <w:rPr>
          <w:i w:val="0"/>
          <w:iCs w:val="0"/>
          <w:color w:val="auto"/>
          <w:highlight w:val="none"/>
        </w:rPr>
      </w:pPr>
      <w:r>
        <w:rPr>
          <w:rFonts w:hint="eastAsia" w:ascii="宋体" w:hAnsi="宋体"/>
          <w:i w:val="0"/>
          <w:iCs w:val="0"/>
          <w:color w:val="auto"/>
          <w:highlight w:val="none"/>
          <w:u w:val="single"/>
        </w:rPr>
        <w:t>（投标人名称）</w:t>
      </w:r>
      <w:r>
        <w:rPr>
          <w:rFonts w:hint="eastAsia" w:ascii="宋体" w:hAnsi="宋体"/>
          <w:i w:val="0"/>
          <w:iCs w:val="0"/>
          <w:color w:val="auto"/>
          <w:highlight w:val="none"/>
        </w:rPr>
        <w:t>：</w:t>
      </w:r>
    </w:p>
    <w:p w14:paraId="738D0933">
      <w:pPr>
        <w:spacing w:line="480" w:lineRule="exact"/>
        <w:ind w:firstLine="480" w:firstLineChars="200"/>
        <w:rPr>
          <w:rFonts w:hint="eastAsia" w:ascii="宋体" w:hAnsi="宋体"/>
          <w:i w:val="0"/>
          <w:iCs w:val="0"/>
          <w:color w:val="auto"/>
          <w:highlight w:val="none"/>
        </w:rPr>
      </w:pPr>
      <w:r>
        <w:rPr>
          <w:rFonts w:hint="eastAsia" w:ascii="宋体" w:hAnsi="宋体"/>
          <w:i w:val="0"/>
          <w:iCs w:val="0"/>
          <w:color w:val="auto"/>
          <w:highlight w:val="none"/>
          <w:u w:val="single"/>
        </w:rPr>
        <w:t>（工程名称）标</w:t>
      </w:r>
      <w:r>
        <w:rPr>
          <w:rFonts w:hint="eastAsia" w:ascii="宋体" w:hAnsi="宋体"/>
          <w:i w:val="0"/>
          <w:iCs w:val="0"/>
          <w:color w:val="auto"/>
          <w:highlight w:val="none"/>
        </w:rPr>
        <w:t>段施工招标的评标委员会，对你方的投标文件进行了仔细的审查，现需你方对本通知所附的问题以书面形式予以澄清、说明或者补正。</w:t>
      </w:r>
    </w:p>
    <w:p w14:paraId="26DC4B93">
      <w:pPr>
        <w:spacing w:line="480" w:lineRule="exact"/>
        <w:ind w:firstLine="480" w:firstLineChars="200"/>
        <w:rPr>
          <w:i w:val="0"/>
          <w:iCs w:val="0"/>
          <w:color w:val="auto"/>
          <w:highlight w:val="none"/>
        </w:rPr>
      </w:pPr>
      <w:r>
        <w:rPr>
          <w:rFonts w:hint="eastAsia" w:ascii="宋体" w:hAnsi="宋体"/>
          <w:i w:val="0"/>
          <w:iCs w:val="0"/>
          <w:color w:val="auto"/>
          <w:highlight w:val="none"/>
        </w:rPr>
        <w:t>问题：</w:t>
      </w:r>
      <w:r>
        <w:rPr>
          <w:rFonts w:hint="eastAsia"/>
          <w:i w:val="0"/>
          <w:iCs w:val="0"/>
          <w:color w:val="auto"/>
          <w:highlight w:val="none"/>
        </w:rPr>
        <w:t>1</w:t>
      </w:r>
      <w:r>
        <w:rPr>
          <w:rFonts w:hint="eastAsia" w:ascii="宋体" w:hAnsi="宋体"/>
          <w:i w:val="0"/>
          <w:iCs w:val="0"/>
          <w:color w:val="auto"/>
          <w:highlight w:val="none"/>
        </w:rPr>
        <w:t>、</w:t>
      </w:r>
    </w:p>
    <w:p w14:paraId="6A3C3F19">
      <w:pPr>
        <w:spacing w:line="480" w:lineRule="exact"/>
        <w:ind w:firstLine="480" w:firstLineChars="200"/>
        <w:rPr>
          <w:i w:val="0"/>
          <w:iCs w:val="0"/>
          <w:color w:val="auto"/>
          <w:highlight w:val="none"/>
        </w:rPr>
      </w:pPr>
      <w:r>
        <w:rPr>
          <w:rFonts w:hint="eastAsia" w:ascii="宋体" w:hAnsi="宋体"/>
          <w:i w:val="0"/>
          <w:iCs w:val="0"/>
          <w:color w:val="auto"/>
          <w:highlight w:val="none"/>
        </w:rPr>
        <w:t>问题：</w:t>
      </w:r>
      <w:r>
        <w:rPr>
          <w:rFonts w:hint="eastAsia"/>
          <w:i w:val="0"/>
          <w:iCs w:val="0"/>
          <w:color w:val="auto"/>
          <w:highlight w:val="none"/>
        </w:rPr>
        <w:t>2</w:t>
      </w:r>
      <w:r>
        <w:rPr>
          <w:rFonts w:hint="eastAsia" w:ascii="宋体" w:hAnsi="宋体"/>
          <w:i w:val="0"/>
          <w:iCs w:val="0"/>
          <w:color w:val="auto"/>
          <w:highlight w:val="none"/>
        </w:rPr>
        <w:t>、</w:t>
      </w:r>
    </w:p>
    <w:p w14:paraId="3E822C91">
      <w:pPr>
        <w:spacing w:line="480" w:lineRule="exact"/>
        <w:ind w:firstLine="480" w:firstLineChars="200"/>
        <w:rPr>
          <w:rFonts w:hint="eastAsia" w:ascii="宋体" w:hAnsi="宋体"/>
          <w:i w:val="0"/>
          <w:iCs w:val="0"/>
          <w:color w:val="auto"/>
          <w:highlight w:val="none"/>
        </w:rPr>
      </w:pPr>
      <w:r>
        <w:rPr>
          <w:i w:val="0"/>
          <w:iCs w:val="0"/>
          <w:color w:val="auto"/>
          <w:highlight w:val="none"/>
        </w:rPr>
        <w:t>.......</w:t>
      </w:r>
    </w:p>
    <w:p w14:paraId="6F77DBB4">
      <w:pPr>
        <w:spacing w:line="480" w:lineRule="exact"/>
        <w:ind w:firstLine="480" w:firstLineChars="200"/>
        <w:rPr>
          <w:rFonts w:hint="eastAsia" w:ascii="宋体" w:hAnsi="宋体"/>
          <w:i w:val="0"/>
          <w:iCs w:val="0"/>
          <w:color w:val="auto"/>
          <w:highlight w:val="none"/>
        </w:rPr>
      </w:pPr>
    </w:p>
    <w:p w14:paraId="31F2D2E9">
      <w:pPr>
        <w:spacing w:line="480" w:lineRule="exact"/>
        <w:ind w:firstLine="480" w:firstLineChars="200"/>
        <w:rPr>
          <w:rFonts w:hint="eastAsia" w:ascii="宋体" w:hAnsi="宋体"/>
          <w:i w:val="0"/>
          <w:iCs w:val="0"/>
          <w:color w:val="auto"/>
          <w:highlight w:val="none"/>
        </w:rPr>
      </w:pPr>
    </w:p>
    <w:p w14:paraId="26600660">
      <w:pPr>
        <w:spacing w:line="480" w:lineRule="exact"/>
        <w:ind w:firstLine="480" w:firstLineChars="200"/>
        <w:rPr>
          <w:rFonts w:hint="eastAsia" w:ascii="宋体" w:hAnsi="宋体"/>
          <w:i w:val="0"/>
          <w:iCs w:val="0"/>
          <w:color w:val="auto"/>
          <w:highlight w:val="none"/>
        </w:rPr>
      </w:pPr>
    </w:p>
    <w:p w14:paraId="7BC3C80B">
      <w:pPr>
        <w:spacing w:line="480" w:lineRule="exact"/>
        <w:rPr>
          <w:i w:val="0"/>
          <w:iCs w:val="0"/>
          <w:color w:val="auto"/>
          <w:highlight w:val="none"/>
        </w:rPr>
      </w:pPr>
      <w:r>
        <w:rPr>
          <w:rFonts w:hint="eastAsia" w:ascii="宋体" w:hAnsi="宋体"/>
          <w:i w:val="0"/>
          <w:iCs w:val="0"/>
          <w:color w:val="auto"/>
          <w:highlight w:val="none"/>
        </w:rPr>
        <w:t>　　请将上述问题的澄清、说明或者补正于</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年</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月</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日</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时前密封递交至</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w:t>
      </w:r>
    </w:p>
    <w:p w14:paraId="2543C08A">
      <w:pPr>
        <w:spacing w:line="480" w:lineRule="exact"/>
        <w:rPr>
          <w:i w:val="0"/>
          <w:iCs w:val="0"/>
          <w:color w:val="auto"/>
          <w:highlight w:val="none"/>
        </w:rPr>
      </w:pPr>
    </w:p>
    <w:p w14:paraId="1581A989">
      <w:pPr>
        <w:spacing w:line="480" w:lineRule="exact"/>
        <w:ind w:firstLine="3360" w:firstLineChars="1400"/>
        <w:rPr>
          <w:i w:val="0"/>
          <w:iCs w:val="0"/>
          <w:color w:val="auto"/>
          <w:highlight w:val="none"/>
        </w:rPr>
      </w:pPr>
      <w:r>
        <w:rPr>
          <w:rFonts w:hint="eastAsia" w:ascii="宋体" w:hAnsi="宋体"/>
          <w:i w:val="0"/>
          <w:iCs w:val="0"/>
          <w:color w:val="auto"/>
          <w:highlight w:val="none"/>
          <w:u w:val="single"/>
        </w:rPr>
        <w:t>（工程名称）　　　　　　</w:t>
      </w:r>
      <w:r>
        <w:rPr>
          <w:rFonts w:hint="eastAsia" w:ascii="宋体" w:hAnsi="宋体"/>
          <w:i w:val="0"/>
          <w:iCs w:val="0"/>
          <w:color w:val="auto"/>
          <w:highlight w:val="none"/>
        </w:rPr>
        <w:t>评标委员会</w:t>
      </w:r>
    </w:p>
    <w:p w14:paraId="529DD4E5">
      <w:pPr>
        <w:spacing w:line="480" w:lineRule="exact"/>
        <w:ind w:firstLine="5280" w:firstLineChars="2200"/>
        <w:rPr>
          <w:rFonts w:ascii="宋体" w:hAnsi="宋体"/>
          <w:i w:val="0"/>
          <w:iCs w:val="0"/>
          <w:color w:val="auto"/>
          <w:highlight w:val="none"/>
        </w:rPr>
      </w:pPr>
    </w:p>
    <w:p w14:paraId="6BE4C119">
      <w:pPr>
        <w:spacing w:line="480" w:lineRule="exact"/>
        <w:ind w:firstLine="5520" w:firstLineChars="2300"/>
        <w:rPr>
          <w:i w:val="0"/>
          <w:iCs w:val="0"/>
          <w:color w:val="auto"/>
          <w:highlight w:val="none"/>
        </w:rPr>
      </w:pPr>
      <w:r>
        <w:rPr>
          <w:rFonts w:hint="eastAsia" w:ascii="宋体" w:hAnsi="宋体"/>
          <w:i w:val="0"/>
          <w:iCs w:val="0"/>
          <w:color w:val="auto"/>
          <w:highlight w:val="none"/>
        </w:rPr>
        <w:t>年　　 月　　日</w:t>
      </w:r>
    </w:p>
    <w:p w14:paraId="0821EB0D">
      <w:pPr>
        <w:spacing w:line="480" w:lineRule="exact"/>
        <w:rPr>
          <w:rFonts w:ascii="黑体" w:eastAsia="黑体"/>
          <w:i w:val="0"/>
          <w:iCs w:val="0"/>
          <w:color w:val="auto"/>
          <w:highlight w:val="none"/>
        </w:rPr>
      </w:pPr>
      <w:r>
        <w:rPr>
          <w:i w:val="0"/>
          <w:iCs w:val="0"/>
          <w:color w:val="auto"/>
          <w:highlight w:val="none"/>
        </w:rPr>
        <w:br w:type="page"/>
      </w:r>
      <w:r>
        <w:rPr>
          <w:rFonts w:hint="eastAsia" w:ascii="黑体" w:hAnsi="黑体" w:eastAsia="黑体"/>
          <w:i w:val="0"/>
          <w:iCs w:val="0"/>
          <w:color w:val="auto"/>
          <w:highlight w:val="none"/>
        </w:rPr>
        <w:t>附表三：问题的澄清</w:t>
      </w:r>
    </w:p>
    <w:p w14:paraId="086B2C48">
      <w:pPr>
        <w:spacing w:before="240" w:beforeLines="100" w:after="240" w:afterLines="100" w:line="480" w:lineRule="exact"/>
        <w:jc w:val="center"/>
        <w:rPr>
          <w:rFonts w:ascii="黑体" w:eastAsia="黑体"/>
          <w:i w:val="0"/>
          <w:iCs w:val="0"/>
          <w:color w:val="auto"/>
          <w:sz w:val="28"/>
          <w:szCs w:val="28"/>
          <w:highlight w:val="none"/>
        </w:rPr>
      </w:pPr>
      <w:r>
        <w:rPr>
          <w:rFonts w:hint="eastAsia" w:ascii="黑体" w:hAnsi="黑体" w:eastAsia="黑体"/>
          <w:i w:val="0"/>
          <w:iCs w:val="0"/>
          <w:color w:val="auto"/>
          <w:sz w:val="28"/>
          <w:szCs w:val="28"/>
          <w:highlight w:val="none"/>
        </w:rPr>
        <w:t>问题的澄清、说明或补正</w:t>
      </w:r>
    </w:p>
    <w:p w14:paraId="4C507522">
      <w:pPr>
        <w:spacing w:line="400" w:lineRule="exact"/>
        <w:ind w:firstLine="6120" w:firstLineChars="2550"/>
        <w:rPr>
          <w:i w:val="0"/>
          <w:iCs w:val="0"/>
          <w:color w:val="auto"/>
          <w:highlight w:val="none"/>
          <w:u w:val="single"/>
        </w:rPr>
      </w:pPr>
      <w:r>
        <w:rPr>
          <w:rFonts w:hint="eastAsia" w:ascii="宋体" w:hAnsi="宋体"/>
          <w:i w:val="0"/>
          <w:iCs w:val="0"/>
          <w:color w:val="auto"/>
          <w:highlight w:val="none"/>
        </w:rPr>
        <w:t>编号：</w:t>
      </w:r>
    </w:p>
    <w:p w14:paraId="21FA84A9">
      <w:pPr>
        <w:spacing w:line="480" w:lineRule="exact"/>
        <w:rPr>
          <w:i w:val="0"/>
          <w:iCs w:val="0"/>
          <w:color w:val="auto"/>
          <w:highlight w:val="none"/>
        </w:rPr>
      </w:pPr>
      <w:r>
        <w:rPr>
          <w:rFonts w:hint="eastAsia" w:ascii="宋体" w:hAnsi="宋体"/>
          <w:i w:val="0"/>
          <w:iCs w:val="0"/>
          <w:color w:val="auto"/>
          <w:highlight w:val="none"/>
          <w:u w:val="single"/>
        </w:rPr>
        <w:t>（项目名称）</w:t>
      </w:r>
      <w:r>
        <w:rPr>
          <w:rFonts w:hint="eastAsia" w:ascii="宋体" w:hAnsi="宋体"/>
          <w:i w:val="0"/>
          <w:iCs w:val="0"/>
          <w:color w:val="auto"/>
          <w:highlight w:val="none"/>
        </w:rPr>
        <w:t>标段施工招标评标委员会：</w:t>
      </w:r>
    </w:p>
    <w:p w14:paraId="1F15A40F">
      <w:pPr>
        <w:spacing w:line="480" w:lineRule="exact"/>
        <w:ind w:firstLine="480" w:firstLineChars="200"/>
        <w:rPr>
          <w:i w:val="0"/>
          <w:iCs w:val="0"/>
          <w:color w:val="auto"/>
          <w:highlight w:val="none"/>
        </w:rPr>
      </w:pPr>
      <w:r>
        <w:rPr>
          <w:rFonts w:hint="eastAsia" w:ascii="宋体" w:hAnsi="宋体"/>
          <w:i w:val="0"/>
          <w:iCs w:val="0"/>
          <w:color w:val="auto"/>
          <w:highlight w:val="none"/>
        </w:rPr>
        <w:t>问题澄清通知（编号：）已收悉，现澄清、说明或者补正如下：</w:t>
      </w:r>
    </w:p>
    <w:p w14:paraId="3920C9D6">
      <w:pPr>
        <w:spacing w:line="480" w:lineRule="exact"/>
        <w:ind w:firstLine="480" w:firstLineChars="200"/>
        <w:rPr>
          <w:i w:val="0"/>
          <w:iCs w:val="0"/>
          <w:color w:val="auto"/>
          <w:highlight w:val="none"/>
        </w:rPr>
      </w:pPr>
      <w:r>
        <w:rPr>
          <w:i w:val="0"/>
          <w:iCs w:val="0"/>
          <w:color w:val="auto"/>
          <w:highlight w:val="none"/>
        </w:rPr>
        <w:t>1.</w:t>
      </w:r>
    </w:p>
    <w:p w14:paraId="5CD61A7D">
      <w:pPr>
        <w:spacing w:line="480" w:lineRule="exact"/>
        <w:ind w:firstLine="480" w:firstLineChars="200"/>
        <w:rPr>
          <w:i w:val="0"/>
          <w:iCs w:val="0"/>
          <w:color w:val="auto"/>
          <w:highlight w:val="none"/>
        </w:rPr>
      </w:pPr>
      <w:r>
        <w:rPr>
          <w:i w:val="0"/>
          <w:iCs w:val="0"/>
          <w:color w:val="auto"/>
          <w:highlight w:val="none"/>
        </w:rPr>
        <w:t>2.</w:t>
      </w:r>
    </w:p>
    <w:p w14:paraId="6FA922A0">
      <w:pPr>
        <w:spacing w:line="480" w:lineRule="exact"/>
        <w:ind w:firstLine="480" w:firstLineChars="200"/>
        <w:rPr>
          <w:i w:val="0"/>
          <w:iCs w:val="0"/>
          <w:color w:val="auto"/>
          <w:highlight w:val="none"/>
        </w:rPr>
      </w:pPr>
    </w:p>
    <w:p w14:paraId="0DDB3118">
      <w:pPr>
        <w:spacing w:line="480" w:lineRule="exact"/>
        <w:ind w:firstLine="480" w:firstLineChars="200"/>
        <w:rPr>
          <w:i w:val="0"/>
          <w:iCs w:val="0"/>
          <w:color w:val="auto"/>
          <w:highlight w:val="none"/>
        </w:rPr>
      </w:pPr>
      <w:r>
        <w:rPr>
          <w:rFonts w:hint="eastAsia" w:ascii="宋体" w:hAnsi="宋体"/>
          <w:i w:val="0"/>
          <w:iCs w:val="0"/>
          <w:color w:val="auto"/>
          <w:highlight w:val="none"/>
        </w:rPr>
        <w:t>……</w:t>
      </w:r>
    </w:p>
    <w:p w14:paraId="4543ABFA">
      <w:pPr>
        <w:spacing w:line="480" w:lineRule="exact"/>
        <w:ind w:firstLine="480" w:firstLineChars="200"/>
        <w:rPr>
          <w:i w:val="0"/>
          <w:iCs w:val="0"/>
          <w:color w:val="auto"/>
          <w:highlight w:val="none"/>
        </w:rPr>
      </w:pPr>
    </w:p>
    <w:p w14:paraId="449712CF">
      <w:pPr>
        <w:spacing w:line="480" w:lineRule="exact"/>
        <w:ind w:firstLine="480" w:firstLineChars="200"/>
        <w:rPr>
          <w:i w:val="0"/>
          <w:iCs w:val="0"/>
          <w:color w:val="auto"/>
          <w:highlight w:val="none"/>
        </w:rPr>
      </w:pPr>
    </w:p>
    <w:p w14:paraId="661D878E">
      <w:pPr>
        <w:spacing w:line="480" w:lineRule="exact"/>
        <w:ind w:firstLine="480" w:firstLineChars="200"/>
        <w:rPr>
          <w:i w:val="0"/>
          <w:iCs w:val="0"/>
          <w:color w:val="auto"/>
          <w:highlight w:val="none"/>
        </w:rPr>
      </w:pPr>
    </w:p>
    <w:p w14:paraId="457F2AC7">
      <w:pPr>
        <w:spacing w:line="480" w:lineRule="exact"/>
        <w:ind w:firstLine="480" w:firstLineChars="200"/>
        <w:rPr>
          <w:i w:val="0"/>
          <w:iCs w:val="0"/>
          <w:color w:val="auto"/>
          <w:highlight w:val="none"/>
        </w:rPr>
      </w:pPr>
    </w:p>
    <w:p w14:paraId="2EB25E50">
      <w:pPr>
        <w:spacing w:line="480" w:lineRule="exact"/>
        <w:ind w:firstLine="480" w:firstLineChars="200"/>
        <w:rPr>
          <w:i w:val="0"/>
          <w:iCs w:val="0"/>
          <w:color w:val="auto"/>
          <w:highlight w:val="none"/>
        </w:rPr>
      </w:pPr>
    </w:p>
    <w:p w14:paraId="3A3772F0">
      <w:pPr>
        <w:spacing w:line="480" w:lineRule="exact"/>
        <w:ind w:firstLine="480" w:firstLineChars="200"/>
        <w:rPr>
          <w:i w:val="0"/>
          <w:iCs w:val="0"/>
          <w:color w:val="auto"/>
          <w:highlight w:val="none"/>
        </w:rPr>
      </w:pPr>
    </w:p>
    <w:p w14:paraId="5F544238">
      <w:pPr>
        <w:spacing w:line="480" w:lineRule="exact"/>
        <w:ind w:firstLine="4080" w:firstLineChars="1700"/>
        <w:jc w:val="both"/>
        <w:rPr>
          <w:i w:val="0"/>
          <w:iCs w:val="0"/>
          <w:color w:val="auto"/>
          <w:highlight w:val="none"/>
        </w:rPr>
      </w:pPr>
      <w:r>
        <w:rPr>
          <w:rFonts w:hint="eastAsia" w:ascii="黑体" w:hAnsi="黑体" w:eastAsia="黑体"/>
          <w:i w:val="0"/>
          <w:iCs w:val="0"/>
          <w:color w:val="auto"/>
          <w:highlight w:val="none"/>
        </w:rPr>
        <w:t>投标人:</w:t>
      </w:r>
      <w:r>
        <w:rPr>
          <w:rFonts w:hint="eastAsia" w:ascii="黑体" w:hAnsi="黑体" w:eastAsia="黑体"/>
          <w:i w:val="0"/>
          <w:iCs w:val="0"/>
          <w:color w:val="auto"/>
          <w:highlight w:val="none"/>
          <w:u w:val="single"/>
        </w:rPr>
        <w:t>（单位名称）</w:t>
      </w:r>
    </w:p>
    <w:p w14:paraId="73869E77">
      <w:pPr>
        <w:spacing w:before="120" w:beforeLines="50" w:after="120" w:afterLines="50" w:line="480" w:lineRule="exact"/>
        <w:ind w:right="210"/>
        <w:jc w:val="center"/>
        <w:rPr>
          <w:i w:val="0"/>
          <w:iCs w:val="0"/>
          <w:color w:val="auto"/>
          <w:highlight w:val="none"/>
          <w:u w:val="single"/>
        </w:rPr>
      </w:pPr>
      <w:r>
        <w:rPr>
          <w:rFonts w:hint="eastAsia" w:ascii="黑体" w:hAnsi="黑体" w:eastAsia="黑体"/>
          <w:i w:val="0"/>
          <w:iCs w:val="0"/>
          <w:color w:val="auto"/>
          <w:highlight w:val="none"/>
        </w:rPr>
        <w:t xml:space="preserve">           法定代表人或其委托代理人：</w:t>
      </w:r>
      <w:r>
        <w:rPr>
          <w:rFonts w:hint="eastAsia" w:ascii="黑体" w:hAnsi="黑体" w:eastAsia="黑体"/>
          <w:i w:val="0"/>
          <w:iCs w:val="0"/>
          <w:color w:val="auto"/>
          <w:highlight w:val="none"/>
          <w:u w:val="single"/>
        </w:rPr>
        <w:t xml:space="preserve">    </w:t>
      </w:r>
      <w:r>
        <w:rPr>
          <w:rFonts w:hint="eastAsia" w:ascii="宋体" w:hAnsi="宋体"/>
          <w:i w:val="0"/>
          <w:iCs w:val="0"/>
          <w:color w:val="auto"/>
          <w:highlight w:val="none"/>
          <w:u w:val="single"/>
        </w:rPr>
        <w:t>（签字或盖章）</w:t>
      </w:r>
    </w:p>
    <w:p w14:paraId="155EC043">
      <w:pPr>
        <w:spacing w:line="480" w:lineRule="exact"/>
        <w:ind w:firstLine="5520" w:firstLineChars="2300"/>
        <w:rPr>
          <w:i w:val="0"/>
          <w:iCs w:val="0"/>
          <w:color w:val="auto"/>
          <w:highlight w:val="none"/>
        </w:rPr>
      </w:pPr>
      <w:r>
        <w:rPr>
          <w:rFonts w:hint="eastAsia" w:ascii="宋体" w:hAnsi="宋体"/>
          <w:i w:val="0"/>
          <w:iCs w:val="0"/>
          <w:color w:val="auto"/>
          <w:highlight w:val="none"/>
        </w:rPr>
        <w:t>年 月 日</w:t>
      </w:r>
    </w:p>
    <w:p w14:paraId="24366F05">
      <w:pPr>
        <w:spacing w:line="480" w:lineRule="exact"/>
        <w:rPr>
          <w:rFonts w:ascii="黑体" w:eastAsia="黑体"/>
          <w:i w:val="0"/>
          <w:iCs w:val="0"/>
          <w:color w:val="auto"/>
          <w:highlight w:val="none"/>
        </w:rPr>
      </w:pPr>
      <w:r>
        <w:rPr>
          <w:i w:val="0"/>
          <w:iCs w:val="0"/>
          <w:color w:val="auto"/>
          <w:highlight w:val="none"/>
        </w:rPr>
        <w:br w:type="page"/>
      </w:r>
      <w:r>
        <w:rPr>
          <w:rFonts w:hint="eastAsia" w:ascii="黑体" w:hAnsi="黑体" w:eastAsia="黑体"/>
          <w:i w:val="0"/>
          <w:iCs w:val="0"/>
          <w:color w:val="auto"/>
          <w:highlight w:val="none"/>
        </w:rPr>
        <w:t>附表四：中标通知书</w:t>
      </w:r>
    </w:p>
    <w:p w14:paraId="307E187E">
      <w:pPr>
        <w:spacing w:before="240" w:beforeLines="100" w:after="240" w:afterLines="100" w:line="480" w:lineRule="exact"/>
        <w:jc w:val="center"/>
        <w:rPr>
          <w:rFonts w:ascii="黑体" w:eastAsia="黑体"/>
          <w:i w:val="0"/>
          <w:iCs w:val="0"/>
          <w:color w:val="auto"/>
          <w:sz w:val="28"/>
          <w:szCs w:val="28"/>
          <w:highlight w:val="none"/>
        </w:rPr>
      </w:pPr>
      <w:r>
        <w:rPr>
          <w:rFonts w:hint="eastAsia" w:ascii="黑体" w:hAnsi="黑体" w:eastAsia="黑体"/>
          <w:i w:val="0"/>
          <w:iCs w:val="0"/>
          <w:color w:val="auto"/>
          <w:sz w:val="28"/>
          <w:szCs w:val="28"/>
          <w:highlight w:val="none"/>
        </w:rPr>
        <w:t>中标通知书</w:t>
      </w:r>
    </w:p>
    <w:p w14:paraId="3D9169CB">
      <w:pPr>
        <w:spacing w:line="480" w:lineRule="exact"/>
        <w:rPr>
          <w:i w:val="0"/>
          <w:iCs w:val="0"/>
          <w:color w:val="auto"/>
          <w:highlight w:val="none"/>
        </w:rPr>
      </w:pPr>
      <w:r>
        <w:rPr>
          <w:rFonts w:hint="eastAsia" w:ascii="宋体" w:hAnsi="宋体"/>
          <w:i w:val="0"/>
          <w:iCs w:val="0"/>
          <w:color w:val="auto"/>
          <w:highlight w:val="none"/>
          <w:u w:val="single"/>
        </w:rPr>
        <w:t>（中标人名称）</w:t>
      </w:r>
      <w:r>
        <w:rPr>
          <w:rFonts w:hint="eastAsia" w:ascii="宋体" w:hAnsi="宋体"/>
          <w:i w:val="0"/>
          <w:iCs w:val="0"/>
          <w:color w:val="auto"/>
          <w:highlight w:val="none"/>
        </w:rPr>
        <w:t>：</w:t>
      </w:r>
    </w:p>
    <w:p w14:paraId="0022B668">
      <w:pPr>
        <w:spacing w:line="480" w:lineRule="exact"/>
        <w:rPr>
          <w:i w:val="0"/>
          <w:iCs w:val="0"/>
          <w:color w:val="auto"/>
          <w:highlight w:val="none"/>
        </w:rPr>
      </w:pPr>
    </w:p>
    <w:p w14:paraId="29C8EC00">
      <w:pPr>
        <w:spacing w:line="480" w:lineRule="exact"/>
        <w:ind w:firstLine="480" w:firstLineChars="200"/>
        <w:rPr>
          <w:i w:val="0"/>
          <w:iCs w:val="0"/>
          <w:color w:val="auto"/>
          <w:highlight w:val="none"/>
        </w:rPr>
      </w:pPr>
      <w:r>
        <w:rPr>
          <w:rFonts w:hint="eastAsia" w:ascii="宋体" w:hAnsi="宋体"/>
          <w:i w:val="0"/>
          <w:iCs w:val="0"/>
          <w:color w:val="auto"/>
          <w:highlight w:val="none"/>
        </w:rPr>
        <w:t>你方于</w:t>
      </w:r>
      <w:r>
        <w:rPr>
          <w:rFonts w:hint="eastAsia" w:ascii="宋体" w:hAnsi="宋体"/>
          <w:i w:val="0"/>
          <w:iCs w:val="0"/>
          <w:color w:val="auto"/>
          <w:highlight w:val="none"/>
          <w:u w:val="single"/>
        </w:rPr>
        <w:t>（投标日期）</w:t>
      </w:r>
      <w:r>
        <w:rPr>
          <w:rFonts w:hint="eastAsia" w:ascii="宋体" w:hAnsi="宋体"/>
          <w:i w:val="0"/>
          <w:iCs w:val="0"/>
          <w:color w:val="auto"/>
          <w:highlight w:val="none"/>
        </w:rPr>
        <w:t>所递交的</w:t>
      </w:r>
      <w:r>
        <w:rPr>
          <w:rFonts w:hint="eastAsia" w:ascii="宋体" w:hAnsi="宋体"/>
          <w:i w:val="0"/>
          <w:iCs w:val="0"/>
          <w:color w:val="auto"/>
          <w:highlight w:val="none"/>
          <w:u w:val="single"/>
        </w:rPr>
        <w:t>（项目名称）</w:t>
      </w:r>
      <w:r>
        <w:rPr>
          <w:rFonts w:hint="eastAsia" w:ascii="宋体" w:hAnsi="宋体"/>
          <w:i w:val="0"/>
          <w:iCs w:val="0"/>
          <w:color w:val="auto"/>
          <w:highlight w:val="none"/>
        </w:rPr>
        <w:t>标段施工投标文件已被我方接受，被确定为中标人。</w:t>
      </w:r>
    </w:p>
    <w:p w14:paraId="6C515CBF">
      <w:pPr>
        <w:spacing w:line="360" w:lineRule="auto"/>
        <w:ind w:firstLine="480" w:firstLineChars="200"/>
        <w:rPr>
          <w:i w:val="0"/>
          <w:iCs w:val="0"/>
          <w:color w:val="auto"/>
          <w:highlight w:val="none"/>
        </w:rPr>
      </w:pPr>
    </w:p>
    <w:p w14:paraId="0F6CC682">
      <w:pPr>
        <w:spacing w:line="360" w:lineRule="auto"/>
        <w:ind w:firstLine="480" w:firstLineChars="200"/>
        <w:rPr>
          <w:i w:val="0"/>
          <w:iCs w:val="0"/>
          <w:color w:val="auto"/>
          <w:highlight w:val="none"/>
        </w:rPr>
      </w:pPr>
      <w:r>
        <w:rPr>
          <w:rFonts w:hint="eastAsia" w:ascii="宋体" w:hAnsi="宋体"/>
          <w:i w:val="0"/>
          <w:iCs w:val="0"/>
          <w:color w:val="auto"/>
          <w:highlight w:val="none"/>
        </w:rPr>
        <w:t>中 标 价：</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元。</w:t>
      </w:r>
    </w:p>
    <w:p w14:paraId="642763DF">
      <w:pPr>
        <w:spacing w:line="360" w:lineRule="auto"/>
        <w:ind w:firstLine="480" w:firstLineChars="200"/>
        <w:rPr>
          <w:i w:val="0"/>
          <w:iCs w:val="0"/>
          <w:color w:val="auto"/>
          <w:highlight w:val="none"/>
        </w:rPr>
      </w:pPr>
      <w:r>
        <w:rPr>
          <w:rFonts w:hint="eastAsia" w:ascii="宋体" w:hAnsi="宋体"/>
          <w:i w:val="0"/>
          <w:iCs w:val="0"/>
          <w:color w:val="auto"/>
          <w:highlight w:val="none"/>
        </w:rPr>
        <w:t>工    期：</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日历天。</w:t>
      </w:r>
    </w:p>
    <w:p w14:paraId="47F188B4">
      <w:pPr>
        <w:spacing w:line="360" w:lineRule="auto"/>
        <w:ind w:firstLine="480" w:firstLineChars="200"/>
        <w:rPr>
          <w:i w:val="0"/>
          <w:iCs w:val="0"/>
          <w:color w:val="auto"/>
          <w:highlight w:val="none"/>
        </w:rPr>
      </w:pPr>
      <w:r>
        <w:rPr>
          <w:rFonts w:hint="eastAsia" w:ascii="宋体" w:hAnsi="宋体"/>
          <w:i w:val="0"/>
          <w:iCs w:val="0"/>
          <w:color w:val="auto"/>
          <w:highlight w:val="none"/>
        </w:rPr>
        <w:t>工程质量：符合</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标准。</w:t>
      </w:r>
    </w:p>
    <w:p w14:paraId="4D2CF909">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项目负责人：</w:t>
      </w:r>
      <w:r>
        <w:rPr>
          <w:rFonts w:hint="eastAsia" w:ascii="宋体" w:hAnsi="宋体"/>
          <w:i w:val="0"/>
          <w:iCs w:val="0"/>
          <w:color w:val="auto"/>
          <w:highlight w:val="none"/>
          <w:u w:val="single"/>
        </w:rPr>
        <w:t xml:space="preserve">                         （姓名）     </w:t>
      </w:r>
      <w:r>
        <w:rPr>
          <w:rFonts w:hint="eastAsia" w:ascii="宋体" w:hAnsi="宋体"/>
          <w:i w:val="0"/>
          <w:iCs w:val="0"/>
          <w:color w:val="auto"/>
          <w:highlight w:val="none"/>
        </w:rPr>
        <w:t>。</w:t>
      </w:r>
    </w:p>
    <w:p w14:paraId="4261CC09">
      <w:pPr>
        <w:spacing w:line="360" w:lineRule="auto"/>
        <w:ind w:firstLine="480" w:firstLineChars="200"/>
        <w:rPr>
          <w:rFonts w:ascii="Calibri" w:hAnsi="Calibri"/>
          <w:i w:val="0"/>
          <w:iCs w:val="0"/>
          <w:color w:val="auto"/>
          <w:highlight w:val="none"/>
          <w:u w:val="single"/>
        </w:rPr>
      </w:pPr>
      <w:r>
        <w:rPr>
          <w:rFonts w:hint="eastAsia"/>
          <w:i w:val="0"/>
          <w:iCs w:val="0"/>
          <w:color w:val="auto"/>
          <w:highlight w:val="none"/>
        </w:rPr>
        <w:t>中标内容范围：</w:t>
      </w:r>
      <w:r>
        <w:rPr>
          <w:rFonts w:hint="eastAsia"/>
          <w:i w:val="0"/>
          <w:iCs w:val="0"/>
          <w:color w:val="auto"/>
          <w:highlight w:val="none"/>
          <w:u w:val="single"/>
        </w:rPr>
        <w:t>（应与招标公告、招标文件内容一致） 。</w:t>
      </w:r>
    </w:p>
    <w:p w14:paraId="61A3E838">
      <w:pPr>
        <w:spacing w:line="480" w:lineRule="exact"/>
        <w:ind w:firstLine="480" w:firstLineChars="200"/>
        <w:rPr>
          <w:i w:val="0"/>
          <w:iCs w:val="0"/>
          <w:color w:val="auto"/>
          <w:highlight w:val="none"/>
        </w:rPr>
      </w:pPr>
    </w:p>
    <w:p w14:paraId="36EBCE89">
      <w:pPr>
        <w:spacing w:line="480" w:lineRule="exact"/>
        <w:ind w:firstLine="480" w:firstLineChars="200"/>
        <w:rPr>
          <w:i w:val="0"/>
          <w:iCs w:val="0"/>
          <w:color w:val="auto"/>
          <w:highlight w:val="none"/>
        </w:rPr>
      </w:pPr>
      <w:r>
        <w:rPr>
          <w:rFonts w:hint="eastAsia" w:ascii="宋体" w:hAnsi="宋体"/>
          <w:i w:val="0"/>
          <w:iCs w:val="0"/>
          <w:color w:val="auto"/>
          <w:highlight w:val="none"/>
        </w:rPr>
        <w:t>请你方在接到本通知书后的日内到</w:t>
      </w:r>
      <w:r>
        <w:rPr>
          <w:rFonts w:hint="eastAsia" w:ascii="宋体" w:hAnsi="宋体"/>
          <w:i w:val="0"/>
          <w:iCs w:val="0"/>
          <w:color w:val="auto"/>
          <w:highlight w:val="none"/>
          <w:u w:val="single"/>
        </w:rPr>
        <w:t xml:space="preserve">    （指定地点）</w:t>
      </w:r>
      <w:r>
        <w:rPr>
          <w:rFonts w:hint="eastAsia" w:ascii="宋体" w:hAnsi="宋体"/>
          <w:i w:val="0"/>
          <w:iCs w:val="0"/>
          <w:color w:val="auto"/>
          <w:highlight w:val="none"/>
        </w:rPr>
        <w:t>与我方签订施工承包合同，在此之前按招标文件第二章“投标人须知”第</w:t>
      </w:r>
      <w:r>
        <w:rPr>
          <w:rFonts w:hint="eastAsia"/>
          <w:i w:val="0"/>
          <w:iCs w:val="0"/>
          <w:color w:val="auto"/>
          <w:highlight w:val="none"/>
        </w:rPr>
        <w:t>7.4</w:t>
      </w:r>
      <w:r>
        <w:rPr>
          <w:rFonts w:hint="eastAsia" w:ascii="宋体" w:hAnsi="宋体"/>
          <w:i w:val="0"/>
          <w:iCs w:val="0"/>
          <w:color w:val="auto"/>
          <w:highlight w:val="none"/>
        </w:rPr>
        <w:t>款规定向我方提交履约担保。</w:t>
      </w:r>
    </w:p>
    <w:p w14:paraId="742D69AA">
      <w:pPr>
        <w:spacing w:line="480" w:lineRule="exact"/>
        <w:ind w:firstLine="480" w:firstLineChars="200"/>
        <w:rPr>
          <w:i w:val="0"/>
          <w:iCs w:val="0"/>
          <w:color w:val="auto"/>
          <w:highlight w:val="none"/>
        </w:rPr>
      </w:pPr>
      <w:r>
        <w:rPr>
          <w:rFonts w:hint="eastAsia" w:ascii="宋体" w:hAnsi="宋体"/>
          <w:i w:val="0"/>
          <w:iCs w:val="0"/>
          <w:color w:val="auto"/>
          <w:highlight w:val="none"/>
        </w:rPr>
        <w:t>特此通知。</w:t>
      </w:r>
    </w:p>
    <w:p w14:paraId="2CA1366D">
      <w:pPr>
        <w:spacing w:line="480" w:lineRule="exact"/>
        <w:ind w:firstLine="480" w:firstLineChars="200"/>
        <w:rPr>
          <w:i w:val="0"/>
          <w:iCs w:val="0"/>
          <w:color w:val="auto"/>
          <w:highlight w:val="none"/>
        </w:rPr>
      </w:pPr>
    </w:p>
    <w:p w14:paraId="1D00EBC2">
      <w:pPr>
        <w:spacing w:line="480" w:lineRule="exact"/>
        <w:ind w:firstLine="3614" w:firstLineChars="1500"/>
        <w:rPr>
          <w:rFonts w:hint="eastAsia" w:ascii="宋体" w:hAnsi="宋体"/>
          <w:b/>
          <w:bCs/>
          <w:i w:val="0"/>
          <w:iCs w:val="0"/>
          <w:color w:val="auto"/>
          <w:highlight w:val="none"/>
        </w:rPr>
      </w:pPr>
      <w:r>
        <w:rPr>
          <w:rFonts w:hint="eastAsia" w:ascii="宋体" w:hAnsi="宋体"/>
          <w:b/>
          <w:bCs/>
          <w:i w:val="0"/>
          <w:iCs w:val="0"/>
          <w:color w:val="auto"/>
          <w:highlight w:val="none"/>
        </w:rPr>
        <w:t>招  标  人：</w:t>
      </w:r>
      <w:r>
        <w:rPr>
          <w:rFonts w:hint="eastAsia" w:ascii="宋体" w:hAnsi="宋体"/>
          <w:b/>
          <w:bCs/>
          <w:i w:val="0"/>
          <w:iCs w:val="0"/>
          <w:color w:val="auto"/>
          <w:highlight w:val="none"/>
          <w:u w:val="single"/>
        </w:rPr>
        <w:t xml:space="preserve">       </w:t>
      </w:r>
      <w:r>
        <w:rPr>
          <w:rFonts w:hint="eastAsia" w:ascii="宋体" w:hAnsi="宋体"/>
          <w:i w:val="0"/>
          <w:iCs w:val="0"/>
          <w:color w:val="auto"/>
          <w:highlight w:val="none"/>
          <w:u w:val="single"/>
        </w:rPr>
        <w:t>（单位盖章）　　</w:t>
      </w:r>
    </w:p>
    <w:p w14:paraId="064A08F3">
      <w:pPr>
        <w:spacing w:line="480" w:lineRule="exact"/>
        <w:ind w:firstLine="3614" w:firstLineChars="1500"/>
        <w:rPr>
          <w:rFonts w:hint="eastAsia" w:ascii="宋体" w:hAnsi="宋体"/>
          <w:i w:val="0"/>
          <w:iCs w:val="0"/>
          <w:color w:val="auto"/>
          <w:highlight w:val="none"/>
        </w:rPr>
      </w:pPr>
      <w:r>
        <w:rPr>
          <w:rFonts w:hint="eastAsia" w:ascii="宋体" w:hAnsi="宋体"/>
          <w:b/>
          <w:bCs/>
          <w:i w:val="0"/>
          <w:iCs w:val="0"/>
          <w:color w:val="auto"/>
          <w:highlight w:val="none"/>
        </w:rPr>
        <w:t>法定代表人：</w:t>
      </w:r>
      <w:r>
        <w:rPr>
          <w:rFonts w:hint="eastAsia" w:ascii="宋体" w:hAnsi="宋体"/>
          <w:b/>
          <w:bCs/>
          <w:i w:val="0"/>
          <w:iCs w:val="0"/>
          <w:color w:val="auto"/>
          <w:highlight w:val="none"/>
          <w:u w:val="single"/>
        </w:rPr>
        <w:t xml:space="preserve">     </w:t>
      </w:r>
      <w:r>
        <w:rPr>
          <w:rFonts w:hint="eastAsia" w:ascii="宋体" w:hAnsi="宋体"/>
          <w:i w:val="0"/>
          <w:iCs w:val="0"/>
          <w:color w:val="auto"/>
          <w:highlight w:val="none"/>
          <w:u w:val="single"/>
        </w:rPr>
        <w:t>（签字或盖章）　　</w:t>
      </w:r>
    </w:p>
    <w:p w14:paraId="44BA52DB">
      <w:pPr>
        <w:spacing w:line="480" w:lineRule="exact"/>
        <w:ind w:firstLine="3614" w:firstLineChars="1500"/>
        <w:rPr>
          <w:rFonts w:ascii="宋体" w:hAnsi="宋体"/>
          <w:b/>
          <w:bCs/>
          <w:i w:val="0"/>
          <w:iCs w:val="0"/>
          <w:color w:val="auto"/>
          <w:highlight w:val="none"/>
          <w:u w:val="single"/>
        </w:rPr>
      </w:pPr>
      <w:r>
        <w:rPr>
          <w:rFonts w:hint="eastAsia" w:ascii="宋体" w:hAnsi="宋体"/>
          <w:b/>
          <w:bCs/>
          <w:i w:val="0"/>
          <w:iCs w:val="0"/>
          <w:color w:val="auto"/>
          <w:highlight w:val="none"/>
        </w:rPr>
        <w:t>联  系  人：</w:t>
      </w:r>
      <w:r>
        <w:rPr>
          <w:rFonts w:hint="eastAsia" w:ascii="宋体" w:hAnsi="宋体"/>
          <w:b/>
          <w:bCs/>
          <w:i w:val="0"/>
          <w:iCs w:val="0"/>
          <w:color w:val="auto"/>
          <w:highlight w:val="none"/>
          <w:u w:val="single"/>
        </w:rPr>
        <w:t xml:space="preserve">                   　　</w:t>
      </w:r>
    </w:p>
    <w:p w14:paraId="78C49EDF">
      <w:pPr>
        <w:spacing w:line="480" w:lineRule="exact"/>
        <w:ind w:firstLine="3614" w:firstLineChars="1500"/>
        <w:rPr>
          <w:rFonts w:ascii="宋体" w:hAnsi="宋体"/>
          <w:b/>
          <w:bCs/>
          <w:i w:val="0"/>
          <w:iCs w:val="0"/>
          <w:color w:val="auto"/>
          <w:highlight w:val="none"/>
          <w:u w:val="single"/>
        </w:rPr>
      </w:pPr>
      <w:r>
        <w:rPr>
          <w:rFonts w:hint="eastAsia" w:ascii="宋体" w:hAnsi="宋体"/>
          <w:b/>
          <w:bCs/>
          <w:i w:val="0"/>
          <w:iCs w:val="0"/>
          <w:color w:val="auto"/>
          <w:highlight w:val="none"/>
        </w:rPr>
        <w:t>联 系 电 话：</w:t>
      </w:r>
      <w:r>
        <w:rPr>
          <w:rFonts w:hint="eastAsia" w:ascii="宋体" w:hAnsi="宋体"/>
          <w:b/>
          <w:bCs/>
          <w:i w:val="0"/>
          <w:iCs w:val="0"/>
          <w:color w:val="auto"/>
          <w:highlight w:val="none"/>
          <w:u w:val="single"/>
        </w:rPr>
        <w:t xml:space="preserve">                  　　</w:t>
      </w:r>
    </w:p>
    <w:p w14:paraId="2DFD55D4">
      <w:pPr>
        <w:spacing w:line="480" w:lineRule="exact"/>
        <w:ind w:firstLine="5520" w:firstLineChars="2300"/>
        <w:rPr>
          <w:rFonts w:hint="eastAsia" w:ascii="宋体" w:hAnsi="宋体"/>
          <w:i w:val="0"/>
          <w:iCs w:val="0"/>
          <w:color w:val="auto"/>
          <w:highlight w:val="none"/>
        </w:rPr>
      </w:pPr>
    </w:p>
    <w:p w14:paraId="3B10716A">
      <w:pPr>
        <w:spacing w:line="480" w:lineRule="exact"/>
        <w:ind w:firstLine="5520" w:firstLineChars="2300"/>
        <w:rPr>
          <w:i w:val="0"/>
          <w:iCs w:val="0"/>
          <w:color w:val="auto"/>
          <w:highlight w:val="none"/>
        </w:rPr>
      </w:pPr>
      <w:r>
        <w:rPr>
          <w:rFonts w:hint="eastAsia" w:ascii="宋体" w:hAnsi="宋体"/>
          <w:i w:val="0"/>
          <w:iCs w:val="0"/>
          <w:color w:val="auto"/>
          <w:highlight w:val="none"/>
        </w:rPr>
        <w:t>年  月  日</w:t>
      </w:r>
    </w:p>
    <w:p w14:paraId="60D3797B">
      <w:pPr>
        <w:spacing w:line="480" w:lineRule="exact"/>
        <w:rPr>
          <w:i w:val="0"/>
          <w:iCs w:val="0"/>
          <w:color w:val="auto"/>
          <w:highlight w:val="none"/>
        </w:rPr>
      </w:pPr>
    </w:p>
    <w:p w14:paraId="6AD6646D">
      <w:pPr>
        <w:spacing w:line="480" w:lineRule="exact"/>
        <w:rPr>
          <w:i w:val="0"/>
          <w:iCs w:val="0"/>
          <w:color w:val="auto"/>
          <w:highlight w:val="none"/>
        </w:rPr>
      </w:pPr>
    </w:p>
    <w:p w14:paraId="2E210851">
      <w:pPr>
        <w:spacing w:line="480" w:lineRule="exact"/>
        <w:rPr>
          <w:i w:val="0"/>
          <w:iCs w:val="0"/>
          <w:color w:val="auto"/>
          <w:highlight w:val="none"/>
        </w:rPr>
      </w:pPr>
    </w:p>
    <w:p w14:paraId="595F1F12">
      <w:pPr>
        <w:spacing w:line="480" w:lineRule="exact"/>
        <w:rPr>
          <w:i w:val="0"/>
          <w:iCs w:val="0"/>
          <w:color w:val="auto"/>
          <w:highlight w:val="none"/>
        </w:rPr>
      </w:pPr>
    </w:p>
    <w:p w14:paraId="1A4BD9C8">
      <w:pPr>
        <w:spacing w:line="480" w:lineRule="exact"/>
        <w:rPr>
          <w:i w:val="0"/>
          <w:iCs w:val="0"/>
          <w:color w:val="auto"/>
          <w:highlight w:val="none"/>
        </w:rPr>
      </w:pPr>
    </w:p>
    <w:p w14:paraId="7DBDE766">
      <w:pPr>
        <w:spacing w:line="480" w:lineRule="exact"/>
        <w:rPr>
          <w:i w:val="0"/>
          <w:iCs w:val="0"/>
          <w:color w:val="auto"/>
          <w:highlight w:val="none"/>
        </w:rPr>
      </w:pPr>
    </w:p>
    <w:p w14:paraId="00650917">
      <w:pPr>
        <w:spacing w:line="480" w:lineRule="exact"/>
        <w:rPr>
          <w:rFonts w:ascii="黑体" w:eastAsia="黑体"/>
          <w:i w:val="0"/>
          <w:iCs w:val="0"/>
          <w:color w:val="auto"/>
          <w:highlight w:val="none"/>
        </w:rPr>
      </w:pPr>
      <w:r>
        <w:rPr>
          <w:rFonts w:hint="eastAsia" w:ascii="黑体" w:hAnsi="黑体" w:eastAsia="黑体"/>
          <w:i w:val="0"/>
          <w:iCs w:val="0"/>
          <w:color w:val="auto"/>
          <w:highlight w:val="none"/>
        </w:rPr>
        <w:t>附表五：确认通知</w:t>
      </w:r>
    </w:p>
    <w:p w14:paraId="7582FF2C">
      <w:pPr>
        <w:spacing w:before="240" w:beforeLines="100" w:after="240" w:afterLines="100" w:line="480" w:lineRule="exact"/>
        <w:jc w:val="center"/>
        <w:rPr>
          <w:rFonts w:ascii="黑体" w:eastAsia="黑体"/>
          <w:i w:val="0"/>
          <w:iCs w:val="0"/>
          <w:color w:val="auto"/>
          <w:sz w:val="28"/>
          <w:szCs w:val="28"/>
          <w:highlight w:val="none"/>
        </w:rPr>
      </w:pPr>
      <w:r>
        <w:rPr>
          <w:rFonts w:hint="eastAsia" w:ascii="黑体" w:hAnsi="黑体" w:eastAsia="黑体"/>
          <w:i w:val="0"/>
          <w:iCs w:val="0"/>
          <w:color w:val="auto"/>
          <w:sz w:val="28"/>
          <w:szCs w:val="28"/>
          <w:highlight w:val="none"/>
        </w:rPr>
        <w:t>确认通知</w:t>
      </w:r>
    </w:p>
    <w:p w14:paraId="1C8A56C0">
      <w:pPr>
        <w:spacing w:line="480" w:lineRule="exact"/>
        <w:rPr>
          <w:i w:val="0"/>
          <w:iCs w:val="0"/>
          <w:color w:val="auto"/>
          <w:highlight w:val="none"/>
        </w:rPr>
      </w:pPr>
      <w:r>
        <w:rPr>
          <w:rFonts w:hint="eastAsia" w:ascii="宋体" w:hAnsi="宋体"/>
          <w:i w:val="0"/>
          <w:iCs w:val="0"/>
          <w:color w:val="auto"/>
          <w:highlight w:val="none"/>
          <w:u w:val="single"/>
        </w:rPr>
        <w:t xml:space="preserve">       （招标人名称）     </w:t>
      </w:r>
      <w:r>
        <w:rPr>
          <w:rFonts w:hint="eastAsia" w:ascii="宋体" w:hAnsi="宋体"/>
          <w:i w:val="0"/>
          <w:iCs w:val="0"/>
          <w:color w:val="auto"/>
          <w:highlight w:val="none"/>
        </w:rPr>
        <w:t>：</w:t>
      </w:r>
    </w:p>
    <w:p w14:paraId="6EB2CB2D">
      <w:pPr>
        <w:spacing w:line="480" w:lineRule="exact"/>
        <w:rPr>
          <w:i w:val="0"/>
          <w:iCs w:val="0"/>
          <w:color w:val="auto"/>
          <w:highlight w:val="none"/>
        </w:rPr>
      </w:pPr>
    </w:p>
    <w:p w14:paraId="72C68874">
      <w:pPr>
        <w:spacing w:line="480" w:lineRule="exact"/>
        <w:ind w:firstLine="360" w:firstLineChars="150"/>
        <w:rPr>
          <w:i w:val="0"/>
          <w:iCs w:val="0"/>
          <w:color w:val="auto"/>
          <w:highlight w:val="none"/>
        </w:rPr>
      </w:pPr>
      <w:r>
        <w:rPr>
          <w:rFonts w:hint="eastAsia" w:ascii="宋体" w:hAnsi="宋体"/>
          <w:i w:val="0"/>
          <w:iCs w:val="0"/>
          <w:color w:val="auto"/>
          <w:highlight w:val="none"/>
        </w:rPr>
        <w:t>你方    年 月 日发出的</w:t>
      </w:r>
      <w:r>
        <w:rPr>
          <w:rFonts w:hint="eastAsia" w:ascii="宋体" w:hAnsi="宋体"/>
          <w:i w:val="0"/>
          <w:iCs w:val="0"/>
          <w:color w:val="auto"/>
          <w:highlight w:val="none"/>
          <w:u w:val="single"/>
        </w:rPr>
        <w:t>（项目名称）　　</w:t>
      </w:r>
      <w:r>
        <w:rPr>
          <w:rFonts w:hint="eastAsia" w:ascii="宋体" w:hAnsi="宋体"/>
          <w:i w:val="0"/>
          <w:iCs w:val="0"/>
          <w:color w:val="auto"/>
          <w:highlight w:val="none"/>
        </w:rPr>
        <w:t>标段施工招标关于的通知，我方已于  　年 月  日收到。</w:t>
      </w:r>
    </w:p>
    <w:p w14:paraId="630EE143">
      <w:pPr>
        <w:spacing w:line="480" w:lineRule="exact"/>
        <w:ind w:firstLine="480" w:firstLineChars="200"/>
        <w:rPr>
          <w:i w:val="0"/>
          <w:iCs w:val="0"/>
          <w:color w:val="auto"/>
          <w:highlight w:val="none"/>
        </w:rPr>
      </w:pPr>
    </w:p>
    <w:p w14:paraId="1974679C">
      <w:pPr>
        <w:spacing w:line="480" w:lineRule="exact"/>
        <w:ind w:firstLine="480" w:firstLineChars="200"/>
        <w:rPr>
          <w:i w:val="0"/>
          <w:iCs w:val="0"/>
          <w:color w:val="auto"/>
          <w:highlight w:val="none"/>
        </w:rPr>
      </w:pPr>
      <w:r>
        <w:rPr>
          <w:rFonts w:hint="eastAsia" w:ascii="宋体" w:hAnsi="宋体"/>
          <w:i w:val="0"/>
          <w:iCs w:val="0"/>
          <w:color w:val="auto"/>
          <w:highlight w:val="none"/>
        </w:rPr>
        <w:t>特此确认。</w:t>
      </w:r>
    </w:p>
    <w:p w14:paraId="5E1EDEBB">
      <w:pPr>
        <w:spacing w:line="480" w:lineRule="exact"/>
        <w:ind w:firstLine="480" w:firstLineChars="200"/>
        <w:rPr>
          <w:i w:val="0"/>
          <w:iCs w:val="0"/>
          <w:color w:val="auto"/>
          <w:highlight w:val="none"/>
        </w:rPr>
      </w:pPr>
    </w:p>
    <w:p w14:paraId="77B71AE6">
      <w:pPr>
        <w:spacing w:line="480" w:lineRule="exact"/>
        <w:ind w:firstLine="480" w:firstLineChars="200"/>
        <w:rPr>
          <w:i w:val="0"/>
          <w:iCs w:val="0"/>
          <w:color w:val="auto"/>
          <w:highlight w:val="none"/>
        </w:rPr>
      </w:pPr>
    </w:p>
    <w:p w14:paraId="5D1B3051">
      <w:pPr>
        <w:spacing w:line="480" w:lineRule="exact"/>
        <w:ind w:firstLine="480" w:firstLineChars="200"/>
        <w:rPr>
          <w:i w:val="0"/>
          <w:iCs w:val="0"/>
          <w:color w:val="auto"/>
          <w:highlight w:val="none"/>
        </w:rPr>
      </w:pPr>
    </w:p>
    <w:p w14:paraId="4348D055">
      <w:pPr>
        <w:spacing w:line="480" w:lineRule="exact"/>
        <w:ind w:firstLine="480" w:firstLineChars="200"/>
        <w:rPr>
          <w:i w:val="0"/>
          <w:iCs w:val="0"/>
          <w:color w:val="auto"/>
          <w:highlight w:val="none"/>
        </w:rPr>
      </w:pPr>
    </w:p>
    <w:p w14:paraId="77B290FB">
      <w:pPr>
        <w:spacing w:line="480" w:lineRule="exact"/>
        <w:ind w:firstLine="480" w:firstLineChars="200"/>
        <w:jc w:val="center"/>
        <w:rPr>
          <w:i w:val="0"/>
          <w:iCs w:val="0"/>
          <w:color w:val="auto"/>
          <w:highlight w:val="none"/>
        </w:rPr>
      </w:pPr>
      <w:r>
        <w:rPr>
          <w:rFonts w:hint="eastAsia" w:ascii="黑体" w:hAnsi="黑体" w:eastAsia="黑体"/>
          <w:i w:val="0"/>
          <w:iCs w:val="0"/>
          <w:color w:val="auto"/>
          <w:highlight w:val="none"/>
        </w:rPr>
        <w:t xml:space="preserve">             投标人：</w:t>
      </w:r>
      <w:r>
        <w:rPr>
          <w:rFonts w:hint="eastAsia" w:ascii="宋体" w:hAnsi="宋体"/>
          <w:i w:val="0"/>
          <w:iCs w:val="0"/>
          <w:color w:val="auto"/>
          <w:highlight w:val="none"/>
          <w:u w:val="single"/>
        </w:rPr>
        <w:t>（单位盖章）</w:t>
      </w:r>
    </w:p>
    <w:p w14:paraId="04E4C197">
      <w:pPr>
        <w:spacing w:line="480" w:lineRule="exact"/>
        <w:ind w:firstLine="4560" w:firstLineChars="1900"/>
        <w:rPr>
          <w:i w:val="0"/>
          <w:iCs w:val="0"/>
          <w:color w:val="auto"/>
          <w:highlight w:val="none"/>
        </w:rPr>
      </w:pPr>
      <w:r>
        <w:rPr>
          <w:rFonts w:hint="eastAsia" w:ascii="宋体" w:hAnsi="宋体"/>
          <w:i w:val="0"/>
          <w:iCs w:val="0"/>
          <w:color w:val="auto"/>
          <w:highlight w:val="none"/>
        </w:rPr>
        <w:t>年  月  日</w:t>
      </w:r>
    </w:p>
    <w:p w14:paraId="0E941A68">
      <w:pPr>
        <w:spacing w:line="480" w:lineRule="exact"/>
        <w:jc w:val="right"/>
        <w:rPr>
          <w:i w:val="0"/>
          <w:iCs w:val="0"/>
          <w:color w:val="auto"/>
          <w:highlight w:val="none"/>
        </w:rPr>
      </w:pPr>
    </w:p>
    <w:p w14:paraId="237C342E">
      <w:pPr>
        <w:pStyle w:val="2"/>
        <w:rPr>
          <w:rFonts w:ascii="黑体" w:hAnsi="黑体"/>
          <w:b/>
          <w:i w:val="0"/>
          <w:iCs w:val="0"/>
          <w:color w:val="auto"/>
          <w:highlight w:val="none"/>
        </w:rPr>
      </w:pPr>
      <w:r>
        <w:rPr>
          <w:b/>
          <w:i w:val="0"/>
          <w:iCs w:val="0"/>
          <w:color w:val="auto"/>
          <w:highlight w:val="none"/>
        </w:rPr>
        <w:br w:type="page"/>
      </w:r>
      <w:bookmarkStart w:id="172" w:name="_Toc19767"/>
      <w:bookmarkEnd w:id="172"/>
      <w:bookmarkStart w:id="173" w:name="_Toc22828078"/>
      <w:bookmarkEnd w:id="173"/>
      <w:bookmarkStart w:id="174" w:name="_Toc67589034"/>
      <w:bookmarkEnd w:id="174"/>
      <w:bookmarkStart w:id="175" w:name="_Toc45697242"/>
      <w:bookmarkStart w:id="176" w:name="_Toc22833"/>
      <w:r>
        <w:rPr>
          <w:rFonts w:hint="eastAsia" w:ascii="黑体" w:hAnsi="黑体"/>
          <w:b/>
          <w:i w:val="0"/>
          <w:iCs w:val="0"/>
          <w:color w:val="auto"/>
          <w:highlight w:val="none"/>
        </w:rPr>
        <w:t>第三章 评标定标办法</w:t>
      </w:r>
      <w:bookmarkEnd w:id="175"/>
      <w:bookmarkEnd w:id="176"/>
    </w:p>
    <w:p w14:paraId="0703C4D5">
      <w:pPr>
        <w:spacing w:before="100" w:beforeAutospacing="1" w:after="100" w:afterAutospacing="1"/>
        <w:jc w:val="center"/>
        <w:rPr>
          <w:rFonts w:ascii="Wingdings 2" w:hAnsi="Wingdings 2" w:eastAsia="宋体" w:cs="Times New Roman"/>
          <w:b/>
          <w:bCs/>
          <w:i w:val="0"/>
          <w:iCs w:val="0"/>
          <w:color w:val="auto"/>
          <w:sz w:val="28"/>
          <w:szCs w:val="28"/>
          <w:highlight w:val="none"/>
        </w:rPr>
      </w:pPr>
      <w:bookmarkStart w:id="177" w:name="bookmark94"/>
      <w:bookmarkEnd w:id="177"/>
      <w:r>
        <w:rPr>
          <w:rFonts w:ascii="Wingdings 2" w:hAnsi="Wingdings 2" w:eastAsia="宋体" w:cs="Times New Roman"/>
          <w:b/>
          <w:bCs/>
          <w:i w:val="0"/>
          <w:iCs w:val="0"/>
          <w:color w:val="auto"/>
          <w:sz w:val="28"/>
          <w:szCs w:val="28"/>
          <w:highlight w:val="none"/>
        </w:rPr>
        <w:t>第一节评标办法</w:t>
      </w:r>
    </w:p>
    <w:p w14:paraId="35A7E51A">
      <w:pPr>
        <w:widowControl/>
        <w:autoSpaceDN/>
        <w:rPr>
          <w:rFonts w:ascii="宋体" w:hAnsi="宋体" w:eastAsia="宋体" w:cs="Times New Roman"/>
          <w:b/>
          <w:i w:val="0"/>
          <w:iCs w:val="0"/>
          <w:color w:val="auto"/>
          <w:highlight w:val="none"/>
        </w:rPr>
      </w:pPr>
      <w:r>
        <w:rPr>
          <w:rFonts w:ascii="Wingdings 2" w:hAnsi="Wingdings 2" w:eastAsia="宋体" w:cs="Times New Roman"/>
          <w:i w:val="0"/>
          <w:iCs w:val="0"/>
          <w:color w:val="auto"/>
          <w:sz w:val="28"/>
          <w:szCs w:val="28"/>
          <w:highlight w:val="none"/>
        </w:rPr>
        <w:t>☑</w:t>
      </w:r>
      <w:r>
        <w:rPr>
          <w:rFonts w:hint="eastAsia" w:ascii="宋体" w:hAnsi="宋体" w:eastAsia="宋体" w:cs="Times New Roman"/>
          <w:b/>
          <w:i w:val="0"/>
          <w:iCs w:val="0"/>
          <w:color w:val="auto"/>
          <w:highlight w:val="none"/>
        </w:rPr>
        <w:t>评标办法（四）</w:t>
      </w:r>
    </w:p>
    <w:p w14:paraId="15FA089B">
      <w:pPr>
        <w:jc w:val="center"/>
        <w:rPr>
          <w:rFonts w:ascii="宋体" w:hAnsi="宋体" w:eastAsia="宋体" w:cs="Times New Roman"/>
          <w:b/>
          <w:i w:val="0"/>
          <w:iCs w:val="0"/>
          <w:color w:val="auto"/>
          <w:highlight w:val="none"/>
        </w:rPr>
      </w:pPr>
      <w:r>
        <w:rPr>
          <w:rFonts w:hint="eastAsia" w:ascii="宋体" w:hAnsi="宋体" w:eastAsia="宋体" w:cs="Times New Roman"/>
          <w:b/>
          <w:i w:val="0"/>
          <w:iCs w:val="0"/>
          <w:color w:val="auto"/>
          <w:highlight w:val="none"/>
        </w:rPr>
        <w:t>技术标打分制的综合评估法</w:t>
      </w:r>
    </w:p>
    <w:p w14:paraId="16CF0F10">
      <w:pPr>
        <w:ind w:firstLine="480" w:firstLineChars="200"/>
        <w:rPr>
          <w:rFonts w:ascii="宋体" w:hAnsi="宋体" w:eastAsia="宋体" w:cs="Times New Roman"/>
          <w:bCs/>
          <w:i w:val="0"/>
          <w:iCs w:val="0"/>
          <w:color w:val="auto"/>
          <w:highlight w:val="none"/>
        </w:rPr>
      </w:pPr>
    </w:p>
    <w:p w14:paraId="0941BF1D">
      <w:pPr>
        <w:ind w:firstLine="480" w:firstLineChars="200"/>
        <w:rPr>
          <w:rFonts w:ascii="宋体" w:hAnsi="宋体" w:eastAsia="宋体" w:cs="Times New Roman"/>
          <w:bCs/>
          <w:i w:val="0"/>
          <w:iCs w:val="0"/>
          <w:color w:val="auto"/>
          <w:highlight w:val="none"/>
        </w:rPr>
      </w:pPr>
      <w:r>
        <w:rPr>
          <w:rFonts w:hint="eastAsia" w:ascii="宋体" w:hAnsi="宋体" w:eastAsia="宋体" w:cs="Times New Roman"/>
          <w:bCs/>
          <w:i w:val="0"/>
          <w:iCs w:val="0"/>
          <w:color w:val="auto"/>
          <w:highlight w:val="none"/>
        </w:rPr>
        <w:t>技术标打分制的综合评估法，适用于采用新工艺、技术特别复杂或具有特殊专业技术要求的</w:t>
      </w:r>
      <w:r>
        <w:rPr>
          <w:rFonts w:hint="eastAsia" w:ascii="宋体" w:hAnsi="宋体" w:eastAsia="宋体" w:cs="Times New Roman"/>
          <w:i w:val="0"/>
          <w:iCs w:val="0"/>
          <w:color w:val="auto"/>
          <w:highlight w:val="none"/>
        </w:rPr>
        <w:t>房屋建筑和市政基础设施工程</w:t>
      </w:r>
      <w:r>
        <w:rPr>
          <w:rFonts w:hint="eastAsia" w:ascii="宋体" w:hAnsi="宋体" w:eastAsia="宋体" w:cs="Times New Roman"/>
          <w:bCs/>
          <w:i w:val="0"/>
          <w:iCs w:val="0"/>
          <w:color w:val="auto"/>
          <w:highlight w:val="none"/>
        </w:rPr>
        <w:t>（标准由当地招投标主管部门确定）施工招标。评标应遵循公平、公正、科学、择优的原则。</w:t>
      </w:r>
    </w:p>
    <w:p w14:paraId="2CDCF7B3">
      <w:pPr>
        <w:rPr>
          <w:rFonts w:ascii="宋体" w:hAnsi="宋体" w:eastAsia="宋体" w:cs="Times New Roman"/>
          <w:i w:val="0"/>
          <w:iCs w:val="0"/>
          <w:color w:val="auto"/>
          <w:highlight w:val="none"/>
        </w:rPr>
      </w:pPr>
      <w:r>
        <w:rPr>
          <w:rFonts w:hint="eastAsia" w:ascii="宋体" w:hAnsi="宋体" w:eastAsia="宋体" w:cs="Times New Roman"/>
          <w:bCs/>
          <w:i w:val="0"/>
          <w:iCs w:val="0"/>
          <w:color w:val="auto"/>
          <w:highlight w:val="none"/>
        </w:rPr>
        <w:t xml:space="preserve">    技术标打分制的综合评估法应先对投标人进行资格审查，已通过资格审查采用百分制记分法对投标人分别进行技术、资信、商务报价评分，总分最高的投标人推荐为中标候选人。</w:t>
      </w:r>
    </w:p>
    <w:p w14:paraId="48017498">
      <w:pPr>
        <w:ind w:firstLine="482" w:firstLineChars="200"/>
        <w:rPr>
          <w:rFonts w:ascii="宋体" w:hAnsi="宋体" w:eastAsia="宋体" w:cs="Times New Roman"/>
          <w:i w:val="0"/>
          <w:iCs w:val="0"/>
          <w:color w:val="auto"/>
          <w:highlight w:val="none"/>
        </w:rPr>
      </w:pPr>
      <w:r>
        <w:rPr>
          <w:rFonts w:hint="eastAsia" w:ascii="宋体" w:hAnsi="宋体" w:eastAsia="宋体" w:cs="Times New Roman"/>
          <w:b/>
          <w:i w:val="0"/>
          <w:iCs w:val="0"/>
          <w:color w:val="auto"/>
          <w:highlight w:val="none"/>
        </w:rPr>
        <w:t>总分</w:t>
      </w:r>
      <w:r>
        <w:rPr>
          <w:rFonts w:hint="eastAsia" w:ascii="宋体" w:hAnsi="宋体" w:eastAsia="宋体" w:cs="Times New Roman"/>
          <w:i w:val="0"/>
          <w:iCs w:val="0"/>
          <w:color w:val="auto"/>
          <w:highlight w:val="none"/>
        </w:rPr>
        <w:t>=技术标评分（≤30分）</w:t>
      </w:r>
      <w:r>
        <w:rPr>
          <w:rFonts w:hint="eastAsia" w:ascii="宋体" w:hAnsi="宋体" w:eastAsia="宋体" w:cs="Times New Roman"/>
          <w:i w:val="0"/>
          <w:iCs w:val="0"/>
          <w:color w:val="auto"/>
          <w:highlight w:val="none"/>
          <w:u w:val="single"/>
        </w:rPr>
        <w:t>30</w:t>
      </w:r>
      <w:r>
        <w:rPr>
          <w:rFonts w:hint="eastAsia" w:ascii="宋体" w:hAnsi="宋体" w:eastAsia="宋体" w:cs="Times New Roman"/>
          <w:i w:val="0"/>
          <w:iCs w:val="0"/>
          <w:color w:val="auto"/>
          <w:highlight w:val="none"/>
        </w:rPr>
        <w:t>分,资信标评分（</w:t>
      </w:r>
      <w:r>
        <w:rPr>
          <w:rFonts w:ascii="Times New Roman" w:hAnsi="Times New Roman" w:eastAsia="宋体" w:cs="Times New Roman"/>
          <w:bCs/>
          <w:i w:val="0"/>
          <w:iCs w:val="0"/>
          <w:color w:val="auto"/>
          <w:highlight w:val="none"/>
          <w:u w:val="single"/>
        </w:rPr>
        <w:t>3-10</w:t>
      </w:r>
      <w:r>
        <w:rPr>
          <w:rFonts w:hint="eastAsia" w:ascii="宋体" w:hAnsi="宋体" w:eastAsia="宋体" w:cs="Times New Roman"/>
          <w:bCs/>
          <w:i w:val="0"/>
          <w:iCs w:val="0"/>
          <w:color w:val="auto"/>
          <w:highlight w:val="none"/>
        </w:rPr>
        <w:t>分</w:t>
      </w:r>
      <w:r>
        <w:rPr>
          <w:rFonts w:hint="eastAsia" w:ascii="宋体" w:hAnsi="宋体" w:eastAsia="宋体" w:cs="Times New Roman"/>
          <w:i w:val="0"/>
          <w:iCs w:val="0"/>
          <w:color w:val="auto"/>
          <w:highlight w:val="none"/>
        </w:rPr>
        <w:t>）</w:t>
      </w:r>
      <w:r>
        <w:rPr>
          <w:rFonts w:hint="eastAsia" w:ascii="宋体" w:hAnsi="宋体" w:eastAsia="宋体" w:cs="Times New Roman"/>
          <w:i w:val="0"/>
          <w:iCs w:val="0"/>
          <w:color w:val="auto"/>
          <w:highlight w:val="none"/>
          <w:u w:val="single"/>
          <w:lang w:val="en-US" w:eastAsia="zh-CN"/>
        </w:rPr>
        <w:t>10</w:t>
      </w:r>
      <w:r>
        <w:rPr>
          <w:rFonts w:hint="eastAsia" w:ascii="宋体" w:hAnsi="宋体" w:eastAsia="宋体" w:cs="Times New Roman"/>
          <w:i w:val="0"/>
          <w:iCs w:val="0"/>
          <w:color w:val="auto"/>
          <w:highlight w:val="none"/>
        </w:rPr>
        <w:t>分,商务标评分（≥60分）</w:t>
      </w:r>
      <w:r>
        <w:rPr>
          <w:rFonts w:hint="eastAsia" w:ascii="宋体" w:hAnsi="宋体" w:eastAsia="宋体" w:cs="Times New Roman"/>
          <w:i w:val="0"/>
          <w:iCs w:val="0"/>
          <w:color w:val="auto"/>
          <w:highlight w:val="none"/>
          <w:u w:val="single"/>
        </w:rPr>
        <w:t>6</w:t>
      </w:r>
      <w:r>
        <w:rPr>
          <w:rFonts w:hint="eastAsia" w:ascii="宋体" w:hAnsi="宋体" w:eastAsia="宋体" w:cs="Times New Roman"/>
          <w:i w:val="0"/>
          <w:iCs w:val="0"/>
          <w:color w:val="auto"/>
          <w:highlight w:val="none"/>
          <w:u w:val="single"/>
          <w:lang w:val="en-US" w:eastAsia="zh-CN"/>
        </w:rPr>
        <w:t>0</w:t>
      </w:r>
      <w:r>
        <w:rPr>
          <w:rFonts w:hint="eastAsia" w:ascii="宋体" w:hAnsi="宋体" w:eastAsia="宋体" w:cs="Times New Roman"/>
          <w:i w:val="0"/>
          <w:iCs w:val="0"/>
          <w:color w:val="auto"/>
          <w:highlight w:val="none"/>
        </w:rPr>
        <w:t>分（具体分值由招标人确定）</w:t>
      </w:r>
    </w:p>
    <w:p w14:paraId="1F706049">
      <w:pPr>
        <w:widowControl/>
        <w:autoSpaceDE/>
        <w:autoSpaceDN/>
        <w:adjustRightInd w:val="0"/>
        <w:snapToGrid w:val="0"/>
        <w:ind w:firstLine="480" w:firstLineChars="200"/>
        <w:rPr>
          <w:rFonts w:ascii="宋体" w:hAnsi="宋体" w:eastAsia="宋体" w:cs="Times New Roman"/>
          <w:i w:val="0"/>
          <w:iCs w:val="0"/>
          <w:color w:val="auto"/>
          <w:sz w:val="24"/>
          <w:szCs w:val="24"/>
          <w:highlight w:val="none"/>
          <w:u w:val="single"/>
          <w:lang w:val="en-US" w:eastAsia="zh-CN" w:bidi="ar-SA"/>
        </w:rPr>
      </w:pPr>
      <w:r>
        <w:rPr>
          <w:rFonts w:hint="eastAsia" w:ascii="宋体" w:hAnsi="宋体" w:eastAsia="宋体" w:cs="Times New Roman"/>
          <w:i w:val="0"/>
          <w:iCs w:val="0"/>
          <w:color w:val="auto"/>
          <w:sz w:val="24"/>
          <w:szCs w:val="24"/>
          <w:highlight w:val="none"/>
          <w:lang w:val="en-US" w:eastAsia="zh-CN" w:bidi="ar-SA"/>
        </w:rPr>
        <w:t>评标工作由招标人依法组建的评标委员会负责，评标委员会成员为</w:t>
      </w:r>
      <w:r>
        <w:rPr>
          <w:rFonts w:hint="eastAsia" w:ascii="宋体" w:hAnsi="宋体" w:eastAsia="宋体" w:cs="Times New Roman"/>
          <w:i w:val="0"/>
          <w:iCs w:val="0"/>
          <w:color w:val="auto"/>
          <w:sz w:val="24"/>
          <w:szCs w:val="24"/>
          <w:highlight w:val="none"/>
          <w:u w:val="single"/>
          <w:lang w:val="en-US" w:eastAsia="zh-CN" w:bidi="ar-SA"/>
        </w:rPr>
        <w:t>按规定。</w:t>
      </w:r>
    </w:p>
    <w:p w14:paraId="5729E4CE">
      <w:pPr>
        <w:snapToGrid w:val="0"/>
        <w:ind w:firstLine="480" w:firstLineChars="200"/>
        <w:rPr>
          <w:rFonts w:ascii="Times New Roman" w:hAnsi="Times New Roman" w:eastAsia="宋体" w:cs="Times New Roman"/>
          <w:i w:val="0"/>
          <w:iCs w:val="0"/>
          <w:color w:val="auto"/>
          <w:sz w:val="24"/>
          <w:szCs w:val="24"/>
          <w:highlight w:val="none"/>
          <w:lang w:val="en-US" w:eastAsia="zh-CN" w:bidi="ar-SA"/>
        </w:rPr>
      </w:pPr>
      <w:r>
        <w:rPr>
          <w:rFonts w:hint="eastAsia" w:ascii="宋体" w:hAnsi="宋体" w:eastAsia="宋体" w:cs="Times New Roman"/>
          <w:i w:val="0"/>
          <w:iCs w:val="0"/>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60C9D5CC">
      <w:pPr>
        <w:widowControl w:val="0"/>
        <w:numPr>
          <w:ilvl w:val="0"/>
          <w:numId w:val="37"/>
        </w:numPr>
        <w:autoSpaceDE w:val="0"/>
        <w:autoSpaceDN w:val="0"/>
        <w:adjustRightInd w:val="0"/>
        <w:snapToGrid w:val="0"/>
        <w:ind w:left="0" w:firstLine="482" w:firstLineChars="200"/>
        <w:rPr>
          <w:rFonts w:ascii="宋体" w:hAnsi="宋体" w:eastAsia="宋体" w:cs="Times New Roman"/>
          <w:b/>
          <w:i w:val="0"/>
          <w:iCs w:val="0"/>
          <w:color w:val="auto"/>
          <w:sz w:val="24"/>
          <w:szCs w:val="24"/>
          <w:highlight w:val="none"/>
          <w:lang w:val="en-US" w:eastAsia="zh-CN" w:bidi="ar-SA"/>
        </w:rPr>
      </w:pPr>
      <w:r>
        <w:rPr>
          <w:rFonts w:hint="eastAsia" w:ascii="宋体" w:hAnsi="宋体" w:eastAsia="宋体" w:cs="Times New Roman"/>
          <w:b/>
          <w:i w:val="0"/>
          <w:iCs w:val="0"/>
          <w:color w:val="auto"/>
          <w:sz w:val="24"/>
          <w:szCs w:val="24"/>
          <w:highlight w:val="none"/>
          <w:lang w:val="en-US" w:eastAsia="zh-CN" w:bidi="ar-SA"/>
        </w:rPr>
        <w:t>评标程序</w:t>
      </w:r>
    </w:p>
    <w:p w14:paraId="4C4C73F8">
      <w:pPr>
        <w:widowControl w:val="0"/>
        <w:autoSpaceDE w:val="0"/>
        <w:autoSpaceDN/>
        <w:adjustRightInd w:val="0"/>
        <w:snapToGrid w:val="0"/>
        <w:spacing w:line="240" w:lineRule="auto"/>
        <w:ind w:firstLine="480" w:firstLineChars="20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（一）资格审查</w:t>
      </w:r>
    </w:p>
    <w:p w14:paraId="25B74C7A">
      <w:pPr>
        <w:widowControl w:val="0"/>
        <w:autoSpaceDE w:val="0"/>
        <w:autoSpaceDN/>
        <w:adjustRightInd w:val="0"/>
        <w:snapToGrid w:val="0"/>
        <w:spacing w:line="240" w:lineRule="auto"/>
        <w:ind w:firstLine="480" w:firstLineChars="20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（二）技术评审</w:t>
      </w:r>
    </w:p>
    <w:p w14:paraId="45B4F19B">
      <w:pPr>
        <w:widowControl w:val="0"/>
        <w:autoSpaceDE w:val="0"/>
        <w:autoSpaceDN/>
        <w:adjustRightInd w:val="0"/>
        <w:snapToGrid w:val="0"/>
        <w:spacing w:line="240" w:lineRule="auto"/>
        <w:ind w:firstLine="480" w:firstLineChars="20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（三）初步评审</w:t>
      </w:r>
    </w:p>
    <w:p w14:paraId="397EAF82">
      <w:pPr>
        <w:widowControl w:val="0"/>
        <w:autoSpaceDE w:val="0"/>
        <w:autoSpaceDN/>
        <w:adjustRightInd w:val="0"/>
        <w:snapToGrid w:val="0"/>
        <w:spacing w:line="240" w:lineRule="auto"/>
        <w:ind w:firstLine="480" w:firstLineChars="20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（四）资信评审</w:t>
      </w:r>
    </w:p>
    <w:p w14:paraId="39F7221E">
      <w:pPr>
        <w:widowControl w:val="0"/>
        <w:autoSpaceDE w:val="0"/>
        <w:autoSpaceDN/>
        <w:adjustRightInd w:val="0"/>
        <w:snapToGrid w:val="0"/>
        <w:spacing w:line="240" w:lineRule="auto"/>
        <w:ind w:firstLine="480" w:firstLineChars="20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（五）商务评审</w:t>
      </w:r>
    </w:p>
    <w:p w14:paraId="2ADB798F">
      <w:pPr>
        <w:widowControl w:val="0"/>
        <w:autoSpaceDE w:val="0"/>
        <w:autoSpaceDN/>
        <w:adjustRightInd w:val="0"/>
        <w:snapToGrid w:val="0"/>
        <w:spacing w:line="240" w:lineRule="auto"/>
        <w:ind w:firstLine="480" w:firstLineChars="20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（六）推荐中标候选人</w:t>
      </w:r>
    </w:p>
    <w:p w14:paraId="04DBCD04">
      <w:pPr>
        <w:widowControl w:val="0"/>
        <w:numPr>
          <w:ilvl w:val="0"/>
          <w:numId w:val="37"/>
        </w:numPr>
        <w:autoSpaceDE w:val="0"/>
        <w:autoSpaceDN w:val="0"/>
        <w:adjustRightInd w:val="0"/>
        <w:snapToGrid w:val="0"/>
        <w:ind w:left="0" w:firstLine="482" w:firstLineChars="200"/>
        <w:rPr>
          <w:rFonts w:ascii="宋体" w:hAnsi="宋体" w:eastAsia="宋体" w:cs="Times New Roman"/>
          <w:b/>
          <w:i w:val="0"/>
          <w:iCs w:val="0"/>
          <w:color w:val="auto"/>
          <w:sz w:val="24"/>
          <w:szCs w:val="24"/>
          <w:highlight w:val="none"/>
          <w:lang w:val="en-US" w:eastAsia="zh-CN" w:bidi="ar-SA"/>
        </w:rPr>
      </w:pPr>
      <w:r>
        <w:rPr>
          <w:rFonts w:hint="eastAsia" w:ascii="宋体" w:hAnsi="宋体" w:eastAsia="宋体" w:cs="Times New Roman"/>
          <w:b/>
          <w:i w:val="0"/>
          <w:iCs w:val="0"/>
          <w:color w:val="auto"/>
          <w:sz w:val="24"/>
          <w:szCs w:val="24"/>
          <w:highlight w:val="none"/>
          <w:lang w:val="en-US" w:eastAsia="zh-CN" w:bidi="ar-SA"/>
        </w:rPr>
        <w:t>资格审查</w:t>
      </w:r>
    </w:p>
    <w:p w14:paraId="1CA4FB3E">
      <w:pPr>
        <w:ind w:firstLine="480" w:firstLineChars="200"/>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投标人存在以下情况之一的，评标委员会组织投标人询问核实后，情况属实的，资格审查不予通过，否决其投标。否决其投标情形详见投标人须知前附表</w:t>
      </w:r>
      <w:r>
        <w:rPr>
          <w:rFonts w:hint="eastAsia" w:ascii="Times New Roman" w:hAnsi="Times New Roman" w:eastAsia="宋体" w:cs="Times New Roman"/>
          <w:i w:val="0"/>
          <w:iCs w:val="0"/>
          <w:color w:val="auto"/>
          <w:highlight w:val="none"/>
        </w:rPr>
        <w:t>10.5</w:t>
      </w:r>
      <w:r>
        <w:rPr>
          <w:rFonts w:hint="eastAsia" w:ascii="宋体" w:hAnsi="宋体" w:eastAsia="宋体" w:cs="Times New Roman"/>
          <w:i w:val="0"/>
          <w:iCs w:val="0"/>
          <w:color w:val="auto"/>
          <w:highlight w:val="none"/>
        </w:rPr>
        <w:t>。</w:t>
      </w:r>
    </w:p>
    <w:p w14:paraId="60401F2F">
      <w:pPr>
        <w:ind w:firstLine="480" w:firstLineChars="200"/>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评标委员会应审查投标人须知前附表3.5规定要求的“资质动态核查结果证明”。</w:t>
      </w:r>
    </w:p>
    <w:p w14:paraId="19B2B7A8">
      <w:pPr>
        <w:widowControl w:val="0"/>
        <w:numPr>
          <w:ilvl w:val="0"/>
          <w:numId w:val="37"/>
        </w:numPr>
        <w:autoSpaceDE w:val="0"/>
        <w:autoSpaceDN w:val="0"/>
        <w:adjustRightInd w:val="0"/>
        <w:snapToGrid w:val="0"/>
        <w:ind w:left="0" w:firstLine="482" w:firstLineChars="200"/>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b/>
          <w:i w:val="0"/>
          <w:iCs w:val="0"/>
          <w:color w:val="auto"/>
          <w:sz w:val="24"/>
          <w:szCs w:val="24"/>
          <w:highlight w:val="none"/>
          <w:lang w:val="en-US" w:eastAsia="zh-CN" w:bidi="ar-SA"/>
        </w:rPr>
        <w:t>技术标评审</w:t>
      </w:r>
    </w:p>
    <w:p w14:paraId="47BFCB8B">
      <w:pPr>
        <w:widowControl w:val="0"/>
        <w:autoSpaceDE w:val="0"/>
        <w:autoSpaceDN/>
        <w:adjustRightInd w:val="0"/>
        <w:snapToGrid w:val="0"/>
        <w:spacing w:line="240" w:lineRule="auto"/>
        <w:ind w:firstLine="600" w:firstLineChars="25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评标委员会对进入投标文件进行技术标评审:</w:t>
      </w:r>
    </w:p>
    <w:p w14:paraId="24B1ED40">
      <w:pPr>
        <w:widowControl w:val="0"/>
        <w:autoSpaceDE w:val="0"/>
        <w:autoSpaceDN/>
        <w:adjustRightInd w:val="0"/>
        <w:snapToGrid w:val="0"/>
        <w:spacing w:line="240" w:lineRule="auto"/>
        <w:ind w:firstLine="480" w:firstLineChars="20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（一）投标人存在投标人须知前附表10.5情形之一的，评标委员会组织投标人询问核实后，情况属实的，技术标评审不予通过，否决其投标。</w:t>
      </w:r>
    </w:p>
    <w:p w14:paraId="0B3547FB">
      <w:pPr>
        <w:widowControl w:val="0"/>
        <w:autoSpaceDE w:val="0"/>
        <w:autoSpaceDN/>
        <w:adjustRightInd w:val="0"/>
        <w:snapToGrid w:val="0"/>
        <w:spacing w:line="240" w:lineRule="auto"/>
        <w:ind w:firstLine="480" w:firstLineChars="20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（二）技术标评分（30分）</w:t>
      </w:r>
    </w:p>
    <w:p w14:paraId="4C710660">
      <w:pPr>
        <w:adjustRightInd/>
        <w:ind w:firstLine="480" w:firstLineChars="200"/>
        <w:jc w:val="both"/>
        <w:rPr>
          <w:rFonts w:ascii="宋体" w:hAnsi="宋体" w:eastAsia="宋体" w:cs="宋体"/>
          <w:i w:val="0"/>
          <w:iCs w:val="0"/>
          <w:color w:val="auto"/>
          <w:highlight w:val="none"/>
        </w:rPr>
      </w:pPr>
      <w:r>
        <w:rPr>
          <w:rFonts w:hint="eastAsia" w:ascii="宋体" w:hAnsi="宋体" w:eastAsia="宋体" w:cs="宋体"/>
          <w:i w:val="0"/>
          <w:iCs w:val="0"/>
          <w:color w:val="auto"/>
          <w:highlight w:val="none"/>
        </w:rPr>
        <w:t>1.由评标委员会各成员按评审因素和评分标准进行独立评分（保留2位小数）并署名。单项评分最大范围在 A 分（A=B</w:t>
      </w:r>
      <w:r>
        <w:rPr>
          <w:rFonts w:ascii="Arial" w:hAnsi="Arial" w:eastAsia="宋体" w:cs="Arial"/>
          <w:i w:val="0"/>
          <w:iCs w:val="0"/>
          <w:color w:val="auto"/>
          <w:highlight w:val="none"/>
        </w:rPr>
        <w:t>×</w:t>
      </w:r>
      <w:r>
        <w:rPr>
          <w:rFonts w:hint="eastAsia" w:ascii="Arial" w:hAnsi="Arial" w:eastAsia="宋体" w:cs="Arial"/>
          <w:i w:val="0"/>
          <w:iCs w:val="0"/>
          <w:color w:val="auto"/>
          <w:highlight w:val="none"/>
        </w:rPr>
        <w:t>比值</w:t>
      </w:r>
      <w:r>
        <w:rPr>
          <w:rFonts w:hint="eastAsia" w:ascii="宋体" w:hAnsi="宋体" w:eastAsia="宋体" w:cs="宋体"/>
          <w:i w:val="0"/>
          <w:iCs w:val="0"/>
          <w:color w:val="auto"/>
          <w:highlight w:val="none"/>
        </w:rPr>
        <w:t>）至 B 分（B=技术分满分</w:t>
      </w:r>
      <w:r>
        <w:rPr>
          <w:rFonts w:ascii="Arial" w:hAnsi="Arial" w:eastAsia="宋体" w:cs="Arial"/>
          <w:i w:val="0"/>
          <w:iCs w:val="0"/>
          <w:color w:val="auto"/>
          <w:highlight w:val="none"/>
        </w:rPr>
        <w:t>×</w:t>
      </w:r>
      <w:r>
        <w:rPr>
          <w:rFonts w:hint="eastAsia" w:ascii="宋体" w:hAnsi="宋体" w:eastAsia="宋体" w:cs="宋体"/>
          <w:i w:val="0"/>
          <w:iCs w:val="0"/>
          <w:color w:val="auto"/>
          <w:highlight w:val="none"/>
        </w:rPr>
        <w:t>分值权重</w:t>
      </w:r>
      <w:r>
        <w:rPr>
          <w:rFonts w:hint="eastAsia" w:ascii="Arial" w:hAnsi="Arial" w:eastAsia="宋体" w:cs="Arial"/>
          <w:i w:val="0"/>
          <w:iCs w:val="0"/>
          <w:color w:val="auto"/>
          <w:highlight w:val="none"/>
        </w:rPr>
        <w:t>）</w:t>
      </w:r>
      <w:r>
        <w:rPr>
          <w:rFonts w:hint="eastAsia" w:ascii="宋体" w:hAnsi="宋体" w:eastAsia="宋体" w:cs="宋体"/>
          <w:i w:val="0"/>
          <w:iCs w:val="0"/>
          <w:color w:val="auto"/>
          <w:highlight w:val="none"/>
        </w:rPr>
        <w:t>之间（含本数）；对低于 A 分或高于 B 分的评分表作无效处理。（A、B值由招标人根据当地招投标主管部门相关规定确定，其中A值与B值的比值详见技术评审因素表，所有技术标评分项的B值之和等于技术标分值）</w:t>
      </w:r>
    </w:p>
    <w:p w14:paraId="57F6A8A6">
      <w:pPr>
        <w:adjustRightInd/>
        <w:ind w:firstLine="480" w:firstLineChars="200"/>
        <w:jc w:val="both"/>
        <w:rPr>
          <w:rFonts w:ascii="宋体" w:hAnsi="宋体" w:eastAsia="宋体" w:cs="宋体"/>
          <w:i w:val="0"/>
          <w:iCs w:val="0"/>
          <w:color w:val="auto"/>
          <w:highlight w:val="none"/>
        </w:rPr>
      </w:pPr>
      <w:r>
        <w:rPr>
          <w:rFonts w:hint="eastAsia" w:ascii="宋体" w:hAnsi="宋体" w:eastAsia="宋体" w:cs="宋体"/>
          <w:i w:val="0"/>
          <w:iCs w:val="0"/>
          <w:color w:val="auto"/>
          <w:highlight w:val="none"/>
        </w:rPr>
        <w:t>此项评分为：从评标专家的有效评分大于等于5个的，扣除一个最高总分和一个最低总分后的算术平均值，有效评分少于5个的，按全部有效评分的算术平均值（保留小数2位）。</w:t>
      </w:r>
    </w:p>
    <w:p w14:paraId="25A72BF9">
      <w:pPr>
        <w:adjustRightInd/>
        <w:ind w:firstLine="480" w:firstLineChars="200"/>
        <w:jc w:val="both"/>
        <w:rPr>
          <w:rFonts w:ascii="宋体" w:hAnsi="宋体" w:eastAsia="宋体" w:cs="宋体"/>
          <w:i w:val="0"/>
          <w:iCs w:val="0"/>
          <w:color w:val="auto"/>
          <w:highlight w:val="none"/>
        </w:rPr>
      </w:pPr>
      <w:r>
        <w:rPr>
          <w:rFonts w:hint="eastAsia" w:ascii="宋体" w:hAnsi="宋体" w:eastAsia="宋体" w:cs="宋体"/>
          <w:i w:val="0"/>
          <w:iCs w:val="0"/>
          <w:color w:val="auto"/>
          <w:highlight w:val="none"/>
        </w:rPr>
        <w:t>2.技术评审主要因素包括以下内容（技术标打分条款由招标人根据项目实际情况进行设置）。</w:t>
      </w:r>
    </w:p>
    <w:p w14:paraId="66ED6EB2">
      <w:pPr>
        <w:ind w:firstLine="480" w:firstLineChars="200"/>
        <w:jc w:val="both"/>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3.技术标一般评审因素</w:t>
      </w:r>
    </w:p>
    <w:tbl>
      <w:tblPr>
        <w:tblStyle w:val="21"/>
        <w:tblW w:w="9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3"/>
        <w:gridCol w:w="1867"/>
        <w:gridCol w:w="5092"/>
        <w:gridCol w:w="2272"/>
      </w:tblGrid>
      <w:tr w14:paraId="248DB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 w:hRule="atLeast"/>
          <w:jc w:val="center"/>
        </w:trPr>
        <w:tc>
          <w:tcPr>
            <w:tcW w:w="653" w:type="dxa"/>
            <w:tcBorders>
              <w:top w:val="single" w:color="000000" w:sz="4" w:space="0"/>
              <w:left w:val="single" w:color="000000" w:sz="4" w:space="0"/>
              <w:bottom w:val="single" w:color="000000" w:sz="4" w:space="0"/>
              <w:right w:val="single" w:color="000000" w:sz="4" w:space="0"/>
            </w:tcBorders>
            <w:noWrap/>
            <w:vAlign w:val="center"/>
          </w:tcPr>
          <w:p w14:paraId="2562EA65">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b/>
                <w:bCs/>
                <w:i w:val="0"/>
                <w:iCs w:val="0"/>
                <w:color w:val="auto"/>
                <w:kern w:val="2"/>
                <w:sz w:val="21"/>
                <w:szCs w:val="21"/>
                <w:highlight w:val="none"/>
              </w:rPr>
            </w:pPr>
            <w:r>
              <w:rPr>
                <w:rFonts w:hint="eastAsia" w:ascii="宋体" w:hAnsi="宋体" w:eastAsia="宋体" w:cs="宋体"/>
                <w:b/>
                <w:bCs/>
                <w:i w:val="0"/>
                <w:iCs w:val="0"/>
                <w:color w:val="auto"/>
                <w:kern w:val="2"/>
                <w:sz w:val="21"/>
                <w:szCs w:val="21"/>
                <w:highlight w:val="none"/>
                <w:lang w:bidi="ar"/>
              </w:rPr>
              <w:t>序号</w:t>
            </w:r>
          </w:p>
        </w:tc>
        <w:tc>
          <w:tcPr>
            <w:tcW w:w="1867" w:type="dxa"/>
            <w:tcBorders>
              <w:top w:val="single" w:color="000000" w:sz="4" w:space="0"/>
              <w:left w:val="nil"/>
              <w:bottom w:val="single" w:color="000000" w:sz="4" w:space="0"/>
              <w:right w:val="single" w:color="000000" w:sz="4" w:space="0"/>
            </w:tcBorders>
            <w:noWrap/>
            <w:vAlign w:val="center"/>
          </w:tcPr>
          <w:p w14:paraId="496F6ADE">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b/>
                <w:bCs/>
                <w:i w:val="0"/>
                <w:iCs w:val="0"/>
                <w:color w:val="auto"/>
                <w:kern w:val="2"/>
                <w:sz w:val="21"/>
                <w:szCs w:val="21"/>
                <w:highlight w:val="none"/>
              </w:rPr>
            </w:pPr>
            <w:r>
              <w:rPr>
                <w:rFonts w:hint="eastAsia" w:ascii="宋体" w:hAnsi="宋体" w:eastAsia="宋体" w:cs="宋体"/>
                <w:b/>
                <w:bCs/>
                <w:i w:val="0"/>
                <w:iCs w:val="0"/>
                <w:color w:val="auto"/>
                <w:kern w:val="2"/>
                <w:sz w:val="21"/>
                <w:szCs w:val="21"/>
                <w:highlight w:val="none"/>
                <w:lang w:bidi="ar"/>
              </w:rPr>
              <w:t>评审因素</w:t>
            </w:r>
          </w:p>
        </w:tc>
        <w:tc>
          <w:tcPr>
            <w:tcW w:w="5092" w:type="dxa"/>
            <w:tcBorders>
              <w:top w:val="single" w:color="000000" w:sz="4" w:space="0"/>
              <w:left w:val="nil"/>
              <w:bottom w:val="single" w:color="000000" w:sz="4" w:space="0"/>
              <w:right w:val="single" w:color="000000" w:sz="4" w:space="0"/>
            </w:tcBorders>
            <w:noWrap/>
            <w:vAlign w:val="center"/>
          </w:tcPr>
          <w:p w14:paraId="5D22AF5F">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b/>
                <w:bCs/>
                <w:i w:val="0"/>
                <w:iCs w:val="0"/>
                <w:color w:val="auto"/>
                <w:kern w:val="2"/>
                <w:sz w:val="21"/>
                <w:szCs w:val="21"/>
                <w:highlight w:val="none"/>
              </w:rPr>
            </w:pPr>
            <w:r>
              <w:rPr>
                <w:rFonts w:hint="eastAsia" w:ascii="宋体" w:hAnsi="宋体" w:eastAsia="宋体" w:cs="宋体"/>
                <w:b/>
                <w:bCs/>
                <w:i w:val="0"/>
                <w:iCs w:val="0"/>
                <w:color w:val="auto"/>
                <w:kern w:val="2"/>
                <w:sz w:val="21"/>
                <w:szCs w:val="21"/>
                <w:highlight w:val="none"/>
                <w:lang w:bidi="ar"/>
              </w:rPr>
              <w:t>评审内容</w:t>
            </w:r>
          </w:p>
        </w:tc>
        <w:tc>
          <w:tcPr>
            <w:tcW w:w="2272" w:type="dxa"/>
            <w:tcBorders>
              <w:top w:val="single" w:color="000000" w:sz="4" w:space="0"/>
              <w:left w:val="nil"/>
              <w:bottom w:val="single" w:color="000000" w:sz="4" w:space="0"/>
              <w:right w:val="single" w:color="000000" w:sz="4" w:space="0"/>
            </w:tcBorders>
            <w:noWrap/>
            <w:vAlign w:val="center"/>
          </w:tcPr>
          <w:p w14:paraId="15269E4F">
            <w:pPr>
              <w:keepNext w:val="0"/>
              <w:keepLines w:val="0"/>
              <w:suppressLineNumbers w:val="0"/>
              <w:autoSpaceDE/>
              <w:autoSpaceDN/>
              <w:adjustRightInd/>
              <w:snapToGrid w:val="0"/>
              <w:spacing w:before="0" w:beforeAutospacing="0" w:after="0" w:afterAutospacing="0" w:line="400" w:lineRule="exact"/>
              <w:ind w:left="0" w:right="0"/>
              <w:jc w:val="center"/>
              <w:rPr>
                <w:rFonts w:hint="eastAsia" w:ascii="宋体" w:hAnsi="宋体" w:eastAsia="宋体" w:cs="宋体"/>
                <w:b/>
                <w:bCs/>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分值</w:t>
            </w:r>
          </w:p>
        </w:tc>
      </w:tr>
      <w:tr w14:paraId="51A3C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3" w:type="dxa"/>
            <w:tcBorders>
              <w:top w:val="single" w:color="000000" w:sz="4" w:space="0"/>
              <w:left w:val="single" w:color="000000" w:sz="4" w:space="0"/>
              <w:bottom w:val="single" w:color="000000" w:sz="4" w:space="0"/>
              <w:right w:val="single" w:color="000000" w:sz="4" w:space="0"/>
            </w:tcBorders>
            <w:noWrap/>
            <w:vAlign w:val="center"/>
          </w:tcPr>
          <w:p w14:paraId="6D3609D5">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1</w:t>
            </w:r>
          </w:p>
        </w:tc>
        <w:tc>
          <w:tcPr>
            <w:tcW w:w="1867" w:type="dxa"/>
            <w:tcBorders>
              <w:top w:val="single" w:color="000000" w:sz="4" w:space="0"/>
              <w:left w:val="nil"/>
              <w:bottom w:val="single" w:color="000000" w:sz="4" w:space="0"/>
              <w:right w:val="single" w:color="000000" w:sz="4" w:space="0"/>
            </w:tcBorders>
            <w:noWrap/>
            <w:vAlign w:val="center"/>
          </w:tcPr>
          <w:p w14:paraId="1B92BB2E">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总体施工部署、场地平面布置及说明[</w:t>
            </w:r>
            <w:r>
              <w:rPr>
                <w:rFonts w:hint="eastAsia" w:ascii="宋体" w:hAnsi="宋体" w:eastAsia="宋体" w:cs="宋体"/>
                <w:i w:val="0"/>
                <w:iCs w:val="0"/>
                <w:color w:val="auto"/>
                <w:kern w:val="2"/>
                <w:sz w:val="21"/>
                <w:szCs w:val="21"/>
                <w:highlight w:val="none"/>
                <w:lang w:val="en-US" w:eastAsia="zh-CN" w:bidi="ar"/>
              </w:rPr>
              <w:t>0</w:t>
            </w:r>
            <w:r>
              <w:rPr>
                <w:rFonts w:hint="eastAsia" w:ascii="宋体" w:hAnsi="宋体" w:eastAsia="宋体" w:cs="宋体"/>
                <w:i w:val="0"/>
                <w:iCs w:val="0"/>
                <w:color w:val="auto"/>
                <w:kern w:val="2"/>
                <w:sz w:val="21"/>
                <w:szCs w:val="21"/>
                <w:highlight w:val="none"/>
                <w:lang w:bidi="ar"/>
              </w:rPr>
              <w:t>-3]分</w:t>
            </w:r>
          </w:p>
        </w:tc>
        <w:tc>
          <w:tcPr>
            <w:tcW w:w="5092" w:type="dxa"/>
            <w:tcBorders>
              <w:top w:val="single" w:color="000000" w:sz="4" w:space="0"/>
              <w:left w:val="nil"/>
              <w:bottom w:val="single" w:color="000000" w:sz="4" w:space="0"/>
              <w:right w:val="single" w:color="000000" w:sz="4" w:space="0"/>
            </w:tcBorders>
            <w:noWrap/>
            <w:vAlign w:val="center"/>
          </w:tcPr>
          <w:p w14:paraId="232A3D62">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包括工程概况和承包范围、施工重点、难点分析、施工目标及风险分析、各单体工程/子单位工程、开竣工顺序、项目管理组织机构形式等。</w:t>
            </w:r>
          </w:p>
        </w:tc>
        <w:tc>
          <w:tcPr>
            <w:tcW w:w="2272" w:type="dxa"/>
            <w:tcBorders>
              <w:top w:val="single" w:color="000000" w:sz="4" w:space="0"/>
              <w:left w:val="nil"/>
              <w:bottom w:val="single" w:color="000000" w:sz="4" w:space="0"/>
              <w:right w:val="single" w:color="000000" w:sz="4" w:space="0"/>
            </w:tcBorders>
            <w:noWrap/>
            <w:vAlign w:val="center"/>
          </w:tcPr>
          <w:p w14:paraId="5EBBD544">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 xml:space="preserve">优秀（2.7-3.0]分  </w:t>
            </w:r>
          </w:p>
          <w:p w14:paraId="7F0D727D">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良好（2.4-2.7]分</w:t>
            </w:r>
          </w:p>
          <w:p w14:paraId="5C851B6F">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一般（</w:t>
            </w:r>
            <w:r>
              <w:rPr>
                <w:rFonts w:hint="eastAsia" w:ascii="宋体" w:hAnsi="宋体" w:eastAsia="宋体" w:cs="宋体"/>
                <w:i w:val="0"/>
                <w:iCs w:val="0"/>
                <w:color w:val="auto"/>
                <w:kern w:val="2"/>
                <w:sz w:val="21"/>
                <w:szCs w:val="21"/>
                <w:highlight w:val="none"/>
                <w:lang w:val="en-US" w:eastAsia="zh-CN" w:bidi="ar"/>
              </w:rPr>
              <w:t>2.1-</w:t>
            </w:r>
            <w:r>
              <w:rPr>
                <w:rFonts w:hint="eastAsia" w:ascii="宋体" w:hAnsi="宋体" w:eastAsia="宋体" w:cs="宋体"/>
                <w:i w:val="0"/>
                <w:iCs w:val="0"/>
                <w:color w:val="auto"/>
                <w:kern w:val="2"/>
                <w:sz w:val="21"/>
                <w:szCs w:val="21"/>
                <w:highlight w:val="none"/>
                <w:lang w:bidi="ar"/>
              </w:rPr>
              <w:t>2.4]分</w:t>
            </w:r>
          </w:p>
          <w:p w14:paraId="253E08E0">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未提供不得分</w:t>
            </w:r>
          </w:p>
        </w:tc>
      </w:tr>
      <w:tr w14:paraId="7F283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3" w:type="dxa"/>
            <w:tcBorders>
              <w:top w:val="single" w:color="000000" w:sz="4" w:space="0"/>
              <w:left w:val="single" w:color="000000" w:sz="4" w:space="0"/>
              <w:right w:val="single" w:color="000000" w:sz="4" w:space="0"/>
            </w:tcBorders>
            <w:noWrap/>
            <w:vAlign w:val="center"/>
          </w:tcPr>
          <w:p w14:paraId="55486C77">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2</w:t>
            </w:r>
          </w:p>
        </w:tc>
        <w:tc>
          <w:tcPr>
            <w:tcW w:w="1867" w:type="dxa"/>
            <w:tcBorders>
              <w:top w:val="single" w:color="000000" w:sz="4" w:space="0"/>
              <w:left w:val="nil"/>
              <w:right w:val="single" w:color="000000" w:sz="4" w:space="0"/>
            </w:tcBorders>
            <w:noWrap/>
            <w:vAlign w:val="center"/>
          </w:tcPr>
          <w:p w14:paraId="4A94127E">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主要施工方案[</w:t>
            </w:r>
            <w:r>
              <w:rPr>
                <w:rFonts w:hint="eastAsia" w:ascii="宋体" w:hAnsi="宋体" w:eastAsia="宋体" w:cs="宋体"/>
                <w:i w:val="0"/>
                <w:iCs w:val="0"/>
                <w:color w:val="auto"/>
                <w:kern w:val="2"/>
                <w:sz w:val="21"/>
                <w:szCs w:val="21"/>
                <w:highlight w:val="none"/>
                <w:lang w:val="en-US" w:eastAsia="zh-CN" w:bidi="ar"/>
              </w:rPr>
              <w:t>0</w:t>
            </w:r>
            <w:r>
              <w:rPr>
                <w:rFonts w:hint="eastAsia" w:ascii="宋体" w:hAnsi="宋体" w:eastAsia="宋体" w:cs="宋体"/>
                <w:i w:val="0"/>
                <w:iCs w:val="0"/>
                <w:color w:val="auto"/>
                <w:kern w:val="2"/>
                <w:sz w:val="21"/>
                <w:szCs w:val="21"/>
                <w:highlight w:val="none"/>
                <w:lang w:bidi="ar"/>
              </w:rPr>
              <w:t>-4.5]分</w:t>
            </w:r>
          </w:p>
        </w:tc>
        <w:tc>
          <w:tcPr>
            <w:tcW w:w="5092" w:type="dxa"/>
            <w:tcBorders>
              <w:top w:val="single" w:color="000000" w:sz="4" w:space="0"/>
              <w:left w:val="nil"/>
              <w:bottom w:val="single" w:color="000000" w:sz="4" w:space="0"/>
              <w:right w:val="single" w:color="000000" w:sz="4" w:space="0"/>
            </w:tcBorders>
            <w:noWrap/>
            <w:vAlign w:val="center"/>
          </w:tcPr>
          <w:p w14:paraId="16FD4308">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主要施工方案、施工工艺、施工工序安排是否科学、合理和先进；资源配置（如各施工阶段劳动力）计划的完整性、科学性、协调性等内容进行评分。</w:t>
            </w:r>
          </w:p>
        </w:tc>
        <w:tc>
          <w:tcPr>
            <w:tcW w:w="2272" w:type="dxa"/>
            <w:tcBorders>
              <w:top w:val="single" w:color="000000" w:sz="4" w:space="0"/>
              <w:left w:val="nil"/>
              <w:bottom w:val="single" w:color="000000" w:sz="4" w:space="0"/>
              <w:right w:val="single" w:color="000000" w:sz="4" w:space="0"/>
            </w:tcBorders>
            <w:noWrap/>
            <w:vAlign w:val="center"/>
          </w:tcPr>
          <w:p w14:paraId="4CE494A1">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优秀（</w:t>
            </w:r>
            <w:r>
              <w:rPr>
                <w:rFonts w:hint="eastAsia" w:ascii="宋体" w:hAnsi="宋体" w:eastAsia="宋体" w:cs="宋体"/>
                <w:i w:val="0"/>
                <w:iCs w:val="0"/>
                <w:color w:val="auto"/>
                <w:kern w:val="2"/>
                <w:sz w:val="21"/>
                <w:szCs w:val="21"/>
                <w:highlight w:val="none"/>
                <w:lang w:val="en-US" w:eastAsia="zh-CN" w:bidi="ar"/>
              </w:rPr>
              <w:t>4.05</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4.5</w:t>
            </w:r>
            <w:r>
              <w:rPr>
                <w:rFonts w:hint="eastAsia" w:ascii="宋体" w:hAnsi="宋体" w:eastAsia="宋体" w:cs="宋体"/>
                <w:i w:val="0"/>
                <w:iCs w:val="0"/>
                <w:color w:val="auto"/>
                <w:kern w:val="2"/>
                <w:sz w:val="21"/>
                <w:szCs w:val="21"/>
                <w:highlight w:val="none"/>
                <w:lang w:bidi="ar"/>
              </w:rPr>
              <w:t xml:space="preserve">]分  </w:t>
            </w:r>
          </w:p>
          <w:p w14:paraId="2981449D">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良好（</w:t>
            </w:r>
            <w:r>
              <w:rPr>
                <w:rFonts w:hint="eastAsia" w:ascii="宋体" w:hAnsi="宋体" w:eastAsia="宋体" w:cs="宋体"/>
                <w:i w:val="0"/>
                <w:iCs w:val="0"/>
                <w:color w:val="auto"/>
                <w:kern w:val="2"/>
                <w:sz w:val="21"/>
                <w:szCs w:val="21"/>
                <w:highlight w:val="none"/>
                <w:lang w:val="en-US" w:eastAsia="zh-CN" w:bidi="ar"/>
              </w:rPr>
              <w:t>3.6-4.05</w:t>
            </w:r>
            <w:r>
              <w:rPr>
                <w:rFonts w:hint="eastAsia" w:ascii="宋体" w:hAnsi="宋体" w:eastAsia="宋体" w:cs="宋体"/>
                <w:i w:val="0"/>
                <w:iCs w:val="0"/>
                <w:color w:val="auto"/>
                <w:kern w:val="2"/>
                <w:sz w:val="21"/>
                <w:szCs w:val="21"/>
                <w:highlight w:val="none"/>
                <w:lang w:bidi="ar"/>
              </w:rPr>
              <w:t>]分</w:t>
            </w:r>
          </w:p>
          <w:p w14:paraId="45C510C5">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一般（</w:t>
            </w:r>
            <w:r>
              <w:rPr>
                <w:rFonts w:hint="eastAsia" w:ascii="宋体" w:hAnsi="宋体" w:eastAsia="宋体" w:cs="宋体"/>
                <w:i w:val="0"/>
                <w:iCs w:val="0"/>
                <w:color w:val="auto"/>
                <w:kern w:val="2"/>
                <w:sz w:val="21"/>
                <w:szCs w:val="21"/>
                <w:highlight w:val="none"/>
                <w:lang w:val="en-US" w:eastAsia="zh-CN" w:bidi="ar"/>
              </w:rPr>
              <w:t>3.15</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3.6</w:t>
            </w:r>
            <w:r>
              <w:rPr>
                <w:rFonts w:hint="eastAsia" w:ascii="宋体" w:hAnsi="宋体" w:eastAsia="宋体" w:cs="宋体"/>
                <w:i w:val="0"/>
                <w:iCs w:val="0"/>
                <w:color w:val="auto"/>
                <w:kern w:val="2"/>
                <w:sz w:val="21"/>
                <w:szCs w:val="21"/>
                <w:highlight w:val="none"/>
                <w:lang w:bidi="ar"/>
              </w:rPr>
              <w:t>]分</w:t>
            </w:r>
          </w:p>
          <w:p w14:paraId="03925D5B">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未提供不得分</w:t>
            </w:r>
          </w:p>
        </w:tc>
      </w:tr>
      <w:tr w14:paraId="7DC6D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3" w:type="dxa"/>
            <w:tcBorders>
              <w:top w:val="single" w:color="000000" w:sz="4" w:space="0"/>
              <w:left w:val="single" w:color="000000" w:sz="4" w:space="0"/>
              <w:right w:val="single" w:color="000000" w:sz="4" w:space="0"/>
            </w:tcBorders>
            <w:noWrap/>
            <w:vAlign w:val="center"/>
          </w:tcPr>
          <w:p w14:paraId="70B0C9F7">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3</w:t>
            </w:r>
          </w:p>
        </w:tc>
        <w:tc>
          <w:tcPr>
            <w:tcW w:w="1867" w:type="dxa"/>
            <w:tcBorders>
              <w:top w:val="single" w:color="000000" w:sz="4" w:space="0"/>
              <w:left w:val="nil"/>
              <w:right w:val="single" w:color="000000" w:sz="4" w:space="0"/>
            </w:tcBorders>
            <w:noWrap/>
            <w:vAlign w:val="center"/>
          </w:tcPr>
          <w:p w14:paraId="4CE48409">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工程质量保障措施[</w:t>
            </w:r>
            <w:r>
              <w:rPr>
                <w:rFonts w:hint="eastAsia" w:ascii="宋体" w:hAnsi="宋体" w:eastAsia="宋体" w:cs="宋体"/>
                <w:i w:val="0"/>
                <w:iCs w:val="0"/>
                <w:color w:val="auto"/>
                <w:kern w:val="2"/>
                <w:sz w:val="21"/>
                <w:szCs w:val="21"/>
                <w:highlight w:val="none"/>
                <w:lang w:val="en-US" w:eastAsia="zh-CN" w:bidi="ar"/>
              </w:rPr>
              <w:t>0</w:t>
            </w:r>
            <w:r>
              <w:rPr>
                <w:rFonts w:hint="eastAsia" w:ascii="宋体" w:hAnsi="宋体" w:eastAsia="宋体" w:cs="宋体"/>
                <w:i w:val="0"/>
                <w:iCs w:val="0"/>
                <w:color w:val="auto"/>
                <w:kern w:val="2"/>
                <w:sz w:val="21"/>
                <w:szCs w:val="21"/>
                <w:highlight w:val="none"/>
                <w:lang w:bidi="ar"/>
              </w:rPr>
              <w:t>-3]分</w:t>
            </w:r>
          </w:p>
        </w:tc>
        <w:tc>
          <w:tcPr>
            <w:tcW w:w="5092" w:type="dxa"/>
            <w:tcBorders>
              <w:top w:val="single" w:color="000000" w:sz="4" w:space="0"/>
              <w:left w:val="nil"/>
              <w:bottom w:val="single" w:color="000000" w:sz="4" w:space="0"/>
              <w:right w:val="single" w:color="000000" w:sz="4" w:space="0"/>
            </w:tcBorders>
            <w:noWrap/>
            <w:vAlign w:val="center"/>
          </w:tcPr>
          <w:p w14:paraId="02AACC4F">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对质量目标分解及采取的对策、保证质量措施和质量检验的合理性、科学性等内容进行评分。</w:t>
            </w:r>
          </w:p>
        </w:tc>
        <w:tc>
          <w:tcPr>
            <w:tcW w:w="2272" w:type="dxa"/>
            <w:tcBorders>
              <w:top w:val="single" w:color="000000" w:sz="4" w:space="0"/>
              <w:left w:val="nil"/>
              <w:bottom w:val="single" w:color="000000" w:sz="4" w:space="0"/>
              <w:right w:val="single" w:color="000000" w:sz="4" w:space="0"/>
            </w:tcBorders>
            <w:noWrap/>
            <w:vAlign w:val="center"/>
          </w:tcPr>
          <w:p w14:paraId="73CC02E0">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 xml:space="preserve">优秀（2.7-3.0]分  </w:t>
            </w:r>
          </w:p>
          <w:p w14:paraId="40386B5F">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良好（2.4-2.7]分</w:t>
            </w:r>
          </w:p>
          <w:p w14:paraId="4E52B8FA">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一般（</w:t>
            </w:r>
            <w:r>
              <w:rPr>
                <w:rFonts w:hint="eastAsia" w:ascii="宋体" w:hAnsi="宋体" w:eastAsia="宋体" w:cs="宋体"/>
                <w:i w:val="0"/>
                <w:iCs w:val="0"/>
                <w:color w:val="auto"/>
                <w:kern w:val="2"/>
                <w:sz w:val="21"/>
                <w:szCs w:val="21"/>
                <w:highlight w:val="none"/>
                <w:lang w:val="en-US" w:eastAsia="zh-CN" w:bidi="ar"/>
              </w:rPr>
              <w:t>2.1-</w:t>
            </w:r>
            <w:r>
              <w:rPr>
                <w:rFonts w:hint="eastAsia" w:ascii="宋体" w:hAnsi="宋体" w:eastAsia="宋体" w:cs="宋体"/>
                <w:i w:val="0"/>
                <w:iCs w:val="0"/>
                <w:color w:val="auto"/>
                <w:kern w:val="2"/>
                <w:sz w:val="21"/>
                <w:szCs w:val="21"/>
                <w:highlight w:val="none"/>
                <w:lang w:bidi="ar"/>
              </w:rPr>
              <w:t>2.4]分</w:t>
            </w:r>
          </w:p>
          <w:p w14:paraId="7876711D">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未提供不得分</w:t>
            </w:r>
          </w:p>
        </w:tc>
      </w:tr>
      <w:tr w14:paraId="40CD3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653" w:type="dxa"/>
            <w:tcBorders>
              <w:top w:val="single" w:color="000000" w:sz="4" w:space="0"/>
              <w:left w:val="single" w:color="000000" w:sz="4" w:space="0"/>
              <w:bottom w:val="single" w:color="auto" w:sz="4" w:space="0"/>
              <w:right w:val="single" w:color="000000" w:sz="4" w:space="0"/>
            </w:tcBorders>
            <w:noWrap/>
            <w:vAlign w:val="center"/>
          </w:tcPr>
          <w:p w14:paraId="1B46C39B">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4</w:t>
            </w:r>
          </w:p>
        </w:tc>
        <w:tc>
          <w:tcPr>
            <w:tcW w:w="1867" w:type="dxa"/>
            <w:tcBorders>
              <w:top w:val="single" w:color="000000" w:sz="4" w:space="0"/>
              <w:left w:val="nil"/>
              <w:bottom w:val="single" w:color="auto" w:sz="4" w:space="0"/>
              <w:right w:val="single" w:color="000000" w:sz="4" w:space="0"/>
            </w:tcBorders>
            <w:noWrap/>
            <w:vAlign w:val="center"/>
          </w:tcPr>
          <w:p w14:paraId="688DF9D5">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施工进度计划和保障措施[</w:t>
            </w:r>
            <w:r>
              <w:rPr>
                <w:rFonts w:hint="eastAsia" w:ascii="宋体" w:hAnsi="宋体" w:eastAsia="宋体" w:cs="宋体"/>
                <w:i w:val="0"/>
                <w:iCs w:val="0"/>
                <w:color w:val="auto"/>
                <w:kern w:val="2"/>
                <w:sz w:val="21"/>
                <w:szCs w:val="21"/>
                <w:highlight w:val="none"/>
                <w:lang w:val="en-US" w:eastAsia="zh-CN" w:bidi="ar"/>
              </w:rPr>
              <w:t>0</w:t>
            </w:r>
            <w:r>
              <w:rPr>
                <w:rFonts w:hint="eastAsia" w:ascii="宋体" w:hAnsi="宋体" w:eastAsia="宋体" w:cs="宋体"/>
                <w:i w:val="0"/>
                <w:iCs w:val="0"/>
                <w:color w:val="auto"/>
                <w:kern w:val="2"/>
                <w:sz w:val="21"/>
                <w:szCs w:val="21"/>
                <w:highlight w:val="none"/>
                <w:lang w:bidi="ar"/>
              </w:rPr>
              <w:t>-3]分</w:t>
            </w:r>
          </w:p>
        </w:tc>
        <w:tc>
          <w:tcPr>
            <w:tcW w:w="5092" w:type="dxa"/>
            <w:tcBorders>
              <w:top w:val="single" w:color="000000" w:sz="4" w:space="0"/>
              <w:left w:val="nil"/>
              <w:bottom w:val="single" w:color="auto" w:sz="4" w:space="0"/>
              <w:right w:val="single" w:color="000000" w:sz="4" w:space="0"/>
            </w:tcBorders>
            <w:noWrap/>
            <w:vAlign w:val="center"/>
          </w:tcPr>
          <w:p w14:paraId="4F3CA81C">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施工总进度计划编制的合理性、周密性、可行性、路线清晰等内容进行评分；</w:t>
            </w:r>
          </w:p>
          <w:p w14:paraId="78C47EC4">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施工准备是否充分，包括资金保障能力强弱，民工工资保障方案，民工工资发放计划和保证措施，是否有零欠薪承诺等内容。</w:t>
            </w:r>
          </w:p>
        </w:tc>
        <w:tc>
          <w:tcPr>
            <w:tcW w:w="2272" w:type="dxa"/>
            <w:tcBorders>
              <w:top w:val="single" w:color="000000" w:sz="4" w:space="0"/>
              <w:left w:val="nil"/>
              <w:bottom w:val="single" w:color="000000" w:sz="4" w:space="0"/>
              <w:right w:val="single" w:color="000000" w:sz="4" w:space="0"/>
            </w:tcBorders>
            <w:noWrap/>
            <w:vAlign w:val="center"/>
          </w:tcPr>
          <w:p w14:paraId="2843E038">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 xml:space="preserve">优秀（2.7-3.0]分  </w:t>
            </w:r>
          </w:p>
          <w:p w14:paraId="0C6435F6">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良好（2.4-2.7]分</w:t>
            </w:r>
          </w:p>
          <w:p w14:paraId="6FADD1E6">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一般（</w:t>
            </w:r>
            <w:r>
              <w:rPr>
                <w:rFonts w:hint="eastAsia" w:ascii="宋体" w:hAnsi="宋体" w:eastAsia="宋体" w:cs="宋体"/>
                <w:i w:val="0"/>
                <w:iCs w:val="0"/>
                <w:color w:val="auto"/>
                <w:kern w:val="2"/>
                <w:sz w:val="21"/>
                <w:szCs w:val="21"/>
                <w:highlight w:val="none"/>
                <w:lang w:val="en-US" w:eastAsia="zh-CN" w:bidi="ar"/>
              </w:rPr>
              <w:t>2.1-</w:t>
            </w:r>
            <w:r>
              <w:rPr>
                <w:rFonts w:hint="eastAsia" w:ascii="宋体" w:hAnsi="宋体" w:eastAsia="宋体" w:cs="宋体"/>
                <w:i w:val="0"/>
                <w:iCs w:val="0"/>
                <w:color w:val="auto"/>
                <w:kern w:val="2"/>
                <w:sz w:val="21"/>
                <w:szCs w:val="21"/>
                <w:highlight w:val="none"/>
                <w:lang w:bidi="ar"/>
              </w:rPr>
              <w:t>2.4]分</w:t>
            </w:r>
          </w:p>
          <w:p w14:paraId="400E2074">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未提供不得分</w:t>
            </w:r>
          </w:p>
        </w:tc>
      </w:tr>
      <w:tr w14:paraId="33342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3" w:type="dxa"/>
            <w:tcBorders>
              <w:top w:val="single" w:color="auto" w:sz="4" w:space="0"/>
              <w:left w:val="single" w:color="000000" w:sz="4" w:space="0"/>
              <w:bottom w:val="single" w:color="000000" w:sz="4" w:space="0"/>
              <w:right w:val="single" w:color="000000" w:sz="4" w:space="0"/>
            </w:tcBorders>
            <w:noWrap/>
            <w:vAlign w:val="center"/>
          </w:tcPr>
          <w:p w14:paraId="679C92B8">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5</w:t>
            </w:r>
          </w:p>
        </w:tc>
        <w:tc>
          <w:tcPr>
            <w:tcW w:w="1867" w:type="dxa"/>
            <w:tcBorders>
              <w:top w:val="single" w:color="auto" w:sz="4" w:space="0"/>
              <w:left w:val="nil"/>
              <w:bottom w:val="single" w:color="000000" w:sz="4" w:space="0"/>
              <w:right w:val="single" w:color="000000" w:sz="4" w:space="0"/>
            </w:tcBorders>
            <w:noWrap/>
            <w:vAlign w:val="center"/>
          </w:tcPr>
          <w:p w14:paraId="6DF78A75">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安全生产、文明施工、环境保护措施</w:t>
            </w:r>
          </w:p>
          <w:p w14:paraId="1A88E0CC">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0</w:t>
            </w:r>
            <w:r>
              <w:rPr>
                <w:rFonts w:hint="eastAsia" w:ascii="宋体" w:hAnsi="宋体" w:eastAsia="宋体" w:cs="宋体"/>
                <w:i w:val="0"/>
                <w:iCs w:val="0"/>
                <w:color w:val="auto"/>
                <w:kern w:val="2"/>
                <w:sz w:val="21"/>
                <w:szCs w:val="21"/>
                <w:highlight w:val="none"/>
                <w:lang w:bidi="ar"/>
              </w:rPr>
              <w:t>-4.5]分</w:t>
            </w:r>
          </w:p>
        </w:tc>
        <w:tc>
          <w:tcPr>
            <w:tcW w:w="5092" w:type="dxa"/>
            <w:tcBorders>
              <w:top w:val="single" w:color="auto" w:sz="4" w:space="0"/>
              <w:left w:val="nil"/>
              <w:bottom w:val="single" w:color="000000" w:sz="4" w:space="0"/>
              <w:right w:val="single" w:color="000000" w:sz="4" w:space="0"/>
            </w:tcBorders>
            <w:noWrap/>
            <w:vAlign w:val="center"/>
          </w:tcPr>
          <w:p w14:paraId="70BC6162">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安全生产、文明管理等施工措施是否合理，对节约资源措施、环境保护措施（围挡、冲洗、排放等）、文明施工措施（建筑垃圾的管理与运输、清扫制度等）是否全面、合理、科学详细。</w:t>
            </w:r>
          </w:p>
        </w:tc>
        <w:tc>
          <w:tcPr>
            <w:tcW w:w="2272" w:type="dxa"/>
            <w:tcBorders>
              <w:top w:val="single" w:color="000000" w:sz="4" w:space="0"/>
              <w:left w:val="nil"/>
              <w:bottom w:val="single" w:color="000000" w:sz="4" w:space="0"/>
              <w:right w:val="single" w:color="000000" w:sz="4" w:space="0"/>
            </w:tcBorders>
            <w:noWrap/>
            <w:vAlign w:val="center"/>
          </w:tcPr>
          <w:p w14:paraId="0B793BBB">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优秀（</w:t>
            </w:r>
            <w:r>
              <w:rPr>
                <w:rFonts w:hint="eastAsia" w:ascii="宋体" w:hAnsi="宋体" w:eastAsia="宋体" w:cs="宋体"/>
                <w:i w:val="0"/>
                <w:iCs w:val="0"/>
                <w:color w:val="auto"/>
                <w:kern w:val="2"/>
                <w:sz w:val="21"/>
                <w:szCs w:val="21"/>
                <w:highlight w:val="none"/>
                <w:lang w:val="en-US" w:eastAsia="zh-CN" w:bidi="ar"/>
              </w:rPr>
              <w:t>4.05</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4.5</w:t>
            </w:r>
            <w:r>
              <w:rPr>
                <w:rFonts w:hint="eastAsia" w:ascii="宋体" w:hAnsi="宋体" w:eastAsia="宋体" w:cs="宋体"/>
                <w:i w:val="0"/>
                <w:iCs w:val="0"/>
                <w:color w:val="auto"/>
                <w:kern w:val="2"/>
                <w:sz w:val="21"/>
                <w:szCs w:val="21"/>
                <w:highlight w:val="none"/>
                <w:lang w:bidi="ar"/>
              </w:rPr>
              <w:t xml:space="preserve">]分  </w:t>
            </w:r>
          </w:p>
          <w:p w14:paraId="37CF2ECD">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良好（</w:t>
            </w:r>
            <w:r>
              <w:rPr>
                <w:rFonts w:hint="eastAsia" w:ascii="宋体" w:hAnsi="宋体" w:eastAsia="宋体" w:cs="宋体"/>
                <w:i w:val="0"/>
                <w:iCs w:val="0"/>
                <w:color w:val="auto"/>
                <w:kern w:val="2"/>
                <w:sz w:val="21"/>
                <w:szCs w:val="21"/>
                <w:highlight w:val="none"/>
                <w:lang w:val="en-US" w:eastAsia="zh-CN" w:bidi="ar"/>
              </w:rPr>
              <w:t>3.6</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4.05</w:t>
            </w:r>
            <w:r>
              <w:rPr>
                <w:rFonts w:hint="eastAsia" w:ascii="宋体" w:hAnsi="宋体" w:eastAsia="宋体" w:cs="宋体"/>
                <w:i w:val="0"/>
                <w:iCs w:val="0"/>
                <w:color w:val="auto"/>
                <w:kern w:val="2"/>
                <w:sz w:val="21"/>
                <w:szCs w:val="21"/>
                <w:highlight w:val="none"/>
                <w:lang w:bidi="ar"/>
              </w:rPr>
              <w:t>]分</w:t>
            </w:r>
          </w:p>
          <w:p w14:paraId="32EB61F8">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一般（</w:t>
            </w:r>
            <w:r>
              <w:rPr>
                <w:rFonts w:hint="eastAsia" w:ascii="宋体" w:hAnsi="宋体" w:eastAsia="宋体" w:cs="宋体"/>
                <w:i w:val="0"/>
                <w:iCs w:val="0"/>
                <w:color w:val="auto"/>
                <w:kern w:val="2"/>
                <w:sz w:val="21"/>
                <w:szCs w:val="21"/>
                <w:highlight w:val="none"/>
                <w:lang w:val="en-US" w:eastAsia="zh-CN" w:bidi="ar"/>
              </w:rPr>
              <w:t>3.15</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3.6</w:t>
            </w:r>
            <w:r>
              <w:rPr>
                <w:rFonts w:hint="eastAsia" w:ascii="宋体" w:hAnsi="宋体" w:eastAsia="宋体" w:cs="宋体"/>
                <w:i w:val="0"/>
                <w:iCs w:val="0"/>
                <w:color w:val="auto"/>
                <w:kern w:val="2"/>
                <w:sz w:val="21"/>
                <w:szCs w:val="21"/>
                <w:highlight w:val="none"/>
                <w:lang w:bidi="ar"/>
              </w:rPr>
              <w:t>]分</w:t>
            </w:r>
          </w:p>
          <w:p w14:paraId="66477506">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未提供不得分</w:t>
            </w:r>
          </w:p>
        </w:tc>
      </w:tr>
      <w:tr w14:paraId="2ABE5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3" w:type="dxa"/>
            <w:tcBorders>
              <w:top w:val="single" w:color="000000" w:sz="4" w:space="0"/>
              <w:left w:val="single" w:color="000000" w:sz="4" w:space="0"/>
              <w:bottom w:val="single" w:color="000000" w:sz="4" w:space="0"/>
              <w:right w:val="single" w:color="000000" w:sz="4" w:space="0"/>
            </w:tcBorders>
            <w:noWrap/>
            <w:vAlign w:val="center"/>
          </w:tcPr>
          <w:p w14:paraId="321DF91A">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6</w:t>
            </w:r>
          </w:p>
        </w:tc>
        <w:tc>
          <w:tcPr>
            <w:tcW w:w="1867" w:type="dxa"/>
            <w:tcBorders>
              <w:top w:val="single" w:color="000000" w:sz="4" w:space="0"/>
              <w:left w:val="nil"/>
              <w:bottom w:val="single" w:color="000000" w:sz="4" w:space="0"/>
              <w:right w:val="single" w:color="000000" w:sz="4" w:space="0"/>
            </w:tcBorders>
            <w:noWrap/>
            <w:vAlign w:val="center"/>
          </w:tcPr>
          <w:p w14:paraId="22F67A46">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项目管理人员配置情况</w:t>
            </w:r>
          </w:p>
          <w:p w14:paraId="377CCD4F">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0</w:t>
            </w:r>
            <w:r>
              <w:rPr>
                <w:rFonts w:hint="eastAsia" w:ascii="宋体" w:hAnsi="宋体" w:eastAsia="宋体" w:cs="宋体"/>
                <w:i w:val="0"/>
                <w:iCs w:val="0"/>
                <w:color w:val="auto"/>
                <w:kern w:val="2"/>
                <w:sz w:val="21"/>
                <w:szCs w:val="21"/>
                <w:highlight w:val="none"/>
                <w:lang w:bidi="ar"/>
              </w:rPr>
              <w:t>-3]分</w:t>
            </w:r>
          </w:p>
        </w:tc>
        <w:tc>
          <w:tcPr>
            <w:tcW w:w="5092" w:type="dxa"/>
            <w:tcBorders>
              <w:top w:val="single" w:color="000000" w:sz="4" w:space="0"/>
              <w:left w:val="nil"/>
              <w:bottom w:val="single" w:color="000000" w:sz="4" w:space="0"/>
              <w:right w:val="single" w:color="000000" w:sz="4" w:space="0"/>
            </w:tcBorders>
            <w:noWrap/>
            <w:vAlign w:val="center"/>
          </w:tcPr>
          <w:p w14:paraId="50482240">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项目实施组织形式是否合理，项目班子管理制度和各岗位专项人员是否配备齐全， 各岗位专项人员技术水平是否满足本项目，以及各岗位专项人员的工作经验是否充分。由专家综合评审打分。</w:t>
            </w:r>
          </w:p>
        </w:tc>
        <w:tc>
          <w:tcPr>
            <w:tcW w:w="2272" w:type="dxa"/>
            <w:tcBorders>
              <w:top w:val="single" w:color="000000" w:sz="4" w:space="0"/>
              <w:left w:val="nil"/>
              <w:bottom w:val="single" w:color="000000" w:sz="4" w:space="0"/>
              <w:right w:val="single" w:color="000000" w:sz="4" w:space="0"/>
            </w:tcBorders>
            <w:noWrap/>
            <w:vAlign w:val="center"/>
          </w:tcPr>
          <w:p w14:paraId="6A7302AA">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 xml:space="preserve">优秀（2.7-3.0]分  </w:t>
            </w:r>
          </w:p>
          <w:p w14:paraId="1FA72273">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良好（2.4-2.7]分</w:t>
            </w:r>
          </w:p>
          <w:p w14:paraId="73545F7F">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一般（</w:t>
            </w:r>
            <w:r>
              <w:rPr>
                <w:rFonts w:hint="eastAsia" w:ascii="宋体" w:hAnsi="宋体" w:eastAsia="宋体" w:cs="宋体"/>
                <w:i w:val="0"/>
                <w:iCs w:val="0"/>
                <w:color w:val="auto"/>
                <w:kern w:val="2"/>
                <w:sz w:val="21"/>
                <w:szCs w:val="21"/>
                <w:highlight w:val="none"/>
                <w:lang w:val="en-US" w:eastAsia="zh-CN" w:bidi="ar"/>
              </w:rPr>
              <w:t>1.2-</w:t>
            </w:r>
            <w:r>
              <w:rPr>
                <w:rFonts w:hint="eastAsia" w:ascii="宋体" w:hAnsi="宋体" w:eastAsia="宋体" w:cs="宋体"/>
                <w:i w:val="0"/>
                <w:iCs w:val="0"/>
                <w:color w:val="auto"/>
                <w:kern w:val="2"/>
                <w:sz w:val="21"/>
                <w:szCs w:val="21"/>
                <w:highlight w:val="none"/>
                <w:lang w:bidi="ar"/>
              </w:rPr>
              <w:t>2.4]分</w:t>
            </w:r>
          </w:p>
          <w:p w14:paraId="2E9976A3">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未提供不得分</w:t>
            </w:r>
          </w:p>
        </w:tc>
      </w:tr>
      <w:tr w14:paraId="51C46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3" w:type="dxa"/>
            <w:tcBorders>
              <w:top w:val="single" w:color="000000" w:sz="4" w:space="0"/>
              <w:left w:val="single" w:color="000000" w:sz="4" w:space="0"/>
              <w:bottom w:val="single" w:color="000000" w:sz="4" w:space="0"/>
              <w:right w:val="single" w:color="000000" w:sz="4" w:space="0"/>
            </w:tcBorders>
            <w:noWrap/>
            <w:vAlign w:val="center"/>
          </w:tcPr>
          <w:p w14:paraId="3BF88109">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7</w:t>
            </w:r>
          </w:p>
        </w:tc>
        <w:tc>
          <w:tcPr>
            <w:tcW w:w="1867" w:type="dxa"/>
            <w:tcBorders>
              <w:top w:val="single" w:color="000000" w:sz="4" w:space="0"/>
              <w:left w:val="nil"/>
              <w:bottom w:val="single" w:color="000000" w:sz="4" w:space="0"/>
              <w:right w:val="single" w:color="000000" w:sz="4" w:space="0"/>
            </w:tcBorders>
            <w:noWrap/>
            <w:vAlign w:val="center"/>
          </w:tcPr>
          <w:p w14:paraId="25B4B907">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主要施工设备配置情况</w:t>
            </w:r>
          </w:p>
          <w:p w14:paraId="1CF6C830">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0</w:t>
            </w:r>
            <w:r>
              <w:rPr>
                <w:rFonts w:hint="eastAsia" w:ascii="宋体" w:hAnsi="宋体" w:eastAsia="宋体" w:cs="宋体"/>
                <w:i w:val="0"/>
                <w:iCs w:val="0"/>
                <w:color w:val="auto"/>
                <w:kern w:val="2"/>
                <w:sz w:val="21"/>
                <w:szCs w:val="21"/>
                <w:highlight w:val="none"/>
                <w:lang w:bidi="ar"/>
              </w:rPr>
              <w:t>-1.5]分</w:t>
            </w:r>
          </w:p>
        </w:tc>
        <w:tc>
          <w:tcPr>
            <w:tcW w:w="5092" w:type="dxa"/>
            <w:tcBorders>
              <w:top w:val="single" w:color="000000" w:sz="4" w:space="0"/>
              <w:left w:val="nil"/>
              <w:bottom w:val="single" w:color="000000" w:sz="4" w:space="0"/>
              <w:right w:val="single" w:color="000000" w:sz="4" w:space="0"/>
            </w:tcBorders>
            <w:noWrap/>
            <w:vAlign w:val="center"/>
          </w:tcPr>
          <w:p w14:paraId="1B3DCD92">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根据本工程特点、实际场地情况，制定科学、合理的施工设备配置方案。由专家综合评审打分。</w:t>
            </w:r>
          </w:p>
        </w:tc>
        <w:tc>
          <w:tcPr>
            <w:tcW w:w="2272" w:type="dxa"/>
            <w:tcBorders>
              <w:top w:val="single" w:color="000000" w:sz="4" w:space="0"/>
              <w:left w:val="nil"/>
              <w:bottom w:val="single" w:color="000000" w:sz="4" w:space="0"/>
              <w:right w:val="single" w:color="000000" w:sz="4" w:space="0"/>
            </w:tcBorders>
            <w:noWrap/>
            <w:vAlign w:val="center"/>
          </w:tcPr>
          <w:p w14:paraId="2C665297">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优秀（</w:t>
            </w:r>
            <w:r>
              <w:rPr>
                <w:rFonts w:hint="eastAsia" w:ascii="宋体" w:hAnsi="宋体" w:eastAsia="宋体" w:cs="宋体"/>
                <w:i w:val="0"/>
                <w:iCs w:val="0"/>
                <w:color w:val="auto"/>
                <w:kern w:val="2"/>
                <w:sz w:val="21"/>
                <w:szCs w:val="21"/>
                <w:highlight w:val="none"/>
                <w:lang w:val="en-US" w:eastAsia="zh-CN" w:bidi="ar"/>
              </w:rPr>
              <w:t>1.35</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1.5</w:t>
            </w:r>
            <w:r>
              <w:rPr>
                <w:rFonts w:hint="eastAsia" w:ascii="宋体" w:hAnsi="宋体" w:eastAsia="宋体" w:cs="宋体"/>
                <w:i w:val="0"/>
                <w:iCs w:val="0"/>
                <w:color w:val="auto"/>
                <w:kern w:val="2"/>
                <w:sz w:val="21"/>
                <w:szCs w:val="21"/>
                <w:highlight w:val="none"/>
                <w:lang w:bidi="ar"/>
              </w:rPr>
              <w:t xml:space="preserve">]分  </w:t>
            </w:r>
          </w:p>
          <w:p w14:paraId="55CB484C">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良好（</w:t>
            </w:r>
            <w:r>
              <w:rPr>
                <w:rFonts w:hint="eastAsia" w:ascii="宋体" w:hAnsi="宋体" w:eastAsia="宋体" w:cs="宋体"/>
                <w:i w:val="0"/>
                <w:iCs w:val="0"/>
                <w:color w:val="auto"/>
                <w:kern w:val="2"/>
                <w:sz w:val="21"/>
                <w:szCs w:val="21"/>
                <w:highlight w:val="none"/>
                <w:lang w:val="en-US" w:eastAsia="zh-CN" w:bidi="ar"/>
              </w:rPr>
              <w:t>1.2</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1.35</w:t>
            </w:r>
            <w:r>
              <w:rPr>
                <w:rFonts w:hint="eastAsia" w:ascii="宋体" w:hAnsi="宋体" w:eastAsia="宋体" w:cs="宋体"/>
                <w:i w:val="0"/>
                <w:iCs w:val="0"/>
                <w:color w:val="auto"/>
                <w:kern w:val="2"/>
                <w:sz w:val="21"/>
                <w:szCs w:val="21"/>
                <w:highlight w:val="none"/>
                <w:lang w:bidi="ar"/>
              </w:rPr>
              <w:t>]分</w:t>
            </w:r>
          </w:p>
          <w:p w14:paraId="05952F49">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一般（</w:t>
            </w:r>
            <w:r>
              <w:rPr>
                <w:rFonts w:hint="eastAsia" w:ascii="宋体" w:hAnsi="宋体" w:eastAsia="宋体" w:cs="宋体"/>
                <w:i w:val="0"/>
                <w:iCs w:val="0"/>
                <w:color w:val="auto"/>
                <w:kern w:val="2"/>
                <w:sz w:val="21"/>
                <w:szCs w:val="21"/>
                <w:highlight w:val="none"/>
                <w:lang w:val="en-US" w:eastAsia="zh-CN" w:bidi="ar"/>
              </w:rPr>
              <w:t>1.05</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1.2</w:t>
            </w:r>
            <w:r>
              <w:rPr>
                <w:rFonts w:hint="eastAsia" w:ascii="宋体" w:hAnsi="宋体" w:eastAsia="宋体" w:cs="宋体"/>
                <w:i w:val="0"/>
                <w:iCs w:val="0"/>
                <w:color w:val="auto"/>
                <w:kern w:val="2"/>
                <w:sz w:val="21"/>
                <w:szCs w:val="21"/>
                <w:highlight w:val="none"/>
                <w:lang w:bidi="ar"/>
              </w:rPr>
              <w:t>]分</w:t>
            </w:r>
          </w:p>
          <w:p w14:paraId="32599A06">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未提供不得分</w:t>
            </w:r>
          </w:p>
        </w:tc>
      </w:tr>
      <w:tr w14:paraId="10559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3" w:type="dxa"/>
            <w:tcBorders>
              <w:top w:val="single" w:color="000000" w:sz="4" w:space="0"/>
              <w:left w:val="single" w:color="000000" w:sz="4" w:space="0"/>
              <w:bottom w:val="single" w:color="000000" w:sz="4" w:space="0"/>
              <w:right w:val="single" w:color="000000" w:sz="4" w:space="0"/>
            </w:tcBorders>
            <w:noWrap/>
            <w:vAlign w:val="center"/>
          </w:tcPr>
          <w:p w14:paraId="5F4F9B47">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8</w:t>
            </w:r>
          </w:p>
        </w:tc>
        <w:tc>
          <w:tcPr>
            <w:tcW w:w="1867" w:type="dxa"/>
            <w:tcBorders>
              <w:top w:val="single" w:color="000000" w:sz="4" w:space="0"/>
              <w:left w:val="nil"/>
              <w:bottom w:val="single" w:color="000000" w:sz="4" w:space="0"/>
              <w:right w:val="single" w:color="000000" w:sz="4" w:space="0"/>
            </w:tcBorders>
            <w:noWrap/>
            <w:vAlign w:val="center"/>
          </w:tcPr>
          <w:p w14:paraId="4A943C39">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针对本工程的重点、难点和关键部分进行分析并阐明可行的施工组织方案</w:t>
            </w:r>
          </w:p>
          <w:p w14:paraId="7E99E4FF">
            <w:pPr>
              <w:keepNext w:val="0"/>
              <w:keepLines w:val="0"/>
              <w:suppressLineNumbers w:val="0"/>
              <w:autoSpaceDE/>
              <w:autoSpaceDN/>
              <w:adjustRightInd/>
              <w:spacing w:before="0" w:beforeAutospacing="0" w:after="0" w:afterAutospacing="0" w:line="40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0</w:t>
            </w:r>
            <w:r>
              <w:rPr>
                <w:rFonts w:hint="eastAsia" w:ascii="宋体" w:hAnsi="宋体" w:eastAsia="宋体" w:cs="宋体"/>
                <w:i w:val="0"/>
                <w:iCs w:val="0"/>
                <w:color w:val="auto"/>
                <w:kern w:val="2"/>
                <w:sz w:val="21"/>
                <w:szCs w:val="21"/>
                <w:highlight w:val="none"/>
                <w:lang w:bidi="ar"/>
              </w:rPr>
              <w:t>-7.5]分</w:t>
            </w:r>
          </w:p>
        </w:tc>
        <w:tc>
          <w:tcPr>
            <w:tcW w:w="5092" w:type="dxa"/>
            <w:tcBorders>
              <w:top w:val="single" w:color="000000" w:sz="4" w:space="0"/>
              <w:left w:val="nil"/>
              <w:bottom w:val="single" w:color="000000" w:sz="4" w:space="0"/>
              <w:right w:val="single" w:color="000000" w:sz="4" w:space="0"/>
            </w:tcBorders>
            <w:noWrap/>
            <w:vAlign w:val="center"/>
          </w:tcPr>
          <w:p w14:paraId="4B4780A0">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bidi="ar"/>
              </w:rPr>
              <w:t>针对本工程的重点、难点和关键部分进行分析并阐明可行的施工组织方案</w:t>
            </w:r>
            <w:r>
              <w:rPr>
                <w:rFonts w:hint="eastAsia" w:ascii="宋体" w:hAnsi="宋体" w:eastAsia="宋体" w:cs="宋体"/>
                <w:i w:val="0"/>
                <w:iCs w:val="0"/>
                <w:color w:val="auto"/>
                <w:kern w:val="2"/>
                <w:sz w:val="21"/>
                <w:szCs w:val="21"/>
                <w:highlight w:val="none"/>
                <w:lang w:eastAsia="zh-CN" w:bidi="ar"/>
              </w:rPr>
              <w:t>（</w:t>
            </w:r>
            <w:r>
              <w:rPr>
                <w:rFonts w:hint="eastAsia" w:ascii="宋体" w:hAnsi="宋体" w:eastAsia="宋体" w:cs="宋体"/>
                <w:i w:val="0"/>
                <w:iCs w:val="0"/>
                <w:color w:val="auto"/>
                <w:kern w:val="2"/>
                <w:sz w:val="21"/>
                <w:szCs w:val="21"/>
                <w:highlight w:val="none"/>
                <w:lang w:val="en-US" w:eastAsia="zh-CN" w:bidi="ar"/>
              </w:rPr>
              <w:t>包括但不限于绿化、景观、地下室、幕墙等</w:t>
            </w:r>
            <w:r>
              <w:rPr>
                <w:rFonts w:hint="eastAsia" w:ascii="宋体" w:hAnsi="宋体" w:eastAsia="宋体" w:cs="宋体"/>
                <w:i w:val="0"/>
                <w:iCs w:val="0"/>
                <w:color w:val="auto"/>
                <w:kern w:val="2"/>
                <w:sz w:val="21"/>
                <w:szCs w:val="21"/>
                <w:highlight w:val="none"/>
                <w:lang w:eastAsia="zh-CN" w:bidi="ar"/>
              </w:rPr>
              <w:t>）</w:t>
            </w:r>
            <w:r>
              <w:rPr>
                <w:rFonts w:hint="eastAsia" w:ascii="宋体" w:hAnsi="宋体" w:eastAsia="宋体" w:cs="宋体"/>
                <w:i w:val="0"/>
                <w:iCs w:val="0"/>
                <w:color w:val="auto"/>
                <w:kern w:val="2"/>
                <w:sz w:val="21"/>
                <w:szCs w:val="21"/>
                <w:highlight w:val="none"/>
              </w:rPr>
              <w:t>。</w:t>
            </w:r>
            <w:r>
              <w:rPr>
                <w:rFonts w:hint="eastAsia" w:ascii="宋体" w:hAnsi="宋体" w:eastAsia="宋体" w:cs="宋体"/>
                <w:i w:val="0"/>
                <w:iCs w:val="0"/>
                <w:color w:val="auto"/>
                <w:kern w:val="2"/>
                <w:sz w:val="21"/>
                <w:szCs w:val="21"/>
                <w:highlight w:val="none"/>
                <w:lang w:bidi="ar"/>
              </w:rPr>
              <w:t>由专家综合评审打分。</w:t>
            </w:r>
          </w:p>
        </w:tc>
        <w:tc>
          <w:tcPr>
            <w:tcW w:w="2272" w:type="dxa"/>
            <w:tcBorders>
              <w:top w:val="single" w:color="000000" w:sz="4" w:space="0"/>
              <w:left w:val="nil"/>
              <w:bottom w:val="single" w:color="000000" w:sz="4" w:space="0"/>
              <w:right w:val="single" w:color="000000" w:sz="4" w:space="0"/>
            </w:tcBorders>
            <w:noWrap/>
            <w:vAlign w:val="center"/>
          </w:tcPr>
          <w:p w14:paraId="08FB2F8A">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优秀（</w:t>
            </w:r>
            <w:r>
              <w:rPr>
                <w:rFonts w:hint="eastAsia" w:ascii="宋体" w:hAnsi="宋体" w:eastAsia="宋体" w:cs="宋体"/>
                <w:i w:val="0"/>
                <w:iCs w:val="0"/>
                <w:color w:val="auto"/>
                <w:kern w:val="2"/>
                <w:sz w:val="21"/>
                <w:szCs w:val="21"/>
                <w:highlight w:val="none"/>
                <w:lang w:val="en-US" w:eastAsia="zh-CN" w:bidi="ar"/>
              </w:rPr>
              <w:t>6.75</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7.5</w:t>
            </w:r>
            <w:r>
              <w:rPr>
                <w:rFonts w:hint="eastAsia" w:ascii="宋体" w:hAnsi="宋体" w:eastAsia="宋体" w:cs="宋体"/>
                <w:i w:val="0"/>
                <w:iCs w:val="0"/>
                <w:color w:val="auto"/>
                <w:kern w:val="2"/>
                <w:sz w:val="21"/>
                <w:szCs w:val="21"/>
                <w:highlight w:val="none"/>
                <w:lang w:bidi="ar"/>
              </w:rPr>
              <w:t xml:space="preserve">]分  </w:t>
            </w:r>
          </w:p>
          <w:p w14:paraId="58DD9AC2">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良好（</w:t>
            </w:r>
            <w:r>
              <w:rPr>
                <w:rFonts w:hint="eastAsia" w:ascii="宋体" w:hAnsi="宋体" w:eastAsia="宋体" w:cs="宋体"/>
                <w:i w:val="0"/>
                <w:iCs w:val="0"/>
                <w:color w:val="auto"/>
                <w:kern w:val="2"/>
                <w:sz w:val="21"/>
                <w:szCs w:val="21"/>
                <w:highlight w:val="none"/>
                <w:lang w:val="en-US" w:eastAsia="zh-CN" w:bidi="ar"/>
              </w:rPr>
              <w:t>6.0</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6.75</w:t>
            </w:r>
            <w:r>
              <w:rPr>
                <w:rFonts w:hint="eastAsia" w:ascii="宋体" w:hAnsi="宋体" w:eastAsia="宋体" w:cs="宋体"/>
                <w:i w:val="0"/>
                <w:iCs w:val="0"/>
                <w:color w:val="auto"/>
                <w:kern w:val="2"/>
                <w:sz w:val="21"/>
                <w:szCs w:val="21"/>
                <w:highlight w:val="none"/>
                <w:lang w:bidi="ar"/>
              </w:rPr>
              <w:t>]分</w:t>
            </w:r>
          </w:p>
          <w:p w14:paraId="24B10D4A">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一般（</w:t>
            </w:r>
            <w:r>
              <w:rPr>
                <w:rFonts w:hint="eastAsia" w:ascii="宋体" w:hAnsi="宋体" w:eastAsia="宋体" w:cs="宋体"/>
                <w:i w:val="0"/>
                <w:iCs w:val="0"/>
                <w:color w:val="auto"/>
                <w:kern w:val="2"/>
                <w:sz w:val="21"/>
                <w:szCs w:val="21"/>
                <w:highlight w:val="none"/>
                <w:lang w:val="en-US" w:eastAsia="zh-CN" w:bidi="ar"/>
              </w:rPr>
              <w:t>5.25</w:t>
            </w:r>
            <w:r>
              <w:rPr>
                <w:rFonts w:hint="eastAsia" w:ascii="宋体" w:hAnsi="宋体" w:eastAsia="宋体" w:cs="宋体"/>
                <w:i w:val="0"/>
                <w:iCs w:val="0"/>
                <w:color w:val="auto"/>
                <w:kern w:val="2"/>
                <w:sz w:val="21"/>
                <w:szCs w:val="21"/>
                <w:highlight w:val="none"/>
                <w:lang w:bidi="ar"/>
              </w:rPr>
              <w:t>-</w:t>
            </w:r>
            <w:r>
              <w:rPr>
                <w:rFonts w:hint="eastAsia" w:ascii="宋体" w:hAnsi="宋体" w:eastAsia="宋体" w:cs="宋体"/>
                <w:i w:val="0"/>
                <w:iCs w:val="0"/>
                <w:color w:val="auto"/>
                <w:kern w:val="2"/>
                <w:sz w:val="21"/>
                <w:szCs w:val="21"/>
                <w:highlight w:val="none"/>
                <w:lang w:val="en-US" w:eastAsia="zh-CN" w:bidi="ar"/>
              </w:rPr>
              <w:t>6.0</w:t>
            </w:r>
            <w:r>
              <w:rPr>
                <w:rFonts w:hint="eastAsia" w:ascii="宋体" w:hAnsi="宋体" w:eastAsia="宋体" w:cs="宋体"/>
                <w:i w:val="0"/>
                <w:iCs w:val="0"/>
                <w:color w:val="auto"/>
                <w:kern w:val="2"/>
                <w:sz w:val="21"/>
                <w:szCs w:val="21"/>
                <w:highlight w:val="none"/>
                <w:lang w:bidi="ar"/>
              </w:rPr>
              <w:t>]分</w:t>
            </w:r>
          </w:p>
          <w:p w14:paraId="7B7E891A">
            <w:pPr>
              <w:keepNext w:val="0"/>
              <w:keepLines w:val="0"/>
              <w:suppressLineNumbers w:val="0"/>
              <w:autoSpaceDE/>
              <w:autoSpaceDN/>
              <w:adjustRightInd/>
              <w:spacing w:before="0" w:beforeAutospacing="0" w:after="0" w:afterAutospacing="0" w:line="400" w:lineRule="exact"/>
              <w:ind w:left="0" w:right="0"/>
              <w:jc w:val="both"/>
              <w:rPr>
                <w:rFonts w:hint="eastAsia" w:ascii="宋体" w:hAnsi="宋体" w:eastAsia="宋体" w:cs="宋体"/>
                <w:i w:val="0"/>
                <w:iCs w:val="0"/>
                <w:color w:val="auto"/>
                <w:kern w:val="2"/>
                <w:sz w:val="21"/>
                <w:szCs w:val="21"/>
                <w:highlight w:val="none"/>
                <w:lang w:bidi="ar"/>
              </w:rPr>
            </w:pPr>
            <w:r>
              <w:rPr>
                <w:rFonts w:hint="eastAsia" w:ascii="宋体" w:hAnsi="宋体" w:eastAsia="宋体" w:cs="宋体"/>
                <w:i w:val="0"/>
                <w:iCs w:val="0"/>
                <w:color w:val="auto"/>
                <w:kern w:val="2"/>
                <w:sz w:val="21"/>
                <w:szCs w:val="21"/>
                <w:highlight w:val="none"/>
                <w:lang w:bidi="ar"/>
              </w:rPr>
              <w:t>未提供不得分</w:t>
            </w:r>
          </w:p>
        </w:tc>
      </w:tr>
    </w:tbl>
    <w:p w14:paraId="61CBBF3C">
      <w:pPr>
        <w:autoSpaceDN/>
        <w:ind w:firstLine="482" w:firstLineChars="200"/>
        <w:jc w:val="both"/>
        <w:rPr>
          <w:rFonts w:ascii="Times New Roman" w:hAnsi="Times New Roman" w:eastAsia="仿宋_GB2312" w:cs="仿宋_GB2312"/>
          <w:i w:val="0"/>
          <w:iCs w:val="0"/>
          <w:color w:val="auto"/>
          <w:highlight w:val="none"/>
        </w:rPr>
      </w:pPr>
      <w:r>
        <w:rPr>
          <w:rFonts w:hint="eastAsia" w:ascii="Times New Roman" w:hAnsi="Times New Roman" w:eastAsia="宋体" w:cs="Times New Roman"/>
          <w:b/>
          <w:i w:val="0"/>
          <w:iCs w:val="0"/>
          <w:color w:val="auto"/>
          <w:highlight w:val="none"/>
        </w:rPr>
        <w:t>注：</w:t>
      </w:r>
      <w:r>
        <w:rPr>
          <w:rFonts w:hint="eastAsia" w:ascii="宋体" w:hAnsi="宋体" w:eastAsia="宋体" w:cs="Times New Roman"/>
          <w:i w:val="0"/>
          <w:iCs w:val="0"/>
          <w:color w:val="auto"/>
          <w:highlight w:val="none"/>
        </w:rPr>
        <w:t>技术标评审通过的但技术标</w:t>
      </w:r>
      <w:r>
        <w:rPr>
          <w:rFonts w:hint="eastAsia" w:ascii="Times New Roman" w:hAnsi="Times New Roman" w:eastAsia="宋体" w:cs="Times New Roman"/>
          <w:b/>
          <w:i w:val="0"/>
          <w:iCs w:val="0"/>
          <w:color w:val="auto"/>
          <w:highlight w:val="none"/>
        </w:rPr>
        <w:t>缺项，该项得0分。</w:t>
      </w:r>
    </w:p>
    <w:p w14:paraId="3B8DB08C">
      <w:pPr>
        <w:widowControl w:val="0"/>
        <w:numPr>
          <w:ilvl w:val="0"/>
          <w:numId w:val="37"/>
        </w:numPr>
        <w:autoSpaceDE w:val="0"/>
        <w:autoSpaceDN w:val="0"/>
        <w:adjustRightInd w:val="0"/>
        <w:snapToGrid w:val="0"/>
        <w:spacing w:before="120" w:beforeLines="50"/>
        <w:ind w:left="0" w:firstLine="482" w:firstLineChars="200"/>
        <w:rPr>
          <w:rFonts w:ascii="宋体" w:hAnsi="宋体" w:eastAsia="宋体" w:cs="Times New Roman"/>
          <w:b/>
          <w:i w:val="0"/>
          <w:iCs w:val="0"/>
          <w:color w:val="auto"/>
          <w:sz w:val="24"/>
          <w:szCs w:val="24"/>
          <w:highlight w:val="none"/>
          <w:lang w:val="en-US" w:eastAsia="zh-CN" w:bidi="ar-SA"/>
        </w:rPr>
      </w:pPr>
      <w:r>
        <w:rPr>
          <w:rFonts w:hint="eastAsia" w:ascii="宋体" w:hAnsi="宋体" w:eastAsia="宋体" w:cs="Times New Roman"/>
          <w:b/>
          <w:i w:val="0"/>
          <w:iCs w:val="0"/>
          <w:color w:val="auto"/>
          <w:sz w:val="24"/>
          <w:szCs w:val="24"/>
          <w:highlight w:val="none"/>
          <w:lang w:val="en-US" w:eastAsia="zh-CN" w:bidi="ar-SA"/>
        </w:rPr>
        <w:t>初步评审</w:t>
      </w:r>
    </w:p>
    <w:p w14:paraId="1898A2B3">
      <w:pPr>
        <w:snapToGrid w:val="0"/>
        <w:ind w:firstLine="480" w:firstLineChars="200"/>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评标委员会对通过技术标评审和资格审查的投标文件进行初步评审，投标人存在投标人须知前附表</w:t>
      </w:r>
      <w:r>
        <w:rPr>
          <w:rFonts w:hint="eastAsia" w:ascii="Times New Roman" w:hAnsi="Times New Roman" w:eastAsia="宋体" w:cs="Times New Roman"/>
          <w:i w:val="0"/>
          <w:iCs w:val="0"/>
          <w:color w:val="auto"/>
          <w:highlight w:val="none"/>
        </w:rPr>
        <w:t>10.5</w:t>
      </w:r>
      <w:r>
        <w:rPr>
          <w:rFonts w:hint="eastAsia" w:ascii="宋体" w:hAnsi="宋体" w:eastAsia="宋体" w:cs="Times New Roman"/>
          <w:i w:val="0"/>
          <w:iCs w:val="0"/>
          <w:color w:val="auto"/>
          <w:highlight w:val="none"/>
        </w:rPr>
        <w:t>情形之一的，评标委员会组织投标人询问核实后，情况属实的，初步评审不予通过，否决其投标。</w:t>
      </w:r>
    </w:p>
    <w:p w14:paraId="1CF38D02">
      <w:pPr>
        <w:widowControl w:val="0"/>
        <w:numPr>
          <w:ilvl w:val="0"/>
          <w:numId w:val="37"/>
        </w:numPr>
        <w:autoSpaceDE w:val="0"/>
        <w:autoSpaceDN w:val="0"/>
        <w:adjustRightInd w:val="0"/>
        <w:snapToGrid w:val="0"/>
        <w:spacing w:before="120" w:beforeLines="50"/>
        <w:ind w:left="0" w:firstLine="482" w:firstLineChars="200"/>
        <w:rPr>
          <w:rFonts w:ascii="宋体" w:hAnsi="宋体" w:eastAsia="宋体" w:cs="Times New Roman"/>
          <w:b/>
          <w:i w:val="0"/>
          <w:iCs w:val="0"/>
          <w:color w:val="auto"/>
          <w:sz w:val="24"/>
          <w:szCs w:val="24"/>
          <w:highlight w:val="none"/>
          <w:lang w:val="en-US" w:eastAsia="zh-CN" w:bidi="ar-SA"/>
        </w:rPr>
      </w:pPr>
      <w:r>
        <w:rPr>
          <w:rFonts w:ascii="宋体" w:hAnsi="宋体" w:eastAsia="宋体" w:cs="Times New Roman"/>
          <w:b/>
          <w:i w:val="0"/>
          <w:iCs w:val="0"/>
          <w:color w:val="auto"/>
          <w:sz w:val="24"/>
          <w:szCs w:val="24"/>
          <w:highlight w:val="none"/>
          <w:lang w:val="en-US" w:eastAsia="zh-CN" w:bidi="ar-SA"/>
        </w:rPr>
        <w:t>资信标评审（</w:t>
      </w:r>
      <w:r>
        <w:rPr>
          <w:rFonts w:hint="eastAsia" w:ascii="宋体" w:hAnsi="宋体" w:eastAsia="宋体" w:cs="Times New Roman"/>
          <w:b/>
          <w:i w:val="0"/>
          <w:iCs w:val="0"/>
          <w:color w:val="auto"/>
          <w:sz w:val="24"/>
          <w:szCs w:val="24"/>
          <w:highlight w:val="none"/>
          <w:lang w:val="en-US" w:eastAsia="zh-CN" w:bidi="ar-SA"/>
        </w:rPr>
        <w:t>10分）</w:t>
      </w:r>
    </w:p>
    <w:p w14:paraId="6E870868">
      <w:pPr>
        <w:widowControl w:val="0"/>
        <w:autoSpaceDE w:val="0"/>
        <w:autoSpaceDN w:val="0"/>
        <w:adjustRightInd/>
        <w:snapToGrid/>
        <w:spacing w:line="240" w:lineRule="auto"/>
        <w:ind w:firstLine="480" w:firstLineChars="200"/>
        <w:jc w:val="both"/>
        <w:rPr>
          <w:rFonts w:ascii="Times New Roman" w:hAnsi="宋体" w:eastAsia="宋体" w:cs="Times New Roman"/>
          <w:i w:val="0"/>
          <w:iCs w:val="0"/>
          <w:color w:val="auto"/>
          <w:spacing w:val="-12"/>
          <w:kern w:val="2"/>
          <w:sz w:val="24"/>
          <w:szCs w:val="24"/>
          <w:highlight w:val="none"/>
          <w:lang w:val="en-US" w:eastAsia="zh-CN" w:bidi="ar-SA"/>
        </w:rPr>
      </w:pPr>
      <w:r>
        <w:rPr>
          <w:rFonts w:ascii="Times New Roman" w:hAnsi="宋体" w:eastAsia="宋体" w:cs="Times New Roman"/>
          <w:i w:val="0"/>
          <w:iCs w:val="0"/>
          <w:color w:val="auto"/>
          <w:kern w:val="0"/>
          <w:sz w:val="24"/>
          <w:szCs w:val="24"/>
          <w:highlight w:val="none"/>
          <w:lang w:val="en-US" w:eastAsia="zh-CN" w:bidi="ar-SA"/>
        </w:rPr>
        <w:t>资信分可根据投标单位的企业综合实力、类似工程业绩、建设主管部门的信用评价体系、项目负责人及项目班子人员能力等因素进行设置，具体内容和分值由招标人自行确定</w:t>
      </w:r>
      <w:r>
        <w:rPr>
          <w:rFonts w:ascii="Times New Roman" w:hAnsi="宋体" w:eastAsia="宋体" w:cs="Times New Roman"/>
          <w:i w:val="0"/>
          <w:iCs w:val="0"/>
          <w:color w:val="auto"/>
          <w:spacing w:val="-12"/>
          <w:kern w:val="2"/>
          <w:sz w:val="24"/>
          <w:szCs w:val="24"/>
          <w:highlight w:val="none"/>
          <w:lang w:val="en-US" w:eastAsia="zh-CN" w:bidi="ar-SA"/>
        </w:rPr>
        <w:t>。</w:t>
      </w:r>
    </w:p>
    <w:p w14:paraId="51401D0C">
      <w:pPr>
        <w:widowControl w:val="0"/>
        <w:autoSpaceDE w:val="0"/>
        <w:autoSpaceDN/>
        <w:adjustRightInd w:val="0"/>
        <w:snapToGrid w:val="0"/>
        <w:spacing w:line="240" w:lineRule="auto"/>
        <w:ind w:firstLine="480"/>
        <w:jc w:val="both"/>
        <w:rPr>
          <w:rFonts w:ascii="宋体" w:hAnsi="宋体" w:eastAsia="宋体" w:cs="Times New Roman"/>
          <w:i w:val="0"/>
          <w:iCs w:val="0"/>
          <w:color w:val="auto"/>
          <w:kern w:val="2"/>
          <w:sz w:val="24"/>
          <w:szCs w:val="24"/>
          <w:highlight w:val="none"/>
          <w:lang w:val="en-US" w:eastAsia="zh-CN" w:bidi="ar-SA"/>
        </w:rPr>
      </w:pPr>
      <w:r>
        <w:rPr>
          <w:rFonts w:hint="eastAsia" w:ascii="宋体" w:hAnsi="宋体" w:eastAsia="宋体" w:cs="Times New Roman"/>
          <w:i w:val="0"/>
          <w:iCs w:val="0"/>
          <w:color w:val="auto"/>
          <w:kern w:val="2"/>
          <w:sz w:val="24"/>
          <w:szCs w:val="24"/>
          <w:highlight w:val="none"/>
          <w:lang w:val="en-US" w:eastAsia="zh-CN" w:bidi="ar-SA"/>
        </w:rPr>
        <w:t>评标委员会对通过初步评审、技术标评审的投标文件进行资信标评审。（资信标评分设置具体内容和分值由招标人根据当地招投标主管部门相关规定确定</w:t>
      </w:r>
      <w:r>
        <w:rPr>
          <w:rFonts w:ascii="宋体" w:hAnsi="宋体" w:eastAsia="宋体" w:cs="Times New Roman"/>
          <w:i w:val="0"/>
          <w:iCs w:val="0"/>
          <w:color w:val="auto"/>
          <w:kern w:val="2"/>
          <w:sz w:val="24"/>
          <w:szCs w:val="24"/>
          <w:highlight w:val="none"/>
          <w:lang w:val="en" w:eastAsia="zh-CN" w:bidi="ar-SA"/>
        </w:rPr>
        <w:t>)</w:t>
      </w:r>
    </w:p>
    <w:p w14:paraId="29ED9276">
      <w:pPr>
        <w:jc w:val="center"/>
        <w:rPr>
          <w:rFonts w:ascii="宋体" w:hAnsi="宋体" w:eastAsia="宋体" w:cs="宋体"/>
          <w:b/>
          <w:i w:val="0"/>
          <w:iCs w:val="0"/>
          <w:color w:val="auto"/>
          <w:highlight w:val="none"/>
        </w:rPr>
      </w:pPr>
      <w:r>
        <w:rPr>
          <w:rFonts w:hint="eastAsia" w:ascii="宋体" w:hAnsi="宋体" w:eastAsia="宋体" w:cs="宋体"/>
          <w:b/>
          <w:i w:val="0"/>
          <w:iCs w:val="0"/>
          <w:color w:val="auto"/>
          <w:highlight w:val="none"/>
        </w:rPr>
        <w:t>资信评审因素表</w:t>
      </w:r>
    </w:p>
    <w:tbl>
      <w:tblPr>
        <w:tblStyle w:val="21"/>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2"/>
        <w:gridCol w:w="5709"/>
        <w:gridCol w:w="1353"/>
      </w:tblGrid>
      <w:tr w14:paraId="2F07E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noWrap w:val="0"/>
            <w:vAlign w:val="top"/>
          </w:tcPr>
          <w:p w14:paraId="2E7F0FF0">
            <w:pPr>
              <w:keepNext w:val="0"/>
              <w:keepLines w:val="0"/>
              <w:widowControl/>
              <w:suppressLineNumbers w:val="0"/>
              <w:autoSpaceDE/>
              <w:autoSpaceDN/>
              <w:adjustRightInd/>
              <w:spacing w:before="0" w:beforeAutospacing="0" w:after="0" w:afterAutospacing="0"/>
              <w:ind w:left="0" w:right="0"/>
              <w:jc w:val="center"/>
              <w:rPr>
                <w:rFonts w:hint="eastAsia" w:ascii="宋体" w:hAnsi="宋体" w:eastAsia="宋体" w:cs="宋体"/>
                <w:b/>
                <w:i w:val="0"/>
                <w:iCs w:val="0"/>
                <w:color w:val="auto"/>
                <w:spacing w:val="-12"/>
                <w:kern w:val="2"/>
                <w:sz w:val="21"/>
                <w:szCs w:val="22"/>
                <w:highlight w:val="none"/>
              </w:rPr>
            </w:pPr>
            <w:r>
              <w:rPr>
                <w:rFonts w:hint="eastAsia" w:ascii="宋体" w:hAnsi="宋体" w:eastAsia="宋体" w:cs="宋体"/>
                <w:b/>
                <w:i w:val="0"/>
                <w:iCs w:val="0"/>
                <w:color w:val="auto"/>
                <w:spacing w:val="-12"/>
                <w:kern w:val="2"/>
                <w:sz w:val="21"/>
                <w:szCs w:val="22"/>
                <w:highlight w:val="none"/>
              </w:rPr>
              <w:t>评审因素</w:t>
            </w:r>
          </w:p>
        </w:tc>
        <w:tc>
          <w:tcPr>
            <w:tcW w:w="5709" w:type="dxa"/>
            <w:noWrap w:val="0"/>
            <w:vAlign w:val="top"/>
          </w:tcPr>
          <w:p w14:paraId="027D404E">
            <w:pPr>
              <w:keepNext w:val="0"/>
              <w:keepLines w:val="0"/>
              <w:widowControl/>
              <w:suppressLineNumbers w:val="0"/>
              <w:autoSpaceDE/>
              <w:autoSpaceDN/>
              <w:adjustRightInd/>
              <w:spacing w:before="0" w:beforeAutospacing="0" w:after="0" w:afterAutospacing="0"/>
              <w:ind w:left="0" w:right="0"/>
              <w:jc w:val="center"/>
              <w:rPr>
                <w:rFonts w:hint="eastAsia" w:ascii="宋体" w:hAnsi="宋体" w:eastAsia="宋体" w:cs="宋体"/>
                <w:b/>
                <w:i w:val="0"/>
                <w:iCs w:val="0"/>
                <w:color w:val="auto"/>
                <w:spacing w:val="-12"/>
                <w:kern w:val="2"/>
                <w:sz w:val="21"/>
                <w:szCs w:val="22"/>
                <w:highlight w:val="none"/>
              </w:rPr>
            </w:pPr>
            <w:r>
              <w:rPr>
                <w:rFonts w:hint="eastAsia" w:ascii="宋体" w:hAnsi="宋体" w:eastAsia="宋体" w:cs="宋体"/>
                <w:b/>
                <w:i w:val="0"/>
                <w:iCs w:val="0"/>
                <w:color w:val="auto"/>
                <w:spacing w:val="-12"/>
                <w:kern w:val="2"/>
                <w:sz w:val="21"/>
                <w:szCs w:val="22"/>
                <w:highlight w:val="none"/>
              </w:rPr>
              <w:t>内容</w:t>
            </w:r>
          </w:p>
        </w:tc>
        <w:tc>
          <w:tcPr>
            <w:tcW w:w="1353" w:type="dxa"/>
            <w:noWrap w:val="0"/>
            <w:vAlign w:val="top"/>
          </w:tcPr>
          <w:p w14:paraId="1F03759E">
            <w:pPr>
              <w:keepNext w:val="0"/>
              <w:keepLines w:val="0"/>
              <w:widowControl/>
              <w:suppressLineNumbers w:val="0"/>
              <w:autoSpaceDE/>
              <w:autoSpaceDN/>
              <w:adjustRightInd/>
              <w:spacing w:before="0" w:beforeAutospacing="0" w:after="0" w:afterAutospacing="0"/>
              <w:ind w:left="0" w:right="0"/>
              <w:jc w:val="center"/>
              <w:rPr>
                <w:rFonts w:hint="eastAsia" w:ascii="宋体" w:hAnsi="宋体" w:eastAsia="宋体" w:cs="宋体"/>
                <w:b/>
                <w:i w:val="0"/>
                <w:iCs w:val="0"/>
                <w:color w:val="auto"/>
                <w:spacing w:val="-12"/>
                <w:kern w:val="2"/>
                <w:sz w:val="21"/>
                <w:szCs w:val="22"/>
                <w:highlight w:val="none"/>
              </w:rPr>
            </w:pPr>
            <w:r>
              <w:rPr>
                <w:rFonts w:hint="eastAsia" w:ascii="宋体" w:hAnsi="宋体" w:eastAsia="宋体" w:cs="宋体"/>
                <w:b/>
                <w:i w:val="0"/>
                <w:iCs w:val="0"/>
                <w:color w:val="auto"/>
                <w:spacing w:val="-12"/>
                <w:kern w:val="2"/>
                <w:sz w:val="21"/>
                <w:szCs w:val="22"/>
                <w:highlight w:val="none"/>
              </w:rPr>
              <w:t>分值权重</w:t>
            </w:r>
          </w:p>
        </w:tc>
      </w:tr>
      <w:tr w14:paraId="24EC0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vMerge w:val="restart"/>
            <w:noWrap w:val="0"/>
            <w:vAlign w:val="center"/>
          </w:tcPr>
          <w:p w14:paraId="1204CB52">
            <w:pPr>
              <w:keepNext w:val="0"/>
              <w:keepLines w:val="0"/>
              <w:widowControl/>
              <w:suppressLineNumbers w:val="0"/>
              <w:autoSpaceDE/>
              <w:autoSpaceDN/>
              <w:adjustRightInd/>
              <w:spacing w:before="0" w:beforeAutospacing="0" w:after="0" w:afterAutospacing="0"/>
              <w:ind w:left="0" w:right="0"/>
              <w:jc w:val="both"/>
              <w:rPr>
                <w:rFonts w:hint="eastAsia" w:ascii="宋体" w:hAnsi="宋体" w:eastAsia="宋体" w:cs="宋体"/>
                <w:i w:val="0"/>
                <w:iCs w:val="0"/>
                <w:color w:val="auto"/>
                <w:spacing w:val="-12"/>
                <w:kern w:val="2"/>
                <w:sz w:val="21"/>
                <w:szCs w:val="22"/>
                <w:highlight w:val="none"/>
              </w:rPr>
            </w:pPr>
            <w:r>
              <w:rPr>
                <w:rFonts w:hint="eastAsia" w:ascii="宋体" w:hAnsi="宋体" w:eastAsia="宋体" w:cs="宋体"/>
                <w:i w:val="0"/>
                <w:iCs w:val="0"/>
                <w:color w:val="auto"/>
                <w:spacing w:val="-12"/>
                <w:kern w:val="2"/>
                <w:sz w:val="21"/>
                <w:szCs w:val="22"/>
                <w:highlight w:val="none"/>
              </w:rPr>
              <w:t>类似工程业绩</w:t>
            </w:r>
          </w:p>
        </w:tc>
        <w:tc>
          <w:tcPr>
            <w:tcW w:w="5709" w:type="dxa"/>
            <w:noWrap w:val="0"/>
            <w:vAlign w:val="center"/>
          </w:tcPr>
          <w:p w14:paraId="2B199E2F">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投标人</w:t>
            </w:r>
            <w:r>
              <w:rPr>
                <w:rFonts w:hint="eastAsia" w:ascii="宋体" w:hAnsi="宋体" w:eastAsia="宋体" w:cs="宋体"/>
                <w:i w:val="0"/>
                <w:iCs w:val="0"/>
                <w:color w:val="auto"/>
                <w:sz w:val="21"/>
                <w:szCs w:val="21"/>
                <w:highlight w:val="none"/>
              </w:rPr>
              <w:t>（如为联合体投标的，指联合体牵头人）</w:t>
            </w:r>
            <w:r>
              <w:rPr>
                <w:rFonts w:hint="eastAsia" w:ascii="宋体" w:hAnsi="宋体" w:eastAsia="宋体" w:cs="宋体"/>
                <w:i w:val="0"/>
                <w:iCs w:val="0"/>
                <w:color w:val="auto"/>
                <w:spacing w:val="0"/>
                <w:kern w:val="0"/>
                <w:sz w:val="21"/>
                <w:szCs w:val="21"/>
                <w:highlight w:val="none"/>
              </w:rPr>
              <w:t>自202</w:t>
            </w: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年</w:t>
            </w: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月1日以来完成过</w:t>
            </w:r>
            <w:r>
              <w:rPr>
                <w:rFonts w:hint="eastAsia" w:ascii="宋体" w:hAnsi="宋体" w:eastAsia="宋体" w:cs="宋体"/>
                <w:i w:val="0"/>
                <w:iCs w:val="0"/>
                <w:color w:val="auto"/>
                <w:sz w:val="21"/>
                <w:szCs w:val="21"/>
                <w:highlight w:val="none"/>
              </w:rPr>
              <w:t>单项合同建筑面积</w:t>
            </w:r>
            <w:r>
              <w:rPr>
                <w:rFonts w:hint="eastAsia" w:ascii="宋体" w:hAnsi="宋体" w:cs="宋体"/>
                <w:i w:val="0"/>
                <w:iCs w:val="0"/>
                <w:color w:val="auto"/>
                <w:spacing w:val="0"/>
                <w:kern w:val="0"/>
                <w:sz w:val="21"/>
                <w:szCs w:val="21"/>
                <w:highlight w:val="none"/>
                <w:lang w:val="en-US" w:eastAsia="zh-CN"/>
              </w:rPr>
              <w:t>65</w:t>
            </w:r>
            <w:r>
              <w:rPr>
                <w:rFonts w:hint="eastAsia" w:ascii="宋体" w:hAnsi="宋体" w:eastAsia="宋体" w:cs="宋体"/>
                <w:i w:val="0"/>
                <w:iCs w:val="0"/>
                <w:color w:val="auto"/>
                <w:sz w:val="21"/>
                <w:szCs w:val="21"/>
                <w:highlight w:val="none"/>
              </w:rPr>
              <w:t>000平方米及以上的公共建筑项目施工总承包或工程总承包工程项目（工程总承包若采用联合体的，投标人在联合体中承担施工任务；施工总承包或者工程总承包项目如有2家及以上施工单位承担施工任务的，则须额外提供联合体协议书，根据联合体协议书明确投标人在该项目中承担的施工内容，且符合该项业绩要求）业绩</w:t>
            </w:r>
            <w:r>
              <w:rPr>
                <w:rFonts w:hint="eastAsia" w:ascii="宋体" w:hAnsi="宋体" w:eastAsia="宋体" w:cs="宋体"/>
                <w:i w:val="0"/>
                <w:iCs w:val="0"/>
                <w:color w:val="auto"/>
                <w:spacing w:val="0"/>
                <w:kern w:val="0"/>
                <w:sz w:val="21"/>
                <w:szCs w:val="21"/>
                <w:highlight w:val="none"/>
                <w:lang w:eastAsia="zh-CN"/>
              </w:rPr>
              <w:t>的</w:t>
            </w:r>
            <w:r>
              <w:rPr>
                <w:rFonts w:hint="eastAsia" w:ascii="宋体" w:hAnsi="宋体" w:eastAsia="宋体" w:cs="宋体"/>
                <w:i w:val="0"/>
                <w:iCs w:val="0"/>
                <w:color w:val="auto"/>
                <w:spacing w:val="0"/>
                <w:kern w:val="0"/>
                <w:sz w:val="21"/>
                <w:szCs w:val="21"/>
                <w:highlight w:val="none"/>
              </w:rPr>
              <w:t>得</w:t>
            </w: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分。</w:t>
            </w:r>
            <w:r>
              <w:rPr>
                <w:rFonts w:hint="eastAsia" w:ascii="宋体" w:hAnsi="宋体" w:eastAsia="宋体" w:cs="宋体"/>
                <w:i w:val="0"/>
                <w:iCs w:val="0"/>
                <w:color w:val="auto"/>
                <w:sz w:val="21"/>
                <w:szCs w:val="21"/>
                <w:highlight w:val="none"/>
              </w:rPr>
              <w:t xml:space="preserve"> </w:t>
            </w:r>
          </w:p>
          <w:p w14:paraId="5A468473">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业绩证明资料：</w:t>
            </w:r>
            <w:r>
              <w:rPr>
                <w:rFonts w:hint="eastAsia" w:ascii="宋体" w:hAnsi="宋体" w:eastAsia="宋体" w:cs="宋体"/>
                <w:i w:val="0"/>
                <w:iCs w:val="0"/>
                <w:color w:val="auto"/>
                <w:sz w:val="21"/>
                <w:szCs w:val="21"/>
                <w:highlight w:val="none"/>
              </w:rPr>
              <w:t>同时提供：（1）中标通知书（2）工程合同（3）质量证明文件。如上述资料中均未体现业绩特征的，必须附项目发包人或项目质量监督部门或项目所在地行业主管部门出具的证明材料，否则业绩不予认可。</w:t>
            </w:r>
          </w:p>
          <w:p w14:paraId="7BAD92E7">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注：1）工程质量证明文件为：①质量监督报告（或竣工验收备案表或竣工验收备案证书），②竣工验收证书（或竣工验收报告）。以上①、②资料提供任意一项即可。质量监督报告（或竣工验收备案表或竣工验收备案证书）需行业主管部门出具并盖章，竣工验收证书（或竣工验收报告）需五方责任主体（建设单位、监理单位、勘察单位、设计单位、施工单位）盖章。</w:t>
            </w:r>
          </w:p>
          <w:p w14:paraId="2A3B86A5">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2）业绩时间以质量证明文件中的注明的验收时间（备案时间）为准。</w:t>
            </w:r>
            <w:r>
              <w:rPr>
                <w:rFonts w:hint="eastAsia" w:ascii="宋体" w:hAnsi="宋体" w:cs="宋体"/>
                <w:i w:val="0"/>
                <w:iCs w:val="0"/>
                <w:color w:val="auto"/>
                <w:sz w:val="21"/>
                <w:szCs w:val="21"/>
                <w:highlight w:val="none"/>
                <w:lang w:val="en-US" w:eastAsia="zh-CN"/>
              </w:rPr>
              <w:t>建筑面积</w:t>
            </w:r>
            <w:r>
              <w:rPr>
                <w:rFonts w:hint="eastAsia" w:ascii="宋体" w:hAnsi="宋体" w:eastAsia="宋体" w:cs="宋体"/>
                <w:i w:val="0"/>
                <w:iCs w:val="0"/>
                <w:color w:val="auto"/>
                <w:sz w:val="21"/>
                <w:szCs w:val="21"/>
                <w:highlight w:val="none"/>
              </w:rPr>
              <w:t>以工程合同中注明的</w:t>
            </w:r>
            <w:r>
              <w:rPr>
                <w:rFonts w:hint="eastAsia" w:ascii="宋体" w:hAnsi="宋体" w:cs="宋体"/>
                <w:i w:val="0"/>
                <w:iCs w:val="0"/>
                <w:color w:val="auto"/>
                <w:sz w:val="21"/>
                <w:szCs w:val="21"/>
                <w:highlight w:val="none"/>
                <w:lang w:val="en-US" w:eastAsia="zh-CN"/>
              </w:rPr>
              <w:t>建筑面积</w:t>
            </w:r>
            <w:r>
              <w:rPr>
                <w:rFonts w:hint="eastAsia" w:ascii="宋体" w:hAnsi="宋体" w:eastAsia="宋体" w:cs="宋体"/>
                <w:i w:val="0"/>
                <w:iCs w:val="0"/>
                <w:color w:val="auto"/>
                <w:sz w:val="21"/>
                <w:szCs w:val="21"/>
                <w:highlight w:val="none"/>
              </w:rPr>
              <w:t>为准（</w:t>
            </w:r>
            <w:r>
              <w:rPr>
                <w:rFonts w:hint="default" w:ascii="宋体" w:hAnsi="宋体" w:eastAsia="宋体" w:cs="宋体"/>
                <w:i w:val="0"/>
                <w:iCs w:val="0"/>
                <w:color w:val="auto"/>
                <w:sz w:val="21"/>
                <w:szCs w:val="21"/>
                <w:highlight w:val="none"/>
                <w:lang w:val="en-US"/>
              </w:rPr>
              <w:t>以联合体业绩参与评审的，应提供建设单位出具的证明材料，确认该业绩中</w:t>
            </w:r>
            <w:r>
              <w:rPr>
                <w:rFonts w:hint="eastAsia" w:ascii="宋体" w:hAnsi="宋体" w:cs="宋体"/>
                <w:i w:val="0"/>
                <w:iCs w:val="0"/>
                <w:color w:val="auto"/>
                <w:sz w:val="21"/>
                <w:szCs w:val="21"/>
                <w:highlight w:val="none"/>
                <w:lang w:val="en-US" w:eastAsia="zh-CN"/>
              </w:rPr>
              <w:t>投标人</w:t>
            </w:r>
            <w:r>
              <w:rPr>
                <w:rFonts w:hint="default" w:ascii="宋体" w:hAnsi="宋体" w:eastAsia="宋体" w:cs="宋体"/>
                <w:i w:val="0"/>
                <w:iCs w:val="0"/>
                <w:color w:val="auto"/>
                <w:sz w:val="21"/>
                <w:szCs w:val="21"/>
                <w:highlight w:val="none"/>
                <w:lang w:val="en-US"/>
              </w:rPr>
              <w:t>承担的工作内容符合本项目业绩评分标准</w:t>
            </w:r>
            <w:r>
              <w:rPr>
                <w:rFonts w:hint="eastAsia" w:ascii="宋体" w:hAnsi="宋体" w:eastAsia="宋体" w:cs="宋体"/>
                <w:i w:val="0"/>
                <w:iCs w:val="0"/>
                <w:color w:val="auto"/>
                <w:sz w:val="21"/>
                <w:szCs w:val="21"/>
                <w:highlight w:val="none"/>
              </w:rPr>
              <w:t>）；若为工程总承包业绩的，合同</w:t>
            </w:r>
            <w:r>
              <w:rPr>
                <w:rFonts w:hint="eastAsia" w:ascii="宋体" w:hAnsi="宋体" w:cs="宋体"/>
                <w:i w:val="0"/>
                <w:iCs w:val="0"/>
                <w:color w:val="auto"/>
                <w:sz w:val="21"/>
                <w:szCs w:val="21"/>
                <w:highlight w:val="none"/>
                <w:lang w:val="en-US" w:eastAsia="zh-CN"/>
              </w:rPr>
              <w:t>建筑面积</w:t>
            </w:r>
            <w:r>
              <w:rPr>
                <w:rFonts w:hint="eastAsia" w:ascii="宋体" w:hAnsi="宋体" w:eastAsia="宋体" w:cs="宋体"/>
                <w:i w:val="0"/>
                <w:iCs w:val="0"/>
                <w:color w:val="auto"/>
                <w:sz w:val="21"/>
                <w:szCs w:val="21"/>
                <w:highlight w:val="none"/>
              </w:rPr>
              <w:t>仅指施工部分合同</w:t>
            </w:r>
            <w:r>
              <w:rPr>
                <w:rFonts w:hint="eastAsia" w:ascii="宋体" w:hAnsi="宋体" w:cs="宋体"/>
                <w:i w:val="0"/>
                <w:iCs w:val="0"/>
                <w:color w:val="auto"/>
                <w:sz w:val="21"/>
                <w:szCs w:val="21"/>
                <w:highlight w:val="none"/>
                <w:lang w:val="en-US" w:eastAsia="zh-CN"/>
              </w:rPr>
              <w:t>建筑面积</w:t>
            </w:r>
            <w:r>
              <w:rPr>
                <w:rFonts w:hint="eastAsia" w:ascii="宋体" w:hAnsi="宋体" w:eastAsia="宋体" w:cs="宋体"/>
                <w:i w:val="0"/>
                <w:iCs w:val="0"/>
                <w:color w:val="auto"/>
                <w:sz w:val="21"/>
                <w:szCs w:val="21"/>
                <w:highlight w:val="none"/>
              </w:rPr>
              <w:t>。业绩证明材料中投标人需明确在该项目中承担的施工内容，若仅提供比例的不予认可。</w:t>
            </w:r>
          </w:p>
          <w:p w14:paraId="62D058B2">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3）业绩特征的解释顺序为：质量证明文件、工程合同、中标通知书。</w:t>
            </w:r>
          </w:p>
          <w:p w14:paraId="0C10F5D4">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4）业绩证明材料中的投标人名称发生合法变更的，还需提供合法有效的变更文件。</w:t>
            </w:r>
          </w:p>
          <w:p w14:paraId="31F88D7B">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pacing w:val="0"/>
                <w:kern w:val="0"/>
                <w:sz w:val="21"/>
                <w:szCs w:val="21"/>
                <w:highlight w:val="none"/>
              </w:rPr>
            </w:pPr>
            <w:r>
              <w:rPr>
                <w:rFonts w:hint="eastAsia" w:ascii="宋体" w:hAnsi="宋体" w:eastAsia="宋体" w:cs="宋体"/>
                <w:i w:val="0"/>
                <w:iCs w:val="0"/>
                <w:color w:val="auto"/>
                <w:sz w:val="21"/>
                <w:szCs w:val="21"/>
                <w:highlight w:val="none"/>
              </w:rPr>
              <w:t>公共建筑定义以</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公共建筑节能设计标准</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B50189-2015)中的定义为准：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但不包括商住楼、厂房、仓储物流。</w:t>
            </w:r>
          </w:p>
          <w:p w14:paraId="463CB09E">
            <w:pPr>
              <w:keepNext w:val="0"/>
              <w:keepLines w:val="0"/>
              <w:widowControl/>
              <w:suppressLineNumbers w:val="0"/>
              <w:autoSpaceDE/>
              <w:autoSpaceDN/>
              <w:adjustRightInd/>
              <w:spacing w:before="0" w:beforeAutospacing="0" w:after="0" w:afterAutospacing="0" w:line="340" w:lineRule="exact"/>
              <w:ind w:left="0" w:right="0" w:firstLine="422" w:firstLineChars="200"/>
              <w:jc w:val="both"/>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若资格业绩满足以上条件的可同时作为评分业绩。</w:t>
            </w:r>
          </w:p>
          <w:p w14:paraId="00F5158D">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pacing w:val="0"/>
                <w:kern w:val="0"/>
                <w:sz w:val="21"/>
                <w:szCs w:val="21"/>
                <w:highlight w:val="none"/>
              </w:rPr>
            </w:pPr>
            <w:r>
              <w:rPr>
                <w:rFonts w:hint="eastAsia" w:ascii="宋体" w:hAnsi="宋体" w:eastAsia="宋体" w:cs="宋体"/>
                <w:i w:val="0"/>
                <w:iCs w:val="0"/>
                <w:color w:val="auto"/>
                <w:spacing w:val="0"/>
                <w:kern w:val="0"/>
                <w:sz w:val="21"/>
                <w:szCs w:val="21"/>
                <w:highlight w:val="none"/>
                <w:lang w:val="en-US" w:eastAsia="zh-CN"/>
              </w:rPr>
              <w:t>2、</w:t>
            </w:r>
            <w:r>
              <w:rPr>
                <w:rFonts w:hint="eastAsia" w:ascii="宋体" w:hAnsi="宋体" w:eastAsia="宋体" w:cs="宋体"/>
                <w:i w:val="0"/>
                <w:iCs w:val="0"/>
                <w:color w:val="auto"/>
                <w:spacing w:val="0"/>
                <w:kern w:val="0"/>
                <w:sz w:val="21"/>
                <w:szCs w:val="21"/>
                <w:highlight w:val="none"/>
              </w:rPr>
              <w:t>投标人</w:t>
            </w:r>
            <w:r>
              <w:rPr>
                <w:rFonts w:hint="eastAsia" w:ascii="宋体" w:hAnsi="宋体" w:eastAsia="宋体" w:cs="宋体"/>
                <w:i w:val="0"/>
                <w:iCs w:val="0"/>
                <w:color w:val="auto"/>
                <w:sz w:val="21"/>
                <w:szCs w:val="21"/>
                <w:highlight w:val="none"/>
              </w:rPr>
              <w:t>（如为联合体投标的，指联合体</w:t>
            </w:r>
            <w:r>
              <w:rPr>
                <w:rFonts w:hint="eastAsia" w:ascii="宋体" w:hAnsi="宋体" w:cs="宋体"/>
                <w:i w:val="0"/>
                <w:iCs w:val="0"/>
                <w:color w:val="auto"/>
                <w:sz w:val="21"/>
                <w:szCs w:val="21"/>
                <w:highlight w:val="none"/>
                <w:lang w:val="en-US" w:eastAsia="zh-CN"/>
              </w:rPr>
              <w:t>任意一方</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pacing w:val="0"/>
                <w:kern w:val="0"/>
                <w:sz w:val="21"/>
                <w:szCs w:val="21"/>
                <w:highlight w:val="none"/>
              </w:rPr>
              <w:t>自202</w:t>
            </w: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年</w:t>
            </w: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月1日以来完成过</w:t>
            </w:r>
            <w:r>
              <w:rPr>
                <w:rFonts w:hint="eastAsia" w:ascii="宋体" w:hAnsi="宋体" w:eastAsia="宋体" w:cs="宋体"/>
                <w:i w:val="0"/>
                <w:iCs w:val="0"/>
                <w:color w:val="auto"/>
                <w:sz w:val="21"/>
                <w:szCs w:val="21"/>
                <w:highlight w:val="none"/>
              </w:rPr>
              <w:t>单项面积</w:t>
            </w:r>
            <w:r>
              <w:rPr>
                <w:rFonts w:hint="eastAsia" w:ascii="宋体" w:hAnsi="宋体" w:cs="宋体"/>
                <w:i w:val="0"/>
                <w:iCs w:val="0"/>
                <w:color w:val="auto"/>
                <w:spacing w:val="0"/>
                <w:kern w:val="0"/>
                <w:sz w:val="21"/>
                <w:szCs w:val="21"/>
                <w:highlight w:val="none"/>
                <w:lang w:val="en-US" w:eastAsia="zh-CN"/>
              </w:rPr>
              <w:t>85000</w:t>
            </w:r>
            <w:r>
              <w:rPr>
                <w:rFonts w:hint="eastAsia" w:ascii="宋体" w:hAnsi="宋体" w:eastAsia="宋体" w:cs="宋体"/>
                <w:i w:val="0"/>
                <w:iCs w:val="0"/>
                <w:color w:val="auto"/>
                <w:sz w:val="21"/>
                <w:szCs w:val="21"/>
                <w:highlight w:val="none"/>
              </w:rPr>
              <w:t>平方米及以上</w:t>
            </w:r>
            <w:r>
              <w:rPr>
                <w:rFonts w:hint="eastAsia" w:ascii="宋体" w:hAnsi="宋体" w:eastAsia="宋体" w:cs="宋体"/>
                <w:i w:val="0"/>
                <w:iCs w:val="0"/>
                <w:color w:val="auto"/>
                <w:sz w:val="21"/>
                <w:szCs w:val="21"/>
                <w:highlight w:val="none"/>
                <w:lang w:val="en-US" w:eastAsia="zh-CN"/>
              </w:rPr>
              <w:t>的</w:t>
            </w:r>
            <w:r>
              <w:rPr>
                <w:rFonts w:hint="eastAsia" w:ascii="宋体" w:hAnsi="宋体" w:cs="宋体"/>
                <w:i w:val="0"/>
                <w:iCs w:val="0"/>
                <w:color w:val="auto"/>
                <w:sz w:val="21"/>
                <w:szCs w:val="21"/>
                <w:highlight w:val="none"/>
                <w:lang w:val="en-US" w:eastAsia="zh-CN"/>
              </w:rPr>
              <w:t>园林</w:t>
            </w:r>
            <w:r>
              <w:rPr>
                <w:rFonts w:hint="eastAsia" w:ascii="宋体" w:hAnsi="宋体" w:eastAsia="宋体" w:cs="宋体"/>
                <w:i w:val="0"/>
                <w:iCs w:val="0"/>
                <w:color w:val="auto"/>
                <w:sz w:val="21"/>
                <w:szCs w:val="21"/>
                <w:highlight w:val="none"/>
                <w:lang w:val="en-US" w:eastAsia="zh-CN"/>
              </w:rPr>
              <w:t>绿化</w:t>
            </w:r>
            <w:r>
              <w:rPr>
                <w:rFonts w:hint="eastAsia" w:ascii="宋体" w:hAnsi="宋体" w:eastAsia="宋体" w:cs="宋体"/>
                <w:i w:val="0"/>
                <w:iCs w:val="0"/>
                <w:color w:val="auto"/>
                <w:sz w:val="21"/>
                <w:szCs w:val="21"/>
                <w:highlight w:val="none"/>
              </w:rPr>
              <w:t>施工总承包或工程总承包工程项目（工程总承包若采用联合体的，投标人在联合体中承担施工任务；施工总承包或者工程总承包项目如有2家及以上施工单位承担施工任务的，则须额外提供联合体协议书，根据联合体协议书明确投标人在该项目中承担的施工内容，且符合该项业绩要求）业绩</w:t>
            </w:r>
            <w:r>
              <w:rPr>
                <w:rFonts w:hint="eastAsia" w:ascii="宋体" w:hAnsi="宋体" w:eastAsia="宋体" w:cs="宋体"/>
                <w:i w:val="0"/>
                <w:iCs w:val="0"/>
                <w:color w:val="auto"/>
                <w:spacing w:val="0"/>
                <w:kern w:val="0"/>
                <w:sz w:val="21"/>
                <w:szCs w:val="21"/>
                <w:highlight w:val="none"/>
                <w:lang w:eastAsia="zh-CN"/>
              </w:rPr>
              <w:t>的</w:t>
            </w:r>
            <w:r>
              <w:rPr>
                <w:rFonts w:hint="eastAsia" w:ascii="宋体" w:hAnsi="宋体" w:eastAsia="宋体" w:cs="宋体"/>
                <w:i w:val="0"/>
                <w:iCs w:val="0"/>
                <w:color w:val="auto"/>
                <w:spacing w:val="0"/>
                <w:kern w:val="0"/>
                <w:sz w:val="21"/>
                <w:szCs w:val="21"/>
                <w:highlight w:val="none"/>
              </w:rPr>
              <w:t>得</w:t>
            </w: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分。</w:t>
            </w:r>
          </w:p>
          <w:p w14:paraId="38D8972D">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业绩证明资料：</w:t>
            </w:r>
          </w:p>
          <w:p w14:paraId="0303CC3D">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同时提供：（1）中标通知书（2）工程合同（3）质量证明文件。如上述资料中均未体现业绩特征的，必须附项目发包人或项目质量监督部门或项目所在地行业主管部门出具的证明材料，否则业绩不予认可。</w:t>
            </w:r>
          </w:p>
          <w:p w14:paraId="63FC504B">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注：1）工程质量证明文件为：①质量监督报告（或竣工验收备案表或竣工验收备案证书），②竣工验收证书（或竣工验收报告）。以上①、②资料提供任意一项即可。质量监督报告（或竣工验收备案表或竣工验收备案证书）需行业主管部门出具并盖章，竣工验收证书（或竣工验收报告）需五方责任主体（建设单位、监理单位、勘察单位、设计单位、施工单位）盖章。</w:t>
            </w:r>
          </w:p>
          <w:p w14:paraId="78E57CEE">
            <w:pPr>
              <w:keepNext w:val="0"/>
              <w:keepLines w:val="0"/>
              <w:widowControl/>
              <w:numPr>
                <w:ilvl w:val="0"/>
                <w:numId w:val="38"/>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业绩时间以质量证明文件中的注明的验收时间（备案时间）为准。</w:t>
            </w:r>
            <w:r>
              <w:rPr>
                <w:rFonts w:hint="eastAsia" w:ascii="宋体" w:hAnsi="宋体" w:cs="宋体"/>
                <w:i w:val="0"/>
                <w:iCs w:val="0"/>
                <w:color w:val="auto"/>
                <w:sz w:val="21"/>
                <w:szCs w:val="21"/>
                <w:highlight w:val="none"/>
                <w:lang w:val="en-US" w:eastAsia="zh-CN"/>
              </w:rPr>
              <w:t>园林</w:t>
            </w:r>
            <w:r>
              <w:rPr>
                <w:rFonts w:hint="default" w:ascii="宋体" w:hAnsi="宋体" w:eastAsia="宋体" w:cs="宋体"/>
                <w:i w:val="0"/>
                <w:iCs w:val="0"/>
                <w:color w:val="auto"/>
                <w:sz w:val="21"/>
                <w:szCs w:val="21"/>
                <w:highlight w:val="none"/>
                <w:lang w:val="en-US"/>
              </w:rPr>
              <w:t>绿化</w:t>
            </w:r>
            <w:r>
              <w:rPr>
                <w:rFonts w:hint="eastAsia" w:ascii="宋体" w:hAnsi="宋体" w:cs="宋体"/>
                <w:i w:val="0"/>
                <w:iCs w:val="0"/>
                <w:color w:val="auto"/>
                <w:sz w:val="21"/>
                <w:szCs w:val="21"/>
                <w:highlight w:val="none"/>
                <w:lang w:val="en-US" w:eastAsia="zh-CN"/>
              </w:rPr>
              <w:t>面积</w:t>
            </w:r>
            <w:r>
              <w:rPr>
                <w:rFonts w:hint="eastAsia" w:ascii="宋体" w:hAnsi="宋体" w:eastAsia="宋体" w:cs="宋体"/>
                <w:i w:val="0"/>
                <w:iCs w:val="0"/>
                <w:color w:val="auto"/>
                <w:sz w:val="21"/>
                <w:szCs w:val="21"/>
                <w:highlight w:val="none"/>
              </w:rPr>
              <w:t>以工程合同中注明的</w:t>
            </w:r>
            <w:r>
              <w:rPr>
                <w:rFonts w:hint="eastAsia" w:ascii="宋体" w:hAnsi="宋体" w:cs="宋体"/>
                <w:i w:val="0"/>
                <w:iCs w:val="0"/>
                <w:color w:val="auto"/>
                <w:sz w:val="21"/>
                <w:szCs w:val="21"/>
                <w:highlight w:val="none"/>
                <w:lang w:val="en-US" w:eastAsia="zh-CN"/>
              </w:rPr>
              <w:t>园林</w:t>
            </w:r>
            <w:r>
              <w:rPr>
                <w:rFonts w:hint="default" w:ascii="宋体" w:hAnsi="宋体" w:eastAsia="宋体" w:cs="宋体"/>
                <w:i w:val="0"/>
                <w:iCs w:val="0"/>
                <w:color w:val="auto"/>
                <w:sz w:val="21"/>
                <w:szCs w:val="21"/>
                <w:highlight w:val="none"/>
                <w:lang w:val="en-US"/>
              </w:rPr>
              <w:t>绿化</w:t>
            </w:r>
            <w:r>
              <w:rPr>
                <w:rFonts w:hint="eastAsia" w:ascii="宋体" w:hAnsi="宋体" w:cs="宋体"/>
                <w:i w:val="0"/>
                <w:iCs w:val="0"/>
                <w:color w:val="auto"/>
                <w:sz w:val="21"/>
                <w:szCs w:val="21"/>
                <w:highlight w:val="none"/>
                <w:lang w:val="en-US" w:eastAsia="zh-CN"/>
              </w:rPr>
              <w:t>面积</w:t>
            </w:r>
            <w:r>
              <w:rPr>
                <w:rFonts w:hint="eastAsia" w:ascii="宋体" w:hAnsi="宋体" w:eastAsia="宋体" w:cs="宋体"/>
                <w:i w:val="0"/>
                <w:iCs w:val="0"/>
                <w:color w:val="auto"/>
                <w:sz w:val="21"/>
                <w:szCs w:val="21"/>
                <w:highlight w:val="none"/>
              </w:rPr>
              <w:t>为准（</w:t>
            </w:r>
            <w:r>
              <w:rPr>
                <w:rFonts w:hint="default" w:ascii="宋体" w:hAnsi="宋体" w:eastAsia="宋体" w:cs="宋体"/>
                <w:i w:val="0"/>
                <w:iCs w:val="0"/>
                <w:color w:val="auto"/>
                <w:sz w:val="21"/>
                <w:szCs w:val="21"/>
                <w:highlight w:val="none"/>
                <w:lang w:val="en-US"/>
              </w:rPr>
              <w:t>以联合体业绩参与评审的，应提供建设单位出具的证明材料，确认该业绩中业绩提供方承担的工作内容符合本项目业绩评分标准</w:t>
            </w:r>
            <w:r>
              <w:rPr>
                <w:rFonts w:hint="eastAsia" w:ascii="宋体" w:hAnsi="宋体" w:eastAsia="宋体" w:cs="宋体"/>
                <w:i w:val="0"/>
                <w:iCs w:val="0"/>
                <w:color w:val="auto"/>
                <w:sz w:val="21"/>
                <w:szCs w:val="21"/>
                <w:highlight w:val="none"/>
              </w:rPr>
              <w:t>）；若为工程总承包业绩的，合同</w:t>
            </w:r>
            <w:r>
              <w:rPr>
                <w:rFonts w:hint="eastAsia" w:ascii="宋体" w:hAnsi="宋体" w:cs="宋体"/>
                <w:i w:val="0"/>
                <w:iCs w:val="0"/>
                <w:color w:val="auto"/>
                <w:sz w:val="21"/>
                <w:szCs w:val="21"/>
                <w:highlight w:val="none"/>
                <w:lang w:val="en-US" w:eastAsia="zh-CN"/>
              </w:rPr>
              <w:t>园林</w:t>
            </w:r>
            <w:r>
              <w:rPr>
                <w:rFonts w:hint="default" w:ascii="宋体" w:hAnsi="宋体" w:eastAsia="宋体" w:cs="宋体"/>
                <w:i w:val="0"/>
                <w:iCs w:val="0"/>
                <w:color w:val="auto"/>
                <w:sz w:val="21"/>
                <w:szCs w:val="21"/>
                <w:highlight w:val="none"/>
                <w:lang w:val="en-US"/>
              </w:rPr>
              <w:t>绿化</w:t>
            </w:r>
            <w:r>
              <w:rPr>
                <w:rFonts w:hint="eastAsia" w:ascii="宋体" w:hAnsi="宋体" w:cs="宋体"/>
                <w:i w:val="0"/>
                <w:iCs w:val="0"/>
                <w:color w:val="auto"/>
                <w:sz w:val="21"/>
                <w:szCs w:val="21"/>
                <w:highlight w:val="none"/>
                <w:lang w:val="en-US" w:eastAsia="zh-CN"/>
              </w:rPr>
              <w:t>面积</w:t>
            </w:r>
            <w:r>
              <w:rPr>
                <w:rFonts w:hint="eastAsia" w:ascii="宋体" w:hAnsi="宋体" w:eastAsia="宋体" w:cs="宋体"/>
                <w:i w:val="0"/>
                <w:iCs w:val="0"/>
                <w:color w:val="auto"/>
                <w:sz w:val="21"/>
                <w:szCs w:val="21"/>
                <w:highlight w:val="none"/>
              </w:rPr>
              <w:t>仅指</w:t>
            </w:r>
            <w:r>
              <w:rPr>
                <w:rFonts w:hint="eastAsia" w:ascii="宋体" w:hAnsi="宋体" w:cs="宋体"/>
                <w:i w:val="0"/>
                <w:iCs w:val="0"/>
                <w:color w:val="auto"/>
                <w:sz w:val="21"/>
                <w:szCs w:val="21"/>
                <w:highlight w:val="none"/>
                <w:lang w:val="en-US" w:eastAsia="zh-CN"/>
              </w:rPr>
              <w:t>园林</w:t>
            </w:r>
            <w:r>
              <w:rPr>
                <w:rFonts w:hint="default" w:ascii="宋体" w:hAnsi="宋体" w:eastAsia="宋体" w:cs="宋体"/>
                <w:i w:val="0"/>
                <w:iCs w:val="0"/>
                <w:color w:val="auto"/>
                <w:sz w:val="21"/>
                <w:szCs w:val="21"/>
                <w:highlight w:val="none"/>
                <w:lang w:val="en-US"/>
              </w:rPr>
              <w:t>绿化</w:t>
            </w:r>
            <w:r>
              <w:rPr>
                <w:rFonts w:hint="eastAsia" w:ascii="宋体" w:hAnsi="宋体" w:eastAsia="宋体" w:cs="宋体"/>
                <w:i w:val="0"/>
                <w:iCs w:val="0"/>
                <w:color w:val="auto"/>
                <w:sz w:val="21"/>
                <w:szCs w:val="21"/>
                <w:highlight w:val="none"/>
              </w:rPr>
              <w:t>施工部分合同</w:t>
            </w:r>
            <w:r>
              <w:rPr>
                <w:rFonts w:hint="eastAsia" w:ascii="宋体" w:hAnsi="宋体" w:cs="宋体"/>
                <w:i w:val="0"/>
                <w:iCs w:val="0"/>
                <w:color w:val="auto"/>
                <w:sz w:val="21"/>
                <w:szCs w:val="21"/>
                <w:highlight w:val="none"/>
                <w:lang w:val="en-US" w:eastAsia="zh-CN"/>
              </w:rPr>
              <w:t>面积</w:t>
            </w:r>
            <w:r>
              <w:rPr>
                <w:rFonts w:hint="eastAsia" w:ascii="宋体" w:hAnsi="宋体" w:eastAsia="宋体" w:cs="宋体"/>
                <w:i w:val="0"/>
                <w:iCs w:val="0"/>
                <w:color w:val="auto"/>
                <w:sz w:val="21"/>
                <w:szCs w:val="21"/>
                <w:highlight w:val="none"/>
              </w:rPr>
              <w:t>。业绩证明材料中投标人需明确在该项目中承担的</w:t>
            </w:r>
            <w:r>
              <w:rPr>
                <w:rFonts w:hint="eastAsia" w:ascii="宋体" w:hAnsi="宋体" w:cs="宋体"/>
                <w:i w:val="0"/>
                <w:iCs w:val="0"/>
                <w:color w:val="auto"/>
                <w:sz w:val="21"/>
                <w:szCs w:val="21"/>
                <w:highlight w:val="none"/>
                <w:lang w:val="en-US" w:eastAsia="zh-CN"/>
              </w:rPr>
              <w:t>园林</w:t>
            </w:r>
            <w:r>
              <w:rPr>
                <w:rFonts w:hint="default" w:ascii="宋体" w:hAnsi="宋体" w:eastAsia="宋体" w:cs="宋体"/>
                <w:i w:val="0"/>
                <w:iCs w:val="0"/>
                <w:color w:val="auto"/>
                <w:sz w:val="21"/>
                <w:szCs w:val="21"/>
                <w:highlight w:val="none"/>
                <w:lang w:val="en-US"/>
              </w:rPr>
              <w:t>绿化</w:t>
            </w:r>
            <w:r>
              <w:rPr>
                <w:rFonts w:hint="eastAsia" w:ascii="宋体" w:hAnsi="宋体" w:eastAsia="宋体" w:cs="宋体"/>
                <w:i w:val="0"/>
                <w:iCs w:val="0"/>
                <w:color w:val="auto"/>
                <w:sz w:val="21"/>
                <w:szCs w:val="21"/>
                <w:highlight w:val="none"/>
              </w:rPr>
              <w:t>施工内容，若仅提供比例的不予认可。</w:t>
            </w:r>
          </w:p>
          <w:p w14:paraId="6D0FF757">
            <w:pPr>
              <w:keepNext w:val="0"/>
              <w:keepLines w:val="0"/>
              <w:widowControl/>
              <w:numPr>
                <w:ilvl w:val="0"/>
                <w:numId w:val="0"/>
              </w:numPr>
              <w:suppressLineNumbers w:val="0"/>
              <w:autoSpaceDE/>
              <w:autoSpaceDN/>
              <w:adjustRightInd/>
              <w:spacing w:before="0" w:beforeAutospacing="0" w:after="0" w:afterAutospacing="0" w:line="340" w:lineRule="exact"/>
              <w:ind w:left="0" w:leftChars="0" w:right="0" w:right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3）业绩特征的解释顺序为：质量证明文件、工程合同、中标通知书。</w:t>
            </w:r>
          </w:p>
          <w:p w14:paraId="0295CB74">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4）业绩证明材料中的投标人名称发生合法变更的，还需提供合法有效的变更文件。</w:t>
            </w:r>
          </w:p>
          <w:p w14:paraId="6B4B2E4E">
            <w:pPr>
              <w:keepNext w:val="0"/>
              <w:keepLines w:val="0"/>
              <w:widowControl/>
              <w:numPr>
                <w:ilvl w:val="0"/>
                <w:numId w:val="0"/>
              </w:numPr>
              <w:suppressLineNumbers w:val="0"/>
              <w:autoSpaceDE/>
              <w:autoSpaceDN/>
              <w:adjustRightInd/>
              <w:spacing w:before="0" w:beforeAutospacing="0" w:after="0" w:afterAutospacing="0" w:line="340" w:lineRule="exact"/>
              <w:ind w:left="0" w:right="0" w:firstLine="0" w:firstLineChars="0"/>
              <w:jc w:val="both"/>
              <w:rPr>
                <w:rFonts w:hint="default" w:ascii="宋体" w:hAnsi="宋体" w:eastAsia="宋体" w:cs="宋体"/>
                <w:i w:val="0"/>
                <w:iCs w:val="0"/>
                <w:color w:val="auto"/>
                <w:sz w:val="21"/>
                <w:szCs w:val="21"/>
                <w:highlight w:val="none"/>
                <w:lang w:val="en-US" w:eastAsia="zh-CN"/>
              </w:rPr>
            </w:pPr>
            <w:r>
              <w:rPr>
                <w:rFonts w:hint="eastAsia" w:ascii="宋体" w:hAnsi="宋体" w:cs="宋体"/>
                <w:i w:val="0"/>
                <w:iCs w:val="0"/>
                <w:color w:val="auto"/>
                <w:sz w:val="21"/>
                <w:szCs w:val="21"/>
                <w:highlight w:val="none"/>
                <w:lang w:val="en-US" w:eastAsia="zh-CN"/>
              </w:rPr>
              <w:t>园林绿化工程定义以</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园林绿化工程建设管理规定的通知》（建城[2017] 251号）中的定义为准：</w:t>
            </w:r>
            <w:r>
              <w:rPr>
                <w:rFonts w:hint="eastAsia" w:ascii="宋体" w:hAnsi="宋体" w:cs="宋体"/>
                <w:i w:val="0"/>
                <w:iCs w:val="0"/>
                <w:color w:val="auto"/>
                <w:sz w:val="21"/>
                <w:szCs w:val="21"/>
                <w:highlight w:val="none"/>
                <w:lang w:val="en-US" w:eastAsia="zh-CN"/>
              </w:rPr>
              <w:t>新建、改建、扩建公园绿地、防护绿地、广场用地、附属绿地、区域绿地，以及对城市生态和景观影响较大的建设项目的配套绿化。</w:t>
            </w:r>
          </w:p>
        </w:tc>
        <w:tc>
          <w:tcPr>
            <w:tcW w:w="1353" w:type="dxa"/>
            <w:noWrap w:val="0"/>
            <w:vAlign w:val="center"/>
          </w:tcPr>
          <w:p w14:paraId="0840AC68">
            <w:pPr>
              <w:keepNext w:val="0"/>
              <w:keepLines w:val="0"/>
              <w:widowControl/>
              <w:suppressLineNumbers w:val="0"/>
              <w:autoSpaceDE/>
              <w:autoSpaceDN/>
              <w:adjustRightInd/>
              <w:spacing w:before="0" w:beforeAutospacing="0" w:after="0" w:afterAutospacing="0"/>
              <w:ind w:left="0" w:right="0"/>
              <w:jc w:val="center"/>
              <w:rPr>
                <w:rFonts w:hint="eastAsia" w:ascii="宋体" w:hAnsi="宋体" w:eastAsia="宋体" w:cs="宋体"/>
                <w:i w:val="0"/>
                <w:iCs w:val="0"/>
                <w:color w:val="auto"/>
                <w:spacing w:val="-12"/>
                <w:kern w:val="2"/>
                <w:sz w:val="21"/>
                <w:szCs w:val="22"/>
                <w:highlight w:val="none"/>
              </w:rPr>
            </w:pPr>
            <w:r>
              <w:rPr>
                <w:rFonts w:hint="eastAsia" w:ascii="宋体" w:hAnsi="宋体" w:eastAsia="宋体" w:cs="宋体"/>
                <w:i w:val="0"/>
                <w:iCs w:val="0"/>
                <w:color w:val="auto"/>
                <w:kern w:val="2"/>
                <w:sz w:val="21"/>
                <w:szCs w:val="22"/>
                <w:highlight w:val="none"/>
              </w:rPr>
              <w:t>2分</w:t>
            </w:r>
          </w:p>
        </w:tc>
      </w:tr>
      <w:tr w14:paraId="25511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vMerge w:val="continue"/>
            <w:noWrap w:val="0"/>
            <w:vAlign w:val="center"/>
          </w:tcPr>
          <w:p w14:paraId="456009A2">
            <w:pPr>
              <w:keepNext w:val="0"/>
              <w:keepLines w:val="0"/>
              <w:widowControl/>
              <w:suppressLineNumbers w:val="0"/>
              <w:autoSpaceDE/>
              <w:autoSpaceDN/>
              <w:adjustRightInd/>
              <w:spacing w:before="0" w:beforeAutospacing="0" w:after="0" w:afterAutospacing="0"/>
              <w:ind w:left="0" w:right="0"/>
              <w:jc w:val="both"/>
              <w:rPr>
                <w:rFonts w:hint="eastAsia" w:ascii="宋体" w:hAnsi="宋体" w:eastAsia="宋体" w:cs="宋体"/>
                <w:i w:val="0"/>
                <w:iCs w:val="0"/>
                <w:color w:val="auto"/>
                <w:spacing w:val="-12"/>
                <w:kern w:val="2"/>
                <w:sz w:val="21"/>
                <w:szCs w:val="22"/>
                <w:highlight w:val="none"/>
              </w:rPr>
            </w:pPr>
          </w:p>
        </w:tc>
        <w:tc>
          <w:tcPr>
            <w:tcW w:w="5709" w:type="dxa"/>
            <w:noWrap w:val="0"/>
            <w:vAlign w:val="center"/>
          </w:tcPr>
          <w:p w14:paraId="2B50A63A">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项目负责人自2021年1月1日以来，以项目负责人（或施工项目负责人）完成过</w:t>
            </w:r>
            <w:r>
              <w:rPr>
                <w:rFonts w:hint="eastAsia" w:ascii="宋体" w:hAnsi="宋体" w:eastAsia="宋体" w:cs="宋体"/>
                <w:i w:val="0"/>
                <w:iCs w:val="0"/>
                <w:color w:val="auto"/>
                <w:spacing w:val="0"/>
                <w:kern w:val="0"/>
                <w:sz w:val="21"/>
                <w:szCs w:val="21"/>
                <w:highlight w:val="none"/>
              </w:rPr>
              <w:t>单项合同建筑面积</w:t>
            </w:r>
            <w:r>
              <w:rPr>
                <w:rFonts w:hint="eastAsia" w:ascii="宋体" w:hAnsi="宋体" w:cs="宋体"/>
                <w:i w:val="0"/>
                <w:iCs w:val="0"/>
                <w:color w:val="auto"/>
                <w:spacing w:val="0"/>
                <w:kern w:val="0"/>
                <w:sz w:val="21"/>
                <w:szCs w:val="21"/>
                <w:highlight w:val="none"/>
                <w:lang w:val="en-US" w:eastAsia="zh-CN"/>
              </w:rPr>
              <w:t>65</w:t>
            </w:r>
            <w:r>
              <w:rPr>
                <w:rFonts w:hint="eastAsia" w:ascii="宋体" w:hAnsi="宋体" w:eastAsia="宋体" w:cs="宋体"/>
                <w:i w:val="0"/>
                <w:iCs w:val="0"/>
                <w:color w:val="auto"/>
                <w:spacing w:val="0"/>
                <w:kern w:val="0"/>
                <w:sz w:val="21"/>
                <w:szCs w:val="21"/>
                <w:highlight w:val="none"/>
              </w:rPr>
              <w:t>000平方米及以上</w:t>
            </w:r>
            <w:r>
              <w:rPr>
                <w:rFonts w:hint="eastAsia" w:ascii="宋体" w:hAnsi="宋体" w:eastAsia="宋体" w:cs="宋体"/>
                <w:i w:val="0"/>
                <w:iCs w:val="0"/>
                <w:color w:val="auto"/>
                <w:sz w:val="21"/>
                <w:szCs w:val="21"/>
                <w:highlight w:val="none"/>
              </w:rPr>
              <w:t>的公共建筑项目施工总承包或工程总承包工程项目（工程总承包若采用联合体的，投标人在联合体中承担施工任务；施工总承包或者工程总承包项目如有2家及以上施工单位承担施工任务的，则须额外提供联合体协议书，根据联合体协议书明确投标人在该项目中承担的施工内容，且符合该项业绩要求）业绩</w:t>
            </w:r>
            <w:r>
              <w:rPr>
                <w:rFonts w:hint="eastAsia" w:ascii="宋体" w:hAnsi="宋体" w:eastAsia="宋体" w:cs="宋体"/>
                <w:i w:val="0"/>
                <w:iCs w:val="0"/>
                <w:color w:val="auto"/>
                <w:spacing w:val="0"/>
                <w:kern w:val="0"/>
                <w:sz w:val="21"/>
                <w:szCs w:val="21"/>
                <w:highlight w:val="none"/>
                <w:lang w:eastAsia="zh-CN"/>
              </w:rPr>
              <w:t>的</w:t>
            </w:r>
            <w:r>
              <w:rPr>
                <w:rFonts w:hint="eastAsia" w:ascii="宋体" w:hAnsi="宋体" w:eastAsia="宋体" w:cs="宋体"/>
                <w:i w:val="0"/>
                <w:iCs w:val="0"/>
                <w:color w:val="auto"/>
                <w:spacing w:val="0"/>
                <w:kern w:val="0"/>
                <w:sz w:val="21"/>
                <w:szCs w:val="21"/>
                <w:highlight w:val="none"/>
              </w:rPr>
              <w:t>得</w:t>
            </w: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分；本项最多只计取1个业绩，最高得</w:t>
            </w:r>
            <w:r>
              <w:rPr>
                <w:rFonts w:hint="eastAsia" w:ascii="宋体" w:hAnsi="宋体" w:eastAsia="宋体" w:cs="宋体"/>
                <w:i w:val="0"/>
                <w:iCs w:val="0"/>
                <w:color w:val="auto"/>
                <w:spacing w:val="0"/>
                <w:kern w:val="0"/>
                <w:sz w:val="21"/>
                <w:szCs w:val="21"/>
                <w:highlight w:val="none"/>
                <w:lang w:val="en-US" w:eastAsia="zh-CN"/>
              </w:rPr>
              <w:t>1</w:t>
            </w:r>
            <w:r>
              <w:rPr>
                <w:rFonts w:hint="eastAsia" w:ascii="宋体" w:hAnsi="宋体" w:eastAsia="宋体" w:cs="宋体"/>
                <w:i w:val="0"/>
                <w:iCs w:val="0"/>
                <w:color w:val="auto"/>
                <w:spacing w:val="0"/>
                <w:kern w:val="0"/>
                <w:sz w:val="21"/>
                <w:szCs w:val="21"/>
                <w:highlight w:val="none"/>
              </w:rPr>
              <w:t>分。</w:t>
            </w:r>
            <w:r>
              <w:rPr>
                <w:rFonts w:hint="eastAsia" w:ascii="宋体" w:hAnsi="宋体" w:eastAsia="宋体" w:cs="宋体"/>
                <w:i w:val="0"/>
                <w:iCs w:val="0"/>
                <w:color w:val="auto"/>
                <w:sz w:val="21"/>
                <w:szCs w:val="21"/>
                <w:highlight w:val="none"/>
              </w:rPr>
              <w:t xml:space="preserve"> </w:t>
            </w:r>
          </w:p>
          <w:p w14:paraId="149D9CC7">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业绩证明资料：</w:t>
            </w:r>
          </w:p>
          <w:p w14:paraId="4C46E367">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同时提供：（1）中标通知书（2）工程合同（3）质量证明文件。如上述资料中均未体现业绩特征的，必须附项目发包人或项目质量监督部门或项目所在地行业主管部门出具的证明材料，否则业绩不予认可。</w:t>
            </w:r>
          </w:p>
          <w:p w14:paraId="3FAA8260">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注：1）工程质量证明文件为：①质量监督报告（或竣工验收备案表或竣工验收备案证书），②竣工验收证书（或竣工验收报告）。以上①、②资料提供任意一项即可。质量监督报告（或竣工验收备案表或竣工验收备案证书）需行业主管部门出具并盖章，竣工验收证书（或竣工验收报告）需五方责任主体（建设单位、监理单位、勘察单位、设计单位、施工单位）盖章。</w:t>
            </w:r>
          </w:p>
          <w:p w14:paraId="7003E4C0">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2）业绩时间以质量证明文件中的注明的验收时间（备案时间）为准。</w:t>
            </w:r>
            <w:r>
              <w:rPr>
                <w:rFonts w:hint="eastAsia" w:ascii="宋体" w:hAnsi="宋体" w:cs="宋体"/>
                <w:i w:val="0"/>
                <w:iCs w:val="0"/>
                <w:color w:val="auto"/>
                <w:sz w:val="21"/>
                <w:szCs w:val="21"/>
                <w:highlight w:val="none"/>
                <w:lang w:val="en-US" w:eastAsia="zh-CN"/>
              </w:rPr>
              <w:t>建筑面积</w:t>
            </w:r>
            <w:r>
              <w:rPr>
                <w:rFonts w:hint="eastAsia" w:ascii="宋体" w:hAnsi="宋体" w:eastAsia="宋体" w:cs="宋体"/>
                <w:i w:val="0"/>
                <w:iCs w:val="0"/>
                <w:color w:val="auto"/>
                <w:sz w:val="21"/>
                <w:szCs w:val="21"/>
                <w:highlight w:val="none"/>
              </w:rPr>
              <w:t>以工程合同中注明的</w:t>
            </w:r>
            <w:r>
              <w:rPr>
                <w:rFonts w:hint="eastAsia" w:ascii="宋体" w:hAnsi="宋体" w:cs="宋体"/>
                <w:i w:val="0"/>
                <w:iCs w:val="0"/>
                <w:color w:val="auto"/>
                <w:sz w:val="21"/>
                <w:szCs w:val="21"/>
                <w:highlight w:val="none"/>
                <w:lang w:val="en-US" w:eastAsia="zh-CN"/>
              </w:rPr>
              <w:t>建筑面积</w:t>
            </w:r>
            <w:r>
              <w:rPr>
                <w:rFonts w:hint="eastAsia" w:ascii="宋体" w:hAnsi="宋体" w:eastAsia="宋体" w:cs="宋体"/>
                <w:i w:val="0"/>
                <w:iCs w:val="0"/>
                <w:color w:val="auto"/>
                <w:sz w:val="21"/>
                <w:szCs w:val="21"/>
                <w:highlight w:val="none"/>
              </w:rPr>
              <w:t>为准（</w:t>
            </w:r>
            <w:r>
              <w:rPr>
                <w:rFonts w:hint="default" w:ascii="宋体" w:hAnsi="宋体" w:eastAsia="宋体" w:cs="宋体"/>
                <w:i w:val="0"/>
                <w:iCs w:val="0"/>
                <w:color w:val="auto"/>
                <w:sz w:val="21"/>
                <w:szCs w:val="21"/>
                <w:highlight w:val="none"/>
                <w:lang w:val="en-US"/>
              </w:rPr>
              <w:t>以联合体业绩参与评审的，应提供建设单位出具的证明材料，确认该业绩中</w:t>
            </w:r>
            <w:r>
              <w:rPr>
                <w:rFonts w:hint="eastAsia" w:ascii="宋体" w:hAnsi="宋体" w:cs="宋体"/>
                <w:i w:val="0"/>
                <w:iCs w:val="0"/>
                <w:color w:val="auto"/>
                <w:sz w:val="21"/>
                <w:szCs w:val="21"/>
                <w:highlight w:val="none"/>
                <w:lang w:val="en-US" w:eastAsia="zh-CN"/>
              </w:rPr>
              <w:t>投标人项目负责人</w:t>
            </w:r>
            <w:r>
              <w:rPr>
                <w:rFonts w:hint="default" w:ascii="宋体" w:hAnsi="宋体" w:eastAsia="宋体" w:cs="宋体"/>
                <w:i w:val="0"/>
                <w:iCs w:val="0"/>
                <w:color w:val="auto"/>
                <w:sz w:val="21"/>
                <w:szCs w:val="21"/>
                <w:highlight w:val="none"/>
                <w:lang w:val="en-US"/>
              </w:rPr>
              <w:t>承担的工作内容符合本项目业绩评分标准</w:t>
            </w:r>
            <w:r>
              <w:rPr>
                <w:rFonts w:hint="eastAsia" w:ascii="宋体" w:hAnsi="宋体" w:eastAsia="宋体" w:cs="宋体"/>
                <w:i w:val="0"/>
                <w:iCs w:val="0"/>
                <w:color w:val="auto"/>
                <w:sz w:val="21"/>
                <w:szCs w:val="21"/>
                <w:highlight w:val="none"/>
              </w:rPr>
              <w:t>）；若为工程总承包业绩的，合同</w:t>
            </w:r>
            <w:r>
              <w:rPr>
                <w:rFonts w:hint="eastAsia" w:ascii="宋体" w:hAnsi="宋体" w:cs="宋体"/>
                <w:i w:val="0"/>
                <w:iCs w:val="0"/>
                <w:color w:val="auto"/>
                <w:sz w:val="21"/>
                <w:szCs w:val="21"/>
                <w:highlight w:val="none"/>
                <w:lang w:val="en-US" w:eastAsia="zh-CN"/>
              </w:rPr>
              <w:t>建筑面积</w:t>
            </w:r>
            <w:r>
              <w:rPr>
                <w:rFonts w:hint="eastAsia" w:ascii="宋体" w:hAnsi="宋体" w:eastAsia="宋体" w:cs="宋体"/>
                <w:i w:val="0"/>
                <w:iCs w:val="0"/>
                <w:color w:val="auto"/>
                <w:sz w:val="21"/>
                <w:szCs w:val="21"/>
                <w:highlight w:val="none"/>
              </w:rPr>
              <w:t>仅指施工部分合同</w:t>
            </w:r>
            <w:r>
              <w:rPr>
                <w:rFonts w:hint="eastAsia" w:ascii="宋体" w:hAnsi="宋体" w:cs="宋体"/>
                <w:i w:val="0"/>
                <w:iCs w:val="0"/>
                <w:color w:val="auto"/>
                <w:sz w:val="21"/>
                <w:szCs w:val="21"/>
                <w:highlight w:val="none"/>
                <w:lang w:val="en-US" w:eastAsia="zh-CN"/>
              </w:rPr>
              <w:t>建筑面积</w:t>
            </w:r>
            <w:r>
              <w:rPr>
                <w:rFonts w:hint="eastAsia" w:ascii="宋体" w:hAnsi="宋体" w:eastAsia="宋体" w:cs="宋体"/>
                <w:i w:val="0"/>
                <w:iCs w:val="0"/>
                <w:color w:val="auto"/>
                <w:sz w:val="21"/>
                <w:szCs w:val="21"/>
                <w:highlight w:val="none"/>
              </w:rPr>
              <w:t>。业绩证明材料中投标人需明确在该项目中承担的施工内容，若仅提供比例的不予认可。</w:t>
            </w:r>
          </w:p>
          <w:p w14:paraId="73BE2D9B">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3）业绩特征的解释顺序为：质量证明文件、工程合同、中标通知书。</w:t>
            </w:r>
          </w:p>
          <w:p w14:paraId="3CA6CCCB">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4）业绩证明材料中的投标人名称发生合法变更的，还需提供合法有效的变更文件。</w:t>
            </w:r>
          </w:p>
          <w:p w14:paraId="70919AB4">
            <w:pPr>
              <w:keepNext w:val="0"/>
              <w:keepLines w:val="0"/>
              <w:widowControl/>
              <w:suppressLineNumbers w:val="0"/>
              <w:autoSpaceDE/>
              <w:autoSpaceDN/>
              <w:adjustRightInd/>
              <w:spacing w:before="0" w:beforeAutospacing="0" w:after="0" w:afterAutospacing="0" w:line="340" w:lineRule="exact"/>
              <w:ind w:left="0" w:right="0" w:firstLine="0" w:firstLineChars="0"/>
              <w:jc w:val="both"/>
              <w:rPr>
                <w:rFonts w:hint="default"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rPr>
              <w:t>公共建筑定义以</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公共建筑节能设计标准</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B50189-2015)中的定义为准：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但不包括商住楼、厂房、仓储物流。</w:t>
            </w:r>
          </w:p>
        </w:tc>
        <w:tc>
          <w:tcPr>
            <w:tcW w:w="1353" w:type="dxa"/>
            <w:noWrap w:val="0"/>
            <w:vAlign w:val="center"/>
          </w:tcPr>
          <w:p w14:paraId="2264A087">
            <w:pPr>
              <w:keepNext w:val="0"/>
              <w:keepLines w:val="0"/>
              <w:widowControl/>
              <w:suppressLineNumbers w:val="0"/>
              <w:autoSpaceDE/>
              <w:autoSpaceDN/>
              <w:adjustRightInd/>
              <w:spacing w:before="0" w:beforeAutospacing="0" w:after="0" w:afterAutospacing="0"/>
              <w:ind w:left="0" w:right="0"/>
              <w:jc w:val="center"/>
              <w:rPr>
                <w:rFonts w:hint="eastAsia" w:ascii="宋体" w:hAnsi="宋体" w:eastAsia="宋体" w:cs="宋体"/>
                <w:i w:val="0"/>
                <w:iCs w:val="0"/>
                <w:color w:val="auto"/>
                <w:kern w:val="2"/>
                <w:sz w:val="21"/>
                <w:szCs w:val="22"/>
                <w:highlight w:val="none"/>
                <w:lang w:val="en-US" w:eastAsia="zh-CN"/>
              </w:rPr>
            </w:pPr>
            <w:r>
              <w:rPr>
                <w:rFonts w:hint="eastAsia" w:ascii="宋体" w:hAnsi="宋体" w:eastAsia="宋体" w:cs="宋体"/>
                <w:i w:val="0"/>
                <w:iCs w:val="0"/>
                <w:color w:val="auto"/>
                <w:kern w:val="2"/>
                <w:sz w:val="21"/>
                <w:szCs w:val="22"/>
                <w:highlight w:val="none"/>
                <w:lang w:val="en-US" w:eastAsia="zh-CN"/>
              </w:rPr>
              <w:t>1分</w:t>
            </w:r>
          </w:p>
        </w:tc>
      </w:tr>
      <w:tr w14:paraId="410C8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noWrap w:val="0"/>
            <w:vAlign w:val="center"/>
          </w:tcPr>
          <w:p w14:paraId="6E876138">
            <w:pPr>
              <w:keepNext w:val="0"/>
              <w:keepLines w:val="0"/>
              <w:widowControl/>
              <w:suppressLineNumbers w:val="0"/>
              <w:autoSpaceDE/>
              <w:autoSpaceDN/>
              <w:adjustRightInd/>
              <w:spacing w:before="0" w:beforeAutospacing="0" w:after="0" w:afterAutospacing="0"/>
              <w:ind w:left="0" w:right="0"/>
              <w:jc w:val="both"/>
              <w:rPr>
                <w:rFonts w:hint="eastAsia" w:ascii="宋体" w:hAnsi="宋体" w:eastAsia="宋体" w:cs="宋体"/>
                <w:i w:val="0"/>
                <w:iCs w:val="0"/>
                <w:color w:val="auto"/>
                <w:spacing w:val="-12"/>
                <w:kern w:val="2"/>
                <w:sz w:val="21"/>
                <w:szCs w:val="22"/>
                <w:highlight w:val="none"/>
              </w:rPr>
            </w:pPr>
            <w:r>
              <w:rPr>
                <w:rFonts w:hint="eastAsia" w:ascii="宋体" w:hAnsi="宋体" w:eastAsia="宋体" w:cs="宋体"/>
                <w:i w:val="0"/>
                <w:iCs w:val="0"/>
                <w:color w:val="auto"/>
                <w:spacing w:val="-12"/>
                <w:kern w:val="2"/>
                <w:sz w:val="21"/>
                <w:szCs w:val="22"/>
                <w:highlight w:val="none"/>
              </w:rPr>
              <w:t>信用评分</w:t>
            </w:r>
          </w:p>
        </w:tc>
        <w:tc>
          <w:tcPr>
            <w:tcW w:w="5709" w:type="dxa"/>
            <w:noWrap w:val="0"/>
            <w:vAlign w:val="center"/>
          </w:tcPr>
          <w:p w14:paraId="53E1390D">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leftChars="0" w:right="0" w:rightChars="0" w:firstLine="420" w:firstLineChars="20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信用评价根据投标截止之日浙江省建筑市场监管公共服务系统最近一期公布的(房屋建筑工程)的施工总承包企业按规定的信用等级进行计取，无信用等级的不计分。信用分按信用等级计算。（如联合体投标的，以联合体牵头人的信用等级计取信用得分。)</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4"/>
              <w:gridCol w:w="727"/>
              <w:gridCol w:w="727"/>
              <w:gridCol w:w="856"/>
              <w:gridCol w:w="717"/>
              <w:gridCol w:w="783"/>
            </w:tblGrid>
            <w:tr w14:paraId="592F2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504" w:type="dxa"/>
                  <w:noWrap w:val="0"/>
                  <w:vAlign w:val="center"/>
                </w:tcPr>
                <w:p w14:paraId="62FDA2D7">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信用等级</w:t>
                  </w:r>
                </w:p>
              </w:tc>
              <w:tc>
                <w:tcPr>
                  <w:tcW w:w="727" w:type="dxa"/>
                  <w:noWrap w:val="0"/>
                  <w:vAlign w:val="center"/>
                </w:tcPr>
                <w:p w14:paraId="1839734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A</w:t>
                  </w:r>
                </w:p>
              </w:tc>
              <w:tc>
                <w:tcPr>
                  <w:tcW w:w="727" w:type="dxa"/>
                  <w:noWrap w:val="0"/>
                  <w:vAlign w:val="center"/>
                </w:tcPr>
                <w:p w14:paraId="36CD2CA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B</w:t>
                  </w:r>
                </w:p>
              </w:tc>
              <w:tc>
                <w:tcPr>
                  <w:tcW w:w="856" w:type="dxa"/>
                  <w:noWrap w:val="0"/>
                  <w:vAlign w:val="center"/>
                </w:tcPr>
                <w:p w14:paraId="4CA84DE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C</w:t>
                  </w:r>
                </w:p>
              </w:tc>
              <w:tc>
                <w:tcPr>
                  <w:tcW w:w="717" w:type="dxa"/>
                  <w:noWrap w:val="0"/>
                  <w:vAlign w:val="center"/>
                </w:tcPr>
                <w:p w14:paraId="6C0CB80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D</w:t>
                  </w:r>
                </w:p>
              </w:tc>
              <w:tc>
                <w:tcPr>
                  <w:tcW w:w="783" w:type="dxa"/>
                  <w:noWrap w:val="0"/>
                  <w:vAlign w:val="center"/>
                </w:tcPr>
                <w:p w14:paraId="03F2EBA7">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E</w:t>
                  </w:r>
                </w:p>
              </w:tc>
            </w:tr>
            <w:tr w14:paraId="2B61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504" w:type="dxa"/>
                  <w:noWrap w:val="0"/>
                  <w:vAlign w:val="center"/>
                </w:tcPr>
                <w:p w14:paraId="5C12AFA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信用得分</w:t>
                  </w:r>
                </w:p>
              </w:tc>
              <w:tc>
                <w:tcPr>
                  <w:tcW w:w="727" w:type="dxa"/>
                  <w:noWrap w:val="0"/>
                  <w:vAlign w:val="center"/>
                </w:tcPr>
                <w:p w14:paraId="00C73C2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727" w:type="dxa"/>
                  <w:noWrap w:val="0"/>
                  <w:vAlign w:val="center"/>
                </w:tcPr>
                <w:p w14:paraId="35F71F3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856" w:type="dxa"/>
                  <w:noWrap w:val="0"/>
                  <w:vAlign w:val="center"/>
                </w:tcPr>
                <w:p w14:paraId="3344614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2.75</w:t>
                  </w:r>
                </w:p>
              </w:tc>
              <w:tc>
                <w:tcPr>
                  <w:tcW w:w="717" w:type="dxa"/>
                  <w:noWrap w:val="0"/>
                  <w:vAlign w:val="center"/>
                </w:tcPr>
                <w:p w14:paraId="3D7AE5C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783" w:type="dxa"/>
                  <w:noWrap w:val="0"/>
                  <w:vAlign w:val="center"/>
                </w:tcPr>
                <w:p w14:paraId="361A753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0</w:t>
                  </w:r>
                </w:p>
              </w:tc>
            </w:tr>
          </w:tbl>
          <w:p w14:paraId="421B1A52">
            <w:pPr>
              <w:keepNext w:val="0"/>
              <w:keepLines w:val="0"/>
              <w:widowControl/>
              <w:suppressLineNumbers w:val="0"/>
              <w:autoSpaceDE/>
              <w:autoSpaceDN/>
              <w:adjustRightInd/>
              <w:spacing w:before="0" w:beforeAutospacing="0" w:after="0" w:afterAutospacing="0" w:line="340" w:lineRule="exact"/>
              <w:ind w:left="0" w:right="0" w:firstLine="420" w:firstLineChars="200"/>
              <w:jc w:val="both"/>
              <w:rPr>
                <w:rFonts w:hint="default" w:ascii="宋体" w:hAnsi="宋体" w:eastAsia="宋体" w:cs="宋体"/>
                <w:i w:val="0"/>
                <w:iCs w:val="0"/>
                <w:color w:val="auto"/>
                <w:sz w:val="21"/>
                <w:szCs w:val="21"/>
                <w:highlight w:val="none"/>
                <w:lang w:val="en-US"/>
              </w:rPr>
            </w:pPr>
          </w:p>
        </w:tc>
        <w:tc>
          <w:tcPr>
            <w:tcW w:w="1353" w:type="dxa"/>
            <w:noWrap w:val="0"/>
            <w:vAlign w:val="center"/>
          </w:tcPr>
          <w:p w14:paraId="75B0AE5B">
            <w:pPr>
              <w:keepNext w:val="0"/>
              <w:keepLines w:val="0"/>
              <w:widowControl/>
              <w:suppressLineNumbers w:val="0"/>
              <w:autoSpaceDE/>
              <w:autoSpaceDN/>
              <w:adjustRightInd/>
              <w:spacing w:before="0" w:beforeAutospacing="0" w:after="0" w:afterAutospacing="0"/>
              <w:ind w:left="0" w:right="0"/>
              <w:jc w:val="center"/>
              <w:rPr>
                <w:rFonts w:hint="default" w:ascii="宋体" w:hAnsi="宋体" w:eastAsia="宋体" w:cs="宋体"/>
                <w:i w:val="0"/>
                <w:iCs w:val="0"/>
                <w:color w:val="auto"/>
                <w:kern w:val="2"/>
                <w:sz w:val="21"/>
                <w:szCs w:val="22"/>
                <w:highlight w:val="none"/>
              </w:rPr>
            </w:pPr>
            <w:r>
              <w:rPr>
                <w:rFonts w:hint="eastAsia" w:ascii="宋体" w:hAnsi="宋体" w:eastAsia="宋体" w:cs="宋体"/>
                <w:i w:val="0"/>
                <w:iCs w:val="0"/>
                <w:color w:val="auto"/>
                <w:kern w:val="2"/>
                <w:sz w:val="21"/>
                <w:szCs w:val="22"/>
                <w:highlight w:val="none"/>
                <w:lang w:val="en-US" w:eastAsia="zh-CN"/>
              </w:rPr>
              <w:t>5分</w:t>
            </w:r>
          </w:p>
        </w:tc>
      </w:tr>
      <w:tr w14:paraId="7370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noWrap w:val="0"/>
            <w:vAlign w:val="center"/>
          </w:tcPr>
          <w:p w14:paraId="4F46CC4B">
            <w:pPr>
              <w:keepNext w:val="0"/>
              <w:keepLines w:val="0"/>
              <w:widowControl/>
              <w:suppressLineNumbers w:val="0"/>
              <w:autoSpaceDE/>
              <w:autoSpaceDN/>
              <w:adjustRightInd/>
              <w:spacing w:before="0" w:beforeAutospacing="0" w:after="0" w:afterAutospacing="0"/>
              <w:ind w:left="0" w:right="0"/>
              <w:jc w:val="both"/>
              <w:rPr>
                <w:rFonts w:hint="eastAsia" w:ascii="宋体" w:hAnsi="宋体" w:eastAsia="宋体" w:cs="宋体"/>
                <w:i w:val="0"/>
                <w:iCs w:val="0"/>
                <w:color w:val="auto"/>
                <w:spacing w:val="-12"/>
                <w:kern w:val="2"/>
                <w:sz w:val="21"/>
                <w:szCs w:val="22"/>
                <w:highlight w:val="none"/>
              </w:rPr>
            </w:pPr>
            <w:r>
              <w:rPr>
                <w:rFonts w:hint="eastAsia" w:ascii="宋体" w:hAnsi="宋体" w:eastAsia="宋体" w:cs="宋体"/>
                <w:i w:val="0"/>
                <w:iCs w:val="0"/>
                <w:color w:val="auto"/>
                <w:spacing w:val="-12"/>
                <w:kern w:val="2"/>
                <w:sz w:val="21"/>
                <w:szCs w:val="22"/>
                <w:highlight w:val="none"/>
              </w:rPr>
              <w:t>拟派项目负责人及项目管理班子人员能力</w:t>
            </w:r>
          </w:p>
        </w:tc>
        <w:tc>
          <w:tcPr>
            <w:tcW w:w="5709" w:type="dxa"/>
            <w:noWrap w:val="0"/>
            <w:vAlign w:val="center"/>
          </w:tcPr>
          <w:p w14:paraId="2DD2DDDD">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投标人牵头单位拟派项目负责人具有建筑工程相关专业高级及以上工程师职称的，得1分；</w:t>
            </w:r>
          </w:p>
          <w:p w14:paraId="51BF426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lang w:val="en-US" w:eastAsia="zh-CN"/>
              </w:rPr>
              <w:t>投标人（联合体投标的，由联合体任意一方提供）拟派技术负责人具有风景园林或园林绿化高级及以上工程师职称的，得1分。</w:t>
            </w:r>
          </w:p>
          <w:p w14:paraId="018CE1B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rightChars="0"/>
              <w:jc w:val="both"/>
              <w:textAlignment w:val="auto"/>
              <w:rPr>
                <w:rFonts w:hint="eastAsia" w:ascii="宋体" w:hAnsi="宋体" w:eastAsia="宋体" w:cs="宋体"/>
                <w:i w:val="0"/>
                <w:iCs w:val="0"/>
                <w:color w:val="auto"/>
                <w:spacing w:val="-12"/>
                <w:kern w:val="2"/>
                <w:sz w:val="21"/>
                <w:szCs w:val="22"/>
                <w:highlight w:val="none"/>
              </w:rPr>
            </w:pPr>
            <w:r>
              <w:rPr>
                <w:rFonts w:hint="eastAsia" w:ascii="宋体" w:hAnsi="宋体" w:eastAsia="宋体" w:cs="宋体"/>
                <w:i w:val="0"/>
                <w:iCs w:val="0"/>
                <w:color w:val="auto"/>
                <w:sz w:val="21"/>
                <w:szCs w:val="21"/>
                <w:highlight w:val="none"/>
                <w:lang w:val="en-US" w:eastAsia="zh-CN"/>
              </w:rPr>
              <w:t>证明资料:投标人需提供有效的职称证书，未提供或不符合的不得分。</w:t>
            </w:r>
          </w:p>
        </w:tc>
        <w:tc>
          <w:tcPr>
            <w:tcW w:w="1353" w:type="dxa"/>
            <w:noWrap w:val="0"/>
            <w:vAlign w:val="center"/>
          </w:tcPr>
          <w:p w14:paraId="2B348520">
            <w:pPr>
              <w:keepNext w:val="0"/>
              <w:keepLines w:val="0"/>
              <w:widowControl/>
              <w:suppressLineNumbers w:val="0"/>
              <w:autoSpaceDE/>
              <w:autoSpaceDN/>
              <w:adjustRightInd/>
              <w:spacing w:before="0" w:beforeAutospacing="0" w:after="0" w:afterAutospacing="0"/>
              <w:ind w:left="0" w:right="0"/>
              <w:jc w:val="center"/>
              <w:rPr>
                <w:rFonts w:hint="eastAsia" w:ascii="宋体" w:hAnsi="宋体" w:eastAsia="宋体" w:cs="宋体"/>
                <w:i w:val="0"/>
                <w:iCs w:val="0"/>
                <w:color w:val="auto"/>
                <w:kern w:val="2"/>
                <w:sz w:val="21"/>
                <w:szCs w:val="22"/>
                <w:highlight w:val="none"/>
              </w:rPr>
            </w:pPr>
            <w:r>
              <w:rPr>
                <w:rFonts w:hint="eastAsia" w:ascii="宋体" w:hAnsi="宋体" w:eastAsia="宋体" w:cs="宋体"/>
                <w:i w:val="0"/>
                <w:iCs w:val="0"/>
                <w:color w:val="auto"/>
                <w:kern w:val="2"/>
                <w:sz w:val="21"/>
                <w:szCs w:val="22"/>
                <w:highlight w:val="none"/>
                <w:lang w:val="en-US" w:eastAsia="zh-CN"/>
              </w:rPr>
              <w:t>2分</w:t>
            </w:r>
          </w:p>
        </w:tc>
      </w:tr>
    </w:tbl>
    <w:p w14:paraId="00770ED5">
      <w:pPr>
        <w:widowControl w:val="0"/>
        <w:numPr>
          <w:ilvl w:val="0"/>
          <w:numId w:val="37"/>
        </w:numPr>
        <w:autoSpaceDE w:val="0"/>
        <w:autoSpaceDN w:val="0"/>
        <w:adjustRightInd w:val="0"/>
        <w:snapToGrid w:val="0"/>
        <w:spacing w:before="120" w:beforeLines="50"/>
        <w:ind w:left="0" w:firstLine="482" w:firstLineChars="200"/>
        <w:rPr>
          <w:rFonts w:ascii="宋体" w:hAnsi="宋体" w:eastAsia="宋体" w:cs="Times New Roman"/>
          <w:b/>
          <w:i w:val="0"/>
          <w:iCs w:val="0"/>
          <w:color w:val="auto"/>
          <w:sz w:val="24"/>
          <w:szCs w:val="24"/>
          <w:highlight w:val="none"/>
          <w:lang w:val="en-US" w:eastAsia="zh-CN" w:bidi="ar-SA"/>
        </w:rPr>
      </w:pPr>
      <w:r>
        <w:rPr>
          <w:rFonts w:hint="eastAsia" w:ascii="宋体" w:hAnsi="宋体" w:eastAsia="宋体" w:cs="Times New Roman"/>
          <w:b/>
          <w:i w:val="0"/>
          <w:iCs w:val="0"/>
          <w:color w:val="auto"/>
          <w:sz w:val="24"/>
          <w:szCs w:val="24"/>
          <w:highlight w:val="none"/>
          <w:lang w:val="en-US" w:eastAsia="zh-CN" w:bidi="ar-SA"/>
        </w:rPr>
        <w:t>商务标评审</w:t>
      </w:r>
    </w:p>
    <w:p w14:paraId="487708F1">
      <w:pPr>
        <w:ind w:firstLine="480" w:firstLineChars="200"/>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（一）商务标评审是对投标文件中工程量清单的范围、数量、报价进行全面审核和对比分析。投标人存在投标人须知前附表</w:t>
      </w:r>
      <w:r>
        <w:rPr>
          <w:rFonts w:hint="eastAsia" w:ascii="Times New Roman" w:hAnsi="Times New Roman" w:eastAsia="宋体" w:cs="Times New Roman"/>
          <w:i w:val="0"/>
          <w:iCs w:val="0"/>
          <w:color w:val="auto"/>
          <w:highlight w:val="none"/>
        </w:rPr>
        <w:t>10.5</w:t>
      </w:r>
      <w:r>
        <w:rPr>
          <w:rFonts w:hint="eastAsia" w:ascii="宋体" w:hAnsi="宋体" w:eastAsia="宋体" w:cs="Times New Roman"/>
          <w:i w:val="0"/>
          <w:iCs w:val="0"/>
          <w:color w:val="auto"/>
          <w:highlight w:val="none"/>
        </w:rPr>
        <w:t>情形之一的，评标委员会组织投标人询问核实后，情况属实的，商务标评审不予通过，否决其投标。</w:t>
      </w:r>
    </w:p>
    <w:p w14:paraId="1F9981F4">
      <w:pPr>
        <w:ind w:firstLine="480" w:firstLineChars="200"/>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（二）商务标评分（6</w:t>
      </w:r>
      <w:r>
        <w:rPr>
          <w:rFonts w:hint="eastAsia" w:ascii="宋体" w:hAnsi="宋体" w:eastAsia="宋体" w:cs="Times New Roman"/>
          <w:i w:val="0"/>
          <w:iCs w:val="0"/>
          <w:color w:val="auto"/>
          <w:highlight w:val="none"/>
          <w:lang w:val="en-US" w:eastAsia="zh-CN"/>
        </w:rPr>
        <w:t>0</w:t>
      </w:r>
      <w:r>
        <w:rPr>
          <w:rFonts w:hint="eastAsia" w:ascii="宋体" w:hAnsi="宋体" w:eastAsia="宋体" w:cs="Times New Roman"/>
          <w:i w:val="0"/>
          <w:iCs w:val="0"/>
          <w:color w:val="auto"/>
          <w:highlight w:val="none"/>
        </w:rPr>
        <w:t>分）</w:t>
      </w:r>
    </w:p>
    <w:p w14:paraId="3E88AE9A">
      <w:pPr>
        <w:snapToGrid w:val="0"/>
        <w:ind w:left="240" w:leftChars="100" w:firstLine="240" w:firstLineChars="100"/>
        <w:rPr>
          <w:rFonts w:ascii="宋体" w:hAnsi="宋体" w:eastAsia="宋体" w:cs="宋体"/>
          <w:i w:val="0"/>
          <w:iCs w:val="0"/>
          <w:strike/>
          <w:color w:val="auto"/>
          <w:highlight w:val="none"/>
        </w:rPr>
      </w:pPr>
      <w:r>
        <w:rPr>
          <w:rFonts w:hint="eastAsia" w:ascii="宋体" w:hAnsi="宋体" w:eastAsia="宋体" w:cs="宋体"/>
          <w:i w:val="0"/>
          <w:iCs w:val="0"/>
          <w:color w:val="auto"/>
          <w:highlight w:val="none"/>
        </w:rPr>
        <w:t>商务标评分=</w:t>
      </w:r>
      <w:r>
        <w:rPr>
          <w:rFonts w:hint="eastAsia" w:ascii="宋体" w:hAnsi="宋体" w:eastAsia="宋体" w:cs="Times New Roman"/>
          <w:i w:val="0"/>
          <w:iCs w:val="0"/>
          <w:strike/>
          <w:color w:val="auto"/>
          <w:highlight w:val="none"/>
        </w:rPr>
        <w:t>工程量清单综合单价评分（≤</w:t>
      </w:r>
      <w:r>
        <w:rPr>
          <w:rFonts w:ascii="宋体" w:hAnsi="宋体" w:eastAsia="宋体" w:cs="Times New Roman"/>
          <w:i w:val="0"/>
          <w:iCs w:val="0"/>
          <w:strike/>
          <w:color w:val="auto"/>
          <w:highlight w:val="none"/>
        </w:rPr>
        <w:t>10分</w:t>
      </w:r>
      <w:r>
        <w:rPr>
          <w:rFonts w:hint="eastAsia" w:ascii="宋体" w:hAnsi="宋体" w:eastAsia="宋体" w:cs="Times New Roman"/>
          <w:i w:val="0"/>
          <w:iCs w:val="0"/>
          <w:strike/>
          <w:color w:val="auto"/>
          <w:highlight w:val="none"/>
        </w:rPr>
        <w:t>）+</w:t>
      </w:r>
      <w:r>
        <w:rPr>
          <w:rFonts w:hint="eastAsia" w:ascii="宋体" w:hAnsi="宋体" w:eastAsia="宋体" w:cs="Times New Roman"/>
          <w:i w:val="0"/>
          <w:iCs w:val="0"/>
          <w:color w:val="auto"/>
          <w:highlight w:val="none"/>
        </w:rPr>
        <w:t>商务总报价评分</w:t>
      </w:r>
    </w:p>
    <w:p w14:paraId="3F908D72">
      <w:pPr>
        <w:adjustRightInd/>
        <w:ind w:firstLine="480" w:firstLineChars="200"/>
        <w:jc w:val="both"/>
        <w:rPr>
          <w:rFonts w:ascii="宋体" w:hAnsi="宋体" w:eastAsia="宋体" w:cs="Times New Roman"/>
          <w:i w:val="0"/>
          <w:iCs w:val="0"/>
          <w:strike/>
          <w:color w:val="auto"/>
          <w:highlight w:val="none"/>
        </w:rPr>
      </w:pPr>
      <w:r>
        <w:rPr>
          <w:rFonts w:hint="eastAsia" w:ascii="宋体" w:hAnsi="宋体" w:eastAsia="宋体" w:cs="宋体"/>
          <w:i w:val="0"/>
          <w:iCs w:val="0"/>
          <w:strike/>
          <w:color w:val="auto"/>
          <w:highlight w:val="none"/>
        </w:rPr>
        <w:t>□</w:t>
      </w:r>
      <w:r>
        <w:rPr>
          <w:rFonts w:hint="eastAsia" w:ascii="宋体" w:hAnsi="宋体" w:eastAsia="宋体" w:cs="Times New Roman"/>
          <w:i w:val="0"/>
          <w:iCs w:val="0"/>
          <w:strike/>
          <w:color w:val="auto"/>
          <w:highlight w:val="none"/>
        </w:rPr>
        <w:t>1.工程量清单综合单价评分</w:t>
      </w:r>
    </w:p>
    <w:p w14:paraId="49CB4411">
      <w:pPr>
        <w:adjustRightInd/>
        <w:ind w:firstLine="480" w:firstLineChars="200"/>
        <w:jc w:val="both"/>
        <w:rPr>
          <w:rFonts w:ascii="宋体" w:hAnsi="宋体" w:eastAsia="宋体" w:cs="Times New Roman"/>
          <w:i w:val="0"/>
          <w:iCs w:val="0"/>
          <w:strike/>
          <w:color w:val="auto"/>
          <w:highlight w:val="none"/>
        </w:rPr>
      </w:pPr>
      <w:r>
        <w:rPr>
          <w:rFonts w:hint="eastAsia" w:ascii="宋体" w:hAnsi="宋体" w:eastAsia="宋体" w:cs="Times New Roman"/>
          <w:i w:val="0"/>
          <w:iCs w:val="0"/>
          <w:strike/>
          <w:color w:val="auto"/>
          <w:highlight w:val="none"/>
        </w:rPr>
        <w:t>工程量清单综合单价评审是对投标报价的工程量清单综合单价进行评审，确定是工程量清单综合单价是否存在超出合理区间范围的情况，规则为：</w:t>
      </w:r>
    </w:p>
    <w:p w14:paraId="6E6F9340">
      <w:pPr>
        <w:autoSpaceDN/>
        <w:snapToGrid w:val="0"/>
        <w:ind w:firstLine="480" w:firstLineChars="200"/>
        <w:rPr>
          <w:rFonts w:ascii="宋体" w:hAnsi="宋体" w:eastAsia="宋体" w:cs="Times New Roman"/>
          <w:i w:val="0"/>
          <w:iCs w:val="0"/>
          <w:strike/>
          <w:color w:val="auto"/>
          <w:highlight w:val="none"/>
        </w:rPr>
      </w:pPr>
      <w:r>
        <w:rPr>
          <w:rFonts w:hint="eastAsia" w:ascii="宋体" w:hAnsi="宋体" w:eastAsia="宋体" w:cs="Times New Roman"/>
          <w:i w:val="0"/>
          <w:iCs w:val="0"/>
          <w:strike/>
          <w:color w:val="auto"/>
          <w:highlight w:val="none"/>
        </w:rPr>
        <w:t>1).确定工程量清单的评价项目</w:t>
      </w:r>
    </w:p>
    <w:p w14:paraId="0C33E340">
      <w:pPr>
        <w:autoSpaceDN/>
        <w:snapToGrid w:val="0"/>
        <w:ind w:firstLine="480" w:firstLineChars="200"/>
        <w:rPr>
          <w:rFonts w:ascii="宋体" w:hAnsi="宋体" w:eastAsia="宋体" w:cs="Times New Roman"/>
          <w:i w:val="0"/>
          <w:iCs w:val="0"/>
          <w:strike/>
          <w:color w:val="auto"/>
          <w:highlight w:val="none"/>
        </w:rPr>
      </w:pPr>
      <w:r>
        <w:rPr>
          <w:rFonts w:hint="eastAsia" w:ascii="宋体" w:hAnsi="宋体" w:eastAsia="宋体" w:cs="Times New Roman"/>
          <w:i w:val="0"/>
          <w:iCs w:val="0"/>
          <w:strike/>
          <w:color w:val="auto"/>
          <w:highlight w:val="none"/>
        </w:rPr>
        <w:t>评价项目由招标人先行选定和计算机随机抽取两部分组成。招标人先行选定：由招标人在工程量清单中先行选定</w:t>
      </w:r>
      <w:r>
        <w:rPr>
          <w:rFonts w:hint="eastAsia" w:ascii="宋体" w:hAnsi="宋体" w:eastAsia="宋体" w:cs="Times New Roman"/>
          <w:i w:val="0"/>
          <w:iCs w:val="0"/>
          <w:strike/>
          <w:color w:val="auto"/>
          <w:highlight w:val="none"/>
          <w:u w:val="single"/>
        </w:rPr>
        <w:t xml:space="preserve">   </w:t>
      </w:r>
      <w:r>
        <w:rPr>
          <w:rFonts w:hint="eastAsia" w:ascii="宋体" w:hAnsi="宋体" w:eastAsia="宋体" w:cs="Times New Roman"/>
          <w:i w:val="0"/>
          <w:iCs w:val="0"/>
          <w:strike/>
          <w:color w:val="auto"/>
          <w:highlight w:val="none"/>
        </w:rPr>
        <w:t>个评价项目（不超过10个项目，原则上取合计金额最大的项目），分别是:</w:t>
      </w:r>
      <w:r>
        <w:rPr>
          <w:rFonts w:hint="eastAsia" w:ascii="宋体" w:hAnsi="宋体" w:eastAsia="宋体" w:cs="Times New Roman"/>
          <w:i w:val="0"/>
          <w:iCs w:val="0"/>
          <w:strike/>
          <w:color w:val="auto"/>
          <w:highlight w:val="none"/>
          <w:u w:val="single"/>
        </w:rPr>
        <w:t xml:space="preserve">   </w:t>
      </w:r>
      <w:r>
        <w:rPr>
          <w:rFonts w:hint="eastAsia" w:ascii="宋体" w:hAnsi="宋体" w:eastAsia="宋体" w:cs="Times New Roman"/>
          <w:i w:val="0"/>
          <w:iCs w:val="0"/>
          <w:strike/>
          <w:color w:val="auto"/>
          <w:highlight w:val="none"/>
        </w:rPr>
        <w:t>。计算机随机抽取：开标现场由招标人从招标文件工程量清单中（去除招标人自行选定项目）以计算机随机抽取的方式选定，数量同招标人先行选定数量一致。</w:t>
      </w:r>
    </w:p>
    <w:p w14:paraId="3B93C155">
      <w:pPr>
        <w:autoSpaceDN/>
        <w:snapToGrid w:val="0"/>
        <w:ind w:firstLine="480" w:firstLineChars="200"/>
        <w:rPr>
          <w:rFonts w:ascii="宋体" w:hAnsi="宋体" w:eastAsia="宋体" w:cs="Times New Roman"/>
          <w:i w:val="0"/>
          <w:iCs w:val="0"/>
          <w:strike/>
          <w:color w:val="auto"/>
          <w:highlight w:val="none"/>
        </w:rPr>
      </w:pPr>
      <w:r>
        <w:rPr>
          <w:rFonts w:hint="eastAsia" w:ascii="宋体" w:hAnsi="宋体" w:eastAsia="宋体" w:cs="Times New Roman"/>
          <w:i w:val="0"/>
          <w:iCs w:val="0"/>
          <w:strike/>
          <w:color w:val="auto"/>
          <w:highlight w:val="none"/>
        </w:rPr>
        <w:t>2).综合单价的合理区间确定</w:t>
      </w:r>
    </w:p>
    <w:p w14:paraId="7B6749C9">
      <w:pPr>
        <w:autoSpaceDN/>
        <w:snapToGrid w:val="0"/>
        <w:ind w:firstLine="480" w:firstLineChars="200"/>
        <w:rPr>
          <w:rFonts w:ascii="宋体" w:hAnsi="宋体" w:eastAsia="宋体" w:cs="Times New Roman"/>
          <w:i w:val="0"/>
          <w:iCs w:val="0"/>
          <w:strike/>
          <w:color w:val="auto"/>
          <w:highlight w:val="none"/>
        </w:rPr>
      </w:pPr>
      <w:r>
        <w:rPr>
          <w:rFonts w:hint="eastAsia" w:ascii="宋体" w:hAnsi="宋体" w:eastAsia="宋体" w:cs="Times New Roman"/>
          <w:i w:val="0"/>
          <w:iCs w:val="0"/>
          <w:strike/>
          <w:color w:val="auto"/>
          <w:highlight w:val="none"/>
        </w:rPr>
        <w:t>以最高投标限价的相应清单项目综合单价为基准，由招标人自行设定各评价项目的合理区间[E</w:t>
      </w:r>
      <w:r>
        <w:rPr>
          <w:rFonts w:hint="eastAsia" w:ascii="宋体" w:hAnsi="宋体" w:eastAsia="宋体" w:cs="Times New Roman"/>
          <w:i w:val="0"/>
          <w:iCs w:val="0"/>
          <w:strike/>
          <w:color w:val="auto"/>
          <w:sz w:val="36"/>
          <w:szCs w:val="36"/>
          <w:highlight w:val="none"/>
          <w:vertAlign w:val="subscript"/>
        </w:rPr>
        <w:t>1</w:t>
      </w:r>
      <w:r>
        <w:rPr>
          <w:rFonts w:hint="eastAsia" w:ascii="宋体" w:hAnsi="宋体" w:eastAsia="宋体" w:cs="Times New Roman"/>
          <w:i w:val="0"/>
          <w:iCs w:val="0"/>
          <w:strike/>
          <w:color w:val="auto"/>
          <w:highlight w:val="none"/>
        </w:rPr>
        <w:t>，E</w:t>
      </w:r>
      <w:r>
        <w:rPr>
          <w:rFonts w:hint="eastAsia" w:ascii="宋体" w:hAnsi="宋体" w:eastAsia="宋体" w:cs="Times New Roman"/>
          <w:i w:val="0"/>
          <w:iCs w:val="0"/>
          <w:strike/>
          <w:color w:val="auto"/>
          <w:sz w:val="36"/>
          <w:szCs w:val="36"/>
          <w:highlight w:val="none"/>
          <w:vertAlign w:val="subscript"/>
        </w:rPr>
        <w:t>2</w:t>
      </w:r>
      <w:r>
        <w:rPr>
          <w:rFonts w:hint="eastAsia" w:ascii="宋体" w:hAnsi="宋体" w:eastAsia="宋体" w:cs="Times New Roman"/>
          <w:i w:val="0"/>
          <w:iCs w:val="0"/>
          <w:strike/>
          <w:color w:val="auto"/>
          <w:highlight w:val="none"/>
        </w:rPr>
        <w:t>]，E</w:t>
      </w:r>
      <w:r>
        <w:rPr>
          <w:rFonts w:hint="eastAsia" w:ascii="宋体" w:hAnsi="宋体" w:eastAsia="宋体" w:cs="Times New Roman"/>
          <w:i w:val="0"/>
          <w:iCs w:val="0"/>
          <w:strike/>
          <w:color w:val="auto"/>
          <w:sz w:val="36"/>
          <w:szCs w:val="36"/>
          <w:highlight w:val="none"/>
          <w:vertAlign w:val="subscript"/>
        </w:rPr>
        <w:t>1</w:t>
      </w:r>
      <w:r>
        <w:rPr>
          <w:rFonts w:hint="eastAsia" w:ascii="宋体" w:hAnsi="宋体" w:eastAsia="宋体" w:cs="Times New Roman"/>
          <w:i w:val="0"/>
          <w:iCs w:val="0"/>
          <w:strike/>
          <w:color w:val="auto"/>
          <w:highlight w:val="none"/>
        </w:rPr>
        <w:t>为：</w:t>
      </w:r>
      <w:r>
        <w:rPr>
          <w:rFonts w:hint="eastAsia" w:ascii="宋体" w:hAnsi="宋体" w:eastAsia="宋体" w:cs="Times New Roman"/>
          <w:i w:val="0"/>
          <w:iCs w:val="0"/>
          <w:strike/>
          <w:color w:val="auto"/>
          <w:highlight w:val="none"/>
          <w:u w:val="single"/>
        </w:rPr>
        <w:t xml:space="preserve">     </w:t>
      </w:r>
      <w:r>
        <w:rPr>
          <w:rFonts w:hint="eastAsia" w:ascii="宋体" w:hAnsi="宋体" w:eastAsia="宋体" w:cs="Times New Roman"/>
          <w:i w:val="0"/>
          <w:iCs w:val="0"/>
          <w:strike/>
          <w:color w:val="auto"/>
          <w:highlight w:val="none"/>
        </w:rPr>
        <w:t>E</w:t>
      </w:r>
      <w:r>
        <w:rPr>
          <w:rFonts w:hint="eastAsia" w:ascii="宋体" w:hAnsi="宋体" w:eastAsia="宋体" w:cs="Times New Roman"/>
          <w:i w:val="0"/>
          <w:iCs w:val="0"/>
          <w:strike/>
          <w:color w:val="auto"/>
          <w:sz w:val="36"/>
          <w:szCs w:val="36"/>
          <w:highlight w:val="none"/>
          <w:vertAlign w:val="subscript"/>
        </w:rPr>
        <w:t>2</w:t>
      </w:r>
      <w:r>
        <w:rPr>
          <w:rFonts w:hint="eastAsia" w:ascii="宋体" w:hAnsi="宋体" w:eastAsia="宋体" w:cs="Times New Roman"/>
          <w:i w:val="0"/>
          <w:iCs w:val="0"/>
          <w:strike/>
          <w:color w:val="auto"/>
          <w:highlight w:val="none"/>
        </w:rPr>
        <w:t>为：</w:t>
      </w:r>
      <w:r>
        <w:rPr>
          <w:rFonts w:hint="eastAsia" w:ascii="宋体" w:hAnsi="宋体" w:eastAsia="宋体" w:cs="Times New Roman"/>
          <w:i w:val="0"/>
          <w:iCs w:val="0"/>
          <w:strike/>
          <w:color w:val="auto"/>
          <w:highlight w:val="none"/>
          <w:u w:val="single"/>
        </w:rPr>
        <w:t xml:space="preserve">      </w:t>
      </w:r>
      <w:r>
        <w:rPr>
          <w:rFonts w:hint="eastAsia" w:ascii="宋体" w:hAnsi="宋体" w:eastAsia="宋体" w:cs="Times New Roman"/>
          <w:i w:val="0"/>
          <w:iCs w:val="0"/>
          <w:strike/>
          <w:color w:val="auto"/>
          <w:highlight w:val="none"/>
        </w:rPr>
        <w:t>（E</w:t>
      </w:r>
      <w:r>
        <w:rPr>
          <w:rFonts w:hint="eastAsia" w:ascii="宋体" w:hAnsi="宋体" w:eastAsia="宋体" w:cs="Times New Roman"/>
          <w:i w:val="0"/>
          <w:iCs w:val="0"/>
          <w:strike/>
          <w:color w:val="auto"/>
          <w:sz w:val="36"/>
          <w:szCs w:val="36"/>
          <w:highlight w:val="none"/>
          <w:vertAlign w:val="subscript"/>
        </w:rPr>
        <w:t>1</w:t>
      </w:r>
      <w:r>
        <w:rPr>
          <w:rFonts w:hint="eastAsia" w:ascii="宋体" w:hAnsi="宋体" w:eastAsia="宋体" w:cs="Times New Roman"/>
          <w:i w:val="0"/>
          <w:iCs w:val="0"/>
          <w:strike/>
          <w:color w:val="auto"/>
          <w:highlight w:val="none"/>
        </w:rPr>
        <w:t>≤-25％，E</w:t>
      </w:r>
      <w:r>
        <w:rPr>
          <w:rFonts w:hint="eastAsia" w:ascii="宋体" w:hAnsi="宋体" w:eastAsia="宋体" w:cs="Times New Roman"/>
          <w:i w:val="0"/>
          <w:iCs w:val="0"/>
          <w:strike/>
          <w:color w:val="auto"/>
          <w:sz w:val="36"/>
          <w:szCs w:val="36"/>
          <w:highlight w:val="none"/>
          <w:vertAlign w:val="subscript"/>
        </w:rPr>
        <w:t>2</w:t>
      </w:r>
      <w:r>
        <w:rPr>
          <w:rFonts w:hint="eastAsia" w:ascii="宋体" w:hAnsi="宋体" w:eastAsia="宋体" w:cs="Times New Roman"/>
          <w:i w:val="0"/>
          <w:iCs w:val="0"/>
          <w:strike/>
          <w:color w:val="auto"/>
          <w:highlight w:val="none"/>
        </w:rPr>
        <w:t xml:space="preserve">≥5％），各评价项目的区间范围保持一致。 </w:t>
      </w:r>
    </w:p>
    <w:p w14:paraId="6B7F731B">
      <w:pPr>
        <w:autoSpaceDN/>
        <w:snapToGrid w:val="0"/>
        <w:ind w:firstLine="480" w:firstLineChars="200"/>
        <w:rPr>
          <w:rFonts w:ascii="宋体" w:hAnsi="宋体" w:eastAsia="宋体" w:cs="Times New Roman"/>
          <w:i w:val="0"/>
          <w:iCs w:val="0"/>
          <w:strike/>
          <w:color w:val="auto"/>
          <w:highlight w:val="none"/>
        </w:rPr>
      </w:pPr>
      <w:r>
        <w:rPr>
          <w:rFonts w:hint="eastAsia" w:ascii="宋体" w:hAnsi="宋体" w:eastAsia="宋体" w:cs="Times New Roman"/>
          <w:i w:val="0"/>
          <w:iCs w:val="0"/>
          <w:strike/>
          <w:color w:val="auto"/>
          <w:highlight w:val="none"/>
        </w:rPr>
        <w:t>3).综合单价评审</w:t>
      </w:r>
    </w:p>
    <w:p w14:paraId="5C0164A4">
      <w:pPr>
        <w:adjustRightInd/>
        <w:ind w:firstLine="480" w:firstLineChars="200"/>
        <w:jc w:val="both"/>
        <w:rPr>
          <w:rFonts w:ascii="宋体" w:hAnsi="宋体" w:eastAsia="宋体" w:cs="Times New Roman"/>
          <w:i w:val="0"/>
          <w:iCs w:val="0"/>
          <w:color w:val="auto"/>
          <w:highlight w:val="none"/>
        </w:rPr>
      </w:pPr>
      <w:r>
        <w:rPr>
          <w:rFonts w:hint="eastAsia" w:ascii="宋体" w:hAnsi="宋体" w:eastAsia="宋体" w:cs="Times New Roman"/>
          <w:i w:val="0"/>
          <w:iCs w:val="0"/>
          <w:strike/>
          <w:color w:val="auto"/>
          <w:highlight w:val="none"/>
        </w:rPr>
        <w:t>综合单价报价超出合理区间范围的，每个评价项目扣（</w:t>
      </w:r>
      <w:r>
        <w:rPr>
          <w:rFonts w:hint="eastAsia" w:ascii="宋体" w:hAnsi="宋体" w:eastAsia="宋体" w:cs="Times New Roman"/>
          <w:i w:val="0"/>
          <w:iCs w:val="0"/>
          <w:strike/>
          <w:color w:val="auto"/>
          <w:highlight w:val="none"/>
          <w:u w:val="single"/>
        </w:rPr>
        <w:t>10</w:t>
      </w:r>
      <w:r>
        <w:rPr>
          <w:rFonts w:hint="eastAsia" w:ascii="宋体" w:hAnsi="宋体" w:eastAsia="宋体" w:cs="Times New Roman"/>
          <w:i w:val="0"/>
          <w:iCs w:val="0"/>
          <w:strike/>
          <w:color w:val="auto"/>
          <w:highlight w:val="none"/>
        </w:rPr>
        <w:t>／</w:t>
      </w:r>
      <w:r>
        <w:rPr>
          <w:rFonts w:hint="eastAsia" w:ascii="宋体" w:hAnsi="宋体" w:eastAsia="宋体" w:cs="Times New Roman"/>
          <w:i w:val="0"/>
          <w:iCs w:val="0"/>
          <w:strike/>
          <w:color w:val="auto"/>
          <w:highlight w:val="none"/>
          <w:u w:val="single"/>
        </w:rPr>
        <w:t>评审项目总数</w:t>
      </w:r>
      <w:r>
        <w:rPr>
          <w:rFonts w:hint="eastAsia" w:ascii="宋体" w:hAnsi="宋体" w:eastAsia="宋体" w:cs="Times New Roman"/>
          <w:i w:val="0"/>
          <w:iCs w:val="0"/>
          <w:strike/>
          <w:color w:val="auto"/>
          <w:highlight w:val="none"/>
        </w:rPr>
        <w:t>）分，</w:t>
      </w:r>
      <w:r>
        <w:rPr>
          <w:rFonts w:hint="eastAsia" w:ascii="宋体" w:hAnsi="宋体" w:eastAsia="宋体" w:cs="Times New Roman"/>
          <w:i w:val="0"/>
          <w:iCs w:val="0"/>
          <w:strike/>
          <w:color w:val="auto"/>
          <w:highlight w:val="none"/>
          <w:u w:val="single"/>
        </w:rPr>
        <w:t>10</w:t>
      </w:r>
      <w:r>
        <w:rPr>
          <w:rFonts w:hint="eastAsia" w:ascii="宋体" w:hAnsi="宋体" w:eastAsia="宋体" w:cs="Times New Roman"/>
          <w:i w:val="0"/>
          <w:iCs w:val="0"/>
          <w:strike/>
          <w:color w:val="auto"/>
          <w:highlight w:val="none"/>
        </w:rPr>
        <w:t>分扣完为止。（工程量清单综合单价分值小于10分的，按实际分值；该环节小数点精确程度在计算机辅助评标系统中确定）。</w:t>
      </w:r>
    </w:p>
    <w:p w14:paraId="4FE4104F">
      <w:pPr>
        <w:snapToGrid w:val="0"/>
        <w:ind w:left="240" w:leftChars="100" w:firstLine="240" w:firstLineChars="100"/>
        <w:rPr>
          <w:rFonts w:ascii="宋体" w:hAnsi="宋体" w:eastAsia="宋体" w:cs="Times New Roman"/>
          <w:i w:val="0"/>
          <w:iCs w:val="0"/>
          <w:color w:val="auto"/>
          <w:highlight w:val="none"/>
        </w:rPr>
      </w:pPr>
      <w:r>
        <w:rPr>
          <w:rFonts w:hint="eastAsia" w:ascii="宋体" w:hAnsi="宋体" w:eastAsia="宋体" w:cs="宋体"/>
          <w:i w:val="0"/>
          <w:iCs w:val="0"/>
          <w:color w:val="auto"/>
          <w:highlight w:val="none"/>
        </w:rPr>
        <w:t>2.</w:t>
      </w:r>
      <w:r>
        <w:rPr>
          <w:rFonts w:hint="eastAsia" w:ascii="宋体" w:hAnsi="宋体" w:eastAsia="宋体" w:cs="Times New Roman"/>
          <w:i w:val="0"/>
          <w:iCs w:val="0"/>
          <w:color w:val="auto"/>
          <w:highlight w:val="none"/>
        </w:rPr>
        <w:t>商务总报价评分</w:t>
      </w:r>
    </w:p>
    <w:p w14:paraId="4D667558">
      <w:pPr>
        <w:snapToGrid w:val="0"/>
        <w:ind w:firstLine="480" w:firstLineChars="200"/>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投标报价等于评标基准价时，商务评分为满分；投标报价每高于评标基准价1%扣2A分；每低于评标基准价1%扣A分（A=1</w:t>
      </w:r>
      <w:r>
        <w:rPr>
          <w:rFonts w:hint="eastAsia" w:ascii="宋体" w:hAnsi="宋体" w:eastAsia="宋体" w:cs="Times New Roman"/>
          <w:i w:val="0"/>
          <w:iCs w:val="0"/>
          <w:strike/>
          <w:color w:val="auto"/>
          <w:highlight w:val="none"/>
        </w:rPr>
        <w:t>或2</w:t>
      </w:r>
      <w:r>
        <w:rPr>
          <w:rFonts w:hint="eastAsia" w:ascii="宋体" w:hAnsi="宋体" w:eastAsia="宋体" w:cs="Times New Roman"/>
          <w:i w:val="0"/>
          <w:iCs w:val="0"/>
          <w:color w:val="auto"/>
          <w:highlight w:val="none"/>
        </w:rPr>
        <w:t>）。不足一个百分点时，使用直线插入法计算，结果四舍五入保留两位小数。</w:t>
      </w:r>
    </w:p>
    <w:p w14:paraId="6FEC4707">
      <w:pPr>
        <w:jc w:val="both"/>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 xml:space="preserve">    1).抽取权重系数、浮动系数。（若有）</w:t>
      </w:r>
    </w:p>
    <w:p w14:paraId="01D4F173">
      <w:pPr>
        <w:ind w:firstLine="480" w:firstLineChars="200"/>
        <w:jc w:val="both"/>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2).评标基准价（评标基准价计算范围为进入商务总报价评分的投标人投标报价</w:t>
      </w:r>
      <w:r>
        <w:rPr>
          <w:rFonts w:hint="eastAsia" w:ascii="宋体" w:hAnsi="宋体" w:eastAsia="宋体" w:cs="Times New Roman"/>
          <w:i w:val="0"/>
          <w:iCs w:val="0"/>
          <w:strike/>
          <w:color w:val="auto"/>
          <w:highlight w:val="none"/>
        </w:rPr>
        <w:t>，且企业信用评价等级不低于□B级□C级□D级（由招标人确定,5000万元以上的项目可选B、C、D级，不足5000万元的项目可选C、D级）、□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eastAsia="宋体" w:cs="Times New Roman"/>
          <w:i w:val="0"/>
          <w:iCs w:val="0"/>
          <w:color w:val="auto"/>
          <w:highlight w:val="none"/>
        </w:rPr>
        <w:t>）计算精度保留到元，除计算差错外，评标过程中</w:t>
      </w:r>
      <w:r>
        <w:rPr>
          <w:rFonts w:hint="eastAsia" w:ascii="宋体" w:hAnsi="宋体" w:eastAsia="宋体" w:cs="宋体"/>
          <w:i w:val="0"/>
          <w:iCs w:val="0"/>
          <w:color w:val="auto"/>
          <w:highlight w:val="none"/>
        </w:rPr>
        <w:t>（包括复评环节）</w:t>
      </w:r>
      <w:r>
        <w:rPr>
          <w:rFonts w:hint="eastAsia" w:ascii="宋体" w:hAnsi="宋体" w:eastAsia="宋体" w:cs="Times New Roman"/>
          <w:i w:val="0"/>
          <w:iCs w:val="0"/>
          <w:color w:val="auto"/>
          <w:highlight w:val="none"/>
        </w:rPr>
        <w:t>基准价保持不变。</w:t>
      </w:r>
    </w:p>
    <w:p w14:paraId="72DD71F4">
      <w:pPr>
        <w:snapToGrid w:val="0"/>
        <w:ind w:firstLine="480" w:firstLineChars="200"/>
        <w:rPr>
          <w:rFonts w:ascii="宋体" w:hAnsi="宋体" w:eastAsia="宋体" w:cs="Times New Roman"/>
          <w:i w:val="0"/>
          <w:iCs w:val="0"/>
          <w:color w:val="auto"/>
          <w:highlight w:val="none"/>
        </w:rPr>
      </w:pPr>
      <w:r>
        <w:rPr>
          <w:rFonts w:hint="eastAsia" w:ascii="宋体" w:hAnsi="宋体" w:eastAsia="宋体" w:cs="Times New Roman"/>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31E36F28">
      <w:pPr>
        <w:adjustRightInd/>
        <w:ind w:left="480"/>
        <w:jc w:val="both"/>
        <w:rPr>
          <w:rFonts w:ascii="Times New Roman" w:hAnsi="宋体" w:eastAsia="宋体" w:cs="Times New Roman"/>
          <w:b/>
          <w:i w:val="0"/>
          <w:iCs w:val="0"/>
          <w:color w:val="auto"/>
          <w:highlight w:val="none"/>
        </w:rPr>
      </w:pPr>
      <w:r>
        <w:rPr>
          <w:rFonts w:hint="eastAsia" w:ascii="宋体" w:hAnsi="宋体" w:eastAsia="宋体" w:cs="宋体"/>
          <w:i w:val="0"/>
          <w:iCs w:val="0"/>
          <w:color w:val="auto"/>
          <w:highlight w:val="none"/>
        </w:rPr>
        <w:t>☑</w:t>
      </w:r>
      <w:r>
        <w:rPr>
          <w:rFonts w:ascii="Times New Roman" w:hAnsi="宋体" w:eastAsia="宋体" w:cs="Times New Roman"/>
          <w:b/>
          <w:i w:val="0"/>
          <w:iCs w:val="0"/>
          <w:color w:val="auto"/>
          <w:highlight w:val="none"/>
        </w:rPr>
        <w:t>七、推荐中标候选人</w:t>
      </w:r>
      <w:r>
        <w:rPr>
          <w:rFonts w:hint="eastAsia" w:ascii="Times New Roman" w:hAnsi="宋体" w:eastAsia="宋体" w:cs="Times New Roman"/>
          <w:b/>
          <w:i w:val="0"/>
          <w:iCs w:val="0"/>
          <w:color w:val="auto"/>
          <w:highlight w:val="none"/>
        </w:rPr>
        <w:t>（</w:t>
      </w:r>
      <w:r>
        <w:rPr>
          <w:rFonts w:ascii="Times New Roman" w:hAnsi="宋体" w:eastAsia="宋体" w:cs="Times New Roman"/>
          <w:b/>
          <w:i w:val="0"/>
          <w:iCs w:val="0"/>
          <w:color w:val="auto"/>
          <w:highlight w:val="none"/>
        </w:rPr>
        <w:t>适用</w:t>
      </w:r>
      <w:r>
        <w:rPr>
          <w:rFonts w:hint="eastAsia" w:ascii="Times New Roman" w:hAnsi="宋体" w:eastAsia="宋体" w:cs="Times New Roman"/>
          <w:b/>
          <w:i w:val="0"/>
          <w:iCs w:val="0"/>
          <w:color w:val="auto"/>
          <w:highlight w:val="none"/>
        </w:rPr>
        <w:t>于</w:t>
      </w:r>
      <w:r>
        <w:rPr>
          <w:rFonts w:ascii="Times New Roman" w:hAnsi="宋体" w:eastAsia="宋体" w:cs="Times New Roman"/>
          <w:b/>
          <w:i w:val="0"/>
          <w:iCs w:val="0"/>
          <w:color w:val="auto"/>
          <w:highlight w:val="none"/>
        </w:rPr>
        <w:t>“评定分离”</w:t>
      </w:r>
      <w:r>
        <w:rPr>
          <w:rFonts w:hint="eastAsia" w:ascii="Times New Roman" w:hAnsi="宋体" w:eastAsia="宋体" w:cs="Times New Roman"/>
          <w:b/>
          <w:i w:val="0"/>
          <w:iCs w:val="0"/>
          <w:color w:val="auto"/>
          <w:highlight w:val="none"/>
        </w:rPr>
        <w:t>方法一）</w:t>
      </w:r>
    </w:p>
    <w:p w14:paraId="58CA4839">
      <w:pPr>
        <w:adjustRightInd/>
        <w:ind w:firstLine="480" w:firstLineChars="200"/>
        <w:jc w:val="both"/>
        <w:rPr>
          <w:rFonts w:ascii="Times New Roman" w:hAnsi="宋体" w:eastAsia="宋体" w:cs="Times New Roman"/>
          <w:i w:val="0"/>
          <w:iCs w:val="0"/>
          <w:color w:val="auto"/>
          <w:highlight w:val="none"/>
        </w:rPr>
      </w:pPr>
      <w:r>
        <w:rPr>
          <w:rFonts w:ascii="Times New Roman" w:hAnsi="宋体" w:eastAsia="宋体" w:cs="Times New Roman"/>
          <w:i w:val="0"/>
          <w:iCs w:val="0"/>
          <w:color w:val="auto"/>
          <w:highlight w:val="none"/>
        </w:rPr>
        <w:t>评标委员会对投标人按总分从高到低进行排序，并按照排序推荐中标候选人</w:t>
      </w:r>
      <w:r>
        <w:rPr>
          <w:rFonts w:hint="eastAsia" w:ascii="Times New Roman" w:hAnsi="宋体" w:eastAsia="宋体" w:cs="Times New Roman"/>
          <w:i w:val="0"/>
          <w:iCs w:val="0"/>
          <w:color w:val="auto"/>
          <w:highlight w:val="none"/>
        </w:rPr>
        <w:t>，</w:t>
      </w:r>
      <w:r>
        <w:rPr>
          <w:rFonts w:ascii="Times New Roman" w:hAnsi="宋体" w:eastAsia="宋体" w:cs="Times New Roman"/>
          <w:i w:val="0"/>
          <w:iCs w:val="0"/>
          <w:color w:val="auto"/>
          <w:highlight w:val="none"/>
        </w:rPr>
        <w:t>如总分相同的，以投标报价低的优先；投标报价仍相同的，以资信标排名靠前的优先；资信标排名仍相同的，以技术标排名靠前的优先；上述均相同的</w:t>
      </w:r>
      <w:r>
        <w:rPr>
          <w:rFonts w:hint="eastAsia" w:ascii="Times New Roman" w:hAnsi="Times New Roman" w:eastAsia="宋体" w:cs="Times New Roman"/>
          <w:i w:val="0"/>
          <w:iCs w:val="0"/>
          <w:color w:val="auto"/>
          <w:highlight w:val="none"/>
          <w:u w:val="single"/>
        </w:rPr>
        <w:t>由招标人代表现场抽签确定中标候选人</w:t>
      </w:r>
      <w:r>
        <w:rPr>
          <w:rFonts w:ascii="Times New Roman" w:hAnsi="宋体" w:eastAsia="宋体" w:cs="Times New Roman"/>
          <w:i w:val="0"/>
          <w:iCs w:val="0"/>
          <w:color w:val="auto"/>
          <w:highlight w:val="none"/>
        </w:rPr>
        <w:t>。</w:t>
      </w:r>
    </w:p>
    <w:p w14:paraId="7055EACF">
      <w:pPr>
        <w:widowControl w:val="0"/>
        <w:autoSpaceDE w:val="0"/>
        <w:autoSpaceDN w:val="0"/>
        <w:adjustRightInd/>
        <w:ind w:firstLine="480" w:firstLineChars="200"/>
        <w:jc w:val="both"/>
        <w:rPr>
          <w:rFonts w:ascii="Times New Roman" w:hAnsi="宋体" w:eastAsia="宋体" w:cs="Times New Roman"/>
          <w:i w:val="0"/>
          <w:iCs w:val="0"/>
          <w:color w:val="auto"/>
          <w:sz w:val="24"/>
          <w:szCs w:val="24"/>
          <w:highlight w:val="none"/>
          <w:lang w:val="en-US" w:eastAsia="zh-CN" w:bidi="ar-SA"/>
        </w:rPr>
      </w:pPr>
      <w:r>
        <w:rPr>
          <w:rFonts w:ascii="Times New Roman" w:hAnsi="宋体" w:eastAsia="宋体" w:cs="Times New Roman"/>
          <w:i w:val="0"/>
          <w:iCs w:val="0"/>
          <w:color w:val="auto"/>
          <w:sz w:val="24"/>
          <w:szCs w:val="24"/>
          <w:highlight w:val="none"/>
          <w:u w:val="single"/>
          <w:lang w:val="en-US" w:eastAsia="zh-CN" w:bidi="ar-SA"/>
        </w:rPr>
        <w:t>招标人</w:t>
      </w:r>
      <w:r>
        <w:rPr>
          <w:rFonts w:ascii="Times New Roman" w:hAnsi="宋体" w:eastAsia="宋体" w:cs="Times New Roman"/>
          <w:i w:val="0"/>
          <w:iCs w:val="0"/>
          <w:color w:val="auto"/>
          <w:sz w:val="24"/>
          <w:szCs w:val="24"/>
          <w:highlight w:val="none"/>
          <w:lang w:val="en-US" w:eastAsia="zh-CN" w:bidi="ar-SA"/>
        </w:rPr>
        <w:t>对拟确定的推荐中标候选人和其拟派项目负责人，是否列入失信被执行人名单以及在本招标文件（招标公告）规定时间范围内是否有行贿犯罪记录</w:t>
      </w:r>
      <w:r>
        <w:rPr>
          <w:rFonts w:hint="eastAsia" w:ascii="Times New Roman" w:hAnsi="宋体" w:eastAsia="宋体" w:cs="Times New Roman"/>
          <w:i w:val="0"/>
          <w:iCs w:val="0"/>
          <w:color w:val="auto"/>
          <w:sz w:val="24"/>
          <w:szCs w:val="24"/>
          <w:highlight w:val="none"/>
          <w:lang w:val="en-US" w:eastAsia="zh-CN" w:bidi="ar-SA"/>
        </w:rPr>
        <w:t>；</w:t>
      </w:r>
      <w:r>
        <w:rPr>
          <w:rFonts w:ascii="Times New Roman" w:hAnsi="宋体" w:eastAsia="宋体" w:cs="Times New Roman"/>
          <w:i w:val="0"/>
          <w:iCs w:val="0"/>
          <w:color w:val="auto"/>
          <w:sz w:val="24"/>
          <w:szCs w:val="24"/>
          <w:highlight w:val="none"/>
          <w:lang w:val="en-US" w:eastAsia="zh-CN" w:bidi="ar-SA"/>
        </w:rPr>
        <w:t>投标人及其拟派项目负责人</w:t>
      </w:r>
      <w:r>
        <w:rPr>
          <w:rFonts w:hint="eastAsia" w:ascii="Times New Roman" w:hAnsi="宋体" w:eastAsia="宋体" w:cs="Times New Roman"/>
          <w:i w:val="0"/>
          <w:iCs w:val="0"/>
          <w:color w:val="auto"/>
          <w:sz w:val="24"/>
          <w:szCs w:val="24"/>
          <w:highlight w:val="none"/>
          <w:lang w:val="en-US" w:eastAsia="zh-CN" w:bidi="ar-SA"/>
        </w:rPr>
        <w:t>是否</w:t>
      </w:r>
      <w:r>
        <w:rPr>
          <w:rFonts w:ascii="Times New Roman" w:hAnsi="宋体" w:eastAsia="宋体" w:cs="Times New Roman"/>
          <w:i w:val="0"/>
          <w:iCs w:val="0"/>
          <w:color w:val="auto"/>
          <w:sz w:val="24"/>
          <w:szCs w:val="24"/>
          <w:highlight w:val="none"/>
          <w:lang w:val="en-US" w:eastAsia="zh-CN" w:bidi="ar-SA"/>
        </w:rPr>
        <w:t>被列入建筑市场严重失信名单的</w:t>
      </w:r>
      <w:r>
        <w:rPr>
          <w:rFonts w:hint="eastAsia" w:ascii="Times New Roman" w:hAnsi="宋体" w:eastAsia="宋体" w:cs="Times New Roman"/>
          <w:i w:val="0"/>
          <w:iCs w:val="0"/>
          <w:color w:val="auto"/>
          <w:sz w:val="24"/>
          <w:szCs w:val="24"/>
          <w:highlight w:val="none"/>
          <w:lang w:val="en-US" w:eastAsia="zh-CN" w:bidi="ar-SA"/>
        </w:rPr>
        <w:t>、是否被市场监督管理机关在全国企业信用信息公示系统中列入严重违法失信企业名单的、是否被人力资源社会保障行政部门列入失信联合惩戒名单（有效期内）并共享至信用信息共享平台</w:t>
      </w:r>
      <w:r>
        <w:rPr>
          <w:rFonts w:ascii="Times New Roman" w:hAnsi="宋体" w:eastAsia="宋体" w:cs="Times New Roman"/>
          <w:i w:val="0"/>
          <w:iCs w:val="0"/>
          <w:color w:val="auto"/>
          <w:sz w:val="24"/>
          <w:szCs w:val="24"/>
          <w:highlight w:val="none"/>
          <w:lang w:val="en-US" w:eastAsia="zh-CN" w:bidi="ar-SA"/>
        </w:rPr>
        <w:t>进行查验。如查实存在的，则取消其中标候选资格。</w:t>
      </w:r>
    </w:p>
    <w:p w14:paraId="7EF93BD7">
      <w:pPr>
        <w:adjustRightInd/>
        <w:ind w:firstLine="480" w:firstLineChars="200"/>
        <w:jc w:val="both"/>
        <w:rPr>
          <w:rFonts w:ascii="Times New Roman" w:hAnsi="宋体" w:eastAsia="宋体" w:cs="Times New Roman"/>
          <w:i w:val="0"/>
          <w:iCs w:val="0"/>
          <w:color w:val="auto"/>
          <w:highlight w:val="none"/>
        </w:rPr>
      </w:pPr>
      <w:r>
        <w:rPr>
          <w:rFonts w:ascii="Times New Roman" w:hAnsi="宋体" w:eastAsia="宋体" w:cs="Times New Roman"/>
          <w:i w:val="0"/>
          <w:iCs w:val="0"/>
          <w:color w:val="auto"/>
          <w:highlight w:val="none"/>
        </w:rPr>
        <w:t>当有效投标人＜</w:t>
      </w:r>
      <w:r>
        <w:rPr>
          <w:rFonts w:ascii="Times New Roman" w:hAnsi="Times New Roman" w:eastAsia="宋体" w:cs="Times New Roman"/>
          <w:i w:val="0"/>
          <w:iCs w:val="0"/>
          <w:color w:val="auto"/>
          <w:highlight w:val="none"/>
        </w:rPr>
        <w:t>3</w:t>
      </w:r>
      <w:r>
        <w:rPr>
          <w:rFonts w:ascii="Times New Roman" w:hAnsi="宋体" w:eastAsia="宋体" w:cs="Times New Roman"/>
          <w:i w:val="0"/>
          <w:iCs w:val="0"/>
          <w:color w:val="auto"/>
          <w:highlight w:val="none"/>
        </w:rPr>
        <w:t>个时，评标委员会应判定本次投标是否具有竞争</w:t>
      </w:r>
      <w:r>
        <w:rPr>
          <w:rFonts w:hint="eastAsia" w:ascii="Times New Roman" w:hAnsi="宋体" w:eastAsia="宋体" w:cs="Times New Roman"/>
          <w:i w:val="0"/>
          <w:iCs w:val="0"/>
          <w:color w:val="auto"/>
          <w:highlight w:val="none"/>
        </w:rPr>
        <w:t>性</w:t>
      </w:r>
      <w:r>
        <w:rPr>
          <w:rFonts w:ascii="Times New Roman" w:hAnsi="宋体" w:eastAsia="宋体" w:cs="Times New Roman"/>
          <w:i w:val="0"/>
          <w:iCs w:val="0"/>
          <w:color w:val="auto"/>
          <w:highlight w:val="none"/>
        </w:rPr>
        <w:t>。若评标委员会认为本次投标明显缺乏竞争的，可以否决全部投标。</w:t>
      </w:r>
    </w:p>
    <w:p w14:paraId="0CA71EAE">
      <w:pPr>
        <w:adjustRightInd/>
        <w:ind w:firstLine="480" w:firstLineChars="200"/>
        <w:jc w:val="both"/>
        <w:rPr>
          <w:rFonts w:ascii="Times New Roman" w:hAnsi="宋体" w:eastAsia="宋体" w:cs="Times New Roman"/>
          <w:i w:val="0"/>
          <w:iCs w:val="0"/>
          <w:color w:val="auto"/>
          <w:highlight w:val="none"/>
        </w:rPr>
      </w:pPr>
    </w:p>
    <w:p w14:paraId="3F0731F4">
      <w:pPr>
        <w:adjustRightInd/>
        <w:ind w:firstLine="480" w:firstLineChars="200"/>
        <w:jc w:val="both"/>
        <w:rPr>
          <w:rFonts w:ascii="Times New Roman" w:hAnsi="宋体" w:eastAsia="宋体" w:cs="Times New Roman"/>
          <w:i w:val="0"/>
          <w:iCs w:val="0"/>
          <w:color w:val="auto"/>
          <w:highlight w:val="none"/>
        </w:rPr>
      </w:pPr>
    </w:p>
    <w:p w14:paraId="67249826">
      <w:pPr>
        <w:adjustRightInd/>
        <w:ind w:firstLine="480" w:firstLineChars="200"/>
        <w:jc w:val="both"/>
        <w:rPr>
          <w:rFonts w:ascii="Times New Roman" w:hAnsi="宋体" w:eastAsia="宋体" w:cs="Times New Roman"/>
          <w:i w:val="0"/>
          <w:iCs w:val="0"/>
          <w:color w:val="auto"/>
          <w:highlight w:val="none"/>
        </w:rPr>
      </w:pPr>
    </w:p>
    <w:p w14:paraId="13B0CED0">
      <w:pPr>
        <w:adjustRightInd/>
        <w:ind w:firstLine="480" w:firstLineChars="200"/>
        <w:jc w:val="both"/>
        <w:rPr>
          <w:rFonts w:ascii="Times New Roman" w:hAnsi="宋体" w:eastAsia="宋体" w:cs="Times New Roman"/>
          <w:i w:val="0"/>
          <w:iCs w:val="0"/>
          <w:color w:val="auto"/>
          <w:highlight w:val="none"/>
        </w:rPr>
      </w:pPr>
    </w:p>
    <w:p w14:paraId="16C135F6">
      <w:pPr>
        <w:adjustRightInd/>
        <w:ind w:firstLine="480" w:firstLineChars="200"/>
        <w:jc w:val="both"/>
        <w:rPr>
          <w:rFonts w:ascii="Times New Roman" w:hAnsi="宋体" w:eastAsia="宋体" w:cs="Times New Roman"/>
          <w:i w:val="0"/>
          <w:iCs w:val="0"/>
          <w:color w:val="auto"/>
          <w:highlight w:val="none"/>
        </w:rPr>
      </w:pPr>
    </w:p>
    <w:p w14:paraId="5D7401F8">
      <w:pPr>
        <w:adjustRightInd/>
        <w:ind w:firstLine="480" w:firstLineChars="200"/>
        <w:jc w:val="both"/>
        <w:rPr>
          <w:rFonts w:ascii="Times New Roman" w:hAnsi="宋体" w:eastAsia="宋体" w:cs="Times New Roman"/>
          <w:i w:val="0"/>
          <w:iCs w:val="0"/>
          <w:color w:val="auto"/>
          <w:highlight w:val="none"/>
        </w:rPr>
      </w:pPr>
    </w:p>
    <w:p w14:paraId="2D130119">
      <w:pPr>
        <w:adjustRightInd/>
        <w:ind w:firstLine="480" w:firstLineChars="200"/>
        <w:jc w:val="both"/>
        <w:rPr>
          <w:rFonts w:ascii="Times New Roman" w:hAnsi="宋体" w:eastAsia="宋体" w:cs="Times New Roman"/>
          <w:i w:val="0"/>
          <w:iCs w:val="0"/>
          <w:color w:val="auto"/>
          <w:highlight w:val="none"/>
        </w:rPr>
      </w:pPr>
    </w:p>
    <w:p w14:paraId="41F27F42">
      <w:pPr>
        <w:adjustRightInd/>
        <w:ind w:firstLine="480" w:firstLineChars="200"/>
        <w:jc w:val="both"/>
        <w:rPr>
          <w:rFonts w:ascii="Times New Roman" w:hAnsi="宋体" w:eastAsia="宋体" w:cs="Times New Roman"/>
          <w:i w:val="0"/>
          <w:iCs w:val="0"/>
          <w:color w:val="auto"/>
          <w:highlight w:val="none"/>
        </w:rPr>
      </w:pPr>
    </w:p>
    <w:p w14:paraId="2A88C682">
      <w:pPr>
        <w:adjustRightInd/>
        <w:ind w:firstLine="480" w:firstLineChars="200"/>
        <w:jc w:val="both"/>
        <w:rPr>
          <w:rFonts w:ascii="Times New Roman" w:hAnsi="宋体" w:eastAsia="宋体" w:cs="Times New Roman"/>
          <w:i w:val="0"/>
          <w:iCs w:val="0"/>
          <w:color w:val="auto"/>
          <w:highlight w:val="none"/>
        </w:rPr>
      </w:pPr>
    </w:p>
    <w:p w14:paraId="7C86AA8F">
      <w:pPr>
        <w:adjustRightInd/>
        <w:ind w:firstLine="480" w:firstLineChars="200"/>
        <w:jc w:val="both"/>
        <w:rPr>
          <w:rFonts w:ascii="Times New Roman" w:hAnsi="宋体" w:eastAsia="宋体" w:cs="Times New Roman"/>
          <w:i w:val="0"/>
          <w:iCs w:val="0"/>
          <w:color w:val="auto"/>
          <w:highlight w:val="none"/>
        </w:rPr>
      </w:pPr>
    </w:p>
    <w:p w14:paraId="4E234E8E">
      <w:pPr>
        <w:adjustRightInd/>
        <w:ind w:firstLine="480" w:firstLineChars="200"/>
        <w:jc w:val="both"/>
        <w:rPr>
          <w:rFonts w:ascii="Times New Roman" w:hAnsi="宋体" w:eastAsia="宋体" w:cs="Times New Roman"/>
          <w:i w:val="0"/>
          <w:iCs w:val="0"/>
          <w:color w:val="auto"/>
          <w:highlight w:val="none"/>
        </w:rPr>
      </w:pPr>
    </w:p>
    <w:p w14:paraId="2D734D21">
      <w:pPr>
        <w:adjustRightInd/>
        <w:ind w:firstLine="480" w:firstLineChars="200"/>
        <w:jc w:val="both"/>
        <w:rPr>
          <w:rFonts w:ascii="Times New Roman" w:hAnsi="宋体" w:eastAsia="宋体" w:cs="Times New Roman"/>
          <w:i w:val="0"/>
          <w:iCs w:val="0"/>
          <w:color w:val="auto"/>
          <w:highlight w:val="none"/>
        </w:rPr>
      </w:pPr>
    </w:p>
    <w:p w14:paraId="691D5710">
      <w:pPr>
        <w:adjustRightInd/>
        <w:ind w:firstLine="480" w:firstLineChars="200"/>
        <w:jc w:val="both"/>
        <w:rPr>
          <w:rFonts w:ascii="Times New Roman" w:hAnsi="宋体" w:eastAsia="宋体" w:cs="Times New Roman"/>
          <w:i w:val="0"/>
          <w:iCs w:val="0"/>
          <w:color w:val="auto"/>
          <w:highlight w:val="none"/>
        </w:rPr>
      </w:pPr>
    </w:p>
    <w:p w14:paraId="7939F313">
      <w:pPr>
        <w:adjustRightInd/>
        <w:ind w:firstLine="480" w:firstLineChars="200"/>
        <w:jc w:val="both"/>
        <w:rPr>
          <w:rFonts w:ascii="Times New Roman" w:hAnsi="宋体" w:eastAsia="宋体" w:cs="Times New Roman"/>
          <w:i w:val="0"/>
          <w:iCs w:val="0"/>
          <w:color w:val="auto"/>
          <w:highlight w:val="none"/>
        </w:rPr>
      </w:pPr>
    </w:p>
    <w:p w14:paraId="5067C45F">
      <w:pPr>
        <w:adjustRightInd/>
        <w:ind w:firstLine="480" w:firstLineChars="200"/>
        <w:jc w:val="both"/>
        <w:rPr>
          <w:rFonts w:ascii="Times New Roman" w:hAnsi="宋体" w:eastAsia="宋体" w:cs="Times New Roman"/>
          <w:i w:val="0"/>
          <w:iCs w:val="0"/>
          <w:color w:val="auto"/>
          <w:highlight w:val="none"/>
        </w:rPr>
      </w:pPr>
    </w:p>
    <w:p w14:paraId="21EAD166">
      <w:pPr>
        <w:adjustRightInd/>
        <w:ind w:firstLine="480" w:firstLineChars="200"/>
        <w:jc w:val="both"/>
        <w:rPr>
          <w:rFonts w:ascii="Times New Roman" w:hAnsi="宋体" w:eastAsia="宋体" w:cs="Times New Roman"/>
          <w:i w:val="0"/>
          <w:iCs w:val="0"/>
          <w:color w:val="auto"/>
          <w:highlight w:val="none"/>
        </w:rPr>
      </w:pPr>
    </w:p>
    <w:p w14:paraId="619A3457">
      <w:pPr>
        <w:adjustRightInd/>
        <w:ind w:firstLine="480" w:firstLineChars="200"/>
        <w:jc w:val="both"/>
        <w:rPr>
          <w:rFonts w:ascii="Times New Roman" w:hAnsi="宋体" w:eastAsia="宋体" w:cs="Times New Roman"/>
          <w:i w:val="0"/>
          <w:iCs w:val="0"/>
          <w:color w:val="auto"/>
          <w:highlight w:val="none"/>
        </w:rPr>
      </w:pPr>
    </w:p>
    <w:p w14:paraId="645F0025">
      <w:pPr>
        <w:adjustRightInd/>
        <w:ind w:firstLine="480" w:firstLineChars="200"/>
        <w:jc w:val="both"/>
        <w:rPr>
          <w:rFonts w:ascii="Times New Roman" w:hAnsi="宋体" w:eastAsia="宋体" w:cs="Times New Roman"/>
          <w:i w:val="0"/>
          <w:iCs w:val="0"/>
          <w:color w:val="auto"/>
          <w:highlight w:val="none"/>
        </w:rPr>
      </w:pPr>
    </w:p>
    <w:p w14:paraId="2BE1A06E">
      <w:pPr>
        <w:adjustRightInd/>
        <w:ind w:firstLine="480" w:firstLineChars="200"/>
        <w:jc w:val="both"/>
        <w:rPr>
          <w:rFonts w:ascii="Times New Roman" w:hAnsi="宋体" w:eastAsia="宋体" w:cs="Times New Roman"/>
          <w:i w:val="0"/>
          <w:iCs w:val="0"/>
          <w:color w:val="auto"/>
          <w:highlight w:val="none"/>
        </w:rPr>
      </w:pPr>
    </w:p>
    <w:p w14:paraId="671E478F">
      <w:pPr>
        <w:adjustRightInd/>
        <w:ind w:firstLine="480" w:firstLineChars="200"/>
        <w:jc w:val="both"/>
        <w:rPr>
          <w:rFonts w:ascii="Times New Roman" w:hAnsi="宋体" w:eastAsia="宋体" w:cs="Times New Roman"/>
          <w:i w:val="0"/>
          <w:iCs w:val="0"/>
          <w:color w:val="auto"/>
          <w:highlight w:val="none"/>
        </w:rPr>
      </w:pPr>
    </w:p>
    <w:p w14:paraId="4AB64DB1">
      <w:pPr>
        <w:adjustRightInd/>
        <w:ind w:firstLine="480" w:firstLineChars="200"/>
        <w:jc w:val="both"/>
        <w:rPr>
          <w:rFonts w:ascii="Times New Roman" w:hAnsi="宋体" w:eastAsia="宋体" w:cs="Times New Roman"/>
          <w:i w:val="0"/>
          <w:iCs w:val="0"/>
          <w:color w:val="auto"/>
          <w:highlight w:val="none"/>
        </w:rPr>
      </w:pPr>
    </w:p>
    <w:p w14:paraId="504DC4A0">
      <w:pPr>
        <w:adjustRightInd/>
        <w:ind w:firstLine="480" w:firstLineChars="200"/>
        <w:jc w:val="both"/>
        <w:rPr>
          <w:rFonts w:ascii="Times New Roman" w:hAnsi="宋体" w:eastAsia="宋体" w:cs="Times New Roman"/>
          <w:i w:val="0"/>
          <w:iCs w:val="0"/>
          <w:color w:val="auto"/>
          <w:highlight w:val="none"/>
        </w:rPr>
      </w:pPr>
    </w:p>
    <w:p w14:paraId="0299206A">
      <w:pPr>
        <w:adjustRightInd/>
        <w:ind w:firstLine="480" w:firstLineChars="200"/>
        <w:jc w:val="both"/>
        <w:rPr>
          <w:rFonts w:ascii="Times New Roman" w:hAnsi="宋体" w:eastAsia="宋体" w:cs="Times New Roman"/>
          <w:i w:val="0"/>
          <w:iCs w:val="0"/>
          <w:color w:val="auto"/>
          <w:highlight w:val="none"/>
        </w:rPr>
      </w:pPr>
    </w:p>
    <w:p w14:paraId="21FBC24B">
      <w:pPr>
        <w:adjustRightInd/>
        <w:ind w:firstLine="480" w:firstLineChars="200"/>
        <w:jc w:val="both"/>
        <w:rPr>
          <w:rFonts w:ascii="Times New Roman" w:hAnsi="宋体" w:eastAsia="宋体" w:cs="Times New Roman"/>
          <w:i w:val="0"/>
          <w:iCs w:val="0"/>
          <w:color w:val="auto"/>
          <w:highlight w:val="none"/>
        </w:rPr>
      </w:pPr>
    </w:p>
    <w:p w14:paraId="59C346C1">
      <w:pPr>
        <w:adjustRightInd/>
        <w:jc w:val="both"/>
        <w:rPr>
          <w:rFonts w:ascii="Times New Roman" w:hAnsi="宋体" w:eastAsia="宋体" w:cs="Times New Roman"/>
          <w:i w:val="0"/>
          <w:iCs w:val="0"/>
          <w:color w:val="auto"/>
          <w:highlight w:val="none"/>
        </w:rPr>
      </w:pPr>
    </w:p>
    <w:p w14:paraId="77BEAF4B">
      <w:pPr>
        <w:widowControl w:val="0"/>
        <w:autoSpaceDE w:val="0"/>
        <w:autoSpaceDN w:val="0"/>
        <w:adjustRightInd w:val="0"/>
        <w:ind w:left="0" w:firstLine="241"/>
        <w:jc w:val="center"/>
        <w:outlineLvl w:val="1"/>
        <w:rPr>
          <w:rFonts w:ascii="宋体" w:hAnsi="宋体" w:eastAsia="宋体" w:cs="Times New Roman"/>
          <w:b/>
          <w:bCs/>
          <w:i w:val="0"/>
          <w:iCs w:val="0"/>
          <w:color w:val="auto"/>
          <w:sz w:val="24"/>
          <w:szCs w:val="24"/>
          <w:highlight w:val="none"/>
          <w:lang w:val="en-US" w:eastAsia="zh-CN" w:bidi="ar-SA"/>
        </w:rPr>
      </w:pPr>
      <w:r>
        <w:rPr>
          <w:rFonts w:hint="eastAsia" w:ascii="Times New Roman" w:hAnsi="宋体" w:eastAsia="宋体" w:cs="Times New Roman"/>
          <w:b/>
          <w:bCs/>
          <w:i w:val="0"/>
          <w:iCs w:val="0"/>
          <w:color w:val="auto"/>
          <w:sz w:val="24"/>
          <w:szCs w:val="24"/>
          <w:highlight w:val="none"/>
          <w:lang w:val="en-US" w:eastAsia="zh-CN" w:bidi="ar-SA"/>
        </w:rPr>
        <w:t>☑</w:t>
      </w:r>
      <w:r>
        <w:rPr>
          <w:rFonts w:ascii="宋体" w:hAnsi="宋体" w:eastAsia="宋体" w:cs="Times New Roman"/>
          <w:b/>
          <w:bCs/>
          <w:i w:val="0"/>
          <w:iCs w:val="0"/>
          <w:color w:val="auto"/>
          <w:sz w:val="24"/>
          <w:szCs w:val="24"/>
          <w:highlight w:val="none"/>
          <w:lang w:val="en-US" w:eastAsia="zh-CN" w:bidi="ar-SA"/>
        </w:rPr>
        <w:t>第二节 定标办法</w:t>
      </w:r>
      <w:r>
        <w:rPr>
          <w:rFonts w:hint="eastAsia" w:ascii="宋体" w:hAnsi="宋体" w:eastAsia="宋体" w:cs="Times New Roman"/>
          <w:b/>
          <w:bCs/>
          <w:i w:val="0"/>
          <w:iCs w:val="0"/>
          <w:color w:val="auto"/>
          <w:sz w:val="24"/>
          <w:szCs w:val="24"/>
          <w:highlight w:val="none"/>
          <w:lang w:val="en-US" w:eastAsia="zh-CN" w:bidi="ar-SA"/>
        </w:rPr>
        <w:t>（适用于“评定分离”项目）</w:t>
      </w:r>
    </w:p>
    <w:p w14:paraId="4EA639E7">
      <w:pPr>
        <w:snapToGrid w:val="0"/>
        <w:ind w:firstLine="472" w:firstLineChars="196"/>
        <w:rPr>
          <w:rFonts w:ascii="宋体" w:hAnsi="宋体" w:eastAsia="宋体" w:cs="Times New Roman"/>
          <w:b/>
          <w:i w:val="0"/>
          <w:iCs w:val="0"/>
          <w:color w:val="auto"/>
          <w:highlight w:val="none"/>
        </w:rPr>
      </w:pPr>
      <w:r>
        <w:rPr>
          <w:rFonts w:ascii="宋体" w:hAnsi="宋体" w:eastAsia="宋体" w:cs="Times New Roman"/>
          <w:b/>
          <w:i w:val="0"/>
          <w:iCs w:val="0"/>
          <w:color w:val="auto"/>
          <w:highlight w:val="none"/>
        </w:rPr>
        <w:t>一、定标原则</w:t>
      </w:r>
    </w:p>
    <w:p w14:paraId="4C3972C0">
      <w:pPr>
        <w:snapToGrid w:val="0"/>
        <w:ind w:firstLine="540" w:firstLineChars="225"/>
        <w:rPr>
          <w:rFonts w:ascii="宋体" w:hAnsi="宋体" w:eastAsia="宋体" w:cs="Times New Roman"/>
          <w:i w:val="0"/>
          <w:iCs w:val="0"/>
          <w:color w:val="auto"/>
          <w:highlight w:val="none"/>
        </w:rPr>
      </w:pPr>
      <w:r>
        <w:rPr>
          <w:rFonts w:ascii="宋体" w:hAnsi="宋体" w:eastAsia="宋体" w:cs="Times New Roman"/>
          <w:i w:val="0"/>
          <w:iCs w:val="0"/>
          <w:color w:val="auto"/>
          <w:highlight w:val="none"/>
        </w:rPr>
        <w:t>定标应遵循</w:t>
      </w:r>
      <w:r>
        <w:rPr>
          <w:rFonts w:hint="eastAsia" w:ascii="宋体" w:hAnsi="宋体" w:eastAsia="宋体" w:cs="Times New Roman"/>
          <w:i w:val="0"/>
          <w:iCs w:val="0"/>
          <w:color w:val="auto"/>
          <w:highlight w:val="none"/>
        </w:rPr>
        <w:t>招标人负责制</w:t>
      </w:r>
      <w:r>
        <w:rPr>
          <w:rFonts w:ascii="宋体" w:hAnsi="宋体" w:eastAsia="宋体" w:cs="Times New Roman"/>
          <w:i w:val="0"/>
          <w:iCs w:val="0"/>
          <w:color w:val="auto"/>
          <w:highlight w:val="none"/>
        </w:rPr>
        <w:t>、公开透明、诚信守约的原则。</w:t>
      </w:r>
    </w:p>
    <w:p w14:paraId="1621B69A">
      <w:pPr>
        <w:snapToGrid w:val="0"/>
        <w:ind w:firstLine="472" w:firstLineChars="196"/>
        <w:rPr>
          <w:rFonts w:ascii="宋体" w:hAnsi="宋体" w:eastAsia="宋体" w:cs="Times New Roman"/>
          <w:b/>
          <w:i w:val="0"/>
          <w:iCs w:val="0"/>
          <w:color w:val="auto"/>
          <w:highlight w:val="none"/>
        </w:rPr>
      </w:pPr>
      <w:r>
        <w:rPr>
          <w:rFonts w:ascii="宋体" w:hAnsi="宋体" w:eastAsia="宋体" w:cs="Times New Roman"/>
          <w:b/>
          <w:i w:val="0"/>
          <w:iCs w:val="0"/>
          <w:color w:val="auto"/>
          <w:highlight w:val="none"/>
        </w:rPr>
        <w:t>二、定标组织</w:t>
      </w:r>
    </w:p>
    <w:p w14:paraId="0A2ECB63">
      <w:pPr>
        <w:widowControl w:val="0"/>
        <w:autoSpaceDE w:val="0"/>
        <w:autoSpaceDN w:val="0"/>
        <w:adjustRightInd/>
        <w:ind w:firstLine="480" w:firstLineChars="200"/>
        <w:jc w:val="both"/>
        <w:rPr>
          <w:rFonts w:ascii="Times New Roman" w:hAnsi="宋体" w:eastAsia="宋体" w:cs="Times New Roman"/>
          <w:i w:val="0"/>
          <w:iCs w:val="0"/>
          <w:color w:val="auto"/>
          <w:sz w:val="24"/>
          <w:szCs w:val="24"/>
          <w:highlight w:val="none"/>
          <w:lang w:val="en-US" w:eastAsia="zh-CN" w:bidi="ar-SA"/>
        </w:rPr>
      </w:pPr>
      <w:r>
        <w:rPr>
          <w:rFonts w:hint="eastAsia" w:ascii="Times New Roman" w:hAnsi="宋体" w:eastAsia="宋体" w:cs="Times New Roman"/>
          <w:i w:val="0"/>
          <w:iCs w:val="0"/>
          <w:color w:val="auto"/>
          <w:sz w:val="24"/>
          <w:szCs w:val="24"/>
          <w:highlight w:val="none"/>
          <w:lang w:val="en-US" w:eastAsia="zh-CN" w:bidi="ar-SA"/>
        </w:rPr>
        <w:t>（一）</w:t>
      </w:r>
      <w:r>
        <w:rPr>
          <w:rFonts w:ascii="Times New Roman" w:hAnsi="宋体" w:eastAsia="宋体" w:cs="Times New Roman"/>
          <w:i w:val="0"/>
          <w:iCs w:val="0"/>
          <w:color w:val="auto"/>
          <w:sz w:val="24"/>
          <w:szCs w:val="24"/>
          <w:highlight w:val="none"/>
          <w:lang w:val="en-US" w:eastAsia="zh-CN" w:bidi="ar-SA"/>
        </w:rPr>
        <w:t>定标工作由招标人组建的定标委员会负责，定标委员会的组建</w:t>
      </w:r>
      <w:r>
        <w:rPr>
          <w:rFonts w:hint="eastAsia" w:ascii="Times New Roman" w:hAnsi="宋体" w:eastAsia="宋体" w:cs="Times New Roman"/>
          <w:i w:val="0"/>
          <w:iCs w:val="0"/>
          <w:color w:val="auto"/>
          <w:sz w:val="24"/>
          <w:szCs w:val="24"/>
          <w:highlight w:val="none"/>
          <w:lang w:val="en-US" w:eastAsia="zh-CN" w:bidi="ar-SA"/>
        </w:rPr>
        <w:t>：</w:t>
      </w:r>
    </w:p>
    <w:p w14:paraId="32EAB333">
      <w:pPr>
        <w:widowControl w:val="0"/>
        <w:autoSpaceDE w:val="0"/>
        <w:autoSpaceDN w:val="0"/>
        <w:adjustRightInd/>
        <w:ind w:firstLine="480" w:firstLineChars="200"/>
        <w:jc w:val="both"/>
        <w:rPr>
          <w:rFonts w:ascii="Times New Roman" w:hAnsi="宋体" w:eastAsia="宋体" w:cs="Times New Roman"/>
          <w:i w:val="0"/>
          <w:iCs w:val="0"/>
          <w:color w:val="auto"/>
          <w:sz w:val="24"/>
          <w:szCs w:val="24"/>
          <w:highlight w:val="none"/>
          <w:lang w:val="en-US" w:eastAsia="zh-CN" w:bidi="ar-SA"/>
        </w:rPr>
      </w:pPr>
      <w:r>
        <w:rPr>
          <w:rFonts w:hint="eastAsia" w:ascii="Times New Roman" w:hAnsi="宋体" w:eastAsia="宋体" w:cs="Times New Roman"/>
          <w:i w:val="0"/>
          <w:iCs w:val="0"/>
          <w:color w:val="auto"/>
          <w:sz w:val="24"/>
          <w:szCs w:val="24"/>
          <w:highlight w:val="none"/>
          <w:lang w:val="en-US" w:eastAsia="zh-CN" w:bidi="ar-SA"/>
        </w:rPr>
        <w:t>1.</w:t>
      </w:r>
      <w:r>
        <w:rPr>
          <w:rFonts w:ascii="Times New Roman" w:hAnsi="宋体" w:eastAsia="宋体" w:cs="Times New Roman"/>
          <w:i w:val="0"/>
          <w:iCs w:val="0"/>
          <w:color w:val="auto"/>
          <w:sz w:val="24"/>
          <w:szCs w:val="24"/>
          <w:highlight w:val="none"/>
          <w:lang w:val="en-US" w:eastAsia="zh-CN" w:bidi="ar-SA"/>
        </w:rPr>
        <w:t>定标委员会</w:t>
      </w:r>
      <w:r>
        <w:rPr>
          <w:rFonts w:hint="eastAsia" w:ascii="Times New Roman" w:hAnsi="宋体" w:eastAsia="宋体" w:cs="Times New Roman"/>
          <w:i w:val="0"/>
          <w:iCs w:val="0"/>
          <w:color w:val="auto"/>
          <w:sz w:val="24"/>
          <w:szCs w:val="24"/>
          <w:highlight w:val="none"/>
          <w:lang w:val="en-US" w:eastAsia="zh-CN" w:bidi="ar-SA"/>
        </w:rPr>
        <w:t>组建人数</w:t>
      </w:r>
      <w:r>
        <w:rPr>
          <w:rFonts w:ascii="Times New Roman" w:hAnsi="宋体" w:eastAsia="宋体" w:cs="Times New Roman"/>
          <w:i w:val="0"/>
          <w:iCs w:val="0"/>
          <w:color w:val="auto"/>
          <w:sz w:val="24"/>
          <w:szCs w:val="24"/>
          <w:highlight w:val="none"/>
          <w:lang w:val="en-US" w:eastAsia="zh-CN" w:bidi="ar-SA"/>
        </w:rPr>
        <w:t>见投标人须知前附表</w:t>
      </w:r>
      <w:r>
        <w:rPr>
          <w:rFonts w:hint="eastAsia" w:ascii="Times New Roman" w:hAnsi="宋体" w:eastAsia="宋体" w:cs="Times New Roman"/>
          <w:i w:val="0"/>
          <w:iCs w:val="0"/>
          <w:color w:val="auto"/>
          <w:sz w:val="24"/>
          <w:szCs w:val="24"/>
          <w:highlight w:val="none"/>
          <w:lang w:val="en-US" w:eastAsia="zh-CN" w:bidi="ar-SA"/>
        </w:rPr>
        <w:t>。</w:t>
      </w:r>
    </w:p>
    <w:p w14:paraId="7DE31003">
      <w:pPr>
        <w:widowControl w:val="0"/>
        <w:autoSpaceDE w:val="0"/>
        <w:autoSpaceDN w:val="0"/>
        <w:adjustRightInd/>
        <w:ind w:firstLine="480" w:firstLineChars="200"/>
        <w:jc w:val="both"/>
        <w:rPr>
          <w:rFonts w:ascii="Times New Roman" w:hAnsi="宋体" w:eastAsia="宋体" w:cs="Times New Roman"/>
          <w:i w:val="0"/>
          <w:iCs w:val="0"/>
          <w:color w:val="auto"/>
          <w:sz w:val="24"/>
          <w:szCs w:val="24"/>
          <w:highlight w:val="none"/>
          <w:lang w:val="en-US" w:eastAsia="zh-CN" w:bidi="ar-SA"/>
        </w:rPr>
      </w:pPr>
      <w:r>
        <w:rPr>
          <w:rFonts w:hint="eastAsia" w:ascii="Times New Roman" w:hAnsi="宋体" w:eastAsia="宋体" w:cs="Times New Roman"/>
          <w:i w:val="0"/>
          <w:iCs w:val="0"/>
          <w:color w:val="auto"/>
          <w:sz w:val="24"/>
          <w:szCs w:val="24"/>
          <w:highlight w:val="none"/>
          <w:lang w:val="en-US" w:eastAsia="zh-CN" w:bidi="ar-SA"/>
        </w:rPr>
        <w:t>2.</w:t>
      </w:r>
      <w:r>
        <w:rPr>
          <w:rFonts w:ascii="Times New Roman" w:hAnsi="宋体" w:eastAsia="宋体" w:cs="Times New Roman"/>
          <w:i w:val="0"/>
          <w:iCs w:val="0"/>
          <w:color w:val="auto"/>
          <w:sz w:val="24"/>
          <w:szCs w:val="24"/>
          <w:highlight w:val="none"/>
          <w:lang w:val="en-US" w:eastAsia="zh-CN" w:bidi="ar-SA"/>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7DF563DB">
      <w:pPr>
        <w:widowControl w:val="0"/>
        <w:autoSpaceDE w:val="0"/>
        <w:autoSpaceDN w:val="0"/>
        <w:adjustRightInd/>
        <w:ind w:firstLine="480" w:firstLineChars="200"/>
        <w:jc w:val="both"/>
        <w:rPr>
          <w:rFonts w:ascii="Times New Roman" w:hAnsi="宋体" w:eastAsia="宋体" w:cs="Times New Roman"/>
          <w:i w:val="0"/>
          <w:iCs w:val="0"/>
          <w:color w:val="auto"/>
          <w:sz w:val="24"/>
          <w:szCs w:val="24"/>
          <w:highlight w:val="none"/>
          <w:lang w:val="en-US" w:eastAsia="zh-CN" w:bidi="ar-SA"/>
        </w:rPr>
      </w:pPr>
      <w:r>
        <w:rPr>
          <w:rFonts w:hint="eastAsia" w:ascii="Times New Roman" w:hAnsi="宋体" w:eastAsia="宋体" w:cs="Times New Roman"/>
          <w:i w:val="0"/>
          <w:iCs w:val="0"/>
          <w:color w:val="auto"/>
          <w:sz w:val="24"/>
          <w:szCs w:val="24"/>
          <w:highlight w:val="none"/>
          <w:lang w:val="en-US" w:eastAsia="zh-CN" w:bidi="ar-SA"/>
        </w:rPr>
        <w:t>3.</w:t>
      </w:r>
      <w:r>
        <w:rPr>
          <w:rFonts w:ascii="Times New Roman" w:hAnsi="宋体" w:eastAsia="宋体" w:cs="Times New Roman"/>
          <w:i w:val="0"/>
          <w:iCs w:val="0"/>
          <w:color w:val="auto"/>
          <w:sz w:val="24"/>
          <w:szCs w:val="24"/>
          <w:highlight w:val="none"/>
          <w:lang w:val="en-US" w:eastAsia="zh-CN" w:bidi="ar-SA"/>
        </w:rPr>
        <w:t>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50EF5BBF">
      <w:pPr>
        <w:widowControl w:val="0"/>
        <w:autoSpaceDE w:val="0"/>
        <w:autoSpaceDN w:val="0"/>
        <w:adjustRightInd/>
        <w:ind w:firstLine="480" w:firstLineChars="200"/>
        <w:jc w:val="both"/>
        <w:rPr>
          <w:rFonts w:ascii="Times New Roman" w:hAnsi="宋体" w:eastAsia="宋体" w:cs="Times New Roman"/>
          <w:i w:val="0"/>
          <w:iCs w:val="0"/>
          <w:color w:val="auto"/>
          <w:sz w:val="24"/>
          <w:szCs w:val="24"/>
          <w:highlight w:val="none"/>
          <w:lang w:val="en-US" w:eastAsia="zh-CN" w:bidi="ar-SA"/>
        </w:rPr>
      </w:pPr>
      <w:r>
        <w:rPr>
          <w:rFonts w:hint="eastAsia" w:ascii="Times New Roman" w:hAnsi="宋体" w:eastAsia="宋体" w:cs="Times New Roman"/>
          <w:i w:val="0"/>
          <w:iCs w:val="0"/>
          <w:color w:val="auto"/>
          <w:sz w:val="24"/>
          <w:szCs w:val="24"/>
          <w:highlight w:val="none"/>
          <w:lang w:val="en-US" w:eastAsia="zh-CN" w:bidi="ar-SA"/>
        </w:rPr>
        <w:t>4.</w:t>
      </w:r>
      <w:r>
        <w:rPr>
          <w:rFonts w:ascii="Times New Roman" w:hAnsi="宋体" w:eastAsia="宋体" w:cs="Times New Roman"/>
          <w:i w:val="0"/>
          <w:iCs w:val="0"/>
          <w:color w:val="auto"/>
          <w:sz w:val="24"/>
          <w:szCs w:val="24"/>
          <w:highlight w:val="none"/>
          <w:lang w:val="en-US" w:eastAsia="zh-CN" w:bidi="ar-SA"/>
        </w:rPr>
        <w:t>定标委员会成员与中标候选人有利害关系的应主动说明并申请回避。</w:t>
      </w:r>
    </w:p>
    <w:p w14:paraId="7D8FDD30">
      <w:pPr>
        <w:widowControl w:val="0"/>
        <w:autoSpaceDE w:val="0"/>
        <w:autoSpaceDN w:val="0"/>
        <w:adjustRightInd/>
        <w:ind w:firstLine="480" w:firstLineChars="200"/>
        <w:jc w:val="both"/>
        <w:rPr>
          <w:rFonts w:ascii="Times New Roman" w:hAnsi="宋体" w:eastAsia="宋体" w:cs="Times New Roman"/>
          <w:i w:val="0"/>
          <w:iCs w:val="0"/>
          <w:color w:val="auto"/>
          <w:sz w:val="24"/>
          <w:szCs w:val="24"/>
          <w:highlight w:val="none"/>
          <w:lang w:val="en-US" w:eastAsia="zh-CN" w:bidi="ar-SA"/>
        </w:rPr>
      </w:pPr>
      <w:r>
        <w:rPr>
          <w:rFonts w:hint="eastAsia" w:ascii="Times New Roman" w:hAnsi="宋体" w:eastAsia="宋体" w:cs="Times New Roman"/>
          <w:i w:val="0"/>
          <w:iCs w:val="0"/>
          <w:color w:val="auto"/>
          <w:sz w:val="24"/>
          <w:szCs w:val="24"/>
          <w:highlight w:val="none"/>
          <w:lang w:val="en-US" w:eastAsia="zh-CN" w:bidi="ar-SA"/>
        </w:rPr>
        <w:t>5.</w:t>
      </w:r>
      <w:r>
        <w:rPr>
          <w:rFonts w:ascii="Times New Roman" w:hAnsi="宋体" w:eastAsia="宋体" w:cs="Times New Roman"/>
          <w:i w:val="0"/>
          <w:iCs w:val="0"/>
          <w:color w:val="auto"/>
          <w:sz w:val="24"/>
          <w:szCs w:val="24"/>
          <w:highlight w:val="none"/>
          <w:lang w:val="en-US" w:eastAsia="zh-CN" w:bidi="ar-SA"/>
        </w:rPr>
        <w:t>定标委员会名单在中标结果确定前应保密。</w:t>
      </w:r>
    </w:p>
    <w:p w14:paraId="4A9E390D">
      <w:pPr>
        <w:widowControl w:val="0"/>
        <w:autoSpaceDE w:val="0"/>
        <w:autoSpaceDN w:val="0"/>
        <w:adjustRightInd/>
        <w:ind w:firstLine="480" w:firstLineChars="200"/>
        <w:jc w:val="both"/>
        <w:rPr>
          <w:rFonts w:ascii="Times New Roman" w:hAnsi="宋体" w:eastAsia="宋体" w:cs="Times New Roman"/>
          <w:i w:val="0"/>
          <w:iCs w:val="0"/>
          <w:color w:val="auto"/>
          <w:sz w:val="24"/>
          <w:szCs w:val="24"/>
          <w:highlight w:val="none"/>
          <w:lang w:val="en-US" w:eastAsia="zh-CN" w:bidi="ar-SA"/>
        </w:rPr>
      </w:pPr>
      <w:r>
        <w:rPr>
          <w:rFonts w:hint="eastAsia" w:ascii="Times New Roman" w:hAnsi="宋体" w:eastAsia="宋体" w:cs="Times New Roman"/>
          <w:i w:val="0"/>
          <w:iCs w:val="0"/>
          <w:color w:val="auto"/>
          <w:sz w:val="24"/>
          <w:szCs w:val="24"/>
          <w:highlight w:val="none"/>
          <w:lang w:val="en-US" w:eastAsia="zh-CN" w:bidi="ar-SA"/>
        </w:rPr>
        <w:t>（二）</w:t>
      </w:r>
      <w:r>
        <w:rPr>
          <w:rFonts w:ascii="Times New Roman" w:hAnsi="宋体" w:eastAsia="宋体" w:cs="Times New Roman"/>
          <w:i w:val="0"/>
          <w:iCs w:val="0"/>
          <w:color w:val="auto"/>
          <w:sz w:val="24"/>
          <w:szCs w:val="24"/>
          <w:highlight w:val="none"/>
          <w:lang w:val="en-US" w:eastAsia="zh-CN" w:bidi="ar-SA"/>
        </w:rPr>
        <w:t>定标委员会应当按照招标文件确定的定标标准和方法，客观、公正定标，招标文件没有规定的定标标准和方法不得作为定标的依据。</w:t>
      </w:r>
    </w:p>
    <w:p w14:paraId="70FB771F">
      <w:pPr>
        <w:snapToGrid w:val="0"/>
        <w:ind w:firstLine="482" w:firstLineChars="200"/>
        <w:rPr>
          <w:rFonts w:ascii="宋体" w:hAnsi="宋体" w:eastAsia="宋体" w:cs="Times New Roman"/>
          <w:b/>
          <w:i w:val="0"/>
          <w:iCs w:val="0"/>
          <w:color w:val="auto"/>
          <w:highlight w:val="none"/>
        </w:rPr>
      </w:pPr>
      <w:r>
        <w:rPr>
          <w:rFonts w:ascii="宋体" w:hAnsi="宋体" w:eastAsia="宋体" w:cs="Times New Roman"/>
          <w:b/>
          <w:i w:val="0"/>
          <w:iCs w:val="0"/>
          <w:color w:val="auto"/>
          <w:highlight w:val="none"/>
        </w:rPr>
        <w:t xml:space="preserve"> 三、定标方法</w:t>
      </w:r>
    </w:p>
    <w:p w14:paraId="4EACBC4F">
      <w:pPr>
        <w:autoSpaceDE/>
        <w:autoSpaceDN/>
        <w:ind w:firstLine="480" w:firstLineChars="200"/>
        <w:rPr>
          <w:rFonts w:ascii="Times New Roman" w:hAnsi="宋体" w:eastAsia="宋体" w:cs="Times New Roman"/>
          <w:i w:val="0"/>
          <w:iCs w:val="0"/>
          <w:color w:val="auto"/>
          <w:highlight w:val="none"/>
        </w:rPr>
      </w:pPr>
      <w:r>
        <w:rPr>
          <w:rFonts w:ascii="Times New Roman" w:hAnsi="宋体" w:eastAsia="宋体" w:cs="Times New Roman"/>
          <w:i w:val="0"/>
          <w:iCs w:val="0"/>
          <w:color w:val="auto"/>
          <w:highlight w:val="none"/>
        </w:rPr>
        <w:t>定标委员会按下列方法确定中标人：</w:t>
      </w:r>
    </w:p>
    <w:p w14:paraId="5CE928E7">
      <w:pPr>
        <w:autoSpaceDE/>
        <w:autoSpaceDN/>
        <w:ind w:firstLine="480" w:firstLineChars="200"/>
        <w:rPr>
          <w:rFonts w:ascii="Times New Roman" w:hAnsi="宋体" w:eastAsia="宋体" w:cs="Times New Roman"/>
          <w:i w:val="0"/>
          <w:iCs w:val="0"/>
          <w:color w:val="auto"/>
          <w:highlight w:val="none"/>
        </w:rPr>
      </w:pPr>
      <w:r>
        <w:rPr>
          <w:rFonts w:hint="eastAsia" w:ascii="Times New Roman" w:hAnsi="宋体" w:eastAsia="宋体" w:cs="Times New Roman"/>
          <w:i w:val="0"/>
          <w:iCs w:val="0"/>
          <w:color w:val="auto"/>
          <w:highlight w:val="none"/>
        </w:rPr>
        <w:t>☑</w:t>
      </w:r>
      <w:r>
        <w:rPr>
          <w:rFonts w:ascii="Times New Roman" w:hAnsi="宋体" w:eastAsia="宋体" w:cs="Times New Roman"/>
          <w:i w:val="0"/>
          <w:iCs w:val="0"/>
          <w:color w:val="auto"/>
          <w:highlight w:val="none"/>
        </w:rPr>
        <w:t>票决法。由定标委员会以直接票决或者逐轮票决的方式确定中标人。</w:t>
      </w:r>
    </w:p>
    <w:p w14:paraId="456866B2">
      <w:pPr>
        <w:autoSpaceDE/>
        <w:autoSpaceDN/>
        <w:ind w:firstLine="480" w:firstLineChars="200"/>
        <w:rPr>
          <w:rFonts w:ascii="Times New Roman" w:hAnsi="宋体" w:eastAsia="宋体" w:cs="Times New Roman"/>
          <w:b/>
          <w:bCs/>
          <w:i w:val="0"/>
          <w:iCs w:val="0"/>
          <w:color w:val="auto"/>
          <w:highlight w:val="none"/>
        </w:rPr>
      </w:pPr>
      <w:r>
        <w:rPr>
          <w:rFonts w:hint="eastAsia" w:ascii="Times New Roman" w:hAnsi="宋体" w:eastAsia="宋体" w:cs="Times New Roman"/>
          <w:i w:val="0"/>
          <w:iCs w:val="0"/>
          <w:color w:val="auto"/>
          <w:highlight w:val="none"/>
        </w:rPr>
        <w:t>☑</w:t>
      </w:r>
      <w:r>
        <w:rPr>
          <w:rFonts w:ascii="Times New Roman" w:hAnsi="宋体" w:eastAsia="宋体" w:cs="Times New Roman"/>
          <w:b/>
          <w:bCs/>
          <w:i w:val="0"/>
          <w:iCs w:val="0"/>
          <w:color w:val="auto"/>
          <w:highlight w:val="none"/>
        </w:rPr>
        <w:t>直接票决法：</w:t>
      </w:r>
    </w:p>
    <w:p w14:paraId="06CF1687">
      <w:pPr>
        <w:autoSpaceDE/>
        <w:autoSpaceDN/>
        <w:ind w:firstLine="480" w:firstLineChars="200"/>
        <w:rPr>
          <w:rFonts w:ascii="Times New Roman" w:hAnsi="宋体" w:eastAsia="宋体" w:cs="Times New Roman"/>
          <w:i w:val="0"/>
          <w:iCs w:val="0"/>
          <w:color w:val="auto"/>
          <w:highlight w:val="none"/>
        </w:rPr>
      </w:pPr>
      <w:r>
        <w:rPr>
          <w:rFonts w:hint="eastAsia" w:ascii="Times New Roman" w:hAnsi="宋体" w:eastAsia="宋体" w:cs="Times New Roman"/>
          <w:i w:val="0"/>
          <w:iCs w:val="0"/>
          <w:color w:val="auto"/>
          <w:highlight w:val="none"/>
        </w:rPr>
        <w:t>☑</w:t>
      </w:r>
      <w:r>
        <w:rPr>
          <w:rFonts w:ascii="Times New Roman" w:hAnsi="宋体" w:eastAsia="宋体" w:cs="Times New Roman"/>
          <w:i w:val="0"/>
          <w:iCs w:val="0"/>
          <w:color w:val="auto"/>
          <w:highlight w:val="none"/>
        </w:rPr>
        <w:t>直接票决法一：定标委员会在进入投票范围的中标候选人中，以每人投票支持一个中标候选人的方式，得票最多且过半数的中标候选人为中标人。</w:t>
      </w:r>
    </w:p>
    <w:p w14:paraId="3DE12255">
      <w:pPr>
        <w:autoSpaceDE/>
        <w:autoSpaceDN/>
        <w:ind w:firstLine="480" w:firstLineChars="200"/>
        <w:rPr>
          <w:rFonts w:ascii="Times New Roman" w:hAnsi="宋体" w:eastAsia="宋体" w:cs="Times New Roman"/>
          <w:i w:val="0"/>
          <w:iCs w:val="0"/>
          <w:color w:val="auto"/>
          <w:highlight w:val="none"/>
        </w:rPr>
      </w:pPr>
      <w:r>
        <w:rPr>
          <w:rFonts w:ascii="Times New Roman" w:hAnsi="宋体" w:eastAsia="宋体" w:cs="Times New Roman"/>
          <w:i w:val="0"/>
          <w:iCs w:val="0"/>
          <w:color w:val="auto"/>
          <w:highlight w:val="none"/>
        </w:rPr>
        <w:t>当没有中标候选人得票超过半数时，选择得票较多的2个中标候选人（按上一轮得票多少的顺序选择，在选择第2个中标候选人时出现同票的中标候选人时，□抽签抽取中标候选人</w:t>
      </w:r>
      <w:r>
        <w:rPr>
          <w:rFonts w:hint="eastAsia" w:ascii="Times New Roman" w:hAnsi="宋体" w:eastAsia="宋体" w:cs="Times New Roman"/>
          <w:i w:val="0"/>
          <w:iCs w:val="0"/>
          <w:color w:val="auto"/>
          <w:highlight w:val="none"/>
        </w:rPr>
        <w:t>☑</w:t>
      </w:r>
      <w:r>
        <w:rPr>
          <w:rFonts w:ascii="Times New Roman" w:hAnsi="宋体" w:eastAsia="宋体" w:cs="Times New Roman"/>
          <w:i w:val="0"/>
          <w:iCs w:val="0"/>
          <w:color w:val="auto"/>
          <w:highlight w:val="none"/>
        </w:rPr>
        <w:t>报价低者（报价相同时抽签抽取1个中标候选人）□由招标人法定代表人或其委托代表直接确定1个中标候选人</w:t>
      </w:r>
      <w:r>
        <w:rPr>
          <w:rFonts w:hint="eastAsia" w:ascii="Times New Roman" w:hAnsi="宋体" w:eastAsia="宋体" w:cs="Times New Roman"/>
          <w:i w:val="0"/>
          <w:iCs w:val="0"/>
          <w:color w:val="auto"/>
          <w:highlight w:val="none"/>
        </w:rPr>
        <w:t>）</w:t>
      </w:r>
      <w:r>
        <w:rPr>
          <w:rFonts w:ascii="Times New Roman" w:hAnsi="宋体" w:eastAsia="宋体" w:cs="Times New Roman"/>
          <w:i w:val="0"/>
          <w:iCs w:val="0"/>
          <w:color w:val="auto"/>
          <w:highlight w:val="none"/>
        </w:rPr>
        <w:t>作为二次投票的范围，直至出现得票过半数的中标候选人为止。</w:t>
      </w:r>
    </w:p>
    <w:p w14:paraId="21B1EC2B">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□直接票决法二：定标委员会在进入投票范围的中标候选人中，以每人投票支持N（N不得超过中标候选人数）个中标候选人的方式，得票最多且过半数的中标候选人为中标人。</w:t>
      </w:r>
    </w:p>
    <w:p w14:paraId="5C54726C">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w:t>
      </w:r>
      <w:r>
        <w:rPr>
          <w:rFonts w:hint="eastAsia" w:ascii="Times New Roman" w:hAnsi="宋体" w:eastAsia="宋体" w:cs="Times New Roman"/>
          <w:i w:val="0"/>
          <w:iCs w:val="0"/>
          <w:strike/>
          <w:color w:val="auto"/>
          <w:highlight w:val="none"/>
        </w:rPr>
        <w:t>）</w:t>
      </w:r>
      <w:r>
        <w:rPr>
          <w:rFonts w:ascii="Times New Roman" w:hAnsi="宋体" w:eastAsia="宋体" w:cs="Times New Roman"/>
          <w:i w:val="0"/>
          <w:iCs w:val="0"/>
          <w:strike/>
          <w:color w:val="auto"/>
          <w:highlight w:val="none"/>
        </w:rPr>
        <w:t>作为二次投票的范围，直至出现得票过半数的中标候选人为止。</w:t>
      </w:r>
    </w:p>
    <w:p w14:paraId="2CA1A017">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□直接票决法三：定标委员会在进入投票范围的中标候选人中，以每人投票支持N （N不得超过中标候选人数）个中标候选人的方式，得票最多的中标候选人为中标人。</w:t>
      </w:r>
    </w:p>
    <w:p w14:paraId="481E8481">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 xml:space="preserve">当得票最多的中标候选人出现多个时，采用□抽签抽取 □报价低者（报价相同时抽签抽取1个中标候选人）由招标人法定代表人或其委托代表直接确定1个中标候选人作为中标人。         </w:t>
      </w:r>
    </w:p>
    <w:p w14:paraId="7F589F29">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w:t>
      </w:r>
      <w:r>
        <w:rPr>
          <w:rFonts w:ascii="Times New Roman" w:hAnsi="宋体" w:eastAsia="宋体" w:cs="Times New Roman"/>
          <w:b/>
          <w:bCs/>
          <w:i w:val="0"/>
          <w:iCs w:val="0"/>
          <w:strike/>
          <w:color w:val="auto"/>
          <w:highlight w:val="none"/>
        </w:rPr>
        <w:t>逐轮票决法：</w:t>
      </w:r>
    </w:p>
    <w:p w14:paraId="63981C30">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□逐轮票决法一：定标委员会在进入投票范围的中标候选人中，以每人投票支持N (N≥3)个中标候选人的方式，得票最多的N个中标候选人进入下一轮的淘汰投票。在确定第N个中标候选人时如果出现同票的，则采用□抽签抽取或报价低者（报价相同时抽签抽取1个中标候选人）□由招标人法定代表人或其委托代表直接确定1个中标候选人进入下一轮的淘汰投票。</w:t>
      </w:r>
    </w:p>
    <w:p w14:paraId="0BE59512">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N个中标候选人中按前述规则进行二次淘汰，剩余的中标候选人进入下一轮淘汰投票。根据前述规则，直至剩余1名中标候选人为中标人。</w:t>
      </w:r>
    </w:p>
    <w:p w14:paraId="3D3FDE16">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抽签抽取或报价低者（报价相同时抽签抽取1个中标候选人）□由招标人法定代表人或其委托代表直接确定最终的中标人。</w:t>
      </w:r>
    </w:p>
    <w:p w14:paraId="79E2427E">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w:t>
      </w:r>
      <w:r>
        <w:rPr>
          <w:rFonts w:ascii="Times New Roman" w:hAnsi="宋体" w:eastAsia="宋体" w:cs="Times New Roman"/>
          <w:b/>
          <w:bCs/>
          <w:i w:val="0"/>
          <w:iCs w:val="0"/>
          <w:strike/>
          <w:color w:val="auto"/>
          <w:highlight w:val="none"/>
        </w:rPr>
        <w:t>票决抽签法：</w:t>
      </w:r>
    </w:p>
    <w:p w14:paraId="0E86A5CF">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□票决抽签法一：定标委员会在进入投票范围的中标候选人中，以每人投票支持N (N≥3)个中标候选人的方式，得票较多的N个中标候选人（最终得票均须超过半数）进入抽签环节，中标候选人数量不足时全部进入。投票过程中出现票数相同时，则采用□抽签抽取 □报价低者（报价相同时抽签抽取1个中标候选人） □由招标人法定代表人或其委托代表直接确定1个中标候选人的方式确定进入抽签范围的中标候选人。</w:t>
      </w:r>
    </w:p>
    <w:p w14:paraId="52C3DFFF">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定标委员会在上述N个中标候选人中随机抽签确定中标人。</w:t>
      </w:r>
    </w:p>
    <w:p w14:paraId="29ACFAD6">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票决抽签法二：定标委员会对全部中标候选人采取逐轮逆淘汰方式表决。原则上逐轮淘汰1名中标候选人。各轮投票时，每人投1个淘汰单位，该轮得票最多的中标候选人被淘汰。得票最多的中标候选人不止1个时，一并加以淘汰，但必须确保N个中标候选人，剩余的中标候选人进入下一轮淘汰投票，最终确定N个中标候选人。在最终确定第N个中标候选人时如果出现同票的，则采用□抽签抽取 □报价低者（报价相同时抽签抽取1个中标候选人） □由招标人法定代表人或其委托代表直接确定进入抽签环节的中标候选人。定标委员会在上述N个中标候选人中随机抽签确定中标人。</w:t>
      </w:r>
    </w:p>
    <w:p w14:paraId="68270909">
      <w:pPr>
        <w:autoSpaceDE/>
        <w:autoSpaceDN/>
        <w:ind w:firstLine="480" w:firstLineChars="200"/>
        <w:rPr>
          <w:rFonts w:ascii="Times New Roman" w:hAnsi="宋体" w:eastAsia="宋体" w:cs="Times New Roman"/>
          <w:i w:val="0"/>
          <w:iCs w:val="0"/>
          <w:strike/>
          <w:color w:val="auto"/>
          <w:highlight w:val="none"/>
        </w:rPr>
      </w:pPr>
      <w:r>
        <w:rPr>
          <w:rFonts w:ascii="Times New Roman" w:hAnsi="宋体" w:eastAsia="宋体" w:cs="Times New Roman"/>
          <w:i w:val="0"/>
          <w:iCs w:val="0"/>
          <w:strike/>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33FB1807">
      <w:pPr>
        <w:autoSpaceDE/>
        <w:autoSpaceDN/>
        <w:ind w:firstLine="480" w:firstLineChars="200"/>
        <w:rPr>
          <w:rFonts w:ascii="宋体" w:hAnsi="宋体" w:eastAsia="宋体" w:cs="宋体"/>
          <w:i w:val="0"/>
          <w:iCs w:val="0"/>
          <w:color w:val="auto"/>
          <w:highlight w:val="none"/>
        </w:rPr>
      </w:pPr>
      <w:r>
        <w:rPr>
          <w:rFonts w:ascii="Times New Roman" w:hAnsi="宋体" w:eastAsia="宋体" w:cs="Times New Roman"/>
          <w:i w:val="0"/>
          <w:iCs w:val="0"/>
          <w:strike/>
          <w:color w:val="auto"/>
          <w:highlight w:val="none"/>
        </w:rPr>
        <w:t>□其他定标办法：</w:t>
      </w:r>
      <w:r>
        <w:rPr>
          <w:rFonts w:ascii="Times New Roman" w:hAnsi="宋体" w:eastAsia="宋体" w:cs="Times New Roman"/>
          <w:i w:val="0"/>
          <w:iCs w:val="0"/>
          <w:strike/>
          <w:color w:val="auto"/>
          <w:highlight w:val="none"/>
          <w:u w:val="single"/>
        </w:rPr>
        <w:t xml:space="preserve">                  </w:t>
      </w:r>
      <w:r>
        <w:rPr>
          <w:rFonts w:ascii="Times New Roman" w:hAnsi="宋体" w:eastAsia="宋体" w:cs="Times New Roman"/>
          <w:i w:val="0"/>
          <w:iCs w:val="0"/>
          <w:strike/>
          <w:color w:val="auto"/>
          <w:highlight w:val="none"/>
        </w:rPr>
        <w:t xml:space="preserve">。 </w:t>
      </w:r>
      <w:r>
        <w:rPr>
          <w:rFonts w:hint="eastAsia" w:ascii="宋体" w:hAnsi="宋体" w:eastAsia="宋体" w:cs="宋体"/>
          <w:i w:val="0"/>
          <w:iCs w:val="0"/>
          <w:color w:val="auto"/>
          <w:highlight w:val="none"/>
        </w:rPr>
        <w:t xml:space="preserve">  </w:t>
      </w:r>
    </w:p>
    <w:p w14:paraId="0D9740ED">
      <w:pPr>
        <w:snapToGrid w:val="0"/>
        <w:ind w:firstLine="482" w:firstLineChars="200"/>
        <w:rPr>
          <w:rFonts w:ascii="宋体" w:hAnsi="宋体" w:eastAsia="宋体" w:cs="Times New Roman"/>
          <w:b/>
          <w:i w:val="0"/>
          <w:iCs w:val="0"/>
          <w:color w:val="auto"/>
          <w:highlight w:val="none"/>
        </w:rPr>
      </w:pPr>
      <w:r>
        <w:rPr>
          <w:rFonts w:ascii="宋体" w:hAnsi="宋体" w:eastAsia="宋体" w:cs="Times New Roman"/>
          <w:b/>
          <w:i w:val="0"/>
          <w:iCs w:val="0"/>
          <w:color w:val="auto"/>
          <w:highlight w:val="none"/>
        </w:rPr>
        <w:t>四、定标报告</w:t>
      </w:r>
    </w:p>
    <w:p w14:paraId="1FEF87FC">
      <w:pPr>
        <w:snapToGrid w:val="0"/>
        <w:ind w:firstLine="482" w:firstLineChars="200"/>
        <w:rPr>
          <w:rFonts w:ascii="Times New Roman" w:hAnsi="宋体" w:eastAsia="宋体" w:cs="Times New Roman"/>
          <w:i w:val="0"/>
          <w:iCs w:val="0"/>
          <w:color w:val="auto"/>
          <w:highlight w:val="none"/>
        </w:rPr>
      </w:pPr>
      <w:r>
        <w:rPr>
          <w:rFonts w:ascii="宋体" w:hAnsi="宋体" w:eastAsia="宋体" w:cs="Times New Roman"/>
          <w:b/>
          <w:i w:val="0"/>
          <w:iCs w:val="0"/>
          <w:color w:val="auto"/>
          <w:highlight w:val="none"/>
        </w:rPr>
        <w:t>（一）定标委员会应当向招标人提交书面定标报告。</w:t>
      </w:r>
      <w:r>
        <w:rPr>
          <w:rFonts w:hint="eastAsia" w:ascii="Times New Roman" w:hAnsi="宋体" w:eastAsia="宋体" w:cs="Times New Roman"/>
          <w:i w:val="0"/>
          <w:iCs w:val="0"/>
          <w:color w:val="auto"/>
          <w:highlight w:val="none"/>
        </w:rPr>
        <w:t>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3A7697D9">
      <w:pPr>
        <w:snapToGrid w:val="0"/>
        <w:ind w:firstLine="482" w:firstLineChars="200"/>
        <w:rPr>
          <w:rFonts w:ascii="宋体" w:hAnsi="宋体" w:eastAsia="宋体" w:cs="Times New Roman"/>
          <w:b/>
          <w:i w:val="0"/>
          <w:iCs w:val="0"/>
          <w:color w:val="auto"/>
          <w:highlight w:val="none"/>
        </w:rPr>
      </w:pPr>
      <w:r>
        <w:rPr>
          <w:rFonts w:ascii="宋体" w:hAnsi="宋体" w:eastAsia="宋体" w:cs="Times New Roman"/>
          <w:b/>
          <w:i w:val="0"/>
          <w:iCs w:val="0"/>
          <w:color w:val="auto"/>
          <w:highlight w:val="none"/>
        </w:rPr>
        <w:t>（二）定标报告应包括以下内容：</w:t>
      </w:r>
    </w:p>
    <w:p w14:paraId="2D4F24AD">
      <w:pPr>
        <w:adjustRightInd/>
        <w:ind w:firstLine="480" w:firstLineChars="200"/>
        <w:jc w:val="both"/>
        <w:rPr>
          <w:rFonts w:ascii="Times New Roman" w:hAnsi="宋体" w:eastAsia="宋体" w:cs="Times New Roman"/>
          <w:i w:val="0"/>
          <w:iCs w:val="0"/>
          <w:color w:val="auto"/>
          <w:highlight w:val="none"/>
        </w:rPr>
      </w:pPr>
      <w:r>
        <w:rPr>
          <w:rFonts w:hint="eastAsia" w:ascii="Times New Roman" w:hAnsi="宋体" w:eastAsia="宋体" w:cs="Times New Roman"/>
          <w:i w:val="0"/>
          <w:iCs w:val="0"/>
          <w:color w:val="auto"/>
          <w:highlight w:val="none"/>
        </w:rPr>
        <w:t>1</w:t>
      </w:r>
      <w:r>
        <w:rPr>
          <w:rFonts w:ascii="Times New Roman" w:hAnsi="宋体" w:eastAsia="宋体" w:cs="Times New Roman"/>
          <w:i w:val="0"/>
          <w:iCs w:val="0"/>
          <w:color w:val="auto"/>
          <w:highlight w:val="none"/>
        </w:rPr>
        <w:t>.定标程序；</w:t>
      </w:r>
    </w:p>
    <w:p w14:paraId="5F3CD9AF">
      <w:pPr>
        <w:adjustRightInd/>
        <w:ind w:firstLine="480" w:firstLineChars="200"/>
        <w:jc w:val="both"/>
        <w:rPr>
          <w:rFonts w:ascii="Times New Roman" w:hAnsi="宋体" w:eastAsia="宋体" w:cs="Times New Roman"/>
          <w:i w:val="0"/>
          <w:iCs w:val="0"/>
          <w:color w:val="auto"/>
          <w:highlight w:val="none"/>
        </w:rPr>
      </w:pPr>
      <w:r>
        <w:rPr>
          <w:rFonts w:hint="eastAsia" w:ascii="Times New Roman" w:hAnsi="宋体" w:eastAsia="宋体" w:cs="Times New Roman"/>
          <w:i w:val="0"/>
          <w:iCs w:val="0"/>
          <w:color w:val="auto"/>
          <w:highlight w:val="none"/>
        </w:rPr>
        <w:t>2</w:t>
      </w:r>
      <w:r>
        <w:rPr>
          <w:rFonts w:ascii="Times New Roman" w:hAnsi="宋体" w:eastAsia="宋体" w:cs="Times New Roman"/>
          <w:i w:val="0"/>
          <w:iCs w:val="0"/>
          <w:color w:val="auto"/>
          <w:highlight w:val="none"/>
        </w:rPr>
        <w:t>.定标委员名单</w:t>
      </w:r>
      <w:r>
        <w:rPr>
          <w:rFonts w:hint="eastAsia" w:ascii="Times New Roman" w:hAnsi="宋体" w:eastAsia="宋体" w:cs="Times New Roman"/>
          <w:i w:val="0"/>
          <w:iCs w:val="0"/>
          <w:color w:val="auto"/>
          <w:highlight w:val="none"/>
        </w:rPr>
        <w:t>；</w:t>
      </w:r>
    </w:p>
    <w:p w14:paraId="1587972A">
      <w:pPr>
        <w:adjustRightInd/>
        <w:ind w:firstLine="480" w:firstLineChars="200"/>
        <w:jc w:val="both"/>
        <w:rPr>
          <w:rFonts w:ascii="Times New Roman" w:hAnsi="宋体" w:eastAsia="宋体" w:cs="Times New Roman"/>
          <w:i w:val="0"/>
          <w:iCs w:val="0"/>
          <w:color w:val="auto"/>
          <w:highlight w:val="none"/>
        </w:rPr>
      </w:pPr>
      <w:r>
        <w:rPr>
          <w:rFonts w:hint="eastAsia" w:ascii="Times New Roman" w:hAnsi="宋体" w:eastAsia="宋体" w:cs="Times New Roman"/>
          <w:i w:val="0"/>
          <w:iCs w:val="0"/>
          <w:color w:val="auto"/>
          <w:highlight w:val="none"/>
        </w:rPr>
        <w:t>3.定标要素；</w:t>
      </w:r>
    </w:p>
    <w:p w14:paraId="5A7EF840">
      <w:pPr>
        <w:adjustRightInd/>
        <w:ind w:firstLine="480" w:firstLineChars="200"/>
        <w:jc w:val="both"/>
        <w:rPr>
          <w:rFonts w:ascii="Times New Roman" w:hAnsi="宋体" w:eastAsia="宋体" w:cs="Times New Roman"/>
          <w:i w:val="0"/>
          <w:iCs w:val="0"/>
          <w:color w:val="auto"/>
          <w:highlight w:val="none"/>
        </w:rPr>
      </w:pPr>
      <w:r>
        <w:rPr>
          <w:rFonts w:hint="eastAsia" w:ascii="Times New Roman" w:hAnsi="宋体" w:eastAsia="宋体" w:cs="Times New Roman"/>
          <w:i w:val="0"/>
          <w:iCs w:val="0"/>
          <w:color w:val="auto"/>
          <w:highlight w:val="none"/>
        </w:rPr>
        <w:t>4.定标办法；</w:t>
      </w:r>
    </w:p>
    <w:p w14:paraId="7C2B3CF5">
      <w:pPr>
        <w:adjustRightInd/>
        <w:ind w:firstLine="480" w:firstLineChars="200"/>
        <w:jc w:val="both"/>
        <w:rPr>
          <w:rFonts w:ascii="Times New Roman" w:hAnsi="宋体" w:eastAsia="宋体" w:cs="Times New Roman"/>
          <w:i w:val="0"/>
          <w:iCs w:val="0"/>
          <w:color w:val="auto"/>
          <w:highlight w:val="none"/>
        </w:rPr>
      </w:pPr>
      <w:r>
        <w:rPr>
          <w:rFonts w:hint="eastAsia" w:ascii="Times New Roman" w:hAnsi="宋体" w:eastAsia="宋体" w:cs="Times New Roman"/>
          <w:i w:val="0"/>
          <w:iCs w:val="0"/>
          <w:color w:val="auto"/>
          <w:highlight w:val="none"/>
        </w:rPr>
        <w:t>5</w:t>
      </w:r>
      <w:r>
        <w:rPr>
          <w:rFonts w:ascii="Times New Roman" w:hAnsi="宋体" w:eastAsia="宋体" w:cs="Times New Roman"/>
          <w:i w:val="0"/>
          <w:iCs w:val="0"/>
          <w:color w:val="auto"/>
          <w:highlight w:val="none"/>
        </w:rPr>
        <w:t>.定标结果</w:t>
      </w:r>
      <w:r>
        <w:rPr>
          <w:rFonts w:hint="eastAsia" w:ascii="Times New Roman" w:hAnsi="宋体" w:eastAsia="宋体" w:cs="Times New Roman"/>
          <w:i w:val="0"/>
          <w:iCs w:val="0"/>
          <w:color w:val="auto"/>
          <w:highlight w:val="none"/>
        </w:rPr>
        <w:t>。</w:t>
      </w:r>
    </w:p>
    <w:p w14:paraId="6FDD11D3">
      <w:pPr>
        <w:adjustRightInd/>
        <w:ind w:firstLine="480" w:firstLineChars="200"/>
        <w:jc w:val="both"/>
        <w:rPr>
          <w:rFonts w:hint="eastAsia" w:hAnsi="宋体"/>
          <w:i w:val="0"/>
          <w:iCs w:val="0"/>
          <w:color w:val="auto"/>
          <w:highlight w:val="none"/>
        </w:rPr>
      </w:pPr>
    </w:p>
    <w:p w14:paraId="7A69FAA1">
      <w:pPr>
        <w:snapToGrid w:val="0"/>
        <w:rPr>
          <w:rFonts w:ascii="宋体" w:hAnsi="宋体"/>
          <w:i w:val="0"/>
          <w:iCs w:val="0"/>
          <w:color w:val="auto"/>
          <w:highlight w:val="none"/>
        </w:rPr>
      </w:pPr>
    </w:p>
    <w:p w14:paraId="00A80D98">
      <w:pPr>
        <w:snapToGrid w:val="0"/>
        <w:rPr>
          <w:rFonts w:ascii="宋体" w:hAnsi="宋体"/>
          <w:i w:val="0"/>
          <w:iCs w:val="0"/>
          <w:color w:val="auto"/>
          <w:highlight w:val="none"/>
        </w:rPr>
      </w:pPr>
    </w:p>
    <w:p w14:paraId="36399366">
      <w:pPr>
        <w:snapToGrid w:val="0"/>
        <w:rPr>
          <w:rFonts w:ascii="宋体" w:hAnsi="宋体"/>
          <w:i w:val="0"/>
          <w:iCs w:val="0"/>
          <w:color w:val="auto"/>
          <w:highlight w:val="none"/>
        </w:rPr>
      </w:pPr>
    </w:p>
    <w:p w14:paraId="3AD936FF">
      <w:pPr>
        <w:snapToGrid w:val="0"/>
        <w:rPr>
          <w:rFonts w:ascii="宋体" w:hAnsi="宋体"/>
          <w:i w:val="0"/>
          <w:iCs w:val="0"/>
          <w:color w:val="auto"/>
          <w:highlight w:val="none"/>
        </w:rPr>
      </w:pPr>
    </w:p>
    <w:p w14:paraId="1313E55E">
      <w:pPr>
        <w:snapToGrid w:val="0"/>
        <w:rPr>
          <w:rFonts w:ascii="宋体" w:hAnsi="宋体"/>
          <w:i w:val="0"/>
          <w:iCs w:val="0"/>
          <w:color w:val="auto"/>
          <w:highlight w:val="none"/>
        </w:rPr>
      </w:pPr>
    </w:p>
    <w:p w14:paraId="0C54A6AE">
      <w:pPr>
        <w:snapToGrid w:val="0"/>
        <w:rPr>
          <w:rFonts w:ascii="宋体" w:hAnsi="宋体"/>
          <w:i w:val="0"/>
          <w:iCs w:val="0"/>
          <w:color w:val="auto"/>
          <w:highlight w:val="none"/>
        </w:rPr>
      </w:pPr>
    </w:p>
    <w:p w14:paraId="4DD4C09B">
      <w:pPr>
        <w:snapToGrid w:val="0"/>
        <w:rPr>
          <w:rFonts w:ascii="宋体" w:hAnsi="宋体"/>
          <w:i w:val="0"/>
          <w:iCs w:val="0"/>
          <w:color w:val="auto"/>
          <w:highlight w:val="none"/>
        </w:rPr>
      </w:pPr>
    </w:p>
    <w:p w14:paraId="62243B9B">
      <w:pPr>
        <w:snapToGrid w:val="0"/>
        <w:rPr>
          <w:rFonts w:ascii="宋体" w:hAnsi="宋体"/>
          <w:i w:val="0"/>
          <w:iCs w:val="0"/>
          <w:color w:val="auto"/>
          <w:highlight w:val="none"/>
        </w:rPr>
      </w:pPr>
    </w:p>
    <w:p w14:paraId="1409C826">
      <w:pPr>
        <w:snapToGrid w:val="0"/>
        <w:rPr>
          <w:rFonts w:ascii="宋体" w:hAnsi="宋体"/>
          <w:i w:val="0"/>
          <w:iCs w:val="0"/>
          <w:color w:val="auto"/>
          <w:highlight w:val="none"/>
        </w:rPr>
      </w:pPr>
    </w:p>
    <w:p w14:paraId="33921463">
      <w:pPr>
        <w:snapToGrid w:val="0"/>
        <w:rPr>
          <w:rFonts w:ascii="宋体" w:hAnsi="宋体"/>
          <w:i w:val="0"/>
          <w:iCs w:val="0"/>
          <w:color w:val="auto"/>
          <w:highlight w:val="none"/>
        </w:rPr>
      </w:pPr>
    </w:p>
    <w:p w14:paraId="0F4CF810">
      <w:pPr>
        <w:snapToGrid w:val="0"/>
        <w:rPr>
          <w:rFonts w:ascii="宋体" w:hAnsi="宋体"/>
          <w:i w:val="0"/>
          <w:iCs w:val="0"/>
          <w:color w:val="auto"/>
          <w:highlight w:val="none"/>
        </w:rPr>
      </w:pPr>
    </w:p>
    <w:p w14:paraId="5CE47AE5">
      <w:pPr>
        <w:snapToGrid w:val="0"/>
        <w:rPr>
          <w:rFonts w:ascii="宋体" w:hAnsi="宋体"/>
          <w:i w:val="0"/>
          <w:iCs w:val="0"/>
          <w:color w:val="auto"/>
          <w:highlight w:val="none"/>
        </w:rPr>
      </w:pPr>
    </w:p>
    <w:p w14:paraId="6EC8469C">
      <w:pPr>
        <w:snapToGrid w:val="0"/>
        <w:rPr>
          <w:rFonts w:ascii="宋体" w:hAnsi="宋体"/>
          <w:i w:val="0"/>
          <w:iCs w:val="0"/>
          <w:color w:val="auto"/>
          <w:highlight w:val="none"/>
        </w:rPr>
      </w:pPr>
    </w:p>
    <w:p w14:paraId="20C10A3F">
      <w:pPr>
        <w:snapToGrid w:val="0"/>
        <w:rPr>
          <w:rFonts w:ascii="宋体" w:hAnsi="宋体"/>
          <w:i w:val="0"/>
          <w:iCs w:val="0"/>
          <w:color w:val="auto"/>
          <w:highlight w:val="none"/>
        </w:rPr>
      </w:pPr>
    </w:p>
    <w:p w14:paraId="45942200">
      <w:pPr>
        <w:snapToGrid w:val="0"/>
        <w:rPr>
          <w:rFonts w:ascii="宋体" w:hAnsi="宋体"/>
          <w:i w:val="0"/>
          <w:iCs w:val="0"/>
          <w:color w:val="auto"/>
          <w:highlight w:val="none"/>
        </w:rPr>
      </w:pPr>
    </w:p>
    <w:p w14:paraId="1A323657">
      <w:pPr>
        <w:snapToGrid w:val="0"/>
        <w:rPr>
          <w:rFonts w:ascii="宋体" w:hAnsi="宋体"/>
          <w:i w:val="0"/>
          <w:iCs w:val="0"/>
          <w:color w:val="auto"/>
          <w:highlight w:val="none"/>
        </w:rPr>
      </w:pPr>
    </w:p>
    <w:p w14:paraId="5561F10C">
      <w:pPr>
        <w:snapToGrid w:val="0"/>
        <w:rPr>
          <w:rFonts w:ascii="宋体" w:hAnsi="宋体"/>
          <w:i w:val="0"/>
          <w:iCs w:val="0"/>
          <w:color w:val="auto"/>
          <w:highlight w:val="none"/>
        </w:rPr>
      </w:pPr>
    </w:p>
    <w:p w14:paraId="516052E4">
      <w:pPr>
        <w:snapToGrid w:val="0"/>
        <w:rPr>
          <w:rFonts w:ascii="宋体" w:hAnsi="宋体"/>
          <w:i w:val="0"/>
          <w:iCs w:val="0"/>
          <w:color w:val="auto"/>
          <w:highlight w:val="none"/>
        </w:rPr>
      </w:pPr>
    </w:p>
    <w:p w14:paraId="77277EF3">
      <w:pPr>
        <w:snapToGrid w:val="0"/>
        <w:rPr>
          <w:rFonts w:ascii="宋体" w:hAnsi="宋体"/>
          <w:i w:val="0"/>
          <w:iCs w:val="0"/>
          <w:color w:val="auto"/>
          <w:highlight w:val="none"/>
        </w:rPr>
      </w:pPr>
    </w:p>
    <w:p w14:paraId="0F83AFA6">
      <w:pPr>
        <w:snapToGrid w:val="0"/>
        <w:rPr>
          <w:rFonts w:ascii="宋体" w:hAnsi="宋体"/>
          <w:i w:val="0"/>
          <w:iCs w:val="0"/>
          <w:color w:val="auto"/>
          <w:highlight w:val="none"/>
        </w:rPr>
      </w:pPr>
    </w:p>
    <w:p w14:paraId="70688D16">
      <w:pPr>
        <w:snapToGrid w:val="0"/>
        <w:rPr>
          <w:rFonts w:ascii="宋体" w:hAnsi="宋体"/>
          <w:i w:val="0"/>
          <w:iCs w:val="0"/>
          <w:color w:val="auto"/>
          <w:highlight w:val="none"/>
        </w:rPr>
      </w:pPr>
    </w:p>
    <w:p w14:paraId="43BE548D">
      <w:pPr>
        <w:snapToGrid w:val="0"/>
        <w:rPr>
          <w:rFonts w:ascii="宋体" w:hAnsi="宋体"/>
          <w:i w:val="0"/>
          <w:iCs w:val="0"/>
          <w:color w:val="auto"/>
          <w:highlight w:val="none"/>
        </w:rPr>
      </w:pPr>
    </w:p>
    <w:p w14:paraId="5076B6F2">
      <w:pPr>
        <w:snapToGrid w:val="0"/>
        <w:rPr>
          <w:rFonts w:ascii="宋体" w:hAnsi="宋体"/>
          <w:i w:val="0"/>
          <w:iCs w:val="0"/>
          <w:color w:val="auto"/>
          <w:highlight w:val="none"/>
        </w:rPr>
      </w:pPr>
    </w:p>
    <w:p w14:paraId="4927F807">
      <w:pPr>
        <w:snapToGrid w:val="0"/>
        <w:rPr>
          <w:rFonts w:ascii="宋体" w:hAnsi="宋体"/>
          <w:i w:val="0"/>
          <w:iCs w:val="0"/>
          <w:color w:val="auto"/>
          <w:highlight w:val="none"/>
        </w:rPr>
      </w:pPr>
    </w:p>
    <w:p w14:paraId="733A1F0F">
      <w:pPr>
        <w:snapToGrid w:val="0"/>
        <w:rPr>
          <w:rFonts w:ascii="宋体" w:hAnsi="宋体"/>
          <w:i w:val="0"/>
          <w:iCs w:val="0"/>
          <w:color w:val="auto"/>
          <w:highlight w:val="none"/>
        </w:rPr>
      </w:pPr>
    </w:p>
    <w:p w14:paraId="6FF62033">
      <w:pPr>
        <w:snapToGrid w:val="0"/>
        <w:rPr>
          <w:rFonts w:ascii="宋体" w:hAnsi="宋体"/>
          <w:i w:val="0"/>
          <w:iCs w:val="0"/>
          <w:color w:val="auto"/>
          <w:highlight w:val="none"/>
        </w:rPr>
      </w:pPr>
    </w:p>
    <w:p w14:paraId="1656BD8F">
      <w:pPr>
        <w:snapToGrid w:val="0"/>
        <w:rPr>
          <w:rFonts w:ascii="宋体" w:hAnsi="宋体"/>
          <w:i w:val="0"/>
          <w:iCs w:val="0"/>
          <w:color w:val="auto"/>
          <w:highlight w:val="none"/>
        </w:rPr>
      </w:pPr>
    </w:p>
    <w:p w14:paraId="40611207">
      <w:pPr>
        <w:snapToGrid w:val="0"/>
        <w:rPr>
          <w:rFonts w:ascii="宋体" w:hAnsi="宋体"/>
          <w:i w:val="0"/>
          <w:iCs w:val="0"/>
          <w:color w:val="auto"/>
          <w:highlight w:val="none"/>
        </w:rPr>
      </w:pPr>
    </w:p>
    <w:p w14:paraId="22E89948">
      <w:pPr>
        <w:snapToGrid w:val="0"/>
        <w:rPr>
          <w:rFonts w:ascii="宋体" w:hAnsi="宋体"/>
          <w:i w:val="0"/>
          <w:iCs w:val="0"/>
          <w:color w:val="auto"/>
          <w:highlight w:val="none"/>
        </w:rPr>
      </w:pPr>
    </w:p>
    <w:p w14:paraId="33BC9DB9">
      <w:pPr>
        <w:snapToGrid w:val="0"/>
        <w:rPr>
          <w:rFonts w:ascii="宋体" w:hAnsi="宋体"/>
          <w:i w:val="0"/>
          <w:iCs w:val="0"/>
          <w:color w:val="auto"/>
          <w:highlight w:val="none"/>
        </w:rPr>
      </w:pPr>
    </w:p>
    <w:p w14:paraId="4230BD35">
      <w:pPr>
        <w:snapToGrid w:val="0"/>
        <w:rPr>
          <w:rFonts w:ascii="宋体" w:hAnsi="宋体"/>
          <w:i w:val="0"/>
          <w:iCs w:val="0"/>
          <w:color w:val="auto"/>
          <w:highlight w:val="none"/>
        </w:rPr>
      </w:pPr>
    </w:p>
    <w:p w14:paraId="3B25B4DD">
      <w:pPr>
        <w:snapToGrid w:val="0"/>
        <w:rPr>
          <w:rFonts w:ascii="宋体" w:hAnsi="宋体"/>
          <w:i w:val="0"/>
          <w:iCs w:val="0"/>
          <w:color w:val="auto"/>
          <w:highlight w:val="none"/>
        </w:rPr>
      </w:pPr>
    </w:p>
    <w:p w14:paraId="4D7BE56E">
      <w:pPr>
        <w:snapToGrid w:val="0"/>
        <w:rPr>
          <w:rFonts w:ascii="宋体" w:hAnsi="宋体"/>
          <w:i w:val="0"/>
          <w:iCs w:val="0"/>
          <w:color w:val="auto"/>
          <w:highlight w:val="none"/>
        </w:rPr>
      </w:pPr>
    </w:p>
    <w:p w14:paraId="1BB154FD">
      <w:pPr>
        <w:snapToGrid w:val="0"/>
        <w:rPr>
          <w:rFonts w:ascii="宋体" w:hAnsi="宋体"/>
          <w:i w:val="0"/>
          <w:iCs w:val="0"/>
          <w:color w:val="auto"/>
          <w:highlight w:val="none"/>
        </w:rPr>
      </w:pPr>
    </w:p>
    <w:p w14:paraId="0C6542F6">
      <w:pPr>
        <w:snapToGrid w:val="0"/>
        <w:rPr>
          <w:rFonts w:ascii="宋体" w:hAnsi="宋体"/>
          <w:i w:val="0"/>
          <w:iCs w:val="0"/>
          <w:color w:val="auto"/>
          <w:highlight w:val="none"/>
        </w:rPr>
      </w:pPr>
    </w:p>
    <w:p w14:paraId="2FEF1301">
      <w:pPr>
        <w:snapToGrid w:val="0"/>
        <w:rPr>
          <w:rFonts w:ascii="宋体" w:hAnsi="宋体"/>
          <w:i w:val="0"/>
          <w:iCs w:val="0"/>
          <w:color w:val="auto"/>
          <w:highlight w:val="none"/>
        </w:rPr>
      </w:pPr>
    </w:p>
    <w:p w14:paraId="4AED9D1E">
      <w:pPr>
        <w:snapToGrid w:val="0"/>
        <w:rPr>
          <w:rFonts w:ascii="宋体" w:hAnsi="宋体"/>
          <w:i w:val="0"/>
          <w:iCs w:val="0"/>
          <w:color w:val="auto"/>
          <w:highlight w:val="none"/>
        </w:rPr>
      </w:pPr>
    </w:p>
    <w:p w14:paraId="5C1A4673">
      <w:pPr>
        <w:snapToGrid w:val="0"/>
        <w:rPr>
          <w:rFonts w:ascii="宋体" w:hAnsi="宋体"/>
          <w:i w:val="0"/>
          <w:iCs w:val="0"/>
          <w:color w:val="auto"/>
          <w:highlight w:val="none"/>
        </w:rPr>
      </w:pPr>
    </w:p>
    <w:p w14:paraId="7AA0AFBD">
      <w:pPr>
        <w:snapToGrid w:val="0"/>
        <w:rPr>
          <w:rFonts w:ascii="宋体" w:hAnsi="宋体"/>
          <w:i w:val="0"/>
          <w:iCs w:val="0"/>
          <w:color w:val="auto"/>
          <w:highlight w:val="none"/>
        </w:rPr>
      </w:pPr>
    </w:p>
    <w:p w14:paraId="316E896F">
      <w:pPr>
        <w:pStyle w:val="2"/>
        <w:ind w:left="0" w:leftChars="0" w:firstLine="0" w:firstLineChars="0"/>
        <w:jc w:val="center"/>
        <w:rPr>
          <w:b/>
          <w:i w:val="0"/>
          <w:iCs w:val="0"/>
          <w:color w:val="auto"/>
          <w:highlight w:val="none"/>
        </w:rPr>
      </w:pPr>
      <w:bookmarkStart w:id="178" w:name="_Toc25289"/>
      <w:bookmarkEnd w:id="178"/>
      <w:bookmarkStart w:id="179" w:name="_Toc67589035"/>
      <w:bookmarkEnd w:id="179"/>
      <w:bookmarkStart w:id="180" w:name="_Toc45697243"/>
      <w:bookmarkEnd w:id="180"/>
      <w:bookmarkStart w:id="181" w:name="_Toc22209"/>
      <w:bookmarkStart w:id="182" w:name="_Toc22828079"/>
      <w:r>
        <w:rPr>
          <w:rFonts w:hint="eastAsia" w:ascii="黑体" w:hAnsi="黑体"/>
          <w:b/>
          <w:i w:val="0"/>
          <w:iCs w:val="0"/>
          <w:color w:val="auto"/>
          <w:highlight w:val="none"/>
        </w:rPr>
        <w:t>第四章 合同条款及格式</w:t>
      </w:r>
      <w:bookmarkEnd w:id="181"/>
      <w:bookmarkEnd w:id="182"/>
    </w:p>
    <w:p w14:paraId="2C115377">
      <w:pPr>
        <w:pStyle w:val="9"/>
        <w:kinsoku w:val="0"/>
        <w:ind w:left="0"/>
        <w:rPr>
          <w:rFonts w:ascii="Microsoft JhengHei" w:eastAsia="等线"/>
          <w:b/>
          <w:bCs/>
          <w:i w:val="0"/>
          <w:iCs w:val="0"/>
          <w:color w:val="auto"/>
          <w:sz w:val="20"/>
          <w:szCs w:val="20"/>
          <w:highlight w:val="none"/>
        </w:rPr>
      </w:pPr>
      <w:bookmarkStart w:id="183" w:name="bookmark180"/>
      <w:bookmarkEnd w:id="183"/>
    </w:p>
    <w:p w14:paraId="64EF7101">
      <w:pPr>
        <w:pStyle w:val="9"/>
        <w:kinsoku w:val="0"/>
        <w:snapToGrid w:val="0"/>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使用住房和城乡建设部、国家工商行政管理总局制定的《建设工程施工合同（示范文本）》（GF-2017-0201）及当地建设主管部门颁发的施工合同专用条款（范本）。</w:t>
      </w:r>
    </w:p>
    <w:p w14:paraId="204096D7">
      <w:pPr>
        <w:pStyle w:val="20"/>
        <w:tabs>
          <w:tab w:val="left" w:pos="9360"/>
        </w:tabs>
        <w:ind w:left="0" w:firstLine="480" w:firstLineChars="200"/>
        <w:rPr>
          <w:rFonts w:hAnsi="宋体"/>
          <w:i w:val="0"/>
          <w:iCs w:val="0"/>
          <w:color w:val="auto"/>
          <w:sz w:val="24"/>
          <w:highlight w:val="none"/>
        </w:rPr>
      </w:pPr>
      <w:bookmarkStart w:id="184" w:name="bookmark181"/>
      <w:bookmarkEnd w:id="184"/>
      <w:r>
        <w:rPr>
          <w:rFonts w:hAnsi="宋体"/>
          <w:i w:val="0"/>
          <w:iCs w:val="0"/>
          <w:color w:val="auto"/>
          <w:sz w:val="24"/>
          <w:highlight w:val="none"/>
        </w:rPr>
        <w:t>招标人在编制合同条款及格式时应当将以下政策执行到位：</w:t>
      </w:r>
    </w:p>
    <w:p w14:paraId="166C50A6">
      <w:pPr>
        <w:pStyle w:val="20"/>
        <w:tabs>
          <w:tab w:val="left" w:pos="9360"/>
        </w:tabs>
        <w:spacing w:line="360" w:lineRule="auto"/>
        <w:ind w:left="0" w:firstLine="480" w:firstLineChars="200"/>
        <w:rPr>
          <w:rFonts w:hint="eastAsia" w:hAnsi="宋体"/>
          <w:i w:val="0"/>
          <w:iCs w:val="0"/>
          <w:color w:val="auto"/>
          <w:sz w:val="24"/>
          <w:highlight w:val="none"/>
        </w:rPr>
      </w:pPr>
      <w:r>
        <w:rPr>
          <w:rFonts w:hint="eastAsia" w:hAnsi="宋体"/>
          <w:i w:val="0"/>
          <w:iCs w:val="0"/>
          <w:color w:val="auto"/>
          <w:sz w:val="24"/>
          <w:highlight w:val="none"/>
        </w:rPr>
        <w:t>1.</w:t>
      </w:r>
      <w:r>
        <w:rPr>
          <w:rFonts w:hAnsi="宋体"/>
          <w:i w:val="0"/>
          <w:iCs w:val="0"/>
          <w:color w:val="auto"/>
          <w:sz w:val="24"/>
          <w:highlight w:val="none"/>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i w:val="0"/>
          <w:iCs w:val="0"/>
          <w:color w:val="auto"/>
          <w:sz w:val="24"/>
          <w:highlight w:val="none"/>
        </w:rPr>
        <w:t>。</w:t>
      </w:r>
    </w:p>
    <w:p w14:paraId="539F4C99">
      <w:pPr>
        <w:pStyle w:val="16"/>
        <w:tabs>
          <w:tab w:val="left" w:pos="9360"/>
        </w:tabs>
        <w:spacing w:line="360" w:lineRule="auto"/>
        <w:ind w:left="0" w:leftChars="0" w:firstLine="480" w:firstLineChars="200"/>
        <w:rPr>
          <w:rFonts w:hAnsi="宋体"/>
          <w:i w:val="0"/>
          <w:iCs w:val="0"/>
          <w:color w:val="auto"/>
          <w:kern w:val="0"/>
          <w:sz w:val="24"/>
          <w:szCs w:val="24"/>
          <w:highlight w:val="none"/>
        </w:rPr>
      </w:pPr>
      <w:r>
        <w:rPr>
          <w:rFonts w:hint="eastAsia" w:hAnsi="宋体"/>
          <w:i w:val="0"/>
          <w:iCs w:val="0"/>
          <w:color w:val="auto"/>
          <w:kern w:val="0"/>
          <w:sz w:val="24"/>
          <w:szCs w:val="24"/>
          <w:highlight w:val="none"/>
        </w:rPr>
        <w:t>2.</w:t>
      </w:r>
      <w:r>
        <w:rPr>
          <w:rFonts w:hAnsi="宋体"/>
          <w:i w:val="0"/>
          <w:iCs w:val="0"/>
          <w:color w:val="auto"/>
          <w:kern w:val="0"/>
          <w:sz w:val="24"/>
          <w:szCs w:val="24"/>
          <w:highlight w:val="none"/>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05DCD218">
      <w:pPr>
        <w:spacing w:line="360" w:lineRule="auto"/>
        <w:ind w:firstLine="480" w:firstLineChars="200"/>
        <w:rPr>
          <w:rFonts w:hAnsi="宋体"/>
          <w:i w:val="0"/>
          <w:iCs w:val="0"/>
          <w:color w:val="auto"/>
          <w:highlight w:val="none"/>
        </w:rPr>
      </w:pPr>
      <w:r>
        <w:rPr>
          <w:rFonts w:hint="eastAsia" w:hAnsi="宋体"/>
          <w:i w:val="0"/>
          <w:iCs w:val="0"/>
          <w:color w:val="auto"/>
          <w:highlight w:val="none"/>
        </w:rPr>
        <w:t>3.</w:t>
      </w:r>
      <w:r>
        <w:rPr>
          <w:rFonts w:hAnsi="宋体"/>
          <w:i w:val="0"/>
          <w:iCs w:val="0"/>
          <w:color w:val="auto"/>
          <w:highlight w:val="none"/>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0DEE0AE6">
      <w:pPr>
        <w:spacing w:line="360" w:lineRule="auto"/>
        <w:ind w:firstLine="480" w:firstLineChars="200"/>
        <w:rPr>
          <w:rFonts w:hAnsi="宋体"/>
          <w:i w:val="0"/>
          <w:iCs w:val="0"/>
          <w:color w:val="auto"/>
          <w:highlight w:val="none"/>
        </w:rPr>
      </w:pPr>
    </w:p>
    <w:p w14:paraId="4AFADF04">
      <w:pPr>
        <w:spacing w:line="360" w:lineRule="auto"/>
        <w:ind w:firstLine="480" w:firstLineChars="200"/>
        <w:rPr>
          <w:rFonts w:hAnsi="宋体"/>
          <w:i w:val="0"/>
          <w:iCs w:val="0"/>
          <w:color w:val="auto"/>
          <w:highlight w:val="none"/>
        </w:rPr>
      </w:pPr>
      <w:r>
        <w:rPr>
          <w:rFonts w:hint="eastAsia" w:hAnsi="宋体"/>
          <w:i w:val="0"/>
          <w:iCs w:val="0"/>
          <w:color w:val="auto"/>
          <w:highlight w:val="none"/>
        </w:rPr>
        <w:t>4.建筑垃圾减量目标和措施、（建筑垃圾处理方案报备等管理要求）纳入本项目工程承包范围。</w:t>
      </w:r>
    </w:p>
    <w:p w14:paraId="62FCE6D9">
      <w:pPr>
        <w:pStyle w:val="4"/>
        <w:jc w:val="center"/>
        <w:rPr>
          <w:rFonts w:ascii="黑体" w:hAnsi="黑体" w:eastAsia="黑体"/>
          <w:b w:val="0"/>
          <w:i w:val="0"/>
          <w:iCs w:val="0"/>
          <w:color w:val="auto"/>
          <w:sz w:val="44"/>
          <w:szCs w:val="44"/>
          <w:highlight w:val="none"/>
        </w:rPr>
      </w:pPr>
      <w:r>
        <w:rPr>
          <w:rFonts w:hint="eastAsia" w:ascii="黑体" w:hAnsi="黑体" w:eastAsia="黑体"/>
          <w:b w:val="0"/>
          <w:i w:val="0"/>
          <w:iCs w:val="0"/>
          <w:color w:val="auto"/>
          <w:sz w:val="44"/>
          <w:szCs w:val="44"/>
          <w:highlight w:val="none"/>
        </w:rPr>
        <w:t>第三部分 专用合同条款</w:t>
      </w:r>
    </w:p>
    <w:p w14:paraId="1B57868E">
      <w:pPr>
        <w:autoSpaceDE/>
        <w:autoSpaceDN/>
        <w:adjustRightInd/>
        <w:spacing w:line="400" w:lineRule="exact"/>
        <w:ind w:firstLine="480" w:firstLineChars="200"/>
        <w:jc w:val="both"/>
        <w:rPr>
          <w:rFonts w:hint="eastAsia" w:ascii="方正公文黑体" w:hAnsi="方正公文黑体" w:eastAsia="方正公文黑体" w:cs="方正公文黑体"/>
          <w:i w:val="0"/>
          <w:iCs w:val="0"/>
          <w:color w:val="auto"/>
          <w:highlight w:val="none"/>
        </w:rPr>
      </w:pPr>
      <w:bookmarkStart w:id="185" w:name="_Toc351203633"/>
      <w:bookmarkEnd w:id="185"/>
      <w:bookmarkStart w:id="186" w:name="_Toc351203632"/>
      <w:r>
        <w:rPr>
          <w:rFonts w:hint="eastAsia" w:ascii="方正公文黑体" w:hAnsi="方正公文黑体" w:eastAsia="方正公文黑体" w:cs="方正公文黑体"/>
          <w:i w:val="0"/>
          <w:iCs w:val="0"/>
          <w:color w:val="auto"/>
          <w:highlight w:val="none"/>
        </w:rPr>
        <w:t>专用合同条款括号内斜体字部分说明是根据现行的法律、法规和文件要求，合同双方应遵循的内容。合同双方应根据项目具体情况，按要求细化具体条文。</w:t>
      </w:r>
    </w:p>
    <w:bookmarkEnd w:id="186"/>
    <w:p w14:paraId="71707C76">
      <w:pPr>
        <w:keepNext/>
        <w:keepLines/>
        <w:spacing w:before="120" w:after="120" w:line="400" w:lineRule="exact"/>
        <w:jc w:val="both"/>
        <w:outlineLvl w:val="3"/>
        <w:rPr>
          <w:rFonts w:eastAsia="黑体"/>
          <w:bCs/>
          <w:i w:val="0"/>
          <w:iCs w:val="0"/>
          <w:color w:val="auto"/>
          <w:kern w:val="2"/>
          <w:highlight w:val="none"/>
        </w:rPr>
      </w:pPr>
      <w:r>
        <w:rPr>
          <w:rFonts w:eastAsia="黑体"/>
          <w:bCs/>
          <w:i w:val="0"/>
          <w:iCs w:val="0"/>
          <w:color w:val="auto"/>
          <w:kern w:val="2"/>
          <w:highlight w:val="none"/>
        </w:rPr>
        <w:t>1</w:t>
      </w:r>
      <w:bookmarkStart w:id="187" w:name="_Toc297120456"/>
      <w:bookmarkStart w:id="188" w:name="_Toc296891196"/>
      <w:bookmarkStart w:id="189" w:name="_Toc296346657"/>
      <w:bookmarkStart w:id="190" w:name="_Toc292559361"/>
      <w:bookmarkStart w:id="191" w:name="_Toc296944495"/>
      <w:bookmarkStart w:id="192" w:name="_Toc297048342"/>
      <w:bookmarkStart w:id="193" w:name="_Toc296347155"/>
      <w:bookmarkStart w:id="194" w:name="_Toc296890984"/>
      <w:bookmarkStart w:id="195" w:name="_Toc292559866"/>
      <w:bookmarkStart w:id="196" w:name="_Toc296503156"/>
      <w:r>
        <w:rPr>
          <w:rFonts w:eastAsia="黑体"/>
          <w:bCs/>
          <w:i w:val="0"/>
          <w:iCs w:val="0"/>
          <w:color w:val="auto"/>
          <w:kern w:val="2"/>
          <w:highlight w:val="none"/>
        </w:rPr>
        <w:t>. 一般约定</w:t>
      </w:r>
    </w:p>
    <w:bookmarkEnd w:id="187"/>
    <w:bookmarkEnd w:id="188"/>
    <w:bookmarkEnd w:id="189"/>
    <w:bookmarkEnd w:id="190"/>
    <w:bookmarkEnd w:id="191"/>
    <w:bookmarkEnd w:id="192"/>
    <w:bookmarkEnd w:id="193"/>
    <w:bookmarkEnd w:id="194"/>
    <w:bookmarkEnd w:id="195"/>
    <w:bookmarkEnd w:id="196"/>
    <w:p w14:paraId="2E50C876">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197" w:name="_Toc9898"/>
      <w:r>
        <w:rPr>
          <w:rFonts w:eastAsia="黑体"/>
          <w:i w:val="0"/>
          <w:iCs w:val="0"/>
          <w:color w:val="auto"/>
          <w:kern w:val="2"/>
          <w:highlight w:val="none"/>
        </w:rPr>
        <w:t>1.1 词语定义</w:t>
      </w:r>
      <w:bookmarkEnd w:id="197"/>
    </w:p>
    <w:p w14:paraId="62EB1E3B">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1.1.1合同</w:t>
      </w:r>
    </w:p>
    <w:p w14:paraId="5DE0A5BE">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1.1.1.10其他合同文件包括：</w:t>
      </w:r>
      <w:r>
        <w:rPr>
          <w:rFonts w:hint="eastAsia" w:eastAsia="仿宋_GB2312"/>
          <w:i w:val="0"/>
          <w:iCs w:val="0"/>
          <w:color w:val="auto"/>
          <w:kern w:val="2"/>
          <w:highlight w:val="none"/>
          <w:u w:val="single"/>
        </w:rPr>
        <w:t xml:space="preserve">(1)合同协议书;(2)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   </w:t>
      </w:r>
      <w:r>
        <w:rPr>
          <w:rFonts w:eastAsia="仿宋_GB2312"/>
          <w:i w:val="0"/>
          <w:iCs w:val="0"/>
          <w:color w:val="auto"/>
          <w:kern w:val="2"/>
          <w:highlight w:val="none"/>
        </w:rPr>
        <w:t>。</w:t>
      </w:r>
    </w:p>
    <w:p w14:paraId="6E3DF8DE">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1.1.2 合同当事人及其他相关方</w:t>
      </w:r>
    </w:p>
    <w:p w14:paraId="3ACBDCBC">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1.1.2.4监理人：</w:t>
      </w:r>
    </w:p>
    <w:p w14:paraId="2C32C1D3">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名    称：</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92E15B6">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资质类别和等级</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w:t>
      </w:r>
      <w:r>
        <w:rPr>
          <w:rFonts w:eastAsia="仿宋_GB2312"/>
          <w:i w:val="0"/>
          <w:iCs w:val="0"/>
          <w:color w:val="auto"/>
          <w:kern w:val="2"/>
          <w:highlight w:val="none"/>
        </w:rPr>
        <w:t>；</w:t>
      </w:r>
    </w:p>
    <w:p w14:paraId="287840E5">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联系电话：</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eastAsia="仿宋_GB2312"/>
          <w:i w:val="0"/>
          <w:iCs w:val="0"/>
          <w:color w:val="auto"/>
          <w:kern w:val="2"/>
          <w:highlight w:val="none"/>
        </w:rPr>
        <w:t>；</w:t>
      </w:r>
    </w:p>
    <w:p w14:paraId="1FAD6463">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电子信箱：</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w:t>
      </w:r>
      <w:r>
        <w:rPr>
          <w:rFonts w:eastAsia="仿宋_GB2312"/>
          <w:i w:val="0"/>
          <w:iCs w:val="0"/>
          <w:color w:val="auto"/>
          <w:kern w:val="2"/>
          <w:highlight w:val="none"/>
        </w:rPr>
        <w:t>；</w:t>
      </w:r>
    </w:p>
    <w:p w14:paraId="74B01B13">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通信地址：</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47CAC2AC">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1.1.2.5 设计人：</w:t>
      </w:r>
    </w:p>
    <w:p w14:paraId="370E891E">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名    称：</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AFF86D6">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资质类别和等级：</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eastAsia="仿宋_GB2312"/>
          <w:i w:val="0"/>
          <w:iCs w:val="0"/>
          <w:color w:val="auto"/>
          <w:kern w:val="2"/>
          <w:highlight w:val="none"/>
        </w:rPr>
        <w:t>；</w:t>
      </w:r>
    </w:p>
    <w:p w14:paraId="21151AD5">
      <w:pPr>
        <w:autoSpaceDE/>
        <w:autoSpaceDN/>
        <w:adjustRightInd/>
        <w:spacing w:line="400" w:lineRule="exact"/>
        <w:ind w:left="960" w:leftChars="200" w:hanging="480" w:hangingChars="200"/>
        <w:jc w:val="both"/>
        <w:rPr>
          <w:rFonts w:eastAsia="仿宋_GB2312"/>
          <w:i w:val="0"/>
          <w:iCs w:val="0"/>
          <w:color w:val="auto"/>
          <w:kern w:val="2"/>
          <w:highlight w:val="none"/>
        </w:rPr>
      </w:pPr>
      <w:r>
        <w:rPr>
          <w:rFonts w:eastAsia="仿宋_GB2312"/>
          <w:i w:val="0"/>
          <w:iCs w:val="0"/>
          <w:color w:val="auto"/>
          <w:kern w:val="2"/>
          <w:highlight w:val="none"/>
        </w:rPr>
        <w:t>联系电</w:t>
      </w:r>
      <w:r>
        <w:rPr>
          <w:rFonts w:hint="eastAsia" w:eastAsia="仿宋_GB2312"/>
          <w:i w:val="0"/>
          <w:iCs w:val="0"/>
          <w:color w:val="auto"/>
          <w:kern w:val="2"/>
          <w:highlight w:val="none"/>
          <w:lang w:val="en-US" w:eastAsia="zh-CN"/>
        </w:rPr>
        <w:t>话：</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37FCE77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电子信箱：</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5061B3CE">
      <w:pPr>
        <w:autoSpaceDE/>
        <w:autoSpaceDN/>
        <w:adjustRightInd/>
        <w:spacing w:line="400" w:lineRule="exact"/>
        <w:ind w:firstLine="480" w:firstLineChars="200"/>
        <w:jc w:val="both"/>
        <w:rPr>
          <w:rFonts w:hint="eastAsia" w:eastAsia="仿宋_GB2312"/>
          <w:i w:val="0"/>
          <w:iCs w:val="0"/>
          <w:color w:val="auto"/>
          <w:kern w:val="2"/>
          <w:highlight w:val="none"/>
        </w:rPr>
      </w:pPr>
      <w:r>
        <w:rPr>
          <w:rFonts w:eastAsia="仿宋_GB2312"/>
          <w:i w:val="0"/>
          <w:iCs w:val="0"/>
          <w:color w:val="auto"/>
          <w:kern w:val="2"/>
          <w:highlight w:val="none"/>
        </w:rPr>
        <w:t>通信地址：</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w:t>
      </w:r>
      <w:r>
        <w:rPr>
          <w:rFonts w:eastAsia="仿宋_GB2312"/>
          <w:i w:val="0"/>
          <w:iCs w:val="0"/>
          <w:color w:val="auto"/>
          <w:kern w:val="2"/>
          <w:highlight w:val="none"/>
        </w:rPr>
        <w:t>。</w:t>
      </w:r>
    </w:p>
    <w:p w14:paraId="5F09D339">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1.1.3 工程和设备</w:t>
      </w:r>
    </w:p>
    <w:p w14:paraId="0100568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1.1.3.7 作为施工现场组成部分的其他场所包括：</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248FC6FB">
      <w:pPr>
        <w:autoSpaceDE/>
        <w:autoSpaceDN/>
        <w:adjustRightInd/>
        <w:spacing w:line="400" w:lineRule="exact"/>
        <w:ind w:firstLine="480" w:firstLineChars="200"/>
        <w:rPr>
          <w:rFonts w:eastAsia="仿宋_GB2312"/>
          <w:i w:val="0"/>
          <w:iCs w:val="0"/>
          <w:color w:val="auto"/>
          <w:highlight w:val="none"/>
        </w:rPr>
      </w:pPr>
      <w:r>
        <w:rPr>
          <w:rFonts w:eastAsia="仿宋_GB2312"/>
          <w:i w:val="0"/>
          <w:iCs w:val="0"/>
          <w:color w:val="auto"/>
          <w:highlight w:val="none"/>
        </w:rPr>
        <w:t>1.1.3.9 永久占地包括：</w:t>
      </w:r>
      <w:r>
        <w:rPr>
          <w:rFonts w:hint="eastAsia" w:ascii="Times New Roman" w:hAnsi="Times New Roman" w:eastAsia="仿宋_GB2312" w:cs="Times New Roman"/>
          <w:i w:val="0"/>
          <w:iCs w:val="0"/>
          <w:color w:val="auto"/>
          <w:kern w:val="2"/>
          <w:highlight w:val="none"/>
          <w:u w:val="single"/>
        </w:rPr>
        <w:t>建设永久工程的用地及附属设施用地</w:t>
      </w:r>
      <w:r>
        <w:rPr>
          <w:rFonts w:eastAsia="仿宋_GB2312"/>
          <w:i w:val="0"/>
          <w:iCs w:val="0"/>
          <w:color w:val="auto"/>
          <w:highlight w:val="none"/>
        </w:rPr>
        <w:t>。</w:t>
      </w:r>
    </w:p>
    <w:p w14:paraId="6C028A8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highlight w:val="none"/>
        </w:rPr>
        <w:t>1.1.3.10 临时占地包括：</w:t>
      </w:r>
      <w:r>
        <w:rPr>
          <w:rFonts w:hint="eastAsia" w:eastAsia="仿宋_GB2312"/>
          <w:i w:val="0"/>
          <w:iCs w:val="0"/>
          <w:color w:val="auto"/>
          <w:kern w:val="2"/>
          <w:highlight w:val="none"/>
          <w:u w:val="single"/>
        </w:rPr>
        <w:t>建设临时工程的用地或用于施工所需的临时场地　</w:t>
      </w:r>
      <w:r>
        <w:rPr>
          <w:rFonts w:eastAsia="仿宋_GB2312"/>
          <w:i w:val="0"/>
          <w:iCs w:val="0"/>
          <w:color w:val="auto"/>
          <w:highlight w:val="none"/>
        </w:rPr>
        <w:t>。</w:t>
      </w:r>
    </w:p>
    <w:p w14:paraId="25FFF044">
      <w:pPr>
        <w:autoSpaceDE/>
        <w:autoSpaceDN/>
        <w:adjustRightInd/>
        <w:spacing w:after="120" w:line="400" w:lineRule="exact"/>
        <w:ind w:firstLine="480" w:firstLineChars="200"/>
        <w:jc w:val="both"/>
        <w:rPr>
          <w:rFonts w:hint="eastAsia" w:eastAsia="黑体"/>
          <w:i w:val="0"/>
          <w:iCs w:val="0"/>
          <w:color w:val="auto"/>
          <w:kern w:val="2"/>
          <w:highlight w:val="none"/>
        </w:rPr>
      </w:pPr>
      <w:r>
        <w:rPr>
          <w:rFonts w:eastAsia="黑体"/>
          <w:i w:val="0"/>
          <w:iCs w:val="0"/>
          <w:color w:val="auto"/>
          <w:kern w:val="2"/>
          <w:highlight w:val="none"/>
        </w:rPr>
        <w:t xml:space="preserve">1.3法律 </w:t>
      </w:r>
    </w:p>
    <w:p w14:paraId="57EAA684">
      <w:pPr>
        <w:spacing w:line="400" w:lineRule="exact"/>
        <w:ind w:left="682" w:leftChars="284"/>
        <w:rPr>
          <w:rFonts w:eastAsia="仿宋_GB2312"/>
          <w:i w:val="0"/>
          <w:iCs w:val="0"/>
          <w:color w:val="auto"/>
          <w:kern w:val="2"/>
          <w:highlight w:val="none"/>
        </w:rPr>
      </w:pPr>
      <w:r>
        <w:rPr>
          <w:rFonts w:eastAsia="仿宋_GB2312"/>
          <w:i w:val="0"/>
          <w:iCs w:val="0"/>
          <w:color w:val="auto"/>
          <w:kern w:val="2"/>
          <w:highlight w:val="none"/>
        </w:rPr>
        <w:t>适用于合同的其他规范性文件</w:t>
      </w:r>
      <w:r>
        <w:rPr>
          <w:rFonts w:hint="eastAsia" w:eastAsia="仿宋_GB2312"/>
          <w:i w:val="0"/>
          <w:iCs w:val="0"/>
          <w:color w:val="auto"/>
          <w:kern w:val="2"/>
          <w:highlight w:val="none"/>
          <w:u w:val="none"/>
        </w:rPr>
        <w:t>：</w:t>
      </w:r>
      <w:r>
        <w:rPr>
          <w:rFonts w:hint="eastAsia" w:eastAsia="仿宋_GB2312"/>
          <w:i w:val="0"/>
          <w:iCs w:val="0"/>
          <w:color w:val="auto"/>
          <w:kern w:val="2"/>
          <w:highlight w:val="none"/>
          <w:u w:val="single"/>
        </w:rPr>
        <w:t>《中华人民共和国民法典》、《中华人民共和国建筑法》、《建设工程质量管理条例》、《建设工程安全生产管理条例》等相关法规以及工程所在地政府及主管部门有关工程施工、质量、安全方面的法规、条例及本工程相关的政府批文等</w:t>
      </w:r>
      <w:r>
        <w:rPr>
          <w:rFonts w:eastAsia="仿宋_GB2312"/>
          <w:i w:val="0"/>
          <w:iCs w:val="0"/>
          <w:color w:val="auto"/>
          <w:kern w:val="2"/>
          <w:highlight w:val="none"/>
        </w:rPr>
        <w:t>。</w:t>
      </w:r>
    </w:p>
    <w:p w14:paraId="5148E1CB">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1.4 标准和规范</w:t>
      </w:r>
    </w:p>
    <w:p w14:paraId="21A6E9F9">
      <w:pPr>
        <w:autoSpaceDE/>
        <w:autoSpaceDN/>
        <w:adjustRightInd/>
        <w:spacing w:line="400" w:lineRule="exact"/>
        <w:ind w:left="682" w:leftChars="284"/>
        <w:jc w:val="both"/>
        <w:rPr>
          <w:rFonts w:eastAsia="仿宋_GB2312"/>
          <w:i w:val="0"/>
          <w:iCs w:val="0"/>
          <w:color w:val="auto"/>
          <w:kern w:val="2"/>
          <w:highlight w:val="none"/>
        </w:rPr>
      </w:pPr>
      <w:r>
        <w:rPr>
          <w:rFonts w:eastAsia="仿宋_GB2312"/>
          <w:i w:val="0"/>
          <w:iCs w:val="0"/>
          <w:color w:val="auto"/>
          <w:kern w:val="2"/>
          <w:highlight w:val="none"/>
        </w:rPr>
        <w:t>1.4.1适用于工程的标准规范包括：</w:t>
      </w:r>
      <w:r>
        <w:rPr>
          <w:rFonts w:hint="eastAsia" w:eastAsia="仿宋_GB2312"/>
          <w:i w:val="0"/>
          <w:iCs w:val="0"/>
          <w:color w:val="auto"/>
          <w:kern w:val="2"/>
          <w:highlight w:val="none"/>
          <w:u w:val="single"/>
        </w:rPr>
        <w:t>现行的工程验收评定标准和相关的施工技术规范、验收标准和质监站规定。不同的施工规范存在冲突时，采用高标准规范</w:t>
      </w:r>
      <w:r>
        <w:rPr>
          <w:rFonts w:eastAsia="仿宋_GB2312"/>
          <w:i w:val="0"/>
          <w:iCs w:val="0"/>
          <w:color w:val="auto"/>
          <w:kern w:val="2"/>
          <w:highlight w:val="none"/>
        </w:rPr>
        <w:t>。</w:t>
      </w:r>
    </w:p>
    <w:p w14:paraId="5A601E24">
      <w:pPr>
        <w:autoSpaceDE/>
        <w:autoSpaceDN/>
        <w:adjustRightInd/>
        <w:spacing w:line="400" w:lineRule="exact"/>
        <w:ind w:firstLine="480" w:firstLineChars="200"/>
        <w:outlineLvl w:val="0"/>
        <w:rPr>
          <w:rFonts w:eastAsia="仿宋_GB2312"/>
          <w:i w:val="0"/>
          <w:iCs w:val="0"/>
          <w:color w:val="auto"/>
          <w:highlight w:val="none"/>
        </w:rPr>
      </w:pPr>
      <w:bookmarkStart w:id="198" w:name="_Toc31702"/>
      <w:r>
        <w:rPr>
          <w:rFonts w:eastAsia="仿宋_GB2312"/>
          <w:i w:val="0"/>
          <w:iCs w:val="0"/>
          <w:color w:val="auto"/>
          <w:highlight w:val="none"/>
        </w:rPr>
        <w:t>1.4.2 发包人提供国外标准、规范的</w:t>
      </w:r>
      <w:r>
        <w:rPr>
          <w:rFonts w:hint="eastAsia" w:eastAsia="仿宋_GB2312"/>
          <w:i w:val="0"/>
          <w:iCs w:val="0"/>
          <w:color w:val="auto"/>
          <w:highlight w:val="none"/>
        </w:rPr>
        <w:t>名</w:t>
      </w:r>
      <w:r>
        <w:rPr>
          <w:rFonts w:eastAsia="仿宋_GB2312"/>
          <w:i w:val="0"/>
          <w:iCs w:val="0"/>
          <w:color w:val="auto"/>
          <w:highlight w:val="none"/>
        </w:rPr>
        <w:t>称：</w:t>
      </w:r>
      <w:bookmarkEnd w:id="198"/>
      <w:r>
        <w:rPr>
          <w:rFonts w:eastAsia="仿宋_GB2312"/>
          <w:i w:val="0"/>
          <w:iCs w:val="0"/>
          <w:color w:val="auto"/>
          <w:highlight w:val="none"/>
          <w:u w:val="single"/>
        </w:rPr>
        <w:t xml:space="preserve">   </w:t>
      </w:r>
      <w:r>
        <w:rPr>
          <w:rFonts w:hint="eastAsia" w:eastAsia="仿宋_GB2312"/>
          <w:i w:val="0"/>
          <w:iCs w:val="0"/>
          <w:color w:val="auto"/>
          <w:highlight w:val="none"/>
          <w:u w:val="single"/>
        </w:rPr>
        <w:t>　　</w:t>
      </w:r>
      <w:r>
        <w:rPr>
          <w:rFonts w:hint="eastAsia" w:eastAsia="仿宋_GB2312"/>
          <w:i w:val="0"/>
          <w:iCs w:val="0"/>
          <w:color w:val="auto"/>
          <w:highlight w:val="none"/>
          <w:u w:val="single"/>
          <w:lang w:val="en-US" w:eastAsia="zh-CN"/>
        </w:rPr>
        <w:t>/</w:t>
      </w:r>
      <w:r>
        <w:rPr>
          <w:rFonts w:hint="eastAsia" w:eastAsia="仿宋_GB2312"/>
          <w:i w:val="0"/>
          <w:iCs w:val="0"/>
          <w:color w:val="auto"/>
          <w:highlight w:val="none"/>
          <w:u w:val="single"/>
        </w:rPr>
        <w:t>　　　　　　　　　　</w:t>
      </w:r>
      <w:r>
        <w:rPr>
          <w:rFonts w:eastAsia="仿宋_GB2312"/>
          <w:i w:val="0"/>
          <w:iCs w:val="0"/>
          <w:color w:val="auto"/>
          <w:highlight w:val="none"/>
          <w:u w:val="single"/>
        </w:rPr>
        <w:t xml:space="preserve">  </w:t>
      </w:r>
    </w:p>
    <w:p w14:paraId="6AE2247D">
      <w:pPr>
        <w:autoSpaceDE/>
        <w:autoSpaceDN/>
        <w:adjustRightInd/>
        <w:spacing w:line="400" w:lineRule="exact"/>
        <w:ind w:firstLine="480" w:firstLineChars="200"/>
        <w:rPr>
          <w:rFonts w:eastAsia="仿宋_GB2312"/>
          <w:i w:val="0"/>
          <w:iCs w:val="0"/>
          <w:color w:val="auto"/>
          <w:highlight w:val="none"/>
        </w:rPr>
      </w:pPr>
      <w:r>
        <w:rPr>
          <w:rFonts w:eastAsia="仿宋_GB2312"/>
          <w:i w:val="0"/>
          <w:iCs w:val="0"/>
          <w:color w:val="auto"/>
          <w:highlight w:val="none"/>
        </w:rPr>
        <w:t>发包人提供国外标准、规范的份数：</w:t>
      </w:r>
      <w:r>
        <w:rPr>
          <w:rFonts w:eastAsia="仿宋_GB2312"/>
          <w:i w:val="0"/>
          <w:iCs w:val="0"/>
          <w:color w:val="auto"/>
          <w:highlight w:val="none"/>
          <w:u w:val="single"/>
        </w:rPr>
        <w:t xml:space="preserve">   </w:t>
      </w:r>
      <w:r>
        <w:rPr>
          <w:rFonts w:hint="eastAsia" w:eastAsia="仿宋_GB2312"/>
          <w:i w:val="0"/>
          <w:iCs w:val="0"/>
          <w:color w:val="auto"/>
          <w:highlight w:val="none"/>
          <w:u w:val="single"/>
        </w:rPr>
        <w:t>　　　　</w:t>
      </w:r>
      <w:r>
        <w:rPr>
          <w:rFonts w:hint="eastAsia" w:eastAsia="仿宋_GB2312"/>
          <w:i w:val="0"/>
          <w:iCs w:val="0"/>
          <w:color w:val="auto"/>
          <w:highlight w:val="none"/>
          <w:u w:val="single"/>
          <w:lang w:val="en-US" w:eastAsia="zh-CN"/>
        </w:rPr>
        <w:t>/</w:t>
      </w:r>
      <w:r>
        <w:rPr>
          <w:rFonts w:hint="eastAsia" w:eastAsia="仿宋_GB2312"/>
          <w:i w:val="0"/>
          <w:iCs w:val="0"/>
          <w:color w:val="auto"/>
          <w:highlight w:val="none"/>
          <w:u w:val="single"/>
        </w:rPr>
        <w:t xml:space="preserve">  </w:t>
      </w:r>
      <w:r>
        <w:rPr>
          <w:rFonts w:eastAsia="仿宋_GB2312"/>
          <w:i w:val="0"/>
          <w:iCs w:val="0"/>
          <w:color w:val="auto"/>
          <w:highlight w:val="none"/>
          <w:u w:val="single"/>
        </w:rPr>
        <w:t xml:space="preserve"> </w:t>
      </w:r>
      <w:r>
        <w:rPr>
          <w:rFonts w:hint="eastAsia" w:eastAsia="仿宋_GB2312"/>
          <w:i w:val="0"/>
          <w:iCs w:val="0"/>
          <w:color w:val="auto"/>
          <w:highlight w:val="none"/>
          <w:u w:val="single"/>
        </w:rPr>
        <w:t xml:space="preserve">   </w:t>
      </w:r>
      <w:r>
        <w:rPr>
          <w:rFonts w:eastAsia="仿宋_GB2312"/>
          <w:i w:val="0"/>
          <w:iCs w:val="0"/>
          <w:color w:val="auto"/>
          <w:highlight w:val="none"/>
          <w:u w:val="single"/>
        </w:rPr>
        <w:t xml:space="preserve">  </w:t>
      </w:r>
      <w:r>
        <w:rPr>
          <w:rFonts w:hint="eastAsia" w:eastAsia="仿宋_GB2312"/>
          <w:i w:val="0"/>
          <w:iCs w:val="0"/>
          <w:color w:val="auto"/>
          <w:highlight w:val="none"/>
          <w:u w:val="single"/>
        </w:rPr>
        <w:t>　　　　　</w:t>
      </w:r>
      <w:r>
        <w:rPr>
          <w:rFonts w:eastAsia="仿宋_GB2312"/>
          <w:i w:val="0"/>
          <w:iCs w:val="0"/>
          <w:color w:val="auto"/>
          <w:highlight w:val="none"/>
          <w:u w:val="single"/>
        </w:rPr>
        <w:t xml:space="preserve">  </w:t>
      </w:r>
      <w:r>
        <w:rPr>
          <w:rFonts w:eastAsia="仿宋_GB2312"/>
          <w:i w:val="0"/>
          <w:iCs w:val="0"/>
          <w:color w:val="auto"/>
          <w:highlight w:val="none"/>
        </w:rPr>
        <w:t>；</w:t>
      </w:r>
    </w:p>
    <w:p w14:paraId="4CA053A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highlight w:val="none"/>
        </w:rPr>
        <w:t>发包人提供国外标准、规范的名称：</w:t>
      </w:r>
      <w:r>
        <w:rPr>
          <w:rFonts w:eastAsia="仿宋_GB2312"/>
          <w:i w:val="0"/>
          <w:iCs w:val="0"/>
          <w:color w:val="auto"/>
          <w:highlight w:val="none"/>
          <w:u w:val="single"/>
        </w:rPr>
        <w:t xml:space="preserve">   </w:t>
      </w:r>
      <w:r>
        <w:rPr>
          <w:rFonts w:hint="eastAsia" w:eastAsia="仿宋_GB2312"/>
          <w:i w:val="0"/>
          <w:iCs w:val="0"/>
          <w:color w:val="auto"/>
          <w:highlight w:val="none"/>
          <w:u w:val="single"/>
        </w:rPr>
        <w:t xml:space="preserve">  </w:t>
      </w:r>
      <w:r>
        <w:rPr>
          <w:rFonts w:eastAsia="仿宋_GB2312"/>
          <w:i w:val="0"/>
          <w:iCs w:val="0"/>
          <w:color w:val="auto"/>
          <w:highlight w:val="none"/>
          <w:u w:val="single"/>
        </w:rPr>
        <w:t xml:space="preserve">  </w:t>
      </w:r>
      <w:r>
        <w:rPr>
          <w:rFonts w:hint="eastAsia" w:eastAsia="仿宋_GB2312"/>
          <w:i w:val="0"/>
          <w:iCs w:val="0"/>
          <w:color w:val="auto"/>
          <w:highlight w:val="none"/>
          <w:u w:val="single"/>
        </w:rPr>
        <w:t xml:space="preserve"> </w:t>
      </w:r>
      <w:r>
        <w:rPr>
          <w:rFonts w:eastAsia="仿宋_GB2312"/>
          <w:i w:val="0"/>
          <w:iCs w:val="0"/>
          <w:color w:val="auto"/>
          <w:highlight w:val="none"/>
          <w:u w:val="single"/>
        </w:rPr>
        <w:t xml:space="preserve"> </w:t>
      </w:r>
      <w:r>
        <w:rPr>
          <w:rFonts w:hint="eastAsia" w:eastAsia="仿宋_GB2312"/>
          <w:i w:val="0"/>
          <w:iCs w:val="0"/>
          <w:color w:val="auto"/>
          <w:highlight w:val="none"/>
          <w:u w:val="single"/>
          <w:lang w:val="en-US" w:eastAsia="zh-CN"/>
        </w:rPr>
        <w:t>/</w:t>
      </w:r>
      <w:r>
        <w:rPr>
          <w:rFonts w:hint="eastAsia" w:eastAsia="仿宋_GB2312"/>
          <w:i w:val="0"/>
          <w:iCs w:val="0"/>
          <w:color w:val="auto"/>
          <w:highlight w:val="none"/>
          <w:u w:val="single"/>
        </w:rPr>
        <w:t>　  　　　　　　　</w:t>
      </w:r>
      <w:r>
        <w:rPr>
          <w:rFonts w:eastAsia="仿宋_GB2312"/>
          <w:i w:val="0"/>
          <w:iCs w:val="0"/>
          <w:color w:val="auto"/>
          <w:highlight w:val="none"/>
          <w:u w:val="single"/>
        </w:rPr>
        <w:t xml:space="preserve"> </w:t>
      </w:r>
      <w:r>
        <w:rPr>
          <w:rFonts w:eastAsia="仿宋_GB2312"/>
          <w:i w:val="0"/>
          <w:iCs w:val="0"/>
          <w:color w:val="auto"/>
          <w:highlight w:val="none"/>
        </w:rPr>
        <w:t>。</w:t>
      </w:r>
    </w:p>
    <w:p w14:paraId="79267FB5">
      <w:pPr>
        <w:autoSpaceDE/>
        <w:autoSpaceDN/>
        <w:adjustRightInd/>
        <w:spacing w:line="400" w:lineRule="exact"/>
        <w:ind w:left="0" w:leftChars="0" w:firstLine="480" w:firstLineChars="200"/>
        <w:jc w:val="both"/>
        <w:rPr>
          <w:rFonts w:eastAsia="仿宋_GB2312"/>
          <w:i w:val="0"/>
          <w:iCs w:val="0"/>
          <w:color w:val="auto"/>
          <w:kern w:val="2"/>
          <w:highlight w:val="none"/>
        </w:rPr>
      </w:pPr>
      <w:r>
        <w:rPr>
          <w:rFonts w:eastAsia="仿宋_GB2312"/>
          <w:i w:val="0"/>
          <w:iCs w:val="0"/>
          <w:color w:val="auto"/>
          <w:kern w:val="2"/>
          <w:highlight w:val="none"/>
        </w:rPr>
        <w:t>1.4.3发包人对工程的技术标准和功能要求的特殊要求：</w:t>
      </w:r>
      <w:r>
        <w:rPr>
          <w:rFonts w:eastAsia="仿宋_GB2312"/>
          <w:i w:val="0"/>
          <w:iCs w:val="0"/>
          <w:color w:val="auto"/>
          <w:kern w:val="2"/>
          <w:highlight w:val="none"/>
          <w:u w:val="single"/>
        </w:rPr>
        <w:t></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F73C1A7">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199" w:name="_Toc4488"/>
      <w:r>
        <w:rPr>
          <w:rFonts w:eastAsia="黑体"/>
          <w:i w:val="0"/>
          <w:iCs w:val="0"/>
          <w:color w:val="auto"/>
          <w:kern w:val="2"/>
          <w:highlight w:val="none"/>
        </w:rPr>
        <w:t>1.5 合同文件的优先顺序</w:t>
      </w:r>
      <w:bookmarkEnd w:id="199"/>
    </w:p>
    <w:p w14:paraId="7A949D5D">
      <w:pPr>
        <w:autoSpaceDE/>
        <w:autoSpaceDN/>
        <w:adjustRightInd/>
        <w:spacing w:line="400" w:lineRule="exact"/>
        <w:ind w:firstLine="480" w:firstLineChars="200"/>
        <w:jc w:val="both"/>
        <w:rPr>
          <w:rFonts w:hint="eastAsia" w:eastAsia="仿宋_GB2312"/>
          <w:i w:val="0"/>
          <w:iCs w:val="0"/>
          <w:color w:val="auto"/>
          <w:kern w:val="2"/>
          <w:highlight w:val="none"/>
        </w:rPr>
      </w:pPr>
      <w:r>
        <w:rPr>
          <w:rFonts w:eastAsia="仿宋_GB2312"/>
          <w:i w:val="0"/>
          <w:iCs w:val="0"/>
          <w:color w:val="auto"/>
          <w:kern w:val="2"/>
          <w:highlight w:val="none"/>
        </w:rPr>
        <w:t>合同文件组成及优先顺序为：</w:t>
      </w:r>
      <w:r>
        <w:rPr>
          <w:rFonts w:hint="eastAsia" w:eastAsia="仿宋_GB2312"/>
          <w:i w:val="0"/>
          <w:iCs w:val="0"/>
          <w:color w:val="auto"/>
          <w:kern w:val="2"/>
          <w:highlight w:val="none"/>
          <w:u w:val="single"/>
        </w:rPr>
        <w:t xml:space="preserve"> (1)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 </w:t>
      </w:r>
      <w:r>
        <w:rPr>
          <w:rFonts w:eastAsia="仿宋_GB2312"/>
          <w:i w:val="0"/>
          <w:iCs w:val="0"/>
          <w:color w:val="auto"/>
          <w:kern w:val="2"/>
          <w:highlight w:val="none"/>
        </w:rPr>
        <w:t>。</w:t>
      </w:r>
    </w:p>
    <w:p w14:paraId="083695E6">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00" w:name="_Toc9468"/>
      <w:r>
        <w:rPr>
          <w:rFonts w:eastAsia="黑体"/>
          <w:i w:val="0"/>
          <w:iCs w:val="0"/>
          <w:color w:val="auto"/>
          <w:kern w:val="2"/>
          <w:highlight w:val="none"/>
        </w:rPr>
        <w:t>1.6 图纸和承包人文件</w:t>
      </w:r>
      <w:bookmarkEnd w:id="200"/>
      <w:r>
        <w:rPr>
          <w:rFonts w:eastAsia="黑体"/>
          <w:i w:val="0"/>
          <w:iCs w:val="0"/>
          <w:color w:val="auto"/>
          <w:kern w:val="2"/>
          <w:highlight w:val="none"/>
        </w:rPr>
        <w:tab/>
      </w:r>
    </w:p>
    <w:p w14:paraId="06075632">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1.6.1 图纸的提供</w:t>
      </w:r>
    </w:p>
    <w:p w14:paraId="07466CD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发包人向承包人提供图纸的期限：</w:t>
      </w:r>
      <w:r>
        <w:rPr>
          <w:rFonts w:hint="eastAsia" w:ascii="Times New Roman" w:hAnsi="Times New Roman" w:eastAsia="仿宋_GB2312" w:cs="Times New Roman"/>
          <w:i w:val="0"/>
          <w:iCs w:val="0"/>
          <w:color w:val="auto"/>
          <w:kern w:val="2"/>
          <w:sz w:val="24"/>
          <w:szCs w:val="24"/>
          <w:highlight w:val="none"/>
          <w:u w:val="single"/>
        </w:rPr>
        <w:t>开工前提供</w:t>
      </w:r>
      <w:r>
        <w:rPr>
          <w:rFonts w:eastAsia="仿宋_GB2312"/>
          <w:i w:val="0"/>
          <w:iCs w:val="0"/>
          <w:color w:val="auto"/>
          <w:kern w:val="2"/>
          <w:highlight w:val="none"/>
        </w:rPr>
        <w:t>；</w:t>
      </w:r>
    </w:p>
    <w:p w14:paraId="4158D89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发包人向承包人提供图纸的数量：</w:t>
      </w:r>
      <w:r>
        <w:rPr>
          <w:rFonts w:hint="eastAsia" w:eastAsia="仿宋_GB2312"/>
          <w:i w:val="0"/>
          <w:iCs w:val="0"/>
          <w:color w:val="auto"/>
          <w:kern w:val="2"/>
          <w:highlight w:val="none"/>
          <w:u w:val="single"/>
        </w:rPr>
        <w:t>开工前一周内提供施工图</w:t>
      </w:r>
      <w:r>
        <w:rPr>
          <w:rFonts w:hint="eastAsia" w:eastAsia="仿宋_GB2312"/>
          <w:i w:val="0"/>
          <w:iCs w:val="0"/>
          <w:color w:val="auto"/>
          <w:kern w:val="2"/>
          <w:highlight w:val="none"/>
          <w:u w:val="single"/>
          <w:lang w:val="en-US" w:eastAsia="zh-CN"/>
        </w:rPr>
        <w:t>3</w:t>
      </w:r>
      <w:r>
        <w:rPr>
          <w:rFonts w:hint="eastAsia" w:eastAsia="仿宋_GB2312"/>
          <w:i w:val="0"/>
          <w:iCs w:val="0"/>
          <w:color w:val="auto"/>
          <w:kern w:val="2"/>
          <w:highlight w:val="none"/>
          <w:u w:val="single"/>
        </w:rPr>
        <w:t xml:space="preserve"> 套，不足部分承包人可向发包人提请加晒，费用由承包人自负。标准图集由承包人自备</w:t>
      </w:r>
      <w:r>
        <w:rPr>
          <w:rFonts w:eastAsia="仿宋_GB2312"/>
          <w:i w:val="0"/>
          <w:iCs w:val="0"/>
          <w:color w:val="auto"/>
          <w:kern w:val="2"/>
          <w:highlight w:val="none"/>
        </w:rPr>
        <w:t>；</w:t>
      </w:r>
    </w:p>
    <w:p w14:paraId="4671A53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发包人向承包人提供图纸的内容：</w:t>
      </w:r>
      <w:r>
        <w:rPr>
          <w:rFonts w:hint="eastAsia" w:ascii="Times New Roman" w:hAnsi="Times New Roman" w:eastAsia="仿宋_GB2312" w:cs="Times New Roman"/>
          <w:i w:val="0"/>
          <w:iCs w:val="0"/>
          <w:color w:val="auto"/>
          <w:kern w:val="2"/>
          <w:highlight w:val="none"/>
          <w:u w:val="single"/>
        </w:rPr>
        <w:t>施工图提供</w:t>
      </w:r>
      <w:r>
        <w:rPr>
          <w:rFonts w:hint="eastAsia" w:ascii="Times New Roman" w:hAnsi="Times New Roman" w:eastAsia="仿宋_GB2312" w:cs="Times New Roman"/>
          <w:i w:val="0"/>
          <w:iCs w:val="0"/>
          <w:color w:val="auto"/>
          <w:kern w:val="2"/>
          <w:highlight w:val="none"/>
          <w:u w:val="single"/>
          <w:lang w:val="en-US" w:eastAsia="zh-CN"/>
        </w:rPr>
        <w:t>3</w:t>
      </w:r>
      <w:r>
        <w:rPr>
          <w:rFonts w:hint="eastAsia" w:ascii="Times New Roman" w:hAnsi="Times New Roman" w:eastAsia="仿宋_GB2312" w:cs="Times New Roman"/>
          <w:i w:val="0"/>
          <w:iCs w:val="0"/>
          <w:color w:val="auto"/>
          <w:kern w:val="2"/>
          <w:highlight w:val="none"/>
          <w:u w:val="single"/>
        </w:rPr>
        <w:t>套（包含图审图一套），后续承包人需要图纸自行加晒</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4F166588">
      <w:pPr>
        <w:autoSpaceDE/>
        <w:autoSpaceDN/>
        <w:adjustRightInd/>
        <w:spacing w:line="400" w:lineRule="exact"/>
        <w:ind w:firstLine="480" w:firstLineChars="200"/>
        <w:jc w:val="both"/>
        <w:rPr>
          <w:rFonts w:hint="eastAsia" w:eastAsia="仿宋_GB2312"/>
          <w:i w:val="0"/>
          <w:iCs w:val="0"/>
          <w:color w:val="auto"/>
          <w:kern w:val="2"/>
          <w:highlight w:val="none"/>
        </w:rPr>
      </w:pPr>
      <w:r>
        <w:rPr>
          <w:rFonts w:eastAsia="仿宋_GB2312"/>
          <w:i w:val="0"/>
          <w:iCs w:val="0"/>
          <w:color w:val="auto"/>
          <w:kern w:val="2"/>
          <w:highlight w:val="none"/>
        </w:rPr>
        <w:t>1.6.4 承包人文件</w:t>
      </w:r>
      <w:r>
        <w:rPr>
          <w:rFonts w:hint="eastAsia" w:eastAsia="仿宋_GB2312"/>
          <w:i w:val="0"/>
          <w:iCs w:val="0"/>
          <w:color w:val="auto"/>
          <w:kern w:val="2"/>
          <w:highlight w:val="none"/>
        </w:rPr>
        <w:t>　　</w:t>
      </w:r>
    </w:p>
    <w:p w14:paraId="36102017">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需要由承包人提供的文件，包括：</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1、施工许可证办理所需的文件、资料；2、专项验收所需的资料、文件；3、竣工资料、竣工图；</w:t>
      </w:r>
      <w:r>
        <w:rPr>
          <w:rFonts w:hint="eastAsia" w:ascii="Times New Roman" w:hAnsi="Times New Roman" w:eastAsia="仿宋_GB2312" w:cs="Times New Roman"/>
          <w:i w:val="0"/>
          <w:iCs w:val="0"/>
          <w:color w:val="auto"/>
          <w:kern w:val="2"/>
          <w:highlight w:val="none"/>
          <w:u w:val="single"/>
          <w:lang w:val="en-US" w:eastAsia="zh-CN"/>
        </w:rPr>
        <w:t>4</w:t>
      </w:r>
      <w:r>
        <w:rPr>
          <w:rFonts w:hint="eastAsia" w:ascii="Times New Roman" w:hAnsi="Times New Roman" w:eastAsia="仿宋_GB2312" w:cs="Times New Roman"/>
          <w:i w:val="0"/>
          <w:iCs w:val="0"/>
          <w:color w:val="auto"/>
          <w:kern w:val="2"/>
          <w:highlight w:val="none"/>
          <w:u w:val="single"/>
        </w:rPr>
        <w:t>、施工过程中承包人应提供的文件、资料</w:t>
      </w:r>
      <w:r>
        <w:rPr>
          <w:rFonts w:hint="eastAsia" w:ascii="Times New Roman" w:hAnsi="Times New Roman" w:eastAsia="仿宋_GB2312" w:cs="Times New Roman"/>
          <w:i w:val="0"/>
          <w:iCs w:val="0"/>
          <w:color w:val="auto"/>
          <w:kern w:val="2"/>
          <w:highlight w:val="none"/>
          <w:u w:val="single"/>
          <w:lang w:val="en-US" w:eastAsia="zh-CN"/>
        </w:rPr>
        <w:t>等</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5、政府规定的相关文件资料等</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32DC3469">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承包人提供的文件的期限为：</w:t>
      </w:r>
      <w:r>
        <w:rPr>
          <w:rFonts w:hint="eastAsia" w:ascii="Times New Roman" w:hAnsi="Times New Roman" w:eastAsia="仿宋_GB2312" w:cs="Times New Roman"/>
          <w:i w:val="0"/>
          <w:iCs w:val="0"/>
          <w:color w:val="auto"/>
          <w:kern w:val="2"/>
          <w:highlight w:val="none"/>
          <w:u w:val="single"/>
        </w:rPr>
        <w:t>符合发包人要求</w:t>
      </w:r>
      <w:r>
        <w:rPr>
          <w:rFonts w:eastAsia="仿宋_GB2312"/>
          <w:i w:val="0"/>
          <w:iCs w:val="0"/>
          <w:color w:val="auto"/>
          <w:kern w:val="2"/>
          <w:highlight w:val="none"/>
        </w:rPr>
        <w:t>；</w:t>
      </w:r>
    </w:p>
    <w:p w14:paraId="0C7374E3">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承包人提供的文件的数量为：</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双方另行协商</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r>
        <w:rPr>
          <w:rFonts w:hint="eastAsia" w:eastAsia="仿宋_GB2312"/>
          <w:i w:val="0"/>
          <w:iCs w:val="0"/>
          <w:color w:val="auto"/>
          <w:kern w:val="2"/>
          <w:highlight w:val="none"/>
        </w:rPr>
        <w:t>　</w:t>
      </w:r>
    </w:p>
    <w:p w14:paraId="10B0B006">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承包人提供的文件的形式为：</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双方另行协商</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22BBECAE">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发包人</w:t>
      </w:r>
      <w:r>
        <w:rPr>
          <w:rFonts w:hint="eastAsia" w:eastAsia="仿宋_GB2312"/>
          <w:i w:val="0"/>
          <w:iCs w:val="0"/>
          <w:color w:val="auto"/>
          <w:kern w:val="2"/>
          <w:highlight w:val="none"/>
        </w:rPr>
        <w:t>审批</w:t>
      </w:r>
      <w:r>
        <w:rPr>
          <w:rFonts w:eastAsia="仿宋_GB2312"/>
          <w:i w:val="0"/>
          <w:iCs w:val="0"/>
          <w:color w:val="auto"/>
          <w:kern w:val="2"/>
          <w:highlight w:val="none"/>
        </w:rPr>
        <w:t>承包人文件的期限：</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双方另行协商</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5E5B6F5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1.6.5 现场图纸准备</w:t>
      </w:r>
    </w:p>
    <w:p w14:paraId="7BBBB95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关于现场图纸准备的约定：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双方另行协商</w:t>
      </w:r>
      <w:r>
        <w:rPr>
          <w:rFonts w:eastAsia="仿宋_GB2312"/>
          <w:i w:val="0"/>
          <w:iCs w:val="0"/>
          <w:color w:val="auto"/>
          <w:kern w:val="2"/>
          <w:highlight w:val="none"/>
          <w:u w:val="single"/>
        </w:rPr>
        <w:t></w:t>
      </w:r>
      <w:r>
        <w:rPr>
          <w:rFonts w:eastAsia="仿宋_GB2312"/>
          <w:i w:val="0"/>
          <w:iCs w:val="0"/>
          <w:color w:val="auto"/>
          <w:kern w:val="2"/>
          <w:highlight w:val="none"/>
        </w:rPr>
        <w:t>。</w:t>
      </w:r>
    </w:p>
    <w:p w14:paraId="6EEA0D79">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01" w:name="_Toc28786"/>
      <w:r>
        <w:rPr>
          <w:rFonts w:eastAsia="黑体"/>
          <w:i w:val="0"/>
          <w:iCs w:val="0"/>
          <w:color w:val="auto"/>
          <w:kern w:val="2"/>
          <w:highlight w:val="none"/>
        </w:rPr>
        <w:t>1.7 联络</w:t>
      </w:r>
      <w:bookmarkEnd w:id="201"/>
    </w:p>
    <w:p w14:paraId="479B104B">
      <w:pPr>
        <w:autoSpaceDE/>
        <w:autoSpaceDN/>
        <w:adjustRightInd/>
        <w:spacing w:line="400" w:lineRule="exact"/>
        <w:ind w:firstLine="480" w:firstLineChars="200"/>
        <w:jc w:val="both"/>
        <w:rPr>
          <w:rFonts w:hint="eastAsia" w:eastAsia="仿宋_GB2312"/>
          <w:i w:val="0"/>
          <w:iCs w:val="0"/>
          <w:color w:val="auto"/>
          <w:highlight w:val="none"/>
        </w:rPr>
      </w:pPr>
      <w:r>
        <w:rPr>
          <w:rFonts w:eastAsia="仿宋_GB2312"/>
          <w:i w:val="0"/>
          <w:iCs w:val="0"/>
          <w:color w:val="auto"/>
          <w:highlight w:val="none"/>
        </w:rPr>
        <w:t>1.7.1发包人和承包人应当在</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7</w:t>
      </w:r>
      <w:r>
        <w:rPr>
          <w:rFonts w:eastAsia="仿宋_GB2312"/>
          <w:i w:val="0"/>
          <w:iCs w:val="0"/>
          <w:color w:val="auto"/>
          <w:kern w:val="2"/>
          <w:highlight w:val="none"/>
          <w:u w:val="single"/>
        </w:rPr>
        <w:t xml:space="preserve">   </w:t>
      </w:r>
      <w:r>
        <w:rPr>
          <w:rFonts w:eastAsia="仿宋_GB2312"/>
          <w:i w:val="0"/>
          <w:iCs w:val="0"/>
          <w:color w:val="auto"/>
          <w:highlight w:val="none"/>
        </w:rPr>
        <w:t>天内将与合同有关的通知、批准、证明、证书、指示、指令、要求、请求、同意、意见、确定和决定等书面函件送达对方当事人</w:t>
      </w:r>
      <w:r>
        <w:rPr>
          <w:rFonts w:hint="eastAsia" w:eastAsia="仿宋_GB2312"/>
          <w:i w:val="0"/>
          <w:iCs w:val="0"/>
          <w:color w:val="auto"/>
          <w:highlight w:val="none"/>
        </w:rPr>
        <w:t>。</w:t>
      </w:r>
    </w:p>
    <w:p w14:paraId="0436AA79">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1.7.2 发包人接收文件的地点：</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51ECCDB8">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发包人指定的接收人为：</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2CA0D5DF">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承包人接收文件的地点：</w:t>
      </w:r>
      <w:r>
        <w:rPr>
          <w:rFonts w:eastAsia="仿宋_GB2312"/>
          <w:i w:val="0"/>
          <w:iCs w:val="0"/>
          <w:color w:val="auto"/>
          <w:kern w:val="2"/>
          <w:highlight w:val="none"/>
          <w:u w:val="single"/>
        </w:rPr>
        <w:t> </w:t>
      </w:r>
      <w:r>
        <w:rPr>
          <w:rFonts w:hint="eastAsia"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5C8A8924">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承包人指定的接收人为：</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681A6208">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监理人接收文件的地点：</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18AB0482">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监理人指定的接收人为：</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highlight w:val="none"/>
        </w:rPr>
        <w:t>。</w:t>
      </w:r>
    </w:p>
    <w:p w14:paraId="1EE25BD0">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02" w:name="_Toc12876"/>
      <w:r>
        <w:rPr>
          <w:rFonts w:eastAsia="黑体"/>
          <w:i w:val="0"/>
          <w:iCs w:val="0"/>
          <w:color w:val="auto"/>
          <w:kern w:val="2"/>
          <w:highlight w:val="none"/>
        </w:rPr>
        <w:t>1.10 交通运输</w:t>
      </w:r>
      <w:bookmarkEnd w:id="202"/>
    </w:p>
    <w:p w14:paraId="4A9F10D5">
      <w:pPr>
        <w:autoSpaceDE/>
        <w:autoSpaceDN/>
        <w:adjustRightInd/>
        <w:spacing w:line="400" w:lineRule="exact"/>
        <w:ind w:firstLine="480" w:firstLineChars="200"/>
        <w:jc w:val="both"/>
        <w:outlineLvl w:val="0"/>
        <w:rPr>
          <w:rFonts w:eastAsia="仿宋_GB2312"/>
          <w:i w:val="0"/>
          <w:iCs w:val="0"/>
          <w:color w:val="auto"/>
          <w:kern w:val="2"/>
          <w:highlight w:val="none"/>
        </w:rPr>
      </w:pPr>
      <w:bookmarkStart w:id="203" w:name="_Toc7932"/>
      <w:r>
        <w:rPr>
          <w:rFonts w:eastAsia="仿宋_GB2312"/>
          <w:i w:val="0"/>
          <w:iCs w:val="0"/>
          <w:color w:val="auto"/>
          <w:kern w:val="2"/>
          <w:highlight w:val="none"/>
        </w:rPr>
        <w:t>1</w:t>
      </w:r>
      <w:bookmarkStart w:id="204" w:name="_Toc303539100"/>
      <w:bookmarkStart w:id="205" w:name="_Toc318581155"/>
      <w:bookmarkStart w:id="206" w:name="_Toc300934943"/>
      <w:bookmarkStart w:id="207" w:name="_Toc304295521"/>
      <w:bookmarkStart w:id="208" w:name="_Toc312677986"/>
      <w:r>
        <w:rPr>
          <w:rFonts w:eastAsia="仿宋_GB2312"/>
          <w:i w:val="0"/>
          <w:iCs w:val="0"/>
          <w:color w:val="auto"/>
          <w:kern w:val="2"/>
          <w:highlight w:val="none"/>
        </w:rPr>
        <w:t>.10.1 出入现场的权利</w:t>
      </w:r>
      <w:bookmarkEnd w:id="203"/>
    </w:p>
    <w:p w14:paraId="4BF826FD">
      <w:pPr>
        <w:autoSpaceDE/>
        <w:autoSpaceDN/>
        <w:adjustRightInd/>
        <w:spacing w:line="400" w:lineRule="exact"/>
        <w:rPr>
          <w:rFonts w:eastAsia="仿宋_GB2312"/>
          <w:i w:val="0"/>
          <w:iCs w:val="0"/>
          <w:color w:val="auto"/>
          <w:kern w:val="2"/>
          <w:highlight w:val="none"/>
        </w:rPr>
      </w:pPr>
      <w:r>
        <w:rPr>
          <w:rFonts w:hint="eastAsia" w:eastAsia="仿宋_GB2312"/>
          <w:i w:val="0"/>
          <w:iCs w:val="0"/>
          <w:color w:val="auto"/>
          <w:kern w:val="2"/>
          <w:highlight w:val="none"/>
        </w:rPr>
        <w:t>　　</w:t>
      </w:r>
      <w:r>
        <w:rPr>
          <w:rFonts w:eastAsia="仿宋_GB2312"/>
          <w:i w:val="0"/>
          <w:iCs w:val="0"/>
          <w:color w:val="auto"/>
          <w:kern w:val="2"/>
          <w:highlight w:val="none"/>
        </w:rPr>
        <w:t>关于出入现场的权利的约定：</w:t>
      </w:r>
      <w:r>
        <w:rPr>
          <w:rFonts w:hint="eastAsia" w:eastAsia="仿宋_GB2312"/>
          <w:i w:val="0"/>
          <w:iCs w:val="0"/>
          <w:color w:val="auto"/>
          <w:kern w:val="2"/>
          <w:highlight w:val="none"/>
          <w:u w:val="single"/>
        </w:rPr>
        <w:t xml:space="preserve">发包人应根据施工需要，负责办理本工程出入口手续，承包人协助并提供相关资料；承包人利用周边市政道路进出施工现场应遵守工程所在地政府及相关部门的要求并办理相关手续；场内道路由承包人自行负责，并承担相关费用 </w:t>
      </w:r>
      <w:r>
        <w:rPr>
          <w:rFonts w:eastAsia="仿宋_GB2312"/>
          <w:i w:val="0"/>
          <w:iCs w:val="0"/>
          <w:color w:val="auto"/>
          <w:kern w:val="2"/>
          <w:highlight w:val="none"/>
        </w:rPr>
        <w:t>。</w:t>
      </w:r>
    </w:p>
    <w:bookmarkEnd w:id="204"/>
    <w:bookmarkEnd w:id="205"/>
    <w:bookmarkEnd w:id="206"/>
    <w:bookmarkEnd w:id="207"/>
    <w:bookmarkEnd w:id="208"/>
    <w:p w14:paraId="2A7A8D79">
      <w:pPr>
        <w:autoSpaceDE/>
        <w:autoSpaceDN/>
        <w:adjustRightInd/>
        <w:spacing w:line="400" w:lineRule="exact"/>
        <w:ind w:firstLine="480" w:firstLineChars="200"/>
        <w:outlineLvl w:val="0"/>
        <w:rPr>
          <w:rFonts w:eastAsia="仿宋_GB2312"/>
          <w:i w:val="0"/>
          <w:iCs w:val="0"/>
          <w:color w:val="auto"/>
          <w:kern w:val="2"/>
          <w:highlight w:val="none"/>
        </w:rPr>
      </w:pPr>
      <w:bookmarkStart w:id="209" w:name="_Toc9568"/>
      <w:r>
        <w:rPr>
          <w:rFonts w:eastAsia="仿宋_GB2312"/>
          <w:i w:val="0"/>
          <w:iCs w:val="0"/>
          <w:color w:val="auto"/>
          <w:kern w:val="2"/>
          <w:highlight w:val="none"/>
        </w:rPr>
        <w:t>1</w:t>
      </w:r>
      <w:bookmarkStart w:id="210" w:name="_Toc303539101"/>
      <w:bookmarkStart w:id="211" w:name="_Toc300934944"/>
      <w:bookmarkStart w:id="212" w:name="_Toc304295522"/>
      <w:bookmarkStart w:id="213" w:name="_Toc312677987"/>
      <w:bookmarkStart w:id="214" w:name="_Toc318581156"/>
      <w:r>
        <w:rPr>
          <w:rFonts w:eastAsia="仿宋_GB2312"/>
          <w:i w:val="0"/>
          <w:iCs w:val="0"/>
          <w:color w:val="auto"/>
          <w:kern w:val="2"/>
          <w:highlight w:val="none"/>
        </w:rPr>
        <w:t>.10.3 场内交通</w:t>
      </w:r>
      <w:bookmarkEnd w:id="209"/>
    </w:p>
    <w:p w14:paraId="77BF9A02">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highlight w:val="none"/>
        </w:rPr>
        <w:t>关于场外交通和场内交通的边界的约定：</w:t>
      </w:r>
      <w:r>
        <w:rPr>
          <w:rFonts w:hint="eastAsia" w:ascii="Times New Roman" w:hAnsi="Times New Roman" w:eastAsia="仿宋_GB2312" w:cs="Times New Roman"/>
          <w:i w:val="0"/>
          <w:iCs w:val="0"/>
          <w:color w:val="auto"/>
          <w:kern w:val="2"/>
          <w:sz w:val="24"/>
          <w:szCs w:val="24"/>
          <w:highlight w:val="none"/>
          <w:u w:val="single"/>
        </w:rPr>
        <w:t>红线范围内界定为场内交通，其余的为场外交通</w:t>
      </w:r>
      <w:r>
        <w:rPr>
          <w:rFonts w:hint="eastAsia" w:ascii="Times New Roman" w:hAnsi="Times New Roman" w:eastAsia="仿宋_GB2312" w:cs="Times New Roman"/>
          <w:i w:val="0"/>
          <w:iCs w:val="0"/>
          <w:color w:val="auto"/>
          <w:kern w:val="2"/>
          <w:sz w:val="24"/>
          <w:szCs w:val="24"/>
          <w:highlight w:val="none"/>
          <w:u w:val="single"/>
          <w:lang w:eastAsia="zh-CN"/>
        </w:rPr>
        <w:t>。</w:t>
      </w:r>
    </w:p>
    <w:p w14:paraId="66D14E54">
      <w:pPr>
        <w:autoSpaceDE/>
        <w:autoSpaceDN/>
        <w:adjustRightInd/>
        <w:spacing w:line="400" w:lineRule="exact"/>
        <w:ind w:firstLine="480" w:firstLineChars="200"/>
        <w:rPr>
          <w:rFonts w:eastAsia="仿宋_GB2312"/>
          <w:i w:val="0"/>
          <w:iCs w:val="0"/>
          <w:color w:val="auto"/>
          <w:kern w:val="2"/>
          <w:highlight w:val="none"/>
          <w:u w:val="single"/>
        </w:rPr>
      </w:pPr>
      <w:r>
        <w:rPr>
          <w:rFonts w:eastAsia="仿宋_GB2312"/>
          <w:i w:val="0"/>
          <w:iCs w:val="0"/>
          <w:color w:val="auto"/>
          <w:kern w:val="2"/>
          <w:highlight w:val="none"/>
        </w:rPr>
        <w:t>关于发包人向承包人免费提供满足工程施工需要的场内道路和交通设施的约定：</w:t>
      </w:r>
      <w:r>
        <w:rPr>
          <w:rFonts w:hint="eastAsia" w:eastAsia="仿宋_GB2312"/>
          <w:i w:val="0"/>
          <w:iCs w:val="0"/>
          <w:color w:val="auto"/>
          <w:kern w:val="2"/>
          <w:highlight w:val="none"/>
          <w:u w:val="single"/>
        </w:rPr>
        <w:t>由承包人负责修建、维修、养护和管理施工所需的场内交通道路和临时设施，相关费用由承包人负责　</w:t>
      </w:r>
      <w:r>
        <w:rPr>
          <w:rFonts w:hint="eastAsia" w:eastAsia="仿宋_GB2312"/>
          <w:i w:val="0"/>
          <w:iCs w:val="0"/>
          <w:color w:val="auto"/>
          <w:kern w:val="2"/>
          <w:highlight w:val="none"/>
          <w:u w:val="single"/>
          <w:lang w:eastAsia="zh-CN"/>
        </w:rPr>
        <w:t>。</w:t>
      </w:r>
      <w:r>
        <w:rPr>
          <w:rFonts w:eastAsia="仿宋_GB2312"/>
          <w:i w:val="0"/>
          <w:iCs w:val="0"/>
          <w:color w:val="auto"/>
          <w:kern w:val="2"/>
          <w:highlight w:val="none"/>
          <w:u w:val="single"/>
        </w:rPr>
        <w:t></w:t>
      </w:r>
      <w:bookmarkEnd w:id="210"/>
      <w:bookmarkEnd w:id="211"/>
      <w:bookmarkEnd w:id="212"/>
      <w:bookmarkEnd w:id="213"/>
      <w:bookmarkEnd w:id="214"/>
      <w:bookmarkStart w:id="215" w:name="_Toc318581157"/>
    </w:p>
    <w:p w14:paraId="39C82C6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1.10.4超大件和超重件的运输</w:t>
      </w:r>
    </w:p>
    <w:p w14:paraId="66A50968">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运输超大件或超重件所需的道路和桥梁临时加固改造费用和其他有关费用由</w:t>
      </w:r>
      <w:r>
        <w:rPr>
          <w:rFonts w:hint="eastAsia" w:ascii="Times New Roman" w:hAnsi="Times New Roman" w:eastAsia="仿宋_GB2312" w:cs="Times New Roman"/>
          <w:i w:val="0"/>
          <w:iCs w:val="0"/>
          <w:color w:val="auto"/>
          <w:kern w:val="2"/>
          <w:highlight w:val="none"/>
          <w:u w:val="single"/>
          <w:lang w:eastAsia="zh-CN"/>
        </w:rPr>
        <w:t>承包人</w:t>
      </w:r>
      <w:r>
        <w:rPr>
          <w:rFonts w:eastAsia="仿宋_GB2312"/>
          <w:i w:val="0"/>
          <w:iCs w:val="0"/>
          <w:color w:val="auto"/>
          <w:kern w:val="2"/>
          <w:highlight w:val="none"/>
        </w:rPr>
        <w:t>承担。</w:t>
      </w:r>
    </w:p>
    <w:bookmarkEnd w:id="215"/>
    <w:p w14:paraId="5D5ACCDB">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16" w:name="_Toc17226"/>
      <w:r>
        <w:rPr>
          <w:rFonts w:eastAsia="黑体"/>
          <w:i w:val="0"/>
          <w:iCs w:val="0"/>
          <w:color w:val="auto"/>
          <w:kern w:val="2"/>
          <w:highlight w:val="none"/>
        </w:rPr>
        <w:t>1.11 知识产权</w:t>
      </w:r>
      <w:bookmarkEnd w:id="216"/>
    </w:p>
    <w:p w14:paraId="2CDDE00C">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1.11.1关于发包人提供给承包人的图纸、发包人为实施工程自行编制或委托编制的技术规范以及反映发包人关于合同要求或其他类似性质的文件的著作权的归属：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eastAsia="仿宋_GB2312" w:cs="Times New Roman"/>
          <w:i w:val="0"/>
          <w:iCs w:val="0"/>
          <w:color w:val="auto"/>
          <w:kern w:val="2"/>
          <w:highlight w:val="none"/>
          <w:u w:val="single"/>
        </w:rPr>
        <w:t>归发包人所有</w:t>
      </w:r>
      <w:r>
        <w:rPr>
          <w:rFonts w:eastAsia="仿宋_GB2312"/>
          <w:i w:val="0"/>
          <w:iCs w:val="0"/>
          <w:color w:val="auto"/>
          <w:kern w:val="2"/>
          <w:highlight w:val="none"/>
        </w:rPr>
        <w:t>。</w:t>
      </w:r>
    </w:p>
    <w:p w14:paraId="0C2F63DB">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关于发包人提供的上述文件的使用限制的要求：</w:t>
      </w:r>
      <w:r>
        <w:rPr>
          <w:rFonts w:hint="eastAsia" w:ascii="Times New Roman" w:hAnsi="Times New Roman" w:eastAsia="仿宋_GB2312" w:cs="Times New Roman"/>
          <w:i w:val="0"/>
          <w:iCs w:val="0"/>
          <w:color w:val="auto"/>
          <w:kern w:val="2"/>
          <w:highlight w:val="none"/>
          <w:u w:val="single"/>
        </w:rPr>
        <w:t>未经发包人同意不得将图纸提供给第三</w:t>
      </w:r>
      <w:r>
        <w:rPr>
          <w:rFonts w:hint="eastAsia" w:ascii="Times New Roman" w:hAnsi="Times New Roman" w:eastAsia="仿宋_GB2312" w:cs="Times New Roman"/>
          <w:i w:val="0"/>
          <w:iCs w:val="0"/>
          <w:color w:val="auto"/>
          <w:kern w:val="2"/>
          <w:highlight w:val="none"/>
          <w:u w:val="single"/>
          <w:lang w:eastAsia="zh-CN"/>
        </w:rPr>
        <w:t>方</w:t>
      </w:r>
      <w:r>
        <w:rPr>
          <w:rFonts w:eastAsia="仿宋_GB2312"/>
          <w:i w:val="0"/>
          <w:iCs w:val="0"/>
          <w:color w:val="auto"/>
          <w:kern w:val="2"/>
          <w:highlight w:val="none"/>
        </w:rPr>
        <w:t>。</w:t>
      </w:r>
    </w:p>
    <w:p w14:paraId="60CF7956">
      <w:pPr>
        <w:autoSpaceDE/>
        <w:autoSpaceDN/>
        <w:adjustRightInd/>
        <w:spacing w:line="400" w:lineRule="exact"/>
        <w:jc w:val="both"/>
        <w:rPr>
          <w:rFonts w:eastAsia="仿宋_GB2312"/>
          <w:i w:val="0"/>
          <w:iCs w:val="0"/>
          <w:color w:val="auto"/>
          <w:kern w:val="2"/>
          <w:highlight w:val="none"/>
        </w:rPr>
      </w:pPr>
      <w:bookmarkStart w:id="217" w:name="_Toc21239"/>
      <w:r>
        <w:rPr>
          <w:rFonts w:eastAsia="仿宋_GB2312"/>
          <w:i w:val="0"/>
          <w:iCs w:val="0"/>
          <w:color w:val="auto"/>
          <w:kern w:val="2"/>
          <w:highlight w:val="none"/>
        </w:rPr>
        <w:t>1.11.2 关于承包人为实施工程所编制文件的著作权的归属：</w:t>
      </w:r>
      <w:bookmarkEnd w:id="217"/>
      <w:r>
        <w:rPr>
          <w:rFonts w:hint="eastAsia" w:ascii="Times New Roman" w:hAnsi="Times New Roman" w:eastAsia="仿宋_GB2312" w:cs="Times New Roman"/>
          <w:i w:val="0"/>
          <w:iCs w:val="0"/>
          <w:color w:val="auto"/>
          <w:kern w:val="2"/>
          <w:highlight w:val="none"/>
          <w:u w:val="single"/>
        </w:rPr>
        <w:t>归发包人</w:t>
      </w:r>
      <w:r>
        <w:rPr>
          <w:rFonts w:eastAsia="仿宋_GB2312"/>
          <w:i w:val="0"/>
          <w:iCs w:val="0"/>
          <w:color w:val="auto"/>
          <w:kern w:val="2"/>
          <w:highlight w:val="none"/>
        </w:rPr>
        <w:t>。</w:t>
      </w:r>
    </w:p>
    <w:p w14:paraId="63EAB81A">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关于承包人提供的上述文件的使用限制的要求：</w:t>
      </w:r>
      <w:r>
        <w:rPr>
          <w:rFonts w:hint="eastAsia" w:ascii="Times New Roman" w:hAnsi="Times New Roman" w:eastAsia="仿宋_GB2312" w:cs="Times New Roman"/>
          <w:i w:val="0"/>
          <w:iCs w:val="0"/>
          <w:color w:val="auto"/>
          <w:kern w:val="2"/>
          <w:highlight w:val="none"/>
          <w:u w:val="single"/>
        </w:rPr>
        <w:t>承包人不能用于与合同无关的其他事项，未经发包人书面同意，承包人不得为了合同以外的目的而复制、使用上述文件或将之提供给任何第三方</w:t>
      </w:r>
      <w:r>
        <w:rPr>
          <w:rFonts w:eastAsia="仿宋_GB2312"/>
          <w:i w:val="0"/>
          <w:iCs w:val="0"/>
          <w:color w:val="auto"/>
          <w:kern w:val="2"/>
          <w:highlight w:val="none"/>
        </w:rPr>
        <w:t>。</w:t>
      </w:r>
    </w:p>
    <w:p w14:paraId="75483C38">
      <w:pPr>
        <w:autoSpaceDE/>
        <w:autoSpaceDN/>
        <w:adjustRightInd/>
        <w:spacing w:line="400" w:lineRule="exact"/>
        <w:ind w:firstLine="480" w:firstLineChars="200"/>
        <w:jc w:val="both"/>
        <w:outlineLvl w:val="0"/>
        <w:rPr>
          <w:rFonts w:eastAsia="仿宋_GB2312"/>
          <w:i w:val="0"/>
          <w:iCs w:val="0"/>
          <w:color w:val="auto"/>
          <w:highlight w:val="none"/>
        </w:rPr>
      </w:pPr>
      <w:bookmarkStart w:id="218" w:name="_Toc12706"/>
      <w:r>
        <w:rPr>
          <w:rFonts w:eastAsia="仿宋_GB2312"/>
          <w:i w:val="0"/>
          <w:iCs w:val="0"/>
          <w:color w:val="auto"/>
          <w:kern w:val="2"/>
          <w:highlight w:val="none"/>
        </w:rPr>
        <w:t>1.11.4 承包人在施工过程中所采用的专利、专有技术、技术秘密的使用费的承担方式：</w:t>
      </w:r>
      <w:r>
        <w:rPr>
          <w:rFonts w:hint="eastAsia" w:eastAsia="仿宋_GB2312"/>
          <w:i w:val="0"/>
          <w:iCs w:val="0"/>
          <w:color w:val="auto"/>
          <w:kern w:val="2"/>
          <w:highlight w:val="none"/>
          <w:u w:val="single"/>
        </w:rPr>
        <w:t>承包人支付</w:t>
      </w:r>
      <w:r>
        <w:rPr>
          <w:rFonts w:eastAsia="仿宋_GB2312"/>
          <w:i w:val="0"/>
          <w:iCs w:val="0"/>
          <w:color w:val="auto"/>
          <w:highlight w:val="none"/>
        </w:rPr>
        <w:t>。</w:t>
      </w:r>
      <w:bookmarkEnd w:id="218"/>
    </w:p>
    <w:p w14:paraId="7BE9DD69">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1.13工程量清单错误的修正</w:t>
      </w:r>
    </w:p>
    <w:p w14:paraId="1D9202D2">
      <w:pPr>
        <w:autoSpaceDE/>
        <w:autoSpaceDN/>
        <w:adjustRightInd/>
        <w:spacing w:line="400" w:lineRule="exact"/>
        <w:ind w:firstLine="480" w:firstLineChars="200"/>
        <w:rPr>
          <w:rFonts w:eastAsia="仿宋_GB2312"/>
          <w:i w:val="0"/>
          <w:iCs w:val="0"/>
          <w:color w:val="auto"/>
          <w:kern w:val="2"/>
          <w:highlight w:val="none"/>
        </w:rPr>
      </w:pPr>
      <w:r>
        <w:rPr>
          <w:rFonts w:hint="eastAsia" w:eastAsia="仿宋_GB2312"/>
          <w:i w:val="0"/>
          <w:iCs w:val="0"/>
          <w:color w:val="auto"/>
          <w:kern w:val="2"/>
          <w:highlight w:val="none"/>
        </w:rPr>
        <w:t>出现工程量清单错误时，是否调整合同价格：</w:t>
      </w:r>
      <w:r>
        <w:rPr>
          <w:rFonts w:hint="eastAsia" w:ascii="Times New Roman" w:hAnsi="Times New Roman" w:eastAsia="仿宋_GB2312" w:cs="Times New Roman"/>
          <w:i w:val="0"/>
          <w:iCs w:val="0"/>
          <w:color w:val="auto"/>
          <w:kern w:val="2"/>
          <w:highlight w:val="none"/>
          <w:u w:val="single"/>
        </w:rPr>
        <w:t>是，如招标时工程量清单出现错（漏）项</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项目特征描述错误或数量有误的，在结算时按实调整，并按</w:t>
      </w:r>
      <w:r>
        <w:rPr>
          <w:rFonts w:hint="eastAsia" w:eastAsia="仿宋_GB2312" w:cs="Times New Roman"/>
          <w:i w:val="0"/>
          <w:iCs w:val="0"/>
          <w:color w:val="auto"/>
          <w:kern w:val="2"/>
          <w:highlight w:val="none"/>
          <w:u w:val="single"/>
          <w:lang w:val="en-US" w:eastAsia="zh-CN"/>
        </w:rPr>
        <w:t>绍兴市镜湖科技城开发服务有限公司</w:t>
      </w:r>
      <w:r>
        <w:rPr>
          <w:rFonts w:hint="eastAsia" w:ascii="Times New Roman" w:hAnsi="Times New Roman" w:eastAsia="仿宋_GB2312" w:cs="Times New Roman"/>
          <w:i w:val="0"/>
          <w:iCs w:val="0"/>
          <w:color w:val="auto"/>
          <w:kern w:val="2"/>
          <w:highlight w:val="none"/>
          <w:u w:val="single"/>
        </w:rPr>
        <w:t>相关变更管理办法执行</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工程交底复核，因设计图纸调整完善等引起的项目金额差异</w:t>
      </w:r>
      <w:r>
        <w:rPr>
          <w:rFonts w:hint="eastAsia" w:ascii="Times New Roman" w:hAnsi="Times New Roman" w:eastAsia="仿宋_GB2312" w:cs="Times New Roman"/>
          <w:i w:val="0"/>
          <w:iCs w:val="0"/>
          <w:color w:val="auto"/>
          <w:kern w:val="2"/>
          <w:highlight w:val="none"/>
          <w:u w:val="single"/>
          <w:lang w:val="en-US" w:eastAsia="zh-CN"/>
        </w:rPr>
        <w:t>过大</w:t>
      </w:r>
      <w:r>
        <w:rPr>
          <w:rFonts w:hint="eastAsia" w:ascii="Times New Roman" w:hAnsi="Times New Roman" w:eastAsia="仿宋_GB2312" w:cs="Times New Roman"/>
          <w:i w:val="0"/>
          <w:iCs w:val="0"/>
          <w:color w:val="auto"/>
          <w:kern w:val="2"/>
          <w:highlight w:val="none"/>
          <w:u w:val="single"/>
        </w:rPr>
        <w:t>时，承包人应在收到中标通知书之日起150天内提交预算变更意向书。经发包人确认后，予以办理预算变更手续，根据变更后的预算价修正合同价，</w:t>
      </w:r>
      <w:r>
        <w:rPr>
          <w:rFonts w:hint="eastAsia" w:ascii="Times New Roman" w:hAnsi="Times New Roman" w:eastAsia="仿宋_GB2312" w:cs="Times New Roman"/>
          <w:i w:val="0"/>
          <w:iCs w:val="0"/>
          <w:color w:val="auto"/>
          <w:kern w:val="2"/>
          <w:highlight w:val="none"/>
          <w:u w:val="single"/>
          <w:lang w:val="en-US" w:eastAsia="zh-CN"/>
        </w:rPr>
        <w:t>并签署补充协议</w:t>
      </w:r>
      <w:r>
        <w:rPr>
          <w:rFonts w:hint="eastAsia" w:ascii="Times New Roman" w:hAnsi="Times New Roman" w:eastAsia="仿宋_GB2312" w:cs="Times New Roman"/>
          <w:i w:val="0"/>
          <w:iCs w:val="0"/>
          <w:color w:val="auto"/>
          <w:kern w:val="2"/>
          <w:highlight w:val="none"/>
          <w:u w:val="single"/>
        </w:rPr>
        <w:t>作为进度款付款依据，结算审计时执行结算相关条款。</w:t>
      </w:r>
    </w:p>
    <w:p w14:paraId="04A8E7B7">
      <w:pPr>
        <w:autoSpaceDE/>
        <w:autoSpaceDN/>
        <w:adjustRightInd/>
        <w:spacing w:line="400" w:lineRule="exact"/>
        <w:jc w:val="both"/>
        <w:rPr>
          <w:rFonts w:hint="eastAsia" w:ascii="Times New Roman" w:hAnsi="Times New Roman" w:eastAsia="仿宋_GB2312" w:cs="Times New Roman"/>
          <w:i w:val="0"/>
          <w:iCs w:val="0"/>
          <w:color w:val="auto"/>
          <w:kern w:val="2"/>
          <w:highlight w:val="none"/>
          <w:u w:val="single"/>
        </w:rPr>
      </w:pPr>
      <w:r>
        <w:rPr>
          <w:rFonts w:eastAsia="仿宋_GB2312"/>
          <w:i w:val="0"/>
          <w:iCs w:val="0"/>
          <w:color w:val="auto"/>
          <w:kern w:val="2"/>
          <w:highlight w:val="none"/>
        </w:rPr>
        <w:t>允许调整合同价格的工程量偏差范围：</w:t>
      </w:r>
      <w:r>
        <w:rPr>
          <w:rFonts w:hint="eastAsia" w:ascii="Times New Roman" w:hAnsi="Times New Roman" w:eastAsia="仿宋_GB2312" w:cs="Times New Roman"/>
          <w:i w:val="0"/>
          <w:iCs w:val="0"/>
          <w:color w:val="auto"/>
          <w:kern w:val="2"/>
          <w:highlight w:val="none"/>
          <w:u w:val="single"/>
        </w:rPr>
        <w:t>根据《浙江省建设工程计价规则（2018版）8.3相关条款。一般包括：1.发包人提供的工程量清单项目工程量有偏差，工程量应调整；2.合价金额占合同总价2%及以上的分部分项清单项目，其工程量增减超过本项工程量15%及以上，或合价金额占合同总价不到2%的分部分项清单项目，但其工程量增减超过本项目工程数量25%及以上时，增减超过部分工程量的相应综合单价按招标文件标底编制口径组价（无信息价按市场价）并按中标下浮率下浮重新计算 ，经发包人或委托的咨询单位工程师审定执行。</w:t>
      </w:r>
    </w:p>
    <w:p w14:paraId="7EB1556D">
      <w:pPr>
        <w:keepNext/>
        <w:keepLines/>
        <w:spacing w:before="120" w:after="120" w:line="400" w:lineRule="exact"/>
        <w:jc w:val="both"/>
        <w:outlineLvl w:val="3"/>
        <w:rPr>
          <w:rFonts w:eastAsia="黑体"/>
          <w:bCs/>
          <w:i w:val="0"/>
          <w:iCs w:val="0"/>
          <w:color w:val="auto"/>
          <w:kern w:val="2"/>
          <w:highlight w:val="none"/>
        </w:rPr>
      </w:pPr>
      <w:bookmarkStart w:id="219" w:name="_Toc351203634"/>
      <w:r>
        <w:rPr>
          <w:rFonts w:eastAsia="黑体"/>
          <w:bCs/>
          <w:i w:val="0"/>
          <w:iCs w:val="0"/>
          <w:color w:val="auto"/>
          <w:kern w:val="2"/>
          <w:highlight w:val="none"/>
        </w:rPr>
        <w:t>2</w:t>
      </w:r>
      <w:bookmarkStart w:id="220" w:name="_Toc292559362"/>
      <w:bookmarkStart w:id="221" w:name="_Toc296503157"/>
      <w:bookmarkStart w:id="222" w:name="_Toc296944496"/>
      <w:bookmarkStart w:id="223" w:name="_Toc292559867"/>
      <w:bookmarkStart w:id="224" w:name="_Toc297048343"/>
      <w:bookmarkStart w:id="225" w:name="_Toc296347156"/>
      <w:bookmarkStart w:id="226" w:name="_Toc296891197"/>
      <w:bookmarkStart w:id="227" w:name="_Toc297120457"/>
      <w:bookmarkStart w:id="228" w:name="_Toc296346658"/>
      <w:bookmarkStart w:id="229" w:name="_Toc296890985"/>
      <w:r>
        <w:rPr>
          <w:rFonts w:eastAsia="黑体"/>
          <w:bCs/>
          <w:i w:val="0"/>
          <w:iCs w:val="0"/>
          <w:color w:val="auto"/>
          <w:kern w:val="2"/>
          <w:highlight w:val="none"/>
        </w:rPr>
        <w:t>. 发包人</w:t>
      </w:r>
      <w:bookmarkEnd w:id="219"/>
    </w:p>
    <w:bookmarkEnd w:id="220"/>
    <w:bookmarkEnd w:id="221"/>
    <w:bookmarkEnd w:id="222"/>
    <w:bookmarkEnd w:id="223"/>
    <w:bookmarkEnd w:id="224"/>
    <w:bookmarkEnd w:id="225"/>
    <w:bookmarkEnd w:id="226"/>
    <w:bookmarkEnd w:id="227"/>
    <w:bookmarkEnd w:id="228"/>
    <w:bookmarkEnd w:id="229"/>
    <w:p w14:paraId="38C53FE1">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30" w:name="_Toc20153"/>
      <w:r>
        <w:rPr>
          <w:rFonts w:eastAsia="黑体"/>
          <w:i w:val="0"/>
          <w:iCs w:val="0"/>
          <w:color w:val="auto"/>
          <w:kern w:val="2"/>
          <w:highlight w:val="none"/>
        </w:rPr>
        <w:t>2.2 发包人代表</w:t>
      </w:r>
      <w:bookmarkEnd w:id="230"/>
    </w:p>
    <w:p w14:paraId="38F9D44E">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发包人代表：</w:t>
      </w:r>
    </w:p>
    <w:p w14:paraId="1E9B506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姓    名：</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6257F10A">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身份证号：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3FA5A2FA">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职    务：</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4A282923">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联系电话：</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86326D6">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电子信箱：</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23C1D831">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通信地址：</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 </w:t>
      </w:r>
      <w:r>
        <w:rPr>
          <w:rFonts w:eastAsia="仿宋_GB2312"/>
          <w:i w:val="0"/>
          <w:iCs w:val="0"/>
          <w:color w:val="auto"/>
          <w:kern w:val="2"/>
          <w:highlight w:val="none"/>
        </w:rPr>
        <w:t>。</w:t>
      </w:r>
    </w:p>
    <w:p w14:paraId="5BDCE3B7">
      <w:pPr>
        <w:autoSpaceDE/>
        <w:autoSpaceDN/>
        <w:adjustRightInd/>
        <w:spacing w:line="400" w:lineRule="exact"/>
        <w:rPr>
          <w:rFonts w:eastAsia="仿宋_GB2312"/>
          <w:b/>
          <w:i w:val="0"/>
          <w:iCs w:val="0"/>
          <w:color w:val="auto"/>
          <w:kern w:val="2"/>
          <w:highlight w:val="none"/>
        </w:rPr>
      </w:pPr>
      <w:r>
        <w:rPr>
          <w:rFonts w:eastAsia="仿宋_GB2312"/>
          <w:i w:val="0"/>
          <w:iCs w:val="0"/>
          <w:color w:val="auto"/>
          <w:kern w:val="2"/>
          <w:highlight w:val="none"/>
        </w:rPr>
        <w:t>发包人对发包人代表的授权范围如下：</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3AB2BD70">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31" w:name="_Toc26013"/>
      <w:r>
        <w:rPr>
          <w:rFonts w:eastAsia="黑体"/>
          <w:i w:val="0"/>
          <w:iCs w:val="0"/>
          <w:color w:val="auto"/>
          <w:kern w:val="2"/>
          <w:highlight w:val="none"/>
        </w:rPr>
        <w:t>2.4 施工现场、施工条件和基础资料的提供</w:t>
      </w:r>
      <w:bookmarkEnd w:id="231"/>
    </w:p>
    <w:p w14:paraId="476CA0F9">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2.4.1 提供施工现场</w:t>
      </w:r>
    </w:p>
    <w:p w14:paraId="59059F8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关于发包人移交施工现场的期限要求：</w:t>
      </w:r>
      <w:r>
        <w:rPr>
          <w:rFonts w:eastAsia="仿宋_GB2312"/>
          <w:i w:val="0"/>
          <w:iCs w:val="0"/>
          <w:color w:val="auto"/>
          <w:kern w:val="2"/>
          <w:highlight w:val="none"/>
          <w:u w:val="single"/>
        </w:rPr>
        <w:t></w:t>
      </w:r>
      <w:r>
        <w:rPr>
          <w:rFonts w:hint="eastAsia" w:eastAsia="仿宋_GB2312"/>
          <w:i w:val="0"/>
          <w:iCs w:val="0"/>
          <w:color w:val="auto"/>
          <w:kern w:val="2"/>
          <w:highlight w:val="none"/>
          <w:u w:val="single"/>
        </w:rPr>
        <w:t xml:space="preserve">按照通用条款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90119A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2.4.2 提供施工条件</w:t>
      </w:r>
    </w:p>
    <w:p w14:paraId="2E7B0713">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关于发包人应负责提供施工</w:t>
      </w:r>
      <w:r>
        <w:rPr>
          <w:rFonts w:hint="eastAsia" w:eastAsia="仿宋_GB2312"/>
          <w:i w:val="0"/>
          <w:iCs w:val="0"/>
          <w:color w:val="auto"/>
          <w:kern w:val="2"/>
          <w:highlight w:val="none"/>
        </w:rPr>
        <w:t>所需要的条件，</w:t>
      </w:r>
      <w:r>
        <w:rPr>
          <w:rFonts w:eastAsia="仿宋_GB2312"/>
          <w:i w:val="0"/>
          <w:iCs w:val="0"/>
          <w:color w:val="auto"/>
          <w:kern w:val="2"/>
          <w:highlight w:val="none"/>
        </w:rPr>
        <w:t>包括：</w:t>
      </w:r>
      <w:r>
        <w:rPr>
          <w:rFonts w:hint="eastAsia" w:eastAsia="仿宋_GB2312"/>
          <w:i w:val="0"/>
          <w:iCs w:val="0"/>
          <w:color w:val="auto"/>
          <w:kern w:val="2"/>
          <w:highlight w:val="none"/>
          <w:u w:val="single"/>
        </w:rPr>
        <w:t>（1）开工前发包人向承包人提供完整的本工程用地红线范围内地质和</w:t>
      </w:r>
      <w:r>
        <w:rPr>
          <w:rFonts w:hint="eastAsia" w:eastAsia="仿宋_GB2312"/>
          <w:i w:val="0"/>
          <w:iCs w:val="0"/>
          <w:color w:val="auto"/>
          <w:kern w:val="2"/>
          <w:highlight w:val="none"/>
          <w:u w:val="single"/>
          <w:lang w:val="en-US" w:eastAsia="zh-CN"/>
        </w:rPr>
        <w:t>周边</w:t>
      </w:r>
      <w:r>
        <w:rPr>
          <w:rFonts w:hint="eastAsia" w:eastAsia="仿宋_GB2312"/>
          <w:i w:val="0"/>
          <w:iCs w:val="0"/>
          <w:color w:val="auto"/>
          <w:kern w:val="2"/>
          <w:highlight w:val="none"/>
          <w:u w:val="single"/>
        </w:rPr>
        <w:t>管线资料；（2）开工前办妥，施工许可手续办理过程中应由发包人办理的证件；（3）开工前 7 天提供准确的水准点、座标点书面资料一份，双方现场交验；（4）开工前由发包人组织完成图纸会审和设计交底；（5）通信线路有承包人自行接入。</w:t>
      </w:r>
    </w:p>
    <w:p w14:paraId="7DD83EEF">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232" w:name="_Toc18983"/>
      <w:r>
        <w:rPr>
          <w:rFonts w:eastAsia="黑体"/>
          <w:i w:val="0"/>
          <w:iCs w:val="0"/>
          <w:color w:val="auto"/>
          <w:kern w:val="2"/>
          <w:highlight w:val="none"/>
        </w:rPr>
        <w:t>2.5 资金来源证明及支付担保</w:t>
      </w:r>
      <w:bookmarkEnd w:id="232"/>
    </w:p>
    <w:p w14:paraId="0474C8E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发包人提供资金来源证明的期限要求：</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2E5BFE3">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发包人是否提供支付担保：</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是</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58746E1">
      <w:pPr>
        <w:autoSpaceDE/>
        <w:autoSpaceDN/>
        <w:adjustRightInd/>
        <w:spacing w:line="400" w:lineRule="exact"/>
        <w:ind w:firstLine="480" w:firstLineChars="200"/>
        <w:rPr>
          <w:rFonts w:eastAsia="仿宋_GB2312"/>
          <w:i w:val="0"/>
          <w:iCs w:val="0"/>
          <w:color w:val="auto"/>
          <w:kern w:val="2"/>
          <w:highlight w:val="none"/>
          <w:u w:val="single"/>
        </w:rPr>
      </w:pPr>
      <w:r>
        <w:rPr>
          <w:rFonts w:eastAsia="仿宋_GB2312"/>
          <w:i w:val="0"/>
          <w:iCs w:val="0"/>
          <w:color w:val="auto"/>
          <w:kern w:val="2"/>
          <w:highlight w:val="none"/>
        </w:rPr>
        <w:t>发包人提供支付担保的形式：</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在承包人按合同条款第 3.7 条向发包人递交符合合同约定的履约担保的同时，发包人应当按照金额和条件对等的原则和规定的格式向承包人递交一份支付担保。支付担保的金额及有效期等按绍兴市人民政府第 87 号令规定执行。支付担保合同是本合同的从合同</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F0AB558">
      <w:pPr>
        <w:keepNext/>
        <w:keepLines/>
        <w:spacing w:before="120" w:after="120" w:line="400" w:lineRule="exact"/>
        <w:jc w:val="both"/>
        <w:outlineLvl w:val="3"/>
        <w:rPr>
          <w:rFonts w:eastAsia="黑体"/>
          <w:bCs/>
          <w:i w:val="0"/>
          <w:iCs w:val="0"/>
          <w:color w:val="auto"/>
          <w:kern w:val="2"/>
          <w:highlight w:val="none"/>
        </w:rPr>
      </w:pPr>
      <w:bookmarkStart w:id="233" w:name="_Toc351203635"/>
      <w:r>
        <w:rPr>
          <w:rFonts w:eastAsia="黑体"/>
          <w:bCs/>
          <w:i w:val="0"/>
          <w:iCs w:val="0"/>
          <w:color w:val="auto"/>
          <w:kern w:val="2"/>
          <w:highlight w:val="none"/>
        </w:rPr>
        <w:t>3</w:t>
      </w:r>
      <w:bookmarkStart w:id="234" w:name="_Toc296891198"/>
      <w:bookmarkStart w:id="235" w:name="_Toc296346659"/>
      <w:bookmarkStart w:id="236" w:name="_Toc296503158"/>
      <w:bookmarkStart w:id="237" w:name="_Toc296944497"/>
      <w:bookmarkStart w:id="238" w:name="_Toc292559363"/>
      <w:bookmarkStart w:id="239" w:name="_Toc292559868"/>
      <w:bookmarkStart w:id="240" w:name="_Toc297048344"/>
      <w:bookmarkStart w:id="241" w:name="_Toc296890986"/>
      <w:bookmarkStart w:id="242" w:name="_Toc297120458"/>
      <w:bookmarkStart w:id="243" w:name="_Toc296347157"/>
      <w:r>
        <w:rPr>
          <w:rFonts w:eastAsia="黑体"/>
          <w:bCs/>
          <w:i w:val="0"/>
          <w:iCs w:val="0"/>
          <w:color w:val="auto"/>
          <w:kern w:val="2"/>
          <w:highlight w:val="none"/>
        </w:rPr>
        <w:t>. 承包人</w:t>
      </w:r>
      <w:bookmarkEnd w:id="233"/>
    </w:p>
    <w:bookmarkEnd w:id="234"/>
    <w:bookmarkEnd w:id="235"/>
    <w:bookmarkEnd w:id="236"/>
    <w:bookmarkEnd w:id="237"/>
    <w:bookmarkEnd w:id="238"/>
    <w:bookmarkEnd w:id="239"/>
    <w:bookmarkEnd w:id="240"/>
    <w:bookmarkEnd w:id="241"/>
    <w:bookmarkEnd w:id="242"/>
    <w:bookmarkEnd w:id="243"/>
    <w:p w14:paraId="6C5AB493">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3.1 承包人的一般义务</w:t>
      </w:r>
    </w:p>
    <w:p w14:paraId="12B7FCD1">
      <w:pPr>
        <w:autoSpaceDE/>
        <w:autoSpaceDN/>
        <w:adjustRightInd/>
        <w:spacing w:line="400" w:lineRule="exact"/>
        <w:rPr>
          <w:rFonts w:eastAsia="仿宋_GB2312"/>
          <w:i w:val="0"/>
          <w:iCs w:val="0"/>
          <w:color w:val="auto"/>
          <w:kern w:val="2"/>
          <w:highlight w:val="none"/>
        </w:rPr>
      </w:pPr>
      <w:r>
        <w:rPr>
          <w:rFonts w:eastAsia="仿宋_GB2312"/>
          <w:i w:val="0"/>
          <w:iCs w:val="0"/>
          <w:color w:val="auto"/>
          <w:highlight w:val="none"/>
        </w:rPr>
        <w:t>（</w:t>
      </w:r>
      <w:r>
        <w:rPr>
          <w:rFonts w:hint="eastAsia" w:eastAsia="仿宋_GB2312"/>
          <w:i w:val="0"/>
          <w:iCs w:val="0"/>
          <w:color w:val="auto"/>
          <w:highlight w:val="none"/>
        </w:rPr>
        <w:t>9</w:t>
      </w:r>
      <w:r>
        <w:rPr>
          <w:rFonts w:eastAsia="仿宋_GB2312"/>
          <w:i w:val="0"/>
          <w:iCs w:val="0"/>
          <w:color w:val="auto"/>
          <w:highlight w:val="none"/>
        </w:rPr>
        <w:t>）</w:t>
      </w:r>
      <w:r>
        <w:rPr>
          <w:rFonts w:eastAsia="仿宋_GB2312"/>
          <w:i w:val="0"/>
          <w:iCs w:val="0"/>
          <w:color w:val="auto"/>
          <w:kern w:val="2"/>
          <w:highlight w:val="none"/>
        </w:rPr>
        <w:t>承包人提交的竣工资料的内容：</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按市城建档案馆要求的工程竣工验收备案表确定要求提供的全部资料</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BFADCB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承包人需要提交的竣工资料套数：</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一式</w:t>
      </w:r>
      <w:r>
        <w:rPr>
          <w:rFonts w:hint="eastAsia" w:ascii="Times New Roman" w:hAnsi="Times New Roman" w:eastAsia="仿宋_GB2312" w:cs="Times New Roman"/>
          <w:i w:val="0"/>
          <w:iCs w:val="0"/>
          <w:color w:val="auto"/>
          <w:kern w:val="2"/>
          <w:highlight w:val="none"/>
          <w:u w:val="single"/>
          <w:lang w:val="en-US" w:eastAsia="zh-CN"/>
        </w:rPr>
        <w:t>五</w:t>
      </w:r>
      <w:r>
        <w:rPr>
          <w:rFonts w:hint="eastAsia" w:ascii="Times New Roman" w:hAnsi="Times New Roman" w:eastAsia="仿宋_GB2312" w:cs="Times New Roman"/>
          <w:i w:val="0"/>
          <w:iCs w:val="0"/>
          <w:color w:val="auto"/>
          <w:kern w:val="2"/>
          <w:highlight w:val="none"/>
          <w:u w:val="single"/>
        </w:rPr>
        <w:t>份</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含电子件</w:t>
      </w:r>
      <w:r>
        <w:rPr>
          <w:rFonts w:hint="eastAsia" w:ascii="Times New Roman" w:hAnsi="Times New Roman" w:eastAsia="仿宋_GB2312" w:cs="Times New Roman"/>
          <w:i w:val="0"/>
          <w:iCs w:val="0"/>
          <w:color w:val="auto"/>
          <w:kern w:val="2"/>
          <w:highlight w:val="none"/>
          <w:u w:val="single"/>
        </w:rPr>
        <w:t>（其中</w:t>
      </w:r>
      <w:r>
        <w:rPr>
          <w:rFonts w:hint="eastAsia" w:ascii="Times New Roman" w:hAnsi="Times New Roman" w:eastAsia="仿宋_GB2312" w:cs="Times New Roman"/>
          <w:i w:val="0"/>
          <w:iCs w:val="0"/>
          <w:color w:val="auto"/>
          <w:kern w:val="2"/>
          <w:highlight w:val="none"/>
          <w:u w:val="single"/>
          <w:lang w:val="en-US" w:eastAsia="zh-CN"/>
        </w:rPr>
        <w:t>三</w:t>
      </w:r>
      <w:r>
        <w:rPr>
          <w:rFonts w:hint="eastAsia" w:ascii="Times New Roman" w:hAnsi="Times New Roman" w:eastAsia="仿宋_GB2312" w:cs="Times New Roman"/>
          <w:i w:val="0"/>
          <w:iCs w:val="0"/>
          <w:color w:val="auto"/>
          <w:kern w:val="2"/>
          <w:highlight w:val="none"/>
          <w:u w:val="single"/>
        </w:rPr>
        <w:t>份需为原件，竣工图必须为纸质和电子图）</w:t>
      </w:r>
      <w:r>
        <w:rPr>
          <w:rFonts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7FA4558">
      <w:pPr>
        <w:autoSpaceDE/>
        <w:autoSpaceDN/>
        <w:adjustRightInd/>
        <w:spacing w:line="400" w:lineRule="exact"/>
        <w:jc w:val="both"/>
        <w:rPr>
          <w:rFonts w:eastAsia="仿宋_GB2312"/>
          <w:i w:val="0"/>
          <w:iCs w:val="0"/>
          <w:color w:val="auto"/>
          <w:kern w:val="2"/>
          <w:highlight w:val="none"/>
        </w:rPr>
      </w:pPr>
      <w:r>
        <w:rPr>
          <w:rFonts w:hint="eastAsia" w:eastAsia="仿宋_GB2312"/>
          <w:i w:val="0"/>
          <w:iCs w:val="0"/>
          <w:color w:val="auto"/>
          <w:kern w:val="2"/>
          <w:highlight w:val="none"/>
        </w:rPr>
        <w:t>　　</w:t>
      </w:r>
      <w:r>
        <w:rPr>
          <w:rFonts w:eastAsia="仿宋_GB2312"/>
          <w:i w:val="0"/>
          <w:iCs w:val="0"/>
          <w:color w:val="auto"/>
          <w:kern w:val="2"/>
          <w:highlight w:val="none"/>
        </w:rPr>
        <w:t>承包人提交的竣工资料的费用承担：</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承包人支付</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FED6A71">
      <w:pPr>
        <w:autoSpaceDE/>
        <w:autoSpaceDN/>
        <w:adjustRightInd/>
        <w:spacing w:line="400" w:lineRule="exact"/>
        <w:rPr>
          <w:rFonts w:eastAsia="仿宋_GB2312"/>
          <w:i w:val="0"/>
          <w:iCs w:val="0"/>
          <w:color w:val="auto"/>
          <w:kern w:val="2"/>
          <w:highlight w:val="none"/>
        </w:rPr>
      </w:pPr>
      <w:r>
        <w:rPr>
          <w:rFonts w:hint="eastAsia" w:eastAsia="仿宋_GB2312"/>
          <w:i w:val="0"/>
          <w:iCs w:val="0"/>
          <w:color w:val="auto"/>
          <w:kern w:val="2"/>
          <w:highlight w:val="none"/>
        </w:rPr>
        <w:t>　　</w:t>
      </w:r>
      <w:r>
        <w:rPr>
          <w:rFonts w:eastAsia="仿宋_GB2312"/>
          <w:i w:val="0"/>
          <w:iCs w:val="0"/>
          <w:color w:val="auto"/>
          <w:kern w:val="2"/>
          <w:highlight w:val="none"/>
        </w:rPr>
        <w:t>承包人提交的竣工资料移交时间：</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工程竣工验收合格后30天内按归档要求提供完整的竣工备案资料及备案表（一式</w:t>
      </w:r>
      <w:r>
        <w:rPr>
          <w:rFonts w:hint="eastAsia" w:ascii="Times New Roman" w:hAnsi="Times New Roman" w:eastAsia="仿宋_GB2312" w:cs="Times New Roman"/>
          <w:i w:val="0"/>
          <w:iCs w:val="0"/>
          <w:color w:val="auto"/>
          <w:kern w:val="2"/>
          <w:highlight w:val="none"/>
          <w:u w:val="single"/>
          <w:lang w:val="en-US" w:eastAsia="zh-CN"/>
        </w:rPr>
        <w:t>五</w:t>
      </w:r>
      <w:r>
        <w:rPr>
          <w:rFonts w:hint="eastAsia" w:ascii="Times New Roman" w:hAnsi="Times New Roman" w:eastAsia="仿宋_GB2312" w:cs="Times New Roman"/>
          <w:i w:val="0"/>
          <w:iCs w:val="0"/>
          <w:color w:val="auto"/>
          <w:kern w:val="2"/>
          <w:highlight w:val="none"/>
          <w:u w:val="single"/>
        </w:rPr>
        <w:t>份</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含电子件</w:t>
      </w:r>
      <w:r>
        <w:rPr>
          <w:rFonts w:hint="eastAsia" w:ascii="Times New Roman" w:hAnsi="Times New Roman" w:eastAsia="仿宋_GB2312" w:cs="Times New Roman"/>
          <w:i w:val="0"/>
          <w:iCs w:val="0"/>
          <w:color w:val="auto"/>
          <w:kern w:val="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62FE44E">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承包人提交的竣工资料形式要求：</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按市城建档案馆及发包人要求</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46B73B4">
      <w:pPr>
        <w:numPr>
          <w:ilvl w:val="0"/>
          <w:numId w:val="21"/>
        </w:numPr>
        <w:autoSpaceDE/>
        <w:autoSpaceDN/>
        <w:adjustRightInd/>
        <w:spacing w:line="400" w:lineRule="exact"/>
        <w:ind w:left="272" w:leftChars="0" w:firstLine="448" w:firstLineChars="0"/>
        <w:jc w:val="both"/>
        <w:rPr>
          <w:rFonts w:eastAsia="仿宋_GB2312"/>
          <w:i w:val="0"/>
          <w:iCs w:val="0"/>
          <w:color w:val="auto"/>
          <w:highlight w:val="none"/>
        </w:rPr>
      </w:pPr>
      <w:r>
        <w:rPr>
          <w:rFonts w:eastAsia="仿宋_GB2312"/>
          <w:i w:val="0"/>
          <w:iCs w:val="0"/>
          <w:color w:val="auto"/>
          <w:highlight w:val="none"/>
        </w:rPr>
        <w:t>承包人应履行的其他义务：</w:t>
      </w:r>
    </w:p>
    <w:p w14:paraId="79971573">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1）</w:t>
      </w:r>
      <w:r>
        <w:rPr>
          <w:rFonts w:hint="eastAsia" w:ascii="Times New Roman" w:hAnsi="Times New Roman" w:eastAsia="仿宋_GB2312" w:cs="Times New Roman"/>
          <w:i w:val="0"/>
          <w:iCs w:val="0"/>
          <w:color w:val="auto"/>
          <w:kern w:val="2"/>
          <w:highlight w:val="none"/>
          <w:u w:val="single"/>
        </w:rPr>
        <w:t>承包人严格执行国家和地方有关环境保护的法律、法规。保证施工现场的清洁、文明施工，符合环境卫生有关管理规定；</w:t>
      </w:r>
    </w:p>
    <w:p w14:paraId="283EF1FE">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2）在施工过程中，承包人必须服从行业管理部门、发包人的监督管理；</w:t>
      </w:r>
    </w:p>
    <w:p w14:paraId="4AF4B299">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3）协助发包人办理各项手续；</w:t>
      </w:r>
    </w:p>
    <w:p w14:paraId="503047C6">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4）发包人临时通知的关于本工程相关的其他事宜；</w:t>
      </w:r>
    </w:p>
    <w:p w14:paraId="6A77AA61">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5）对发包人需增减合同范围外的相应工程量时，承包人不得拒绝</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w:t>
      </w:r>
    </w:p>
    <w:p w14:paraId="289B3EFA">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6）</w:t>
      </w:r>
      <w:r>
        <w:rPr>
          <w:rFonts w:hint="eastAsia" w:ascii="Times New Roman" w:hAnsi="Times New Roman" w:eastAsia="仿宋_GB2312" w:cs="Times New Roman"/>
          <w:i w:val="0"/>
          <w:iCs w:val="0"/>
          <w:color w:val="auto"/>
          <w:kern w:val="2"/>
          <w:highlight w:val="none"/>
          <w:u w:val="single"/>
        </w:rPr>
        <w:t>承包人施工应做好环境保护、文明施工，防止噪声、严禁污染环境，并负责处理好因弃土等原因引起的各类投诉。如出现施工不规范行为，除负责消除影响外，还应扣罚违约金</w:t>
      </w:r>
      <w:r>
        <w:rPr>
          <w:rFonts w:hint="eastAsia" w:ascii="Times New Roman" w:hAnsi="Times New Roman" w:eastAsia="仿宋_GB2312" w:cs="Times New Roman"/>
          <w:i w:val="0"/>
          <w:iCs w:val="0"/>
          <w:color w:val="auto"/>
          <w:kern w:val="2"/>
          <w:highlight w:val="none"/>
          <w:u w:val="single"/>
          <w:lang w:val="en-US" w:eastAsia="zh-CN"/>
        </w:rPr>
        <w:t>10</w:t>
      </w:r>
      <w:r>
        <w:rPr>
          <w:rFonts w:hint="eastAsia" w:ascii="Times New Roman" w:hAnsi="Times New Roman" w:eastAsia="仿宋_GB2312" w:cs="Times New Roman"/>
          <w:i w:val="0"/>
          <w:iCs w:val="0"/>
          <w:color w:val="auto"/>
          <w:kern w:val="2"/>
          <w:highlight w:val="none"/>
          <w:u w:val="single"/>
        </w:rPr>
        <w:t>000元/次，情节严重的扣罚违约</w:t>
      </w:r>
      <w:r>
        <w:rPr>
          <w:rFonts w:hint="eastAsia" w:ascii="Times New Roman" w:hAnsi="Times New Roman" w:eastAsia="仿宋_GB2312" w:cs="Times New Roman"/>
          <w:i w:val="0"/>
          <w:iCs w:val="0"/>
          <w:color w:val="auto"/>
          <w:kern w:val="2"/>
          <w:highlight w:val="none"/>
          <w:u w:val="single"/>
          <w:lang w:val="en-US" w:eastAsia="zh-CN"/>
        </w:rPr>
        <w:t>50000元/次</w:t>
      </w:r>
      <w:r>
        <w:rPr>
          <w:rFonts w:hint="eastAsia" w:ascii="Times New Roman" w:hAnsi="Times New Roman" w:eastAsia="仿宋_GB2312" w:cs="Times New Roman"/>
          <w:i w:val="0"/>
          <w:iCs w:val="0"/>
          <w:color w:val="auto"/>
          <w:kern w:val="2"/>
          <w:highlight w:val="none"/>
          <w:u w:val="single"/>
        </w:rPr>
        <w:t>，并报相关上级管理部门。</w:t>
      </w:r>
    </w:p>
    <w:p w14:paraId="3A1C81D8">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7）</w:t>
      </w:r>
      <w:r>
        <w:rPr>
          <w:rFonts w:hint="eastAsia" w:ascii="Times New Roman" w:hAnsi="Times New Roman" w:eastAsia="仿宋_GB2312" w:cs="Times New Roman"/>
          <w:i w:val="0"/>
          <w:iCs w:val="0"/>
          <w:color w:val="auto"/>
          <w:kern w:val="2"/>
          <w:highlight w:val="none"/>
          <w:u w:val="single"/>
          <w:lang w:eastAsia="zh-CN"/>
        </w:rPr>
        <w:t>安全生产责任保险费用已根据绍市建设〔2022〕31号文件内容计入，请投标单位按相关文件要求办理。</w:t>
      </w:r>
    </w:p>
    <w:p w14:paraId="656FC33C">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8）</w:t>
      </w:r>
      <w:r>
        <w:rPr>
          <w:rFonts w:hint="eastAsia" w:ascii="Times New Roman" w:hAnsi="Times New Roman" w:eastAsia="仿宋_GB2312" w:cs="Times New Roman"/>
          <w:i w:val="0"/>
          <w:iCs w:val="0"/>
          <w:color w:val="auto"/>
          <w:kern w:val="2"/>
          <w:highlight w:val="none"/>
          <w:u w:val="single"/>
          <w:lang w:eastAsia="zh-CN"/>
        </w:rPr>
        <w:t>发包人有权增加与工程相关的工作，承包人不得拒绝。发包人也可以取消或减少部分工程内容，承包人必须无条件接受，发包人对此调整不进行补偿。</w:t>
      </w:r>
      <w:r>
        <w:rPr>
          <w:rFonts w:hint="eastAsia" w:ascii="Times New Roman" w:hAnsi="Times New Roman" w:eastAsia="仿宋_GB2312" w:cs="Times New Roman"/>
          <w:i w:val="0"/>
          <w:iCs w:val="0"/>
          <w:color w:val="auto"/>
          <w:kern w:val="2"/>
          <w:highlight w:val="none"/>
          <w:u w:val="single"/>
        </w:rPr>
        <w:t>对发包人需增减合同范围外的相应工程量时，承包人不得拒绝。</w:t>
      </w:r>
    </w:p>
    <w:p w14:paraId="6D35DE4A">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val="en-US" w:eastAsia="zh-CN"/>
        </w:rPr>
        <w:t>9）临电临水开户将由发包单位申请，待承包单位确认后，承包单位应配合发包人办理过户手续，施工期间临时用水用电费用由承包人承担。</w:t>
      </w:r>
    </w:p>
    <w:p w14:paraId="01C826E0">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10）</w:t>
      </w:r>
      <w:r>
        <w:rPr>
          <w:rFonts w:hint="eastAsia" w:ascii="Times New Roman" w:hAnsi="Times New Roman" w:eastAsia="仿宋_GB2312" w:cs="Times New Roman"/>
          <w:i w:val="0"/>
          <w:iCs w:val="0"/>
          <w:color w:val="auto"/>
          <w:kern w:val="2"/>
          <w:highlight w:val="none"/>
          <w:u w:val="single"/>
        </w:rPr>
        <w:t>承包人需与本次招标范围以外工程（发包人另行通过招标或直接指定方式确定的其他工程）的施工单位做好工程的衔接及配合工作，发包人不再支付相应的配套管理费。</w:t>
      </w:r>
    </w:p>
    <w:p w14:paraId="39EFDA6B">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val="en-US" w:eastAsia="zh-CN"/>
        </w:rPr>
        <w:t>11）</w:t>
      </w:r>
      <w:r>
        <w:rPr>
          <w:rFonts w:hint="eastAsia" w:ascii="Times New Roman" w:hAnsi="Times New Roman" w:eastAsia="仿宋_GB2312" w:cs="Times New Roman"/>
          <w:i w:val="0"/>
          <w:iCs w:val="0"/>
          <w:color w:val="auto"/>
          <w:kern w:val="2"/>
          <w:highlight w:val="none"/>
          <w:u w:val="single"/>
        </w:rPr>
        <w:t>承包人应妥善处理好与周边群众的关系，并负责做好因施工引起的相关纠纷及承担相关费用。承包人在施工时，如造成对周边人身财产安全损失的，须负责处理好善后工作及承担相关费用。</w:t>
      </w:r>
    </w:p>
    <w:p w14:paraId="4839E597">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12）</w:t>
      </w:r>
      <w:r>
        <w:rPr>
          <w:rFonts w:hint="eastAsia" w:ascii="Times New Roman" w:hAnsi="Times New Roman" w:eastAsia="仿宋_GB2312" w:cs="Times New Roman"/>
          <w:i w:val="0"/>
          <w:iCs w:val="0"/>
          <w:color w:val="auto"/>
          <w:kern w:val="2"/>
          <w:highlight w:val="none"/>
          <w:u w:val="single"/>
        </w:rPr>
        <w:t>承包人须积极按市政府有关扬尘整治文件做好现场防止扬尘工作，如被市级相关部门通报，承包人必须无条件在规定期限内整改完毕并处以每次罚款</w:t>
      </w:r>
      <w:r>
        <w:rPr>
          <w:rFonts w:hint="eastAsia" w:ascii="Times New Roman" w:hAnsi="Times New Roman" w:eastAsia="仿宋_GB2312" w:cs="Times New Roman"/>
          <w:i w:val="0"/>
          <w:iCs w:val="0"/>
          <w:color w:val="auto"/>
          <w:kern w:val="2"/>
          <w:highlight w:val="none"/>
          <w:u w:val="single"/>
          <w:lang w:val="en-US" w:eastAsia="zh-CN"/>
        </w:rPr>
        <w:t>5</w:t>
      </w:r>
      <w:r>
        <w:rPr>
          <w:rFonts w:hint="eastAsia" w:ascii="Times New Roman" w:hAnsi="Times New Roman" w:eastAsia="仿宋_GB2312" w:cs="Times New Roman"/>
          <w:i w:val="0"/>
          <w:iCs w:val="0"/>
          <w:color w:val="auto"/>
          <w:kern w:val="2"/>
          <w:highlight w:val="none"/>
          <w:u w:val="single"/>
        </w:rPr>
        <w:t>0000元,如被</w:t>
      </w:r>
      <w:r>
        <w:rPr>
          <w:rFonts w:hint="eastAsia" w:ascii="Times New Roman" w:hAnsi="Times New Roman" w:eastAsia="仿宋_GB2312" w:cs="Times New Roman"/>
          <w:i w:val="0"/>
          <w:iCs w:val="0"/>
          <w:color w:val="auto"/>
          <w:kern w:val="2"/>
          <w:highlight w:val="none"/>
          <w:u w:val="single"/>
          <w:lang w:val="en-US" w:eastAsia="zh-CN"/>
        </w:rPr>
        <w:t>招标人</w:t>
      </w:r>
      <w:r>
        <w:rPr>
          <w:rFonts w:hint="eastAsia" w:ascii="Times New Roman" w:hAnsi="Times New Roman" w:eastAsia="仿宋_GB2312" w:cs="Times New Roman"/>
          <w:i w:val="0"/>
          <w:iCs w:val="0"/>
          <w:color w:val="auto"/>
          <w:kern w:val="2"/>
          <w:highlight w:val="none"/>
          <w:u w:val="single"/>
        </w:rPr>
        <w:t>通报的，承包人必须无条件在规定期限内整改完毕并处以每次罚款</w:t>
      </w:r>
      <w:r>
        <w:rPr>
          <w:rFonts w:hint="eastAsia" w:ascii="Times New Roman" w:hAnsi="Times New Roman" w:eastAsia="仿宋_GB2312" w:cs="Times New Roman"/>
          <w:i w:val="0"/>
          <w:iCs w:val="0"/>
          <w:color w:val="auto"/>
          <w:kern w:val="2"/>
          <w:highlight w:val="none"/>
          <w:u w:val="single"/>
          <w:lang w:val="en-US" w:eastAsia="zh-CN"/>
        </w:rPr>
        <w:t>1</w:t>
      </w:r>
      <w:r>
        <w:rPr>
          <w:rFonts w:hint="eastAsia" w:ascii="Times New Roman" w:hAnsi="Times New Roman" w:eastAsia="仿宋_GB2312" w:cs="Times New Roman"/>
          <w:i w:val="0"/>
          <w:iCs w:val="0"/>
          <w:color w:val="auto"/>
          <w:kern w:val="2"/>
          <w:highlight w:val="none"/>
          <w:u w:val="single"/>
        </w:rPr>
        <w:t>0000元，发生三次（含）以上，发包人有权单方终止合同，并保留索赔的权利</w:t>
      </w:r>
      <w:r>
        <w:rPr>
          <w:rFonts w:hint="eastAsia" w:ascii="Times New Roman" w:hAnsi="Times New Roman" w:eastAsia="仿宋_GB2312" w:cs="Times New Roman"/>
          <w:i w:val="0"/>
          <w:iCs w:val="0"/>
          <w:color w:val="auto"/>
          <w:kern w:val="2"/>
          <w:highlight w:val="none"/>
          <w:u w:val="single"/>
          <w:lang w:eastAsia="zh-CN"/>
        </w:rPr>
        <w:t>。</w:t>
      </w:r>
    </w:p>
    <w:p w14:paraId="20791CDD">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13）</w:t>
      </w:r>
      <w:r>
        <w:rPr>
          <w:rFonts w:hint="eastAsia" w:ascii="Times New Roman" w:hAnsi="Times New Roman" w:eastAsia="仿宋_GB2312" w:cs="Times New Roman"/>
          <w:i w:val="0"/>
          <w:iCs w:val="0"/>
          <w:color w:val="auto"/>
          <w:kern w:val="2"/>
          <w:highlight w:val="none"/>
          <w:u w:val="single"/>
        </w:rPr>
        <w:t>承包人必须遵守发包人相关工程建设管理制度，施工现场需建立实名制考核系统，在监理、发包人、质监中心等见证下完成管理人员实名制输入，并作为上报第一次工程款的先决条件。</w:t>
      </w:r>
    </w:p>
    <w:p w14:paraId="3B40D5E6">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14）</w:t>
      </w:r>
      <w:r>
        <w:rPr>
          <w:rFonts w:hint="eastAsia" w:ascii="Times New Roman" w:hAnsi="Times New Roman" w:eastAsia="仿宋_GB2312" w:cs="Times New Roman"/>
          <w:i w:val="0"/>
          <w:iCs w:val="0"/>
          <w:color w:val="auto"/>
          <w:kern w:val="2"/>
          <w:highlight w:val="none"/>
          <w:u w:val="single"/>
        </w:rPr>
        <w:t>承包人施工垃圾应自行清理，并自行负责外运处置，费用包含在投标报价中。</w:t>
      </w:r>
    </w:p>
    <w:p w14:paraId="2958F04E">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15）</w:t>
      </w:r>
      <w:r>
        <w:rPr>
          <w:rFonts w:hint="eastAsia" w:ascii="Times New Roman" w:hAnsi="Times New Roman" w:eastAsia="仿宋_GB2312" w:cs="Times New Roman"/>
          <w:i w:val="0"/>
          <w:iCs w:val="0"/>
          <w:color w:val="auto"/>
          <w:kern w:val="2"/>
          <w:highlight w:val="none"/>
          <w:u w:val="single"/>
        </w:rPr>
        <w:t>承包人进场施工必须按有关安全操作规程施工，如因承包人自身的原因发生安全事故</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含第三方安全事故</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等，所有事故责任及经济责任均由承包人负责承担。</w:t>
      </w:r>
    </w:p>
    <w:p w14:paraId="0D3FC1CE">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16）</w:t>
      </w:r>
      <w:r>
        <w:rPr>
          <w:rFonts w:hint="eastAsia" w:ascii="Times New Roman" w:hAnsi="Times New Roman" w:eastAsia="仿宋_GB2312" w:cs="Times New Roman"/>
          <w:i w:val="0"/>
          <w:iCs w:val="0"/>
          <w:color w:val="auto"/>
          <w:kern w:val="2"/>
          <w:highlight w:val="none"/>
          <w:u w:val="single"/>
        </w:rPr>
        <w:t>若因承包人原因，在民工工资、质量、安全、进度等方面引起</w:t>
      </w:r>
      <w:r>
        <w:rPr>
          <w:rFonts w:hint="eastAsia" w:ascii="Times New Roman" w:hAnsi="Times New Roman" w:eastAsia="仿宋_GB2312" w:cs="Times New Roman"/>
          <w:i w:val="0"/>
          <w:iCs w:val="0"/>
          <w:color w:val="auto"/>
          <w:kern w:val="2"/>
          <w:highlight w:val="none"/>
          <w:u w:val="single"/>
          <w:lang w:val="en-US" w:eastAsia="zh-CN"/>
        </w:rPr>
        <w:t>发包人</w:t>
      </w:r>
      <w:r>
        <w:rPr>
          <w:rFonts w:hint="eastAsia" w:ascii="Times New Roman" w:hAnsi="Times New Roman" w:eastAsia="仿宋_GB2312" w:cs="Times New Roman"/>
          <w:i w:val="0"/>
          <w:iCs w:val="0"/>
          <w:color w:val="auto"/>
          <w:kern w:val="2"/>
          <w:highlight w:val="none"/>
          <w:u w:val="single"/>
        </w:rPr>
        <w:t>受到</w:t>
      </w:r>
      <w:r>
        <w:rPr>
          <w:rFonts w:hint="eastAsia" w:ascii="Times New Roman" w:hAnsi="Times New Roman" w:eastAsia="仿宋_GB2312" w:cs="Times New Roman"/>
          <w:i w:val="0"/>
          <w:iCs w:val="0"/>
          <w:color w:val="auto"/>
          <w:kern w:val="2"/>
          <w:highlight w:val="none"/>
          <w:u w:val="single"/>
          <w:lang w:val="en-US" w:eastAsia="zh-CN"/>
        </w:rPr>
        <w:t>市级相关</w:t>
      </w:r>
      <w:r>
        <w:rPr>
          <w:rFonts w:hint="eastAsia" w:ascii="Times New Roman" w:hAnsi="Times New Roman" w:eastAsia="仿宋_GB2312" w:cs="Times New Roman"/>
          <w:i w:val="0"/>
          <w:iCs w:val="0"/>
          <w:color w:val="auto"/>
          <w:kern w:val="2"/>
          <w:highlight w:val="none"/>
          <w:u w:val="single"/>
        </w:rPr>
        <w:t>报纸、电视等媒体的曝光或政府有关主管部门的处罚、通报批评、扣分等不良情况</w:t>
      </w:r>
      <w:r>
        <w:rPr>
          <w:rFonts w:hint="eastAsia" w:ascii="Times New Roman" w:hAnsi="Times New Roman" w:eastAsia="仿宋_GB2312" w:cs="Times New Roman"/>
          <w:i w:val="0"/>
          <w:iCs w:val="0"/>
          <w:color w:val="auto"/>
          <w:kern w:val="2"/>
          <w:highlight w:val="none"/>
          <w:u w:val="single"/>
          <w:lang w:val="en-US" w:eastAsia="zh-CN"/>
        </w:rPr>
        <w:t>的，</w:t>
      </w:r>
      <w:r>
        <w:rPr>
          <w:rFonts w:hint="eastAsia" w:ascii="Times New Roman" w:hAnsi="Times New Roman" w:eastAsia="仿宋_GB2312" w:cs="Times New Roman"/>
          <w:i w:val="0"/>
          <w:iCs w:val="0"/>
          <w:color w:val="auto"/>
          <w:kern w:val="2"/>
          <w:highlight w:val="none"/>
          <w:u w:val="single"/>
        </w:rPr>
        <w:t>每次罚款</w:t>
      </w:r>
      <w:r>
        <w:rPr>
          <w:rFonts w:hint="eastAsia" w:ascii="Times New Roman" w:hAnsi="Times New Roman" w:eastAsia="仿宋_GB2312" w:cs="Times New Roman"/>
          <w:i w:val="0"/>
          <w:iCs w:val="0"/>
          <w:color w:val="auto"/>
          <w:kern w:val="2"/>
          <w:highlight w:val="none"/>
          <w:u w:val="single"/>
          <w:lang w:val="en-US" w:eastAsia="zh-CN"/>
        </w:rPr>
        <w:t>5</w:t>
      </w:r>
      <w:r>
        <w:rPr>
          <w:rFonts w:hint="eastAsia" w:ascii="Times New Roman" w:hAnsi="Times New Roman" w:eastAsia="仿宋_GB2312" w:cs="Times New Roman"/>
          <w:i w:val="0"/>
          <w:iCs w:val="0"/>
          <w:color w:val="auto"/>
          <w:kern w:val="2"/>
          <w:highlight w:val="none"/>
          <w:u w:val="single"/>
        </w:rPr>
        <w:t>0000元，如被</w:t>
      </w:r>
      <w:r>
        <w:rPr>
          <w:rFonts w:hint="eastAsia" w:ascii="Times New Roman" w:hAnsi="Times New Roman" w:eastAsia="仿宋_GB2312" w:cs="Times New Roman"/>
          <w:i w:val="0"/>
          <w:iCs w:val="0"/>
          <w:color w:val="auto"/>
          <w:kern w:val="2"/>
          <w:highlight w:val="none"/>
          <w:u w:val="single"/>
          <w:lang w:val="en-US" w:eastAsia="zh-CN"/>
        </w:rPr>
        <w:t>招标人</w:t>
      </w:r>
      <w:r>
        <w:rPr>
          <w:rFonts w:hint="eastAsia" w:ascii="Times New Roman" w:hAnsi="Times New Roman" w:eastAsia="仿宋_GB2312" w:cs="Times New Roman"/>
          <w:i w:val="0"/>
          <w:iCs w:val="0"/>
          <w:color w:val="auto"/>
          <w:kern w:val="2"/>
          <w:highlight w:val="none"/>
          <w:u w:val="single"/>
        </w:rPr>
        <w:t>处罚、通报批评、扣分等不良情况</w:t>
      </w:r>
      <w:r>
        <w:rPr>
          <w:rFonts w:hint="eastAsia" w:ascii="Times New Roman" w:hAnsi="Times New Roman" w:eastAsia="仿宋_GB2312" w:cs="Times New Roman"/>
          <w:i w:val="0"/>
          <w:iCs w:val="0"/>
          <w:color w:val="auto"/>
          <w:kern w:val="2"/>
          <w:highlight w:val="none"/>
          <w:u w:val="single"/>
          <w:lang w:val="en-US" w:eastAsia="zh-CN"/>
        </w:rPr>
        <w:t>的</w:t>
      </w:r>
      <w:r>
        <w:rPr>
          <w:rFonts w:hint="eastAsia" w:ascii="Times New Roman" w:hAnsi="Times New Roman" w:eastAsia="仿宋_GB2312" w:cs="Times New Roman"/>
          <w:i w:val="0"/>
          <w:iCs w:val="0"/>
          <w:color w:val="auto"/>
          <w:kern w:val="2"/>
          <w:highlight w:val="none"/>
          <w:u w:val="single"/>
        </w:rPr>
        <w:t>，每次罚款</w:t>
      </w:r>
      <w:r>
        <w:rPr>
          <w:rFonts w:hint="eastAsia" w:ascii="Times New Roman" w:hAnsi="Times New Roman" w:eastAsia="仿宋_GB2312" w:cs="Times New Roman"/>
          <w:i w:val="0"/>
          <w:iCs w:val="0"/>
          <w:color w:val="auto"/>
          <w:kern w:val="2"/>
          <w:highlight w:val="none"/>
          <w:u w:val="single"/>
          <w:lang w:val="en-US" w:eastAsia="zh-CN"/>
        </w:rPr>
        <w:t>1</w:t>
      </w:r>
      <w:r>
        <w:rPr>
          <w:rFonts w:hint="eastAsia" w:ascii="Times New Roman" w:hAnsi="Times New Roman" w:eastAsia="仿宋_GB2312" w:cs="Times New Roman"/>
          <w:i w:val="0"/>
          <w:iCs w:val="0"/>
          <w:color w:val="auto"/>
          <w:kern w:val="2"/>
          <w:highlight w:val="none"/>
          <w:u w:val="single"/>
        </w:rPr>
        <w:t>0000元，发生三次（含）以上，发包人有权单方终止合同，并保留索赔的权利</w:t>
      </w:r>
      <w:r>
        <w:rPr>
          <w:rFonts w:hint="eastAsia" w:ascii="Times New Roman" w:hAnsi="Times New Roman" w:eastAsia="仿宋_GB2312" w:cs="Times New Roman"/>
          <w:i w:val="0"/>
          <w:iCs w:val="0"/>
          <w:color w:val="auto"/>
          <w:kern w:val="2"/>
          <w:highlight w:val="none"/>
          <w:u w:val="single"/>
          <w:lang w:eastAsia="zh-CN"/>
        </w:rPr>
        <w:t>。</w:t>
      </w:r>
    </w:p>
    <w:p w14:paraId="24F81C0E">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eastAsia="zh-CN"/>
        </w:rPr>
      </w:pPr>
      <w:r>
        <w:rPr>
          <w:rFonts w:hint="eastAsia" w:ascii="Times New Roman" w:hAnsi="Times New Roman" w:eastAsia="仿宋_GB2312" w:cs="Times New Roman"/>
          <w:i w:val="0"/>
          <w:iCs w:val="0"/>
          <w:color w:val="auto"/>
          <w:kern w:val="2"/>
          <w:highlight w:val="none"/>
          <w:u w:val="single"/>
          <w:lang w:val="en-US" w:eastAsia="zh-CN"/>
        </w:rPr>
        <w:t>17）承包人</w:t>
      </w:r>
      <w:r>
        <w:rPr>
          <w:rFonts w:hint="eastAsia" w:ascii="Times New Roman" w:hAnsi="Times New Roman" w:eastAsia="仿宋_GB2312" w:cs="Times New Roman"/>
          <w:i w:val="0"/>
          <w:iCs w:val="0"/>
          <w:color w:val="auto"/>
          <w:kern w:val="2"/>
          <w:highlight w:val="none"/>
          <w:u w:val="single"/>
        </w:rPr>
        <w:t>应特别注意并负责成品保护工作，因</w:t>
      </w:r>
      <w:r>
        <w:rPr>
          <w:rFonts w:hint="eastAsia" w:ascii="Times New Roman" w:hAnsi="Times New Roman" w:eastAsia="仿宋_GB2312" w:cs="Times New Roman"/>
          <w:i w:val="0"/>
          <w:iCs w:val="0"/>
          <w:color w:val="auto"/>
          <w:kern w:val="2"/>
          <w:highlight w:val="none"/>
          <w:u w:val="single"/>
          <w:lang w:eastAsia="zh-CN"/>
        </w:rPr>
        <w:t>承包人</w:t>
      </w:r>
      <w:r>
        <w:rPr>
          <w:rFonts w:hint="eastAsia" w:ascii="Times New Roman" w:hAnsi="Times New Roman" w:eastAsia="仿宋_GB2312" w:cs="Times New Roman"/>
          <w:i w:val="0"/>
          <w:iCs w:val="0"/>
          <w:color w:val="auto"/>
          <w:kern w:val="2"/>
          <w:highlight w:val="none"/>
          <w:u w:val="single"/>
        </w:rPr>
        <w:t>成品保护工作不力导致需要返工、修补等情况，由</w:t>
      </w:r>
      <w:r>
        <w:rPr>
          <w:rFonts w:hint="eastAsia" w:ascii="Times New Roman" w:hAnsi="Times New Roman" w:eastAsia="仿宋_GB2312" w:cs="Times New Roman"/>
          <w:i w:val="0"/>
          <w:iCs w:val="0"/>
          <w:color w:val="auto"/>
          <w:kern w:val="2"/>
          <w:highlight w:val="none"/>
          <w:u w:val="single"/>
          <w:lang w:eastAsia="zh-CN"/>
        </w:rPr>
        <w:t>承包人</w:t>
      </w:r>
      <w:r>
        <w:rPr>
          <w:rFonts w:hint="eastAsia" w:ascii="Times New Roman" w:hAnsi="Times New Roman" w:eastAsia="仿宋_GB2312" w:cs="Times New Roman"/>
          <w:i w:val="0"/>
          <w:iCs w:val="0"/>
          <w:color w:val="auto"/>
          <w:kern w:val="2"/>
          <w:highlight w:val="none"/>
          <w:u w:val="single"/>
        </w:rPr>
        <w:t>按要求自行修复，并承担相关费用。</w:t>
      </w:r>
    </w:p>
    <w:p w14:paraId="375EFB60">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18）</w:t>
      </w:r>
      <w:r>
        <w:rPr>
          <w:rFonts w:hint="eastAsia" w:ascii="Times New Roman" w:hAnsi="Times New Roman" w:eastAsia="仿宋_GB2312" w:cs="Times New Roman"/>
          <w:i w:val="0"/>
          <w:iCs w:val="0"/>
          <w:color w:val="auto"/>
          <w:kern w:val="2"/>
          <w:highlight w:val="none"/>
          <w:u w:val="single"/>
          <w:lang w:eastAsia="zh-CN"/>
        </w:rPr>
        <w:t>承包人</w:t>
      </w:r>
      <w:r>
        <w:rPr>
          <w:rFonts w:hint="eastAsia" w:ascii="Times New Roman" w:hAnsi="Times New Roman" w:eastAsia="仿宋_GB2312" w:cs="Times New Roman"/>
          <w:i w:val="0"/>
          <w:iCs w:val="0"/>
          <w:color w:val="auto"/>
          <w:kern w:val="2"/>
          <w:highlight w:val="none"/>
          <w:u w:val="single"/>
        </w:rPr>
        <w:t>应特别注意施工过程中消防安全，定期组织培训及各级交底，</w:t>
      </w:r>
      <w:r>
        <w:rPr>
          <w:rFonts w:hint="eastAsia" w:ascii="Times New Roman" w:hAnsi="Times New Roman" w:eastAsia="仿宋_GB2312" w:cs="Times New Roman"/>
          <w:i w:val="0"/>
          <w:iCs w:val="0"/>
          <w:color w:val="auto"/>
          <w:kern w:val="2"/>
          <w:highlight w:val="none"/>
          <w:u w:val="single"/>
          <w:lang w:val="en-US" w:eastAsia="zh-CN"/>
        </w:rPr>
        <w:t>配合招标人做好安全应急演练等工作</w:t>
      </w:r>
      <w:r>
        <w:rPr>
          <w:rFonts w:hint="eastAsia" w:ascii="Times New Roman" w:hAnsi="Times New Roman" w:eastAsia="仿宋_GB2312" w:cs="Times New Roman"/>
          <w:i w:val="0"/>
          <w:iCs w:val="0"/>
          <w:color w:val="auto"/>
          <w:kern w:val="2"/>
          <w:highlight w:val="none"/>
          <w:u w:val="single"/>
        </w:rPr>
        <w:t>，施工工人不得在施工作业面、成品保护区等现场任何区域吸烟，每发现一次，由相关管理单位处以1万元/次罚款。</w:t>
      </w:r>
    </w:p>
    <w:p w14:paraId="6601A302">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eastAsia="仿宋_GB2312" w:cs="Times New Roman"/>
          <w:i w:val="0"/>
          <w:iCs w:val="0"/>
          <w:color w:val="auto"/>
          <w:kern w:val="2"/>
          <w:highlight w:val="none"/>
          <w:u w:val="single"/>
          <w:lang w:val="en-US" w:eastAsia="zh-CN"/>
        </w:rPr>
        <w:t>19）</w:t>
      </w:r>
      <w:r>
        <w:rPr>
          <w:rFonts w:hint="eastAsia" w:ascii="Times New Roman" w:hAnsi="Times New Roman" w:eastAsia="仿宋_GB2312" w:cs="Times New Roman"/>
          <w:i w:val="0"/>
          <w:iCs w:val="0"/>
          <w:color w:val="auto"/>
          <w:kern w:val="2"/>
          <w:highlight w:val="none"/>
          <w:u w:val="single"/>
          <w:lang w:val="en-US" w:eastAsia="zh-CN"/>
        </w:rPr>
        <w:t>根据省建设厅房屋市政工程建筑垃圾减量化专项治理要求，</w:t>
      </w:r>
      <w:r>
        <w:rPr>
          <w:rFonts w:hint="eastAsia" w:eastAsia="仿宋_GB2312" w:cs="Times New Roman"/>
          <w:i w:val="0"/>
          <w:iCs w:val="0"/>
          <w:color w:val="auto"/>
          <w:kern w:val="2"/>
          <w:highlight w:val="none"/>
          <w:u w:val="single"/>
          <w:lang w:val="en-US" w:eastAsia="zh-CN"/>
        </w:rPr>
        <w:t>施工单位按照编制的</w:t>
      </w:r>
      <w:r>
        <w:rPr>
          <w:rFonts w:hint="eastAsia" w:ascii="Times New Roman" w:hAnsi="Times New Roman" w:eastAsia="仿宋_GB2312" w:cs="Times New Roman"/>
          <w:i w:val="0"/>
          <w:iCs w:val="0"/>
          <w:color w:val="auto"/>
          <w:kern w:val="2"/>
          <w:highlight w:val="none"/>
          <w:u w:val="single"/>
          <w:lang w:val="en-US" w:eastAsia="zh-CN"/>
        </w:rPr>
        <w:t>《施工现场建筑垃圾减量化专项方案》</w:t>
      </w:r>
      <w:r>
        <w:rPr>
          <w:rFonts w:hint="default" w:ascii="Times New Roman" w:hAnsi="Times New Roman" w:eastAsia="仿宋_GB2312" w:cs="Times New Roman"/>
          <w:i w:val="0"/>
          <w:iCs w:val="0"/>
          <w:color w:val="auto"/>
          <w:kern w:val="2"/>
          <w:highlight w:val="none"/>
          <w:u w:val="single"/>
          <w:lang w:val="en-US" w:eastAsia="zh-CN"/>
        </w:rPr>
        <w:t>做好相关工作。</w:t>
      </w:r>
    </w:p>
    <w:p w14:paraId="14176531">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20)</w:t>
      </w:r>
      <w:r>
        <w:rPr>
          <w:rFonts w:hint="eastAsia" w:ascii="Times New Roman" w:hAnsi="Times New Roman" w:eastAsia="仿宋_GB2312" w:cs="Times New Roman"/>
          <w:i w:val="0"/>
          <w:iCs w:val="0"/>
          <w:color w:val="auto"/>
          <w:kern w:val="2"/>
          <w:highlight w:val="none"/>
          <w:u w:val="single"/>
          <w:lang w:val="en-US" w:eastAsia="zh-CN"/>
        </w:rPr>
        <w:t>消防验收配合：</w:t>
      </w:r>
      <w:r>
        <w:rPr>
          <w:rFonts w:hint="eastAsia" w:eastAsia="仿宋_GB2312" w:cs="Times New Roman"/>
          <w:i w:val="0"/>
          <w:iCs w:val="0"/>
          <w:color w:val="auto"/>
          <w:kern w:val="2"/>
          <w:highlight w:val="none"/>
          <w:u w:val="single"/>
          <w:lang w:val="en-US" w:eastAsia="zh-CN"/>
        </w:rPr>
        <w:t>承包人</w:t>
      </w:r>
      <w:r>
        <w:rPr>
          <w:rFonts w:hint="eastAsia" w:ascii="Times New Roman" w:hAnsi="Times New Roman" w:eastAsia="仿宋_GB2312" w:cs="Times New Roman"/>
          <w:i w:val="0"/>
          <w:iCs w:val="0"/>
          <w:color w:val="auto"/>
          <w:kern w:val="2"/>
          <w:highlight w:val="none"/>
          <w:u w:val="single"/>
          <w:lang w:val="en-US" w:eastAsia="zh-CN"/>
        </w:rPr>
        <w:t>除负责自身施工范围内的消防验收外，还须无条件配合</w:t>
      </w:r>
      <w:r>
        <w:rPr>
          <w:rFonts w:hint="eastAsia" w:eastAsia="仿宋_GB2312" w:cs="Times New Roman"/>
          <w:i w:val="0"/>
          <w:iCs w:val="0"/>
          <w:color w:val="auto"/>
          <w:kern w:val="2"/>
          <w:highlight w:val="none"/>
          <w:u w:val="single"/>
          <w:lang w:val="en-US" w:eastAsia="zh-CN"/>
        </w:rPr>
        <w:t>招标人</w:t>
      </w:r>
      <w:r>
        <w:rPr>
          <w:rFonts w:hint="eastAsia" w:ascii="Times New Roman" w:hAnsi="Times New Roman" w:eastAsia="仿宋_GB2312" w:cs="Times New Roman"/>
          <w:i w:val="0"/>
          <w:iCs w:val="0"/>
          <w:color w:val="auto"/>
          <w:kern w:val="2"/>
          <w:highlight w:val="none"/>
          <w:u w:val="single"/>
          <w:lang w:val="en-US" w:eastAsia="zh-CN"/>
        </w:rPr>
        <w:t>完成消防联动调试（包括商户/租户区域的消防联动调试），且不得额外收取费用。</w:t>
      </w:r>
    </w:p>
    <w:p w14:paraId="17445192">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21）</w:t>
      </w:r>
      <w:r>
        <w:rPr>
          <w:rFonts w:hint="eastAsia" w:ascii="Times New Roman" w:hAnsi="Times New Roman" w:eastAsia="仿宋_GB2312" w:cs="Times New Roman"/>
          <w:i w:val="0"/>
          <w:iCs w:val="0"/>
          <w:color w:val="auto"/>
          <w:kern w:val="2"/>
          <w:highlight w:val="none"/>
          <w:u w:val="single"/>
          <w:lang w:val="en-US" w:eastAsia="zh-CN"/>
        </w:rPr>
        <w:t>保修期内运营保障：商业运营期间，</w:t>
      </w:r>
      <w:r>
        <w:rPr>
          <w:rFonts w:hint="eastAsia" w:eastAsia="仿宋_GB2312" w:cs="Times New Roman"/>
          <w:i w:val="0"/>
          <w:iCs w:val="0"/>
          <w:color w:val="auto"/>
          <w:kern w:val="2"/>
          <w:highlight w:val="none"/>
          <w:u w:val="single"/>
          <w:lang w:val="en-US" w:eastAsia="zh-CN"/>
        </w:rPr>
        <w:t>承包人</w:t>
      </w:r>
      <w:r>
        <w:rPr>
          <w:rFonts w:hint="eastAsia" w:ascii="Times New Roman" w:hAnsi="Times New Roman" w:eastAsia="仿宋_GB2312" w:cs="Times New Roman"/>
          <w:i w:val="0"/>
          <w:iCs w:val="0"/>
          <w:color w:val="auto"/>
          <w:kern w:val="2"/>
          <w:highlight w:val="none"/>
          <w:u w:val="single"/>
          <w:lang w:val="en-US" w:eastAsia="zh-CN"/>
        </w:rPr>
        <w:t>须确保保修人员及时响应，保障维修效率。因施工质量问题导致的漏水、停电等紧急情况，须在2-4小时内到场处理，必要时常驻现场（</w:t>
      </w:r>
      <w:r>
        <w:rPr>
          <w:rFonts w:hint="eastAsia" w:eastAsia="仿宋_GB2312" w:cs="Times New Roman"/>
          <w:i w:val="0"/>
          <w:iCs w:val="0"/>
          <w:color w:val="auto"/>
          <w:kern w:val="2"/>
          <w:highlight w:val="none"/>
          <w:u w:val="single"/>
          <w:lang w:val="en-US" w:eastAsia="zh-CN"/>
        </w:rPr>
        <w:t>如</w:t>
      </w:r>
      <w:r>
        <w:rPr>
          <w:rFonts w:hint="eastAsia" w:ascii="Times New Roman" w:hAnsi="Times New Roman" w:eastAsia="仿宋_GB2312" w:cs="Times New Roman"/>
          <w:i w:val="0"/>
          <w:iCs w:val="0"/>
          <w:color w:val="auto"/>
          <w:kern w:val="2"/>
          <w:highlight w:val="none"/>
          <w:u w:val="single"/>
          <w:lang w:val="en-US" w:eastAsia="zh-CN"/>
        </w:rPr>
        <w:t>持续性发生质量问题），且维修工作原则上不得影响商户/租户正常经营。</w:t>
      </w:r>
    </w:p>
    <w:p w14:paraId="70D99980">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22）</w:t>
      </w:r>
      <w:r>
        <w:rPr>
          <w:rFonts w:hint="eastAsia" w:ascii="Times New Roman" w:hAnsi="Times New Roman" w:eastAsia="仿宋_GB2312" w:cs="Times New Roman"/>
          <w:i w:val="0"/>
          <w:iCs w:val="0"/>
          <w:color w:val="auto"/>
          <w:kern w:val="2"/>
          <w:highlight w:val="none"/>
          <w:u w:val="single"/>
          <w:lang w:val="en-US" w:eastAsia="zh-CN"/>
        </w:rPr>
        <w:t>设备调试：针对商业运营核心设备（如空调主机、电梯、锅炉、消防主机），</w:t>
      </w:r>
      <w:r>
        <w:rPr>
          <w:rFonts w:hint="eastAsia" w:eastAsia="仿宋_GB2312" w:cs="Times New Roman"/>
          <w:i w:val="0"/>
          <w:iCs w:val="0"/>
          <w:color w:val="auto"/>
          <w:kern w:val="2"/>
          <w:highlight w:val="none"/>
          <w:u w:val="single"/>
          <w:lang w:val="en-US" w:eastAsia="zh-CN"/>
        </w:rPr>
        <w:t>承包人</w:t>
      </w:r>
      <w:r>
        <w:rPr>
          <w:rFonts w:hint="eastAsia" w:ascii="Times New Roman" w:hAnsi="Times New Roman" w:eastAsia="仿宋_GB2312" w:cs="Times New Roman"/>
          <w:i w:val="0"/>
          <w:iCs w:val="0"/>
          <w:color w:val="auto"/>
          <w:kern w:val="2"/>
          <w:highlight w:val="none"/>
          <w:u w:val="single"/>
          <w:lang w:val="en-US" w:eastAsia="zh-CN"/>
        </w:rPr>
        <w:t>须完成调试工作，并配合业主运营团队/物业团队进行满负荷测试。项目移交时，为</w:t>
      </w:r>
      <w:r>
        <w:rPr>
          <w:rFonts w:hint="eastAsia" w:eastAsia="仿宋_GB2312" w:cs="Times New Roman"/>
          <w:i w:val="0"/>
          <w:iCs w:val="0"/>
          <w:color w:val="auto"/>
          <w:kern w:val="2"/>
          <w:highlight w:val="none"/>
          <w:u w:val="single"/>
          <w:lang w:val="en-US" w:eastAsia="zh-CN"/>
        </w:rPr>
        <w:t>招标人</w:t>
      </w:r>
      <w:r>
        <w:rPr>
          <w:rFonts w:hint="eastAsia" w:ascii="Times New Roman" w:hAnsi="Times New Roman" w:eastAsia="仿宋_GB2312" w:cs="Times New Roman"/>
          <w:i w:val="0"/>
          <w:iCs w:val="0"/>
          <w:color w:val="auto"/>
          <w:kern w:val="2"/>
          <w:highlight w:val="none"/>
          <w:u w:val="single"/>
          <w:lang w:val="en-US" w:eastAsia="zh-CN"/>
        </w:rPr>
        <w:t>运营团队/物业团队提供操作培训、故障排除培训，并提供全套操作手册。</w:t>
      </w:r>
    </w:p>
    <w:p w14:paraId="6F704380">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23）</w:t>
      </w:r>
      <w:r>
        <w:rPr>
          <w:rFonts w:hint="eastAsia" w:ascii="Times New Roman" w:hAnsi="Times New Roman" w:eastAsia="仿宋_GB2312" w:cs="Times New Roman"/>
          <w:i w:val="0"/>
          <w:iCs w:val="0"/>
          <w:color w:val="auto"/>
          <w:kern w:val="2"/>
          <w:highlight w:val="none"/>
          <w:u w:val="single"/>
          <w:lang w:val="en-US" w:eastAsia="zh-CN"/>
        </w:rPr>
        <w:t>所有导示标识须按施工图要求全部完成。</w:t>
      </w:r>
    </w:p>
    <w:p w14:paraId="0361BEDE">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24）</w:t>
      </w:r>
      <w:r>
        <w:rPr>
          <w:rFonts w:hint="eastAsia" w:ascii="Times New Roman" w:hAnsi="Times New Roman" w:eastAsia="仿宋_GB2312" w:cs="Times New Roman"/>
          <w:i w:val="0"/>
          <w:iCs w:val="0"/>
          <w:color w:val="auto"/>
          <w:kern w:val="2"/>
          <w:highlight w:val="none"/>
          <w:u w:val="single"/>
          <w:lang w:val="en-US" w:eastAsia="zh-CN"/>
        </w:rPr>
        <w:t>所有草坪等绿化维护工作须提供三年质保。</w:t>
      </w:r>
    </w:p>
    <w:p w14:paraId="0A6FD468">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val="en-US" w:eastAsia="zh-CN"/>
        </w:rPr>
        <w:t>2</w:t>
      </w:r>
      <w:r>
        <w:rPr>
          <w:rFonts w:hint="eastAsia" w:eastAsia="仿宋_GB2312" w:cs="Times New Roman"/>
          <w:i w:val="0"/>
          <w:iCs w:val="0"/>
          <w:color w:val="auto"/>
          <w:kern w:val="2"/>
          <w:highlight w:val="none"/>
          <w:u w:val="single"/>
          <w:lang w:val="en-US" w:eastAsia="zh-CN"/>
        </w:rPr>
        <w:t>5</w:t>
      </w:r>
      <w:r>
        <w:rPr>
          <w:rFonts w:hint="eastAsia" w:ascii="Times New Roman" w:hAnsi="Times New Roman" w:eastAsia="仿宋_GB2312" w:cs="Times New Roman"/>
          <w:i w:val="0"/>
          <w:iCs w:val="0"/>
          <w:color w:val="auto"/>
          <w:kern w:val="2"/>
          <w:highlight w:val="none"/>
          <w:u w:val="single"/>
          <w:lang w:val="en-US" w:eastAsia="zh-CN"/>
        </w:rPr>
        <w:t>）其它约定：</w:t>
      </w:r>
    </w:p>
    <w:p w14:paraId="7A5D517D">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①承包人配合发包人进行</w:t>
      </w:r>
      <w:r>
        <w:rPr>
          <w:rFonts w:hint="eastAsia" w:ascii="Times New Roman" w:hAnsi="Times New Roman" w:eastAsia="仿宋_GB2312" w:cs="Times New Roman"/>
          <w:i w:val="0"/>
          <w:iCs w:val="0"/>
          <w:color w:val="auto"/>
          <w:kern w:val="2"/>
          <w:highlight w:val="none"/>
          <w:u w:val="single"/>
        </w:rPr>
        <w:t>报表、月报的资料填报工作；</w:t>
      </w:r>
    </w:p>
    <w:p w14:paraId="09345E81">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②承包人须</w:t>
      </w:r>
      <w:r>
        <w:rPr>
          <w:rFonts w:hint="eastAsia" w:ascii="Times New Roman" w:hAnsi="Times New Roman" w:eastAsia="仿宋_GB2312" w:cs="Times New Roman"/>
          <w:i w:val="0"/>
          <w:iCs w:val="0"/>
          <w:color w:val="auto"/>
          <w:kern w:val="2"/>
          <w:highlight w:val="none"/>
          <w:u w:val="single"/>
        </w:rPr>
        <w:t>无条件配合</w:t>
      </w:r>
      <w:r>
        <w:rPr>
          <w:rFonts w:hint="eastAsia" w:ascii="Times New Roman" w:hAnsi="Times New Roman" w:eastAsia="仿宋_GB2312" w:cs="Times New Roman"/>
          <w:i w:val="0"/>
          <w:iCs w:val="0"/>
          <w:color w:val="auto"/>
          <w:kern w:val="2"/>
          <w:highlight w:val="none"/>
          <w:u w:val="single"/>
          <w:lang w:val="en-US" w:eastAsia="zh-CN"/>
        </w:rPr>
        <w:t>对发包人及上级部门组织的</w:t>
      </w:r>
      <w:r>
        <w:rPr>
          <w:rFonts w:hint="eastAsia" w:ascii="Times New Roman" w:hAnsi="Times New Roman" w:eastAsia="仿宋_GB2312" w:cs="Times New Roman"/>
          <w:i w:val="0"/>
          <w:iCs w:val="0"/>
          <w:color w:val="auto"/>
          <w:kern w:val="2"/>
          <w:highlight w:val="none"/>
          <w:u w:val="single"/>
        </w:rPr>
        <w:t>各类检查、调研、考察、审计工作；</w:t>
      </w:r>
    </w:p>
    <w:p w14:paraId="44C28FCC">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③承包人在项目</w:t>
      </w:r>
      <w:r>
        <w:rPr>
          <w:rFonts w:hint="eastAsia" w:ascii="Times New Roman" w:hAnsi="Times New Roman" w:eastAsia="仿宋_GB2312" w:cs="Times New Roman"/>
          <w:i w:val="0"/>
          <w:iCs w:val="0"/>
          <w:color w:val="auto"/>
          <w:kern w:val="2"/>
          <w:highlight w:val="none"/>
          <w:u w:val="single"/>
        </w:rPr>
        <w:t>完工后</w:t>
      </w:r>
      <w:r>
        <w:rPr>
          <w:rFonts w:hint="eastAsia" w:ascii="Times New Roman" w:hAnsi="Times New Roman" w:eastAsia="仿宋_GB2312" w:cs="Times New Roman"/>
          <w:i w:val="0"/>
          <w:iCs w:val="0"/>
          <w:color w:val="auto"/>
          <w:kern w:val="2"/>
          <w:highlight w:val="none"/>
          <w:u w:val="single"/>
          <w:lang w:val="en-US" w:eastAsia="zh-CN"/>
        </w:rPr>
        <w:t>负责</w:t>
      </w:r>
      <w:r>
        <w:rPr>
          <w:rFonts w:hint="eastAsia" w:ascii="Times New Roman" w:hAnsi="Times New Roman" w:eastAsia="仿宋_GB2312" w:cs="Times New Roman"/>
          <w:i w:val="0"/>
          <w:iCs w:val="0"/>
          <w:color w:val="auto"/>
          <w:kern w:val="2"/>
          <w:highlight w:val="none"/>
          <w:u w:val="single"/>
        </w:rPr>
        <w:t>场清、料清、障清</w:t>
      </w:r>
      <w:r>
        <w:rPr>
          <w:rFonts w:hint="eastAsia" w:ascii="Times New Roman" w:hAnsi="Times New Roman" w:eastAsia="仿宋_GB2312" w:cs="Times New Roman"/>
          <w:i w:val="0"/>
          <w:iCs w:val="0"/>
          <w:color w:val="auto"/>
          <w:kern w:val="2"/>
          <w:highlight w:val="none"/>
          <w:u w:val="single"/>
          <w:lang w:val="en-US" w:eastAsia="zh-CN"/>
        </w:rPr>
        <w:t>等</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所涉及的费用由承包人承担</w:t>
      </w:r>
      <w:r>
        <w:rPr>
          <w:rFonts w:hint="eastAsia" w:ascii="Times New Roman" w:hAnsi="Times New Roman" w:eastAsia="仿宋_GB2312" w:cs="Times New Roman"/>
          <w:i w:val="0"/>
          <w:iCs w:val="0"/>
          <w:color w:val="auto"/>
          <w:kern w:val="2"/>
          <w:highlight w:val="none"/>
          <w:u w:val="single"/>
        </w:rPr>
        <w:t>；</w:t>
      </w:r>
    </w:p>
    <w:p w14:paraId="208E8291">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④承包人须</w:t>
      </w:r>
      <w:r>
        <w:rPr>
          <w:rFonts w:hint="eastAsia" w:ascii="Times New Roman" w:hAnsi="Times New Roman" w:eastAsia="仿宋_GB2312" w:cs="Times New Roman"/>
          <w:i w:val="0"/>
          <w:iCs w:val="0"/>
          <w:color w:val="auto"/>
          <w:kern w:val="2"/>
          <w:highlight w:val="none"/>
          <w:u w:val="single"/>
        </w:rPr>
        <w:t>无条件配合</w:t>
      </w:r>
      <w:r>
        <w:rPr>
          <w:rFonts w:hint="eastAsia" w:ascii="Times New Roman" w:hAnsi="Times New Roman" w:eastAsia="仿宋_GB2312" w:cs="Times New Roman"/>
          <w:i w:val="0"/>
          <w:iCs w:val="0"/>
          <w:color w:val="auto"/>
          <w:kern w:val="2"/>
          <w:highlight w:val="none"/>
          <w:u w:val="single"/>
          <w:lang w:val="en-US" w:eastAsia="zh-CN"/>
        </w:rPr>
        <w:t>发包人完成</w:t>
      </w:r>
      <w:r>
        <w:rPr>
          <w:rFonts w:hint="eastAsia" w:ascii="Times New Roman" w:hAnsi="Times New Roman" w:eastAsia="仿宋_GB2312" w:cs="Times New Roman"/>
          <w:i w:val="0"/>
          <w:iCs w:val="0"/>
          <w:color w:val="auto"/>
          <w:kern w:val="2"/>
          <w:highlight w:val="none"/>
          <w:u w:val="single"/>
        </w:rPr>
        <w:t>数字城管、信访投诉的响应和处理；</w:t>
      </w:r>
    </w:p>
    <w:p w14:paraId="356988DD">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lang w:val="en-US" w:eastAsia="zh-CN"/>
        </w:rPr>
        <w:t>⑤承包人须按镜湖</w:t>
      </w:r>
      <w:r>
        <w:rPr>
          <w:rFonts w:hint="eastAsia" w:ascii="Times New Roman" w:hAnsi="Times New Roman" w:eastAsia="仿宋_GB2312" w:cs="Times New Roman"/>
          <w:i w:val="0"/>
          <w:iCs w:val="0"/>
          <w:color w:val="auto"/>
          <w:kern w:val="2"/>
          <w:highlight w:val="none"/>
          <w:u w:val="single"/>
        </w:rPr>
        <w:t>开发办、</w:t>
      </w:r>
      <w:r>
        <w:rPr>
          <w:rFonts w:hint="eastAsia" w:ascii="Times New Roman" w:hAnsi="Times New Roman" w:eastAsia="仿宋_GB2312" w:cs="Times New Roman"/>
          <w:i w:val="0"/>
          <w:iCs w:val="0"/>
          <w:color w:val="auto"/>
          <w:kern w:val="2"/>
          <w:highlight w:val="none"/>
          <w:u w:val="single"/>
          <w:lang w:val="en-US" w:eastAsia="zh-CN"/>
        </w:rPr>
        <w:t>镜湖开发</w:t>
      </w:r>
      <w:r>
        <w:rPr>
          <w:rFonts w:hint="eastAsia" w:ascii="Times New Roman" w:hAnsi="Times New Roman" w:eastAsia="仿宋_GB2312" w:cs="Times New Roman"/>
          <w:i w:val="0"/>
          <w:iCs w:val="0"/>
          <w:color w:val="auto"/>
          <w:kern w:val="2"/>
          <w:highlight w:val="none"/>
          <w:u w:val="single"/>
        </w:rPr>
        <w:t>集团</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镜湖科技城开发服务公司现行的</w:t>
      </w:r>
      <w:r>
        <w:rPr>
          <w:rFonts w:hint="eastAsia" w:ascii="Times New Roman" w:hAnsi="Times New Roman" w:eastAsia="仿宋_GB2312" w:cs="Times New Roman"/>
          <w:i w:val="0"/>
          <w:iCs w:val="0"/>
          <w:color w:val="auto"/>
          <w:kern w:val="2"/>
          <w:highlight w:val="none"/>
          <w:u w:val="single"/>
        </w:rPr>
        <w:t>制度执行</w:t>
      </w:r>
      <w:r>
        <w:rPr>
          <w:rFonts w:hint="eastAsia" w:ascii="Times New Roman" w:hAnsi="Times New Roman" w:eastAsia="仿宋_GB2312" w:cs="Times New Roman"/>
          <w:i w:val="0"/>
          <w:iCs w:val="0"/>
          <w:color w:val="auto"/>
          <w:kern w:val="2"/>
          <w:highlight w:val="none"/>
          <w:u w:val="single"/>
          <w:lang w:val="en-US" w:eastAsia="zh-CN"/>
        </w:rPr>
        <w:t>项目建设</w:t>
      </w:r>
      <w:r>
        <w:rPr>
          <w:rFonts w:hint="eastAsia" w:ascii="Times New Roman" w:hAnsi="Times New Roman" w:eastAsia="仿宋_GB2312" w:cs="Times New Roman"/>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lang w:val="en-US" w:eastAsia="zh-CN"/>
        </w:rPr>
        <w:t>如</w:t>
      </w:r>
      <w:r>
        <w:rPr>
          <w:rFonts w:hint="eastAsia" w:ascii="Times New Roman" w:hAnsi="Times New Roman" w:eastAsia="仿宋_GB2312" w:cs="Times New Roman"/>
          <w:i w:val="0"/>
          <w:iCs w:val="0"/>
          <w:color w:val="auto"/>
          <w:kern w:val="2"/>
          <w:highlight w:val="none"/>
          <w:u w:val="single"/>
        </w:rPr>
        <w:t>后续</w:t>
      </w:r>
      <w:r>
        <w:rPr>
          <w:rFonts w:hint="eastAsia" w:ascii="Times New Roman" w:hAnsi="Times New Roman" w:eastAsia="仿宋_GB2312" w:cs="Times New Roman"/>
          <w:i w:val="0"/>
          <w:iCs w:val="0"/>
          <w:color w:val="auto"/>
          <w:kern w:val="2"/>
          <w:highlight w:val="none"/>
          <w:u w:val="single"/>
          <w:lang w:val="en-US" w:eastAsia="zh-CN"/>
        </w:rPr>
        <w:t>相关</w:t>
      </w:r>
      <w:r>
        <w:rPr>
          <w:rFonts w:hint="eastAsia" w:ascii="Times New Roman" w:hAnsi="Times New Roman" w:eastAsia="仿宋_GB2312" w:cs="Times New Roman"/>
          <w:i w:val="0"/>
          <w:iCs w:val="0"/>
          <w:color w:val="auto"/>
          <w:kern w:val="2"/>
          <w:highlight w:val="none"/>
          <w:u w:val="single"/>
        </w:rPr>
        <w:t>制度</w:t>
      </w:r>
      <w:r>
        <w:rPr>
          <w:rFonts w:hint="eastAsia" w:ascii="Times New Roman" w:hAnsi="Times New Roman" w:eastAsia="仿宋_GB2312" w:cs="Times New Roman"/>
          <w:i w:val="0"/>
          <w:iCs w:val="0"/>
          <w:color w:val="auto"/>
          <w:kern w:val="2"/>
          <w:highlight w:val="none"/>
          <w:u w:val="single"/>
          <w:lang w:val="en-US" w:eastAsia="zh-CN"/>
        </w:rPr>
        <w:t>有更新及补充，则按新制度执行</w:t>
      </w:r>
      <w:r>
        <w:rPr>
          <w:rFonts w:hint="eastAsia" w:ascii="Times New Roman" w:hAnsi="Times New Roman" w:eastAsia="仿宋_GB2312" w:cs="Times New Roman"/>
          <w:i w:val="0"/>
          <w:iCs w:val="0"/>
          <w:color w:val="auto"/>
          <w:kern w:val="2"/>
          <w:highlight w:val="none"/>
          <w:u w:val="single"/>
        </w:rPr>
        <w:t>；</w:t>
      </w:r>
    </w:p>
    <w:p w14:paraId="594EF34A">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val="en-US" w:eastAsia="zh-CN"/>
        </w:rPr>
        <w:t>⑥承包人对</w:t>
      </w:r>
      <w:r>
        <w:rPr>
          <w:rFonts w:hint="eastAsia" w:ascii="Times New Roman" w:hAnsi="Times New Roman" w:eastAsia="仿宋_GB2312" w:cs="Times New Roman"/>
          <w:i w:val="0"/>
          <w:iCs w:val="0"/>
          <w:color w:val="auto"/>
          <w:kern w:val="2"/>
          <w:highlight w:val="none"/>
          <w:u w:val="single"/>
        </w:rPr>
        <w:t>监理整改通知单</w:t>
      </w:r>
      <w:r>
        <w:rPr>
          <w:rFonts w:hint="eastAsia" w:ascii="Times New Roman" w:hAnsi="Times New Roman" w:eastAsia="仿宋_GB2312" w:cs="Times New Roman"/>
          <w:i w:val="0"/>
          <w:iCs w:val="0"/>
          <w:color w:val="auto"/>
          <w:kern w:val="2"/>
          <w:highlight w:val="none"/>
          <w:u w:val="single"/>
          <w:lang w:val="en-US" w:eastAsia="zh-CN"/>
        </w:rPr>
        <w:t>不履行</w:t>
      </w:r>
      <w:r>
        <w:rPr>
          <w:rFonts w:hint="eastAsia" w:ascii="Times New Roman" w:hAnsi="Times New Roman" w:eastAsia="仿宋_GB2312" w:cs="Times New Roman"/>
          <w:i w:val="0"/>
          <w:iCs w:val="0"/>
          <w:color w:val="auto"/>
          <w:kern w:val="2"/>
          <w:highlight w:val="none"/>
          <w:u w:val="single"/>
        </w:rPr>
        <w:t>的处罚条款</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a、收到监理整改通知单3天内未开始整改，处以2000元/天罚款，并继续履行整改；b、未在监理整改通知单要求的规定时间内完成整改的，延期时段处以5000元/天罚款；c、收到监理整改通知单后拒绝整改且3天内未提供合理的可不整改依据，处以10000元/次罚款，并继续履行整改，且上述a、b条款仍同步执行；</w:t>
      </w:r>
    </w:p>
    <w:p w14:paraId="176B3F22">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eastAsia="zh-CN"/>
        </w:rPr>
      </w:pPr>
      <w:r>
        <w:rPr>
          <w:rFonts w:hint="eastAsia" w:ascii="Times New Roman" w:hAnsi="Times New Roman" w:eastAsia="仿宋_GB2312" w:cs="Times New Roman"/>
          <w:i w:val="0"/>
          <w:iCs w:val="0"/>
          <w:color w:val="auto"/>
          <w:kern w:val="2"/>
          <w:highlight w:val="none"/>
          <w:u w:val="single"/>
          <w:lang w:val="en-US" w:eastAsia="zh-CN"/>
        </w:rPr>
        <w:t>⑦承包人须配合发包人完成</w:t>
      </w:r>
      <w:r>
        <w:rPr>
          <w:rFonts w:hint="eastAsia" w:ascii="Times New Roman" w:hAnsi="Times New Roman" w:eastAsia="仿宋_GB2312" w:cs="Times New Roman"/>
          <w:i w:val="0"/>
          <w:iCs w:val="0"/>
          <w:color w:val="auto"/>
          <w:kern w:val="2"/>
          <w:highlight w:val="none"/>
          <w:u w:val="single"/>
        </w:rPr>
        <w:t>变更、考勤、结决算、移交、办证等工作</w:t>
      </w:r>
      <w:r>
        <w:rPr>
          <w:rFonts w:hint="eastAsia" w:ascii="Times New Roman" w:hAnsi="Times New Roman" w:eastAsia="仿宋_GB2312" w:cs="Times New Roman"/>
          <w:i w:val="0"/>
          <w:iCs w:val="0"/>
          <w:color w:val="auto"/>
          <w:kern w:val="2"/>
          <w:highlight w:val="none"/>
          <w:u w:val="single"/>
          <w:lang w:eastAsia="zh-CN"/>
        </w:rPr>
        <w:t>；</w:t>
      </w:r>
    </w:p>
    <w:p w14:paraId="2CD9BF2D">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eastAsia="zh-CN"/>
        </w:rPr>
      </w:pPr>
      <w:r>
        <w:rPr>
          <w:rFonts w:hint="eastAsia" w:ascii="Times New Roman" w:hAnsi="Times New Roman" w:eastAsia="仿宋_GB2312" w:cs="Times New Roman"/>
          <w:i w:val="0"/>
          <w:iCs w:val="0"/>
          <w:strike w:val="0"/>
          <w:dstrike w:val="0"/>
          <w:color w:val="auto"/>
          <w:kern w:val="2"/>
          <w:highlight w:val="none"/>
          <w:u w:val="single"/>
          <w:lang w:eastAsia="zh-CN"/>
        </w:rPr>
        <w:t>⑧</w:t>
      </w:r>
      <w:r>
        <w:rPr>
          <w:rFonts w:hint="eastAsia" w:ascii="Times New Roman" w:hAnsi="Times New Roman" w:eastAsia="仿宋_GB2312" w:cs="Times New Roman"/>
          <w:i w:val="0"/>
          <w:iCs w:val="0"/>
          <w:color w:val="auto"/>
          <w:kern w:val="2"/>
          <w:highlight w:val="none"/>
          <w:u w:val="single"/>
          <w:lang w:eastAsia="zh-CN"/>
        </w:rPr>
        <w:t>承包人需为驻场办公的业主提供办公设施设备，同时安排人员及</w:t>
      </w:r>
      <w:r>
        <w:rPr>
          <w:rFonts w:hint="eastAsia" w:ascii="Times New Roman" w:hAnsi="Times New Roman" w:eastAsia="仿宋_GB2312" w:cs="Times New Roman"/>
          <w:i w:val="0"/>
          <w:iCs w:val="0"/>
          <w:color w:val="auto"/>
          <w:kern w:val="2"/>
          <w:highlight w:val="none"/>
          <w:u w:val="single"/>
          <w:lang w:val="en-US" w:eastAsia="zh-CN"/>
        </w:rPr>
        <w:t>必要的交通设备</w:t>
      </w:r>
      <w:r>
        <w:rPr>
          <w:rFonts w:hint="eastAsia" w:ascii="Times New Roman" w:hAnsi="Times New Roman" w:eastAsia="仿宋_GB2312" w:cs="Times New Roman"/>
          <w:i w:val="0"/>
          <w:iCs w:val="0"/>
          <w:color w:val="auto"/>
          <w:kern w:val="2"/>
          <w:highlight w:val="none"/>
          <w:u w:val="single"/>
          <w:lang w:eastAsia="zh-CN"/>
        </w:rPr>
        <w:t>配合业主代表进行相关工作。</w:t>
      </w:r>
    </w:p>
    <w:p w14:paraId="66918936">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eastAsia="zh-CN"/>
        </w:rPr>
      </w:pPr>
      <w:r>
        <w:rPr>
          <w:rFonts w:hint="eastAsia" w:ascii="Times New Roman" w:hAnsi="Times New Roman" w:eastAsia="仿宋_GB2312" w:cs="Times New Roman"/>
          <w:i w:val="0"/>
          <w:iCs w:val="0"/>
          <w:color w:val="auto"/>
          <w:kern w:val="2"/>
          <w:highlight w:val="none"/>
          <w:u w:val="single"/>
          <w:lang w:eastAsia="zh-CN"/>
        </w:rPr>
        <w:t>⑨承包人需对施工材料进场做到及时向业主和监理单位进行报备，如未报备的，发现一次处以5000元的罚款。</w:t>
      </w:r>
    </w:p>
    <w:p w14:paraId="1CB55B9F">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eastAsia="zh-CN"/>
        </w:rPr>
      </w:pPr>
      <w:r>
        <w:rPr>
          <w:rFonts w:hint="eastAsia" w:ascii="Times New Roman" w:hAnsi="Times New Roman" w:eastAsia="仿宋_GB2312" w:cs="Times New Roman"/>
          <w:i w:val="0"/>
          <w:iCs w:val="0"/>
          <w:color w:val="auto"/>
          <w:kern w:val="2"/>
          <w:highlight w:val="none"/>
          <w:u w:val="single"/>
          <w:lang w:eastAsia="zh-CN"/>
        </w:rPr>
        <w:t>⑩承包人需及时响应业主要求的整改内容，若收到整改通知书后未及时整改的处以</w:t>
      </w:r>
      <w:r>
        <w:rPr>
          <w:rFonts w:hint="eastAsia" w:ascii="Times New Roman" w:hAnsi="Times New Roman" w:eastAsia="仿宋_GB2312" w:cs="Times New Roman"/>
          <w:i w:val="0"/>
          <w:iCs w:val="0"/>
          <w:color w:val="auto"/>
          <w:kern w:val="2"/>
          <w:highlight w:val="none"/>
          <w:u w:val="single"/>
          <w:lang w:val="en-US" w:eastAsia="zh-CN"/>
        </w:rPr>
        <w:t>1</w:t>
      </w:r>
      <w:r>
        <w:rPr>
          <w:rFonts w:hint="eastAsia" w:ascii="Times New Roman" w:hAnsi="Times New Roman" w:eastAsia="仿宋_GB2312" w:cs="Times New Roman"/>
          <w:i w:val="0"/>
          <w:iCs w:val="0"/>
          <w:color w:val="auto"/>
          <w:kern w:val="2"/>
          <w:highlight w:val="none"/>
          <w:u w:val="single"/>
          <w:lang w:eastAsia="zh-CN"/>
        </w:rPr>
        <w:t>0000元</w:t>
      </w:r>
      <w:r>
        <w:rPr>
          <w:rFonts w:hint="eastAsia" w:ascii="Times New Roman" w:hAnsi="Times New Roman" w:eastAsia="仿宋_GB2312" w:cs="Times New Roman"/>
          <w:i w:val="0"/>
          <w:iCs w:val="0"/>
          <w:color w:val="auto"/>
          <w:kern w:val="2"/>
          <w:highlight w:val="none"/>
          <w:u w:val="single"/>
          <w:lang w:val="en-US" w:eastAsia="zh-CN"/>
        </w:rPr>
        <w:t>/次</w:t>
      </w:r>
      <w:r>
        <w:rPr>
          <w:rFonts w:hint="eastAsia" w:ascii="Times New Roman" w:hAnsi="Times New Roman" w:eastAsia="仿宋_GB2312" w:cs="Times New Roman"/>
          <w:i w:val="0"/>
          <w:iCs w:val="0"/>
          <w:color w:val="auto"/>
          <w:kern w:val="2"/>
          <w:highlight w:val="none"/>
          <w:u w:val="single"/>
          <w:lang w:eastAsia="zh-CN"/>
        </w:rPr>
        <w:t>的罚款，业主进行约谈后未进行整改的，处以20000元</w:t>
      </w:r>
      <w:r>
        <w:rPr>
          <w:rFonts w:hint="eastAsia" w:ascii="Times New Roman" w:hAnsi="Times New Roman" w:eastAsia="仿宋_GB2312" w:cs="Times New Roman"/>
          <w:i w:val="0"/>
          <w:iCs w:val="0"/>
          <w:color w:val="auto"/>
          <w:kern w:val="2"/>
          <w:highlight w:val="none"/>
          <w:u w:val="single"/>
          <w:lang w:val="en-US" w:eastAsia="zh-CN"/>
        </w:rPr>
        <w:t>/次</w:t>
      </w:r>
      <w:r>
        <w:rPr>
          <w:rFonts w:hint="eastAsia" w:ascii="Times New Roman" w:hAnsi="Times New Roman" w:eastAsia="仿宋_GB2312" w:cs="Times New Roman"/>
          <w:i w:val="0"/>
          <w:iCs w:val="0"/>
          <w:color w:val="auto"/>
          <w:kern w:val="2"/>
          <w:highlight w:val="none"/>
          <w:u w:val="single"/>
          <w:lang w:eastAsia="zh-CN"/>
        </w:rPr>
        <w:t>的罚款，</w:t>
      </w:r>
      <w:r>
        <w:rPr>
          <w:rFonts w:hint="eastAsia" w:ascii="Times New Roman" w:hAnsi="Times New Roman" w:eastAsia="仿宋_GB2312" w:cs="Times New Roman"/>
          <w:i w:val="0"/>
          <w:iCs w:val="0"/>
          <w:color w:val="auto"/>
          <w:kern w:val="2"/>
          <w:highlight w:val="none"/>
          <w:u w:val="single"/>
          <w:lang w:val="en-US" w:eastAsia="zh-CN"/>
        </w:rPr>
        <w:t>发包方有权委托第三方进行整改，所产生的相关费用由承包人承担</w:t>
      </w:r>
      <w:r>
        <w:rPr>
          <w:rFonts w:hint="eastAsia" w:ascii="Times New Roman" w:hAnsi="Times New Roman" w:eastAsia="仿宋_GB2312" w:cs="Times New Roman"/>
          <w:i w:val="0"/>
          <w:iCs w:val="0"/>
          <w:color w:val="auto"/>
          <w:kern w:val="2"/>
          <w:highlight w:val="none"/>
          <w:u w:val="single"/>
          <w:lang w:eastAsia="zh-CN"/>
        </w:rPr>
        <w:t>。</w:t>
      </w:r>
    </w:p>
    <w:p w14:paraId="6D822306">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eastAsia="zh-CN"/>
        </w:rPr>
        <w:t>⑪</w:t>
      </w:r>
      <w:r>
        <w:rPr>
          <w:rFonts w:hint="eastAsia" w:ascii="Times New Roman" w:hAnsi="Times New Roman" w:eastAsia="仿宋_GB2312" w:cs="Times New Roman"/>
          <w:i w:val="0"/>
          <w:iCs w:val="0"/>
          <w:color w:val="auto"/>
          <w:kern w:val="2"/>
          <w:highlight w:val="none"/>
          <w:u w:val="single"/>
          <w:lang w:val="en-US" w:eastAsia="zh-CN"/>
        </w:rPr>
        <w:t>工程材料检测参照绍兴市镜湖开发集团下属子公司签订的战略合作协议执行。</w:t>
      </w:r>
    </w:p>
    <w:p w14:paraId="4012195D">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eastAsia="zh-CN"/>
        </w:rPr>
        <w:t>⑫</w:t>
      </w:r>
      <w:r>
        <w:rPr>
          <w:rFonts w:hint="eastAsia" w:ascii="Times New Roman" w:hAnsi="Times New Roman" w:eastAsia="仿宋_GB2312" w:cs="Times New Roman"/>
          <w:i w:val="0"/>
          <w:iCs w:val="0"/>
          <w:color w:val="auto"/>
          <w:kern w:val="2"/>
          <w:highlight w:val="none"/>
          <w:u w:val="single"/>
          <w:lang w:val="en-US" w:eastAsia="zh-CN"/>
        </w:rPr>
        <w:t>施工过程中及完工后发现质量问题，经两次维修仍不达标的，需无条件拆除重做。</w:t>
      </w:r>
    </w:p>
    <w:p w14:paraId="3C27B2D1">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eastAsia="zh-CN"/>
        </w:rPr>
        <w:t>⑬</w:t>
      </w:r>
      <w:r>
        <w:rPr>
          <w:rFonts w:hint="eastAsia" w:ascii="Times New Roman" w:hAnsi="Times New Roman" w:eastAsia="仿宋_GB2312" w:cs="Times New Roman"/>
          <w:i w:val="0"/>
          <w:iCs w:val="0"/>
          <w:color w:val="auto"/>
          <w:kern w:val="2"/>
          <w:highlight w:val="none"/>
          <w:u w:val="single"/>
          <w:lang w:val="en-US" w:eastAsia="zh-CN"/>
        </w:rPr>
        <w:t>承包人应根据发包人要求，积极配合发包人，做好场地移交并做好场地移交前的安全设施保留及场地维护工作，发包人场地移交过程中如需要承包人提供基础数据、资料等，承包人不得拒绝。</w:t>
      </w:r>
    </w:p>
    <w:p w14:paraId="0B7904A7">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strike w:val="0"/>
          <w:dstrike w:val="0"/>
          <w:color w:val="auto"/>
          <w:kern w:val="2"/>
          <w:highlight w:val="none"/>
          <w:u w:val="single"/>
          <w:lang w:val="en-US" w:eastAsia="zh-CN"/>
        </w:rPr>
        <w:t>⑭</w:t>
      </w:r>
      <w:r>
        <w:rPr>
          <w:rFonts w:hint="eastAsia" w:ascii="Times New Roman" w:hAnsi="Times New Roman" w:eastAsia="仿宋_GB2312" w:cs="Times New Roman"/>
          <w:i w:val="0"/>
          <w:iCs w:val="0"/>
          <w:color w:val="auto"/>
          <w:kern w:val="2"/>
          <w:highlight w:val="none"/>
          <w:u w:val="single"/>
          <w:lang w:val="en-US" w:eastAsia="zh-CN"/>
        </w:rPr>
        <w:t>暂列金额中涉及招标采购的内容，由中标单位负责实施，并受招标人监督。</w:t>
      </w:r>
    </w:p>
    <w:p w14:paraId="4FF66D41">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val="en-US" w:eastAsia="zh-CN"/>
        </w:rPr>
        <w:t>⑮若开业活动后建设单位委托相关单位实施场地平整等情况的，施工单位无条件承担</w:t>
      </w:r>
      <w:r>
        <w:rPr>
          <w:rFonts w:hint="eastAsia" w:eastAsia="仿宋_GB2312" w:cs="Times New Roman"/>
          <w:i w:val="0"/>
          <w:iCs w:val="0"/>
          <w:color w:val="auto"/>
          <w:kern w:val="2"/>
          <w:highlight w:val="none"/>
          <w:u w:val="single"/>
          <w:lang w:val="en-US" w:eastAsia="zh-CN"/>
        </w:rPr>
        <w:t>此项工作产生的</w:t>
      </w:r>
      <w:r>
        <w:rPr>
          <w:rFonts w:hint="eastAsia" w:ascii="Times New Roman" w:hAnsi="Times New Roman" w:eastAsia="仿宋_GB2312" w:cs="Times New Roman"/>
          <w:i w:val="0"/>
          <w:iCs w:val="0"/>
          <w:color w:val="auto"/>
          <w:kern w:val="2"/>
          <w:highlight w:val="none"/>
          <w:u w:val="single"/>
          <w:lang w:val="en-US" w:eastAsia="zh-CN"/>
        </w:rPr>
        <w:t>相关费用</w:t>
      </w:r>
      <w:r>
        <w:rPr>
          <w:rFonts w:hint="eastAsia" w:eastAsia="仿宋_GB2312" w:cs="Times New Roman"/>
          <w:i w:val="0"/>
          <w:iCs w:val="0"/>
          <w:color w:val="auto"/>
          <w:kern w:val="2"/>
          <w:highlight w:val="none"/>
          <w:u w:val="single"/>
          <w:lang w:val="en-US" w:eastAsia="zh-CN"/>
        </w:rPr>
        <w:t>。</w:t>
      </w:r>
    </w:p>
    <w:p w14:paraId="1A1B01E7">
      <w:pPr>
        <w:numPr>
          <w:ilvl w:val="0"/>
          <w:numId w:val="0"/>
        </w:numPr>
        <w:autoSpaceDE/>
        <w:autoSpaceDN/>
        <w:adjustRightInd/>
        <w:spacing w:line="400" w:lineRule="exact"/>
        <w:ind w:firstLine="480" w:firstLineChars="200"/>
        <w:jc w:val="both"/>
        <w:rPr>
          <w:rFonts w:hint="default"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val="en-US" w:eastAsia="zh-CN"/>
        </w:rPr>
        <w:t>⑯若承包人自行决定并承担费用申报相关奖项，发包人将在职权范围内予以必要的行政及技术配合。</w:t>
      </w:r>
    </w:p>
    <w:p w14:paraId="49DD5B2D">
      <w:pPr>
        <w:numPr>
          <w:ilvl w:val="0"/>
          <w:numId w:val="0"/>
        </w:num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sz w:val="24"/>
          <w:szCs w:val="24"/>
          <w:highlight w:val="none"/>
          <w:lang w:eastAsia="zh-CN"/>
        </w:rPr>
      </w:pPr>
      <w:r>
        <w:rPr>
          <w:rFonts w:hint="eastAsia" w:ascii="Times New Roman" w:hAnsi="Times New Roman" w:eastAsia="仿宋_GB2312" w:cs="Times New Roman"/>
          <w:i w:val="0"/>
          <w:iCs w:val="0"/>
          <w:color w:val="auto"/>
          <w:kern w:val="2"/>
          <w:sz w:val="24"/>
          <w:szCs w:val="24"/>
          <w:highlight w:val="none"/>
          <w:lang w:eastAsia="zh-CN"/>
        </w:rPr>
        <w:t>（</w:t>
      </w:r>
      <w:r>
        <w:rPr>
          <w:rFonts w:hint="eastAsia" w:eastAsia="仿宋_GB2312" w:cs="Times New Roman"/>
          <w:i w:val="0"/>
          <w:iCs w:val="0"/>
          <w:color w:val="auto"/>
          <w:kern w:val="2"/>
          <w:sz w:val="24"/>
          <w:szCs w:val="24"/>
          <w:highlight w:val="none"/>
          <w:lang w:val="en-US" w:eastAsia="zh-CN"/>
        </w:rPr>
        <w:t>26</w:t>
      </w:r>
      <w:r>
        <w:rPr>
          <w:rFonts w:hint="eastAsia" w:ascii="Times New Roman" w:hAnsi="Times New Roman" w:eastAsia="仿宋_GB2312" w:cs="Times New Roman"/>
          <w:i w:val="0"/>
          <w:iCs w:val="0"/>
          <w:color w:val="auto"/>
          <w:kern w:val="2"/>
          <w:sz w:val="24"/>
          <w:szCs w:val="24"/>
          <w:highlight w:val="none"/>
          <w:lang w:eastAsia="zh-CN"/>
        </w:rPr>
        <w:t>）保障农民工工资支付</w:t>
      </w:r>
    </w:p>
    <w:p w14:paraId="384A1511">
      <w:pPr>
        <w:autoSpaceDE/>
        <w:autoSpaceDN/>
        <w:adjustRightInd/>
        <w:spacing w:after="120" w:afterLines="0"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hint="eastAsia" w:ascii="Times New Roman" w:hAnsi="Times New Roman" w:eastAsia="仿宋_GB2312" w:cs="Times New Roman"/>
          <w:i w:val="0"/>
          <w:iCs w:val="0"/>
          <w:color w:val="auto"/>
          <w:kern w:val="2"/>
          <w:highlight w:val="none"/>
          <w:u w:val="single"/>
          <w:lang w:val="en-US" w:eastAsia="zh-CN"/>
        </w:rPr>
        <w:t>按绍兴市人力资源和社会保障局等8部门关于印发《绍兴市工程建设领域农民工工资专用账户管理实施细则》的通知（绍市人社发【2024】17号文）执行。</w:t>
      </w:r>
    </w:p>
    <w:p w14:paraId="081E398A">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（27）暂估价专业工程</w:t>
      </w:r>
    </w:p>
    <w:p w14:paraId="20C16944">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①一期包含（B7、B8#楼、B9、B10、B11#楼、B12#楼、B13#楼、B-14#（戏台）、幕墙工程、室内装饰、泛光照明、1#、2#、3#、4#栈道、水岸平台廊架36*8m、护坡挡墙、健林区运动器械组合一~三、蹦蹦床、攀爬洞、码头 河坎40m、南侧湖畔水岸护岸、精神堡垒、构架、2#桥、4#人行桥3*8m、5#箱涵、户外景观部分标识、标线、单项双车道辅道、钢筋混凝土雨水调蓄池400m3，包含设备、钢筋混凝土化粪池100m3）；二期包含幕墙、A9#楼、室内装饰、建筑及室内部分标识、户外景观部分标识、标线、单项双车道辅道、景观塔、1#桥梁、5#栈道、6#栈道、儿童区廊桥、泛光照明作为暂估价部分专业工程，以暂估价方式计入合同价。</w:t>
      </w:r>
    </w:p>
    <w:p w14:paraId="7A7F7C11">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②上述非主体、非关键性施工项目暂估价专业工程的分包单位须经招标方式确定，总承包单位作为招标人，招标方案（含招标资格、招标组织方案、评标办法和招标控制价）需由发包人（建设单位）审定。其他达到必须依法招标的专业工程需要按2018年发改令第16号文件规定实施，总包单位与分包单位的委托合同应报建设单位备案。</w:t>
      </w:r>
    </w:p>
    <w:p w14:paraId="6EC944EA">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③工程招标范围内二次招标时预算不得超过控制指标。</w:t>
      </w:r>
    </w:p>
    <w:p w14:paraId="0FEB703F">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④施工总承包服务费。总承包单位按分包工程中标价3%向分包单位计取施工总承包服务费，不另行计取其他费用。</w:t>
      </w:r>
    </w:p>
    <w:p w14:paraId="394DE947">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⑤施工总包范围内的暂估价二次招标须由承包人牵头完成，因总包单位原因造成招标进度滞后的，发包人可以暂停支付工程款。</w:t>
      </w:r>
    </w:p>
    <w:p w14:paraId="039AF8B6">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⑥暂估价专业分包工程费由分包单位向总承包单位开具发票，总承包单位向建设单位开具等额发票，不再增加或减少其他费用和税金。除水电费及总承包服务费3%以外，不得向分包单位收取其他任何费用。分包项目工程款由总承包单位直接支付给分包单位，总承包单位需无条件配合分包单位的施工安装工作。</w:t>
      </w:r>
    </w:p>
    <w:p w14:paraId="33AF13CA">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（28）总承包服务费包括的工作内容：</w:t>
      </w:r>
    </w:p>
    <w:p w14:paraId="5135654B">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总承包服务费（包含但不限于总承包配合费、服务费、设备管理和暂存费等在内的全部费用）包括承包人为分包工程提供现有脚手架使用费、塔吊及垂直升降机的使用费、为分包施工单位提供场地、办公场所、水源、电源、建筑垃圾清运等费用及分包工程安装后的堵补等其他费用均已包括在内，并包括因交叉作业而发生的误工损失费和协调管理费等，除分包人的水电费另计外，不得再收取其他费用。当专业工程项目出现质量、进度、安全等问题，承包人与分包人应共同向发包人承担连带责任。</w:t>
      </w:r>
    </w:p>
    <w:p w14:paraId="0029F9BB">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承包人对本工程总体进度、质量、安全、文明施工的总管理、总协调、总控制；</w:t>
      </w:r>
    </w:p>
    <w:p w14:paraId="7EBB0CD5">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用水用电方便，须提供给其他分包人至二级箱，施工用电与用水必须达到发包人指定的供应量、供应位置；</w:t>
      </w:r>
    </w:p>
    <w:p w14:paraId="0AD2C5A4">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提供施工场地及工地通路；</w:t>
      </w:r>
    </w:p>
    <w:p w14:paraId="7F99D8B0">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提供公共设施使用；</w:t>
      </w:r>
    </w:p>
    <w:p w14:paraId="545B3FB9">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提供卫生设施以共同使用；</w:t>
      </w:r>
    </w:p>
    <w:p w14:paraId="3AFE0EDC">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提供施工所需以保障工地安全之围网、围板等设施；</w:t>
      </w:r>
    </w:p>
    <w:p w14:paraId="5BAFB493">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对工地作看管以防盗窃，包括指定分包人的物料损坏遗失；</w:t>
      </w:r>
    </w:p>
    <w:p w14:paraId="49E6390F">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在本合同施工期内及工地范围内提供现有内外脚手架、水平及垂直运输工具以共同使用。</w:t>
      </w:r>
    </w:p>
    <w:p w14:paraId="140AD483">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提供施工照明及动力电源（例如电梯\消防\通风等），负荷及电源位置需满足发包人及分包人使用要求，费用由总包单位承担；</w:t>
      </w:r>
    </w:p>
    <w:p w14:paraId="50401241">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在经发包人确认下，承包人指定分包人的办公场所与材料、设备库房，承包人须为各分包人提供不少于20㎡的办公场所和重要材料的库房及相应堆场（如果此材料有防水防潮及因单价较高的防盗要求，提供的场所必须满足此要求且不得另外收费）；</w:t>
      </w:r>
    </w:p>
    <w:p w14:paraId="7CA59A36">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 xml:space="preserve">提供电梯井道内永久照明； </w:t>
      </w:r>
    </w:p>
    <w:p w14:paraId="40F9F205">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对发包人指定的分包人在施工中合理的剔凿后，对门窗、电梯及各种洞口实施收边补烂（包括但不限于：完成分包人遗留的门窗后塞口、栏杆补烂、烟道补洞、安装补烂等）；</w:t>
      </w:r>
    </w:p>
    <w:p w14:paraId="28669C4E">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对已完成的半成品、成品（包括指定分包人已完成的半成品、成品）提供产品保护（包括防水防风雨、防碰撞和剐蹭等措施），以防损坏；</w:t>
      </w:r>
    </w:p>
    <w:p w14:paraId="2934452D">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为电梯设备、载车电梯和机械车位的安装工程的施工单位提供便利施工条件；</w:t>
      </w:r>
    </w:p>
    <w:p w14:paraId="05C4B882">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负责甲供材料的存储及现场转运、试验和检测，此费用计入本合同总价中，不另行支付；</w:t>
      </w:r>
    </w:p>
    <w:p w14:paraId="08D3E2A8">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负责所有建筑垃圾及时清除和外运；</w:t>
      </w:r>
    </w:p>
    <w:p w14:paraId="070BC47D">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竣工验收时统一清扫；</w:t>
      </w:r>
    </w:p>
    <w:p w14:paraId="511D5252">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承担对分包人的管理责任；</w:t>
      </w:r>
    </w:p>
    <w:p w14:paraId="0DBF4217">
      <w:pPr>
        <w:autoSpaceDE/>
        <w:autoSpaceDN/>
        <w:adjustRightInd/>
        <w:spacing w:after="120" w:afterLines="0" w:line="400" w:lineRule="exact"/>
        <w:ind w:firstLine="480" w:firstLineChars="200"/>
        <w:jc w:val="both"/>
        <w:rPr>
          <w:rFonts w:hint="eastAsia"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对分包人的施工质量负责并承担相应管理责任；</w:t>
      </w:r>
    </w:p>
    <w:p w14:paraId="3D1101A6">
      <w:pPr>
        <w:autoSpaceDE/>
        <w:autoSpaceDN/>
        <w:adjustRightInd/>
        <w:spacing w:after="120" w:afterLines="0" w:line="400" w:lineRule="exact"/>
        <w:ind w:firstLine="480" w:firstLineChars="200"/>
        <w:jc w:val="both"/>
        <w:rPr>
          <w:rFonts w:hint="default" w:eastAsia="仿宋_GB2312" w:cs="Times New Roman"/>
          <w:i w:val="0"/>
          <w:iCs w:val="0"/>
          <w:color w:val="auto"/>
          <w:kern w:val="2"/>
          <w:highlight w:val="none"/>
          <w:u w:val="single"/>
          <w:lang w:val="en-US" w:eastAsia="zh-CN"/>
        </w:rPr>
      </w:pPr>
      <w:r>
        <w:rPr>
          <w:rFonts w:hint="eastAsia" w:eastAsia="仿宋_GB2312" w:cs="Times New Roman"/>
          <w:i w:val="0"/>
          <w:iCs w:val="0"/>
          <w:color w:val="auto"/>
          <w:kern w:val="2"/>
          <w:highlight w:val="none"/>
          <w:u w:val="single"/>
          <w:lang w:val="en-US" w:eastAsia="zh-CN"/>
        </w:rPr>
        <w:t>全部竣工资料的收集、整理和归档；负责本工程的档案管理，汇总各专业施工单位的档案资料、通过竣工资料的检查、验收和交付城建档案馆等工作。工程施工完毕，承包人必须提供准确的隐蔽管线布置详图，其中冷、热水管应在现场作油漆标示，作为竣工资料的组成部分之一，否则视为承包人违约，承包人将承担1000元/次至10000元/次的违约金，具体金额由发包人视实际情况确定，并按发包人要求完善相关工作。</w:t>
      </w:r>
    </w:p>
    <w:p w14:paraId="4FF7A7F9">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3.2 项目经理</w:t>
      </w:r>
    </w:p>
    <w:p w14:paraId="064F60C1">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highlight w:val="none"/>
        </w:rPr>
        <w:t xml:space="preserve">3.2.1 </w:t>
      </w:r>
      <w:r>
        <w:rPr>
          <w:rFonts w:eastAsia="仿宋_GB2312"/>
          <w:i w:val="0"/>
          <w:iCs w:val="0"/>
          <w:color w:val="auto"/>
          <w:kern w:val="2"/>
          <w:highlight w:val="none"/>
        </w:rPr>
        <w:t>项目经理：</w:t>
      </w:r>
    </w:p>
    <w:p w14:paraId="6013B88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姓    名：</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2492D862">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身份证号：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619B7B69">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建造师执业资格等级：</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 </w:t>
      </w:r>
      <w:r>
        <w:rPr>
          <w:rFonts w:eastAsia="仿宋_GB2312"/>
          <w:i w:val="0"/>
          <w:iCs w:val="0"/>
          <w:color w:val="auto"/>
          <w:kern w:val="2"/>
          <w:highlight w:val="none"/>
        </w:rPr>
        <w:t>；</w:t>
      </w:r>
    </w:p>
    <w:p w14:paraId="39529369">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建造师注册证书号：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76914A32">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建造师执业印章号：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3832F06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安全生产考核合格证书号：</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eastAsia="仿宋_GB2312"/>
          <w:i w:val="0"/>
          <w:iCs w:val="0"/>
          <w:color w:val="auto"/>
          <w:kern w:val="2"/>
          <w:highlight w:val="none"/>
          <w:u w:val="single"/>
        </w:rPr>
        <w:t> </w:t>
      </w:r>
      <w:r>
        <w:rPr>
          <w:rFonts w:eastAsia="仿宋_GB2312"/>
          <w:i w:val="0"/>
          <w:iCs w:val="0"/>
          <w:color w:val="auto"/>
          <w:kern w:val="2"/>
          <w:highlight w:val="none"/>
        </w:rPr>
        <w:t>；</w:t>
      </w:r>
    </w:p>
    <w:p w14:paraId="48D44D74">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联系电话：</w:t>
      </w:r>
      <w:r>
        <w:rPr>
          <w:rFonts w:eastAsia="仿宋_GB2312"/>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4E1C0FB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电子信箱：</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66803C2C">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通信地址：</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w:t>
      </w:r>
      <w:r>
        <w:rPr>
          <w:rFonts w:eastAsia="仿宋_GB2312"/>
          <w:i w:val="0"/>
          <w:iCs w:val="0"/>
          <w:color w:val="auto"/>
          <w:kern w:val="2"/>
          <w:highlight w:val="none"/>
        </w:rPr>
        <w:t>；</w:t>
      </w:r>
    </w:p>
    <w:p w14:paraId="15A3AB8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承包人对项目经理的授权范围如下：</w:t>
      </w:r>
      <w:r>
        <w:rPr>
          <w:rFonts w:eastAsia="仿宋_GB2312"/>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rPr>
        <w:t>合同签订时明确</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7CFB53AC">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eastAsia="仿宋_GB2312"/>
          <w:i w:val="0"/>
          <w:iCs w:val="0"/>
          <w:color w:val="auto"/>
          <w:highlight w:val="none"/>
        </w:rPr>
        <w:t>关于项目经理每月在施工现场的时间要求：</w:t>
      </w:r>
      <w:r>
        <w:rPr>
          <w:rFonts w:hint="eastAsia" w:ascii="Times New Roman" w:hAnsi="Times New Roman" w:eastAsia="仿宋_GB2312" w:cs="Times New Roman"/>
          <w:i w:val="0"/>
          <w:iCs w:val="0"/>
          <w:color w:val="auto"/>
          <w:kern w:val="2"/>
          <w:highlight w:val="none"/>
          <w:u w:val="single"/>
          <w:lang w:val="en-US" w:eastAsia="zh-CN"/>
        </w:rPr>
        <w:t>（1）</w:t>
      </w:r>
      <w:r>
        <w:rPr>
          <w:rFonts w:hint="eastAsia" w:ascii="Times New Roman" w:hAnsi="Times New Roman" w:eastAsia="仿宋_GB2312" w:cs="Times New Roman"/>
          <w:i w:val="0"/>
          <w:iCs w:val="0"/>
          <w:color w:val="auto"/>
          <w:kern w:val="2"/>
          <w:highlight w:val="none"/>
          <w:u w:val="single"/>
          <w:lang w:eastAsia="zh-CN"/>
        </w:rPr>
        <w:t>到岗要求和处罚按行业主管部门和绍兴市镜湖开发集团有限公司、</w:t>
      </w:r>
      <w:r>
        <w:rPr>
          <w:rFonts w:hint="eastAsia" w:ascii="Times New Roman" w:hAnsi="Times New Roman" w:eastAsia="仿宋_GB2312" w:cs="Times New Roman"/>
          <w:i w:val="0"/>
          <w:iCs w:val="0"/>
          <w:color w:val="auto"/>
          <w:kern w:val="2"/>
          <w:highlight w:val="none"/>
          <w:u w:val="single"/>
          <w:lang w:val="en-US" w:eastAsia="zh-CN"/>
        </w:rPr>
        <w:t>镜湖科技城开发服务公司</w:t>
      </w:r>
      <w:r>
        <w:rPr>
          <w:rFonts w:hint="eastAsia" w:ascii="Times New Roman" w:hAnsi="Times New Roman" w:eastAsia="仿宋_GB2312" w:cs="Times New Roman"/>
          <w:i w:val="0"/>
          <w:iCs w:val="0"/>
          <w:color w:val="auto"/>
          <w:kern w:val="2"/>
          <w:highlight w:val="none"/>
          <w:u w:val="single"/>
          <w:lang w:eastAsia="zh-CN"/>
        </w:rPr>
        <w:t>的相关文件执行</w:t>
      </w:r>
      <w:r>
        <w:rPr>
          <w:rFonts w:hint="eastAsia" w:ascii="Times New Roman" w:hAnsi="Times New Roman" w:eastAsia="仿宋_GB2312" w:cs="Times New Roman"/>
          <w:i w:val="0"/>
          <w:iCs w:val="0"/>
          <w:color w:val="auto"/>
          <w:kern w:val="2"/>
          <w:highlight w:val="none"/>
          <w:u w:val="single"/>
        </w:rPr>
        <w:t>；</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2</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每月在施工现场时间不得少于24天（春节当月不少于18天），且重要工程例会及验收环节等必须由项目负责人参加，缺席按</w:t>
      </w:r>
      <w:r>
        <w:rPr>
          <w:rFonts w:hint="eastAsia" w:ascii="Times New Roman" w:hAnsi="Times New Roman" w:eastAsia="仿宋_GB2312" w:cs="Times New Roman"/>
          <w:i w:val="0"/>
          <w:iCs w:val="0"/>
          <w:color w:val="auto"/>
          <w:kern w:val="2"/>
          <w:highlight w:val="none"/>
          <w:u w:val="single"/>
          <w:lang w:val="en-US" w:eastAsia="zh-CN"/>
        </w:rPr>
        <w:t>25</w:t>
      </w:r>
      <w:r>
        <w:rPr>
          <w:rFonts w:hint="eastAsia" w:ascii="Times New Roman" w:hAnsi="Times New Roman" w:eastAsia="仿宋_GB2312" w:cs="Times New Roman"/>
          <w:i w:val="0"/>
          <w:iCs w:val="0"/>
          <w:color w:val="auto"/>
          <w:kern w:val="2"/>
          <w:highlight w:val="none"/>
          <w:u w:val="single"/>
        </w:rPr>
        <w:t>00元/次处罚；若考勤低于24天（春节18天）的差额天数按每天</w:t>
      </w:r>
      <w:r>
        <w:rPr>
          <w:rFonts w:hint="eastAsia" w:ascii="Times New Roman" w:hAnsi="Times New Roman" w:eastAsia="仿宋_GB2312" w:cs="Times New Roman"/>
          <w:i w:val="0"/>
          <w:iCs w:val="0"/>
          <w:color w:val="auto"/>
          <w:kern w:val="2"/>
          <w:highlight w:val="none"/>
          <w:u w:val="single"/>
          <w:lang w:val="en-US" w:eastAsia="zh-CN"/>
        </w:rPr>
        <w:t>2500</w:t>
      </w:r>
      <w:r>
        <w:rPr>
          <w:rFonts w:hint="eastAsia" w:ascii="Times New Roman" w:hAnsi="Times New Roman" w:eastAsia="仿宋_GB2312" w:cs="Times New Roman"/>
          <w:i w:val="0"/>
          <w:iCs w:val="0"/>
          <w:color w:val="auto"/>
          <w:kern w:val="2"/>
          <w:highlight w:val="none"/>
          <w:u w:val="single"/>
        </w:rPr>
        <w:t>元罚款直接从当期工程款中扣除。考勤弄虚作假按该月未到岗10天标准计取罚款。（3）在每月出勤天数24天（春节18天）内，项目经理离开工地必须向监理工程师书面请假，并经发包人现场负责人签字同意后才能离开，并计入缺勤天数。</w:t>
      </w:r>
    </w:p>
    <w:p w14:paraId="186EAA7E">
      <w:pPr>
        <w:autoSpaceDE/>
        <w:autoSpaceDN/>
        <w:adjustRightInd/>
        <w:spacing w:line="400" w:lineRule="exact"/>
        <w:ind w:firstLine="480" w:firstLineChars="200"/>
        <w:jc w:val="both"/>
        <w:rPr>
          <w:rFonts w:eastAsia="仿宋_GB2312"/>
          <w:i w:val="0"/>
          <w:iCs w:val="0"/>
          <w:color w:val="auto"/>
          <w:highlight w:val="none"/>
        </w:rPr>
      </w:pPr>
      <w:r>
        <w:rPr>
          <w:rFonts w:eastAsia="仿宋_GB2312"/>
          <w:i w:val="0"/>
          <w:iCs w:val="0"/>
          <w:color w:val="auto"/>
          <w:highlight w:val="none"/>
        </w:rPr>
        <w:t>承包人未提交劳动合同，以及没有为项目经理缴纳社会保险证明的违约责任：</w:t>
      </w:r>
      <w:r>
        <w:rPr>
          <w:rFonts w:hint="eastAsia" w:ascii="Times New Roman" w:hAnsi="Times New Roman" w:eastAsia="仿宋_GB2312" w:cs="Times New Roman"/>
          <w:i w:val="0"/>
          <w:iCs w:val="0"/>
          <w:color w:val="auto"/>
          <w:kern w:val="2"/>
          <w:highlight w:val="none"/>
          <w:u w:val="single"/>
        </w:rPr>
        <w:t>按国家法规及行业主管部门的相关制度进行处理</w:t>
      </w:r>
      <w:r>
        <w:rPr>
          <w:rFonts w:hint="eastAsia" w:eastAsia="仿宋_GB2312"/>
          <w:i w:val="0"/>
          <w:iCs w:val="0"/>
          <w:color w:val="auto"/>
          <w:kern w:val="2"/>
          <w:highlight w:val="none"/>
          <w:u w:val="single"/>
        </w:rPr>
        <w:t>　</w:t>
      </w:r>
      <w:r>
        <w:rPr>
          <w:rFonts w:eastAsia="仿宋_GB2312"/>
          <w:i w:val="0"/>
          <w:iCs w:val="0"/>
          <w:color w:val="auto"/>
          <w:kern w:val="2"/>
          <w:highlight w:val="none"/>
        </w:rPr>
        <w:t>。</w:t>
      </w:r>
    </w:p>
    <w:p w14:paraId="31B4DE4B">
      <w:pPr>
        <w:autoSpaceDE/>
        <w:autoSpaceDN/>
        <w:adjustRightInd/>
        <w:spacing w:line="400" w:lineRule="exact"/>
        <w:ind w:firstLine="480" w:firstLineChars="200"/>
        <w:jc w:val="both"/>
        <w:rPr>
          <w:rFonts w:eastAsia="仿宋_GB2312"/>
          <w:i w:val="0"/>
          <w:iCs w:val="0"/>
          <w:color w:val="auto"/>
          <w:kern w:val="2"/>
          <w:highlight w:val="none"/>
          <w:u w:val="single"/>
        </w:rPr>
      </w:pPr>
      <w:r>
        <w:rPr>
          <w:rFonts w:eastAsia="仿宋_GB2312"/>
          <w:i w:val="0"/>
          <w:iCs w:val="0"/>
          <w:color w:val="auto"/>
          <w:highlight w:val="none"/>
        </w:rPr>
        <w:t>项目经理未经批准，擅自离开施工现场的违约责任：</w:t>
      </w:r>
      <w:r>
        <w:rPr>
          <w:rFonts w:hint="eastAsia" w:ascii="Times New Roman" w:hAnsi="Times New Roman" w:eastAsia="仿宋_GB2312" w:cs="Times New Roman"/>
          <w:i w:val="0"/>
          <w:iCs w:val="0"/>
          <w:color w:val="auto"/>
          <w:kern w:val="2"/>
          <w:highlight w:val="none"/>
          <w:u w:val="single"/>
          <w:lang w:val="en-US" w:eastAsia="zh-CN"/>
        </w:rPr>
        <w:t>参照</w:t>
      </w:r>
      <w:bookmarkStart w:id="244" w:name="OLE_LINK6"/>
      <w:r>
        <w:rPr>
          <w:rFonts w:hint="eastAsia" w:ascii="Times New Roman" w:hAnsi="Times New Roman" w:eastAsia="仿宋_GB2312" w:cs="Times New Roman"/>
          <w:i w:val="0"/>
          <w:iCs w:val="0"/>
          <w:color w:val="auto"/>
          <w:kern w:val="2"/>
          <w:highlight w:val="none"/>
          <w:u w:val="single"/>
          <w:lang w:val="en-US" w:eastAsia="zh-CN"/>
        </w:rPr>
        <w:t>《绍兴市镜湖科技城开发服务有限公司建设工程参建单位关键岗位人员管理办法（试行）》</w:t>
      </w:r>
      <w:bookmarkEnd w:id="244"/>
      <w:r>
        <w:rPr>
          <w:rFonts w:hint="eastAsia" w:ascii="Times New Roman" w:hAnsi="Times New Roman" w:eastAsia="仿宋_GB2312" w:cs="Times New Roman"/>
          <w:i w:val="0"/>
          <w:iCs w:val="0"/>
          <w:color w:val="auto"/>
          <w:kern w:val="2"/>
          <w:highlight w:val="none"/>
          <w:u w:val="single"/>
          <w:lang w:val="en-US" w:eastAsia="zh-CN"/>
        </w:rPr>
        <w:t xml:space="preserve">执行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w:t>
      </w:r>
      <w:r>
        <w:rPr>
          <w:rFonts w:eastAsia="仿宋_GB2312"/>
          <w:i w:val="0"/>
          <w:iCs w:val="0"/>
          <w:color w:val="auto"/>
          <w:kern w:val="2"/>
          <w:highlight w:val="none"/>
        </w:rPr>
        <w:t>。</w:t>
      </w:r>
    </w:p>
    <w:p w14:paraId="54D2087A">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3.2.3 承包人擅自更换项目经理的违约责任：</w:t>
      </w:r>
      <w:r>
        <w:rPr>
          <w:rFonts w:hint="eastAsia" w:ascii="Times New Roman" w:hAnsi="Times New Roman" w:eastAsia="仿宋_GB2312" w:cs="Times New Roman"/>
          <w:i w:val="0"/>
          <w:iCs w:val="0"/>
          <w:color w:val="auto"/>
          <w:kern w:val="2"/>
          <w:highlight w:val="none"/>
          <w:u w:val="single"/>
          <w:lang w:val="en-US" w:eastAsia="zh-CN"/>
        </w:rPr>
        <w:t>参照《绍兴市镜湖科技城开发服务有限公司建设工程参建单位关键岗位人员管理办法（试行）》执行</w:t>
      </w:r>
      <w:r>
        <w:rPr>
          <w:rFonts w:eastAsia="仿宋_GB2312"/>
          <w:i w:val="0"/>
          <w:iCs w:val="0"/>
          <w:color w:val="auto"/>
          <w:kern w:val="2"/>
          <w:highlight w:val="none"/>
          <w:u w:val="single"/>
        </w:rPr>
        <w:t></w:t>
      </w:r>
      <w:r>
        <w:rPr>
          <w:rFonts w:eastAsia="仿宋_GB2312"/>
          <w:i w:val="0"/>
          <w:iCs w:val="0"/>
          <w:color w:val="auto"/>
          <w:kern w:val="2"/>
          <w:highlight w:val="none"/>
        </w:rPr>
        <w:t>。</w:t>
      </w:r>
    </w:p>
    <w:p w14:paraId="61E6D871">
      <w:pPr>
        <w:autoSpaceDE/>
        <w:autoSpaceDN/>
        <w:adjustRightInd/>
        <w:spacing w:line="400" w:lineRule="exact"/>
        <w:jc w:val="both"/>
        <w:outlineLvl w:val="0"/>
        <w:rPr>
          <w:rFonts w:eastAsia="仿宋_GB2312"/>
          <w:i w:val="0"/>
          <w:iCs w:val="0"/>
          <w:color w:val="auto"/>
          <w:kern w:val="2"/>
          <w:highlight w:val="none"/>
        </w:rPr>
      </w:pPr>
      <w:r>
        <w:rPr>
          <w:rFonts w:eastAsia="仿宋_GB2312"/>
          <w:i w:val="0"/>
          <w:iCs w:val="0"/>
          <w:color w:val="auto"/>
          <w:kern w:val="2"/>
          <w:highlight w:val="none"/>
        </w:rPr>
        <w:t xml:space="preserve">    </w:t>
      </w:r>
      <w:bookmarkStart w:id="245" w:name="_Toc1499"/>
      <w:r>
        <w:rPr>
          <w:rFonts w:eastAsia="仿宋_GB2312"/>
          <w:i w:val="0"/>
          <w:iCs w:val="0"/>
          <w:color w:val="auto"/>
          <w:kern w:val="2"/>
          <w:highlight w:val="none"/>
        </w:rPr>
        <w:t>3.2.4 承包人无正当理由拒绝更换项目经理的违约责任：</w:t>
      </w:r>
      <w:r>
        <w:rPr>
          <w:rFonts w:hint="eastAsia" w:ascii="Times New Roman" w:hAnsi="Times New Roman" w:eastAsia="仿宋_GB2312" w:cs="Times New Roman"/>
          <w:i w:val="0"/>
          <w:iCs w:val="0"/>
          <w:color w:val="auto"/>
          <w:kern w:val="2"/>
          <w:highlight w:val="none"/>
          <w:u w:val="single"/>
          <w:lang w:val="en-US" w:eastAsia="zh-CN"/>
        </w:rPr>
        <w:t>参照《绍兴市镜湖科技城开发服务有限公司建设工程参建单位关键岗位人员管理办法（试行）》执行</w:t>
      </w:r>
      <w:r>
        <w:rPr>
          <w:rFonts w:eastAsia="仿宋_GB2312"/>
          <w:i w:val="0"/>
          <w:iCs w:val="0"/>
          <w:color w:val="auto"/>
          <w:kern w:val="2"/>
          <w:highlight w:val="none"/>
        </w:rPr>
        <w:t>。</w:t>
      </w:r>
      <w:bookmarkEnd w:id="245"/>
    </w:p>
    <w:p w14:paraId="160A702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3.3 承包人人员</w:t>
      </w:r>
    </w:p>
    <w:p w14:paraId="3BC2BFA9">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3.3.1 承包人提交项目管理机构及施工现场管理人员安排报告的期限：</w:t>
      </w:r>
      <w:r>
        <w:rPr>
          <w:rFonts w:hint="eastAsia" w:ascii="Times New Roman" w:hAnsi="Times New Roman" w:eastAsia="仿宋_GB2312" w:cs="Times New Roman"/>
          <w:i w:val="0"/>
          <w:iCs w:val="0"/>
          <w:color w:val="auto"/>
          <w:kern w:val="2"/>
          <w:highlight w:val="none"/>
          <w:u w:val="single"/>
        </w:rPr>
        <w:t>中标通知书发出后5日内报送发包人</w:t>
      </w:r>
      <w:r>
        <w:rPr>
          <w:rFonts w:hint="eastAsia" w:ascii="Times New Roman" w:hAnsi="Times New Roman" w:eastAsia="仿宋_GB2312" w:cs="Times New Roman"/>
          <w:i w:val="0"/>
          <w:iCs w:val="0"/>
          <w:color w:val="auto"/>
          <w:kern w:val="2"/>
          <w:highlight w:val="none"/>
          <w:u w:val="single"/>
          <w:lang w:eastAsia="zh-CN"/>
        </w:rPr>
        <w:t>确认，人员配备需符合绍市建管[2013]69号规定，若发包人提出整改要求的，承包人必须在3天内整改完毕后再次报送发包人，整改时间超过3天的，在当月工程进度款中按1000元/天直接扣除</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01FEAD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3.3.3 承包人无正当理由拒绝撤换主要施工管理人员的违约责任：</w:t>
      </w:r>
      <w:r>
        <w:rPr>
          <w:rFonts w:hint="eastAsia" w:eastAsia="仿宋_GB2312"/>
          <w:i w:val="0"/>
          <w:iCs w:val="0"/>
          <w:color w:val="auto"/>
          <w:kern w:val="2"/>
          <w:highlight w:val="none"/>
          <w:u w:val="single"/>
        </w:rPr>
        <w:t>参照《</w:t>
      </w:r>
      <w:r>
        <w:rPr>
          <w:rFonts w:hint="eastAsia" w:eastAsia="仿宋_GB2312"/>
          <w:i w:val="0"/>
          <w:iCs w:val="0"/>
          <w:color w:val="auto"/>
          <w:kern w:val="2"/>
          <w:highlight w:val="none"/>
          <w:u w:val="single"/>
          <w:lang w:eastAsia="zh-CN"/>
        </w:rPr>
        <w:t>绍兴市镜湖科技城开发服务有限公司建设工程参建单位关键岗位人员管理办法（试行）</w:t>
      </w:r>
      <w:r>
        <w:rPr>
          <w:rFonts w:hint="eastAsia" w:eastAsia="仿宋_GB2312"/>
          <w:i w:val="0"/>
          <w:iCs w:val="0"/>
          <w:color w:val="auto"/>
          <w:kern w:val="2"/>
          <w:highlight w:val="none"/>
          <w:u w:val="single"/>
        </w:rPr>
        <w:t>》执行</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CBE1966">
      <w:pPr>
        <w:autoSpaceDE/>
        <w:autoSpaceDN/>
        <w:adjustRightInd/>
        <w:spacing w:line="400" w:lineRule="exact"/>
        <w:ind w:firstLine="480" w:firstLineChars="200"/>
        <w:jc w:val="both"/>
        <w:rPr>
          <w:rFonts w:eastAsia="仿宋_GB2312"/>
          <w:i w:val="0"/>
          <w:iCs w:val="0"/>
          <w:color w:val="auto"/>
          <w:kern w:val="2"/>
          <w:highlight w:val="none"/>
          <w:u w:val="single"/>
        </w:rPr>
      </w:pPr>
      <w:r>
        <w:rPr>
          <w:rFonts w:eastAsia="仿宋_GB2312"/>
          <w:i w:val="0"/>
          <w:iCs w:val="0"/>
          <w:color w:val="auto"/>
          <w:kern w:val="2"/>
          <w:highlight w:val="none"/>
        </w:rPr>
        <w:t>3.3.4 承包人主要施工管理人员离开施工现场的批准要求：</w:t>
      </w:r>
      <w:r>
        <w:rPr>
          <w:rFonts w:hint="eastAsia" w:eastAsia="仿宋_GB2312"/>
          <w:i w:val="0"/>
          <w:iCs w:val="0"/>
          <w:color w:val="auto"/>
          <w:kern w:val="2"/>
          <w:highlight w:val="none"/>
          <w:u w:val="single"/>
        </w:rPr>
        <w:t>人员配备表中载明的主要施工管理人员离开工地必须向监理工程师书面请假，获得同意后方可离开。承包人需严格按行业主管部门和发包人要求接受人员实名制考勤，建设单位根据实名制管理系统统计每月实际到岗率，若技术负责人考勤低于24天的差额天数按每天</w:t>
      </w:r>
      <w:r>
        <w:rPr>
          <w:rFonts w:hint="eastAsia" w:eastAsia="仿宋_GB2312"/>
          <w:i w:val="0"/>
          <w:iCs w:val="0"/>
          <w:color w:val="auto"/>
          <w:kern w:val="2"/>
          <w:highlight w:val="none"/>
          <w:u w:val="single"/>
          <w:lang w:val="en-US" w:eastAsia="zh-CN"/>
        </w:rPr>
        <w:t>50</w:t>
      </w:r>
      <w:r>
        <w:rPr>
          <w:rFonts w:hint="eastAsia" w:eastAsia="仿宋_GB2312"/>
          <w:i w:val="0"/>
          <w:iCs w:val="0"/>
          <w:color w:val="auto"/>
          <w:kern w:val="2"/>
          <w:highlight w:val="none"/>
          <w:u w:val="single"/>
        </w:rPr>
        <w:t>00元/人•天罚款直接从当期工程款中扣除；五大员考勤低于24天的差额天数按每天</w:t>
      </w:r>
      <w:r>
        <w:rPr>
          <w:rFonts w:hint="eastAsia" w:eastAsia="仿宋_GB2312"/>
          <w:i w:val="0"/>
          <w:iCs w:val="0"/>
          <w:color w:val="auto"/>
          <w:kern w:val="2"/>
          <w:highlight w:val="none"/>
          <w:u w:val="single"/>
          <w:lang w:val="en-US" w:eastAsia="zh-CN"/>
        </w:rPr>
        <w:t>1000</w:t>
      </w:r>
      <w:r>
        <w:rPr>
          <w:rFonts w:hint="eastAsia" w:eastAsia="仿宋_GB2312"/>
          <w:i w:val="0"/>
          <w:iCs w:val="0"/>
          <w:color w:val="auto"/>
          <w:kern w:val="2"/>
          <w:highlight w:val="none"/>
          <w:u w:val="single"/>
        </w:rPr>
        <w:t>元/人•天罚款直接从当期工程款中扣除。考勤弄虚作假按该月未到岗10天标准计取罚款</w:t>
      </w:r>
      <w:r>
        <w:rPr>
          <w:rFonts w:eastAsia="仿宋_GB2312"/>
          <w:i w:val="0"/>
          <w:iCs w:val="0"/>
          <w:color w:val="auto"/>
          <w:kern w:val="2"/>
          <w:highlight w:val="none"/>
        </w:rPr>
        <w:t>。</w:t>
      </w:r>
    </w:p>
    <w:p w14:paraId="2D1DC88D">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3.3.5承包人擅自更换主要施工管理人员的违约责任：</w:t>
      </w:r>
      <w:r>
        <w:rPr>
          <w:rFonts w:hint="eastAsia" w:eastAsia="仿宋_GB2312"/>
          <w:i w:val="0"/>
          <w:iCs w:val="0"/>
          <w:color w:val="auto"/>
          <w:kern w:val="2"/>
          <w:highlight w:val="none"/>
          <w:u w:val="single"/>
        </w:rPr>
        <w:t>参照《</w:t>
      </w:r>
      <w:r>
        <w:rPr>
          <w:rFonts w:hint="eastAsia" w:eastAsia="仿宋_GB2312"/>
          <w:i w:val="0"/>
          <w:iCs w:val="0"/>
          <w:color w:val="auto"/>
          <w:kern w:val="2"/>
          <w:highlight w:val="none"/>
          <w:u w:val="single"/>
          <w:lang w:eastAsia="zh-CN"/>
        </w:rPr>
        <w:t>绍兴市镜湖科技城开发服务有限公司建设工程参建单位关键岗位人员管理办法（试行）</w:t>
      </w:r>
      <w:r>
        <w:rPr>
          <w:rFonts w:hint="eastAsia" w:eastAsia="仿宋_GB2312"/>
          <w:i w:val="0"/>
          <w:iCs w:val="0"/>
          <w:color w:val="auto"/>
          <w:kern w:val="2"/>
          <w:highlight w:val="none"/>
          <w:u w:val="single"/>
        </w:rPr>
        <w:t>》执行</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839198B">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承包人主要施工管理人员擅自离开施工现场的违约责任：</w:t>
      </w:r>
      <w:r>
        <w:rPr>
          <w:rFonts w:hint="eastAsia" w:ascii="Times New Roman" w:hAnsi="Times New Roman" w:eastAsia="仿宋_GB2312" w:cs="Times New Roman"/>
          <w:i w:val="0"/>
          <w:iCs w:val="0"/>
          <w:color w:val="auto"/>
          <w:kern w:val="2"/>
          <w:highlight w:val="none"/>
          <w:u w:val="single"/>
          <w:lang w:val="en-US" w:eastAsia="zh-CN"/>
        </w:rPr>
        <w:t>参照《绍兴市镜湖科技城开发服务有限公司建设工程参建单位关键岗位人员管理办法（试行）》执行</w:t>
      </w:r>
      <w:r>
        <w:rPr>
          <w:rFonts w:eastAsia="仿宋_GB2312"/>
          <w:i w:val="0"/>
          <w:iCs w:val="0"/>
          <w:color w:val="auto"/>
          <w:kern w:val="2"/>
          <w:highlight w:val="none"/>
        </w:rPr>
        <w:t>。</w:t>
      </w:r>
    </w:p>
    <w:p w14:paraId="36FCD510">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3.3.6上述人员（包括项目负责人）到岗、更换处罚上限不超过合同总价</w:t>
      </w:r>
      <w:r>
        <w:rPr>
          <w:rFonts w:hint="eastAsia" w:ascii="Times New Roman" w:hAnsi="Times New Roman" w:eastAsia="仿宋_GB2312" w:cs="Times New Roman"/>
          <w:i w:val="0"/>
          <w:iCs w:val="0"/>
          <w:color w:val="auto"/>
          <w:kern w:val="2"/>
          <w:highlight w:val="none"/>
          <w:u w:val="single" w:color="auto"/>
          <w:lang w:val="en-US" w:eastAsia="zh-CN"/>
        </w:rPr>
        <w:t>3</w:t>
      </w:r>
      <w:r>
        <w:rPr>
          <w:rFonts w:hint="eastAsia" w:ascii="Times New Roman" w:hAnsi="Times New Roman" w:eastAsia="仿宋_GB2312" w:cs="Times New Roman"/>
          <w:i w:val="0"/>
          <w:iCs w:val="0"/>
          <w:color w:val="auto"/>
          <w:kern w:val="2"/>
          <w:highlight w:val="none"/>
          <w:u w:val="single" w:color="auto"/>
        </w:rPr>
        <w:t>%。相关处罚金额从就近一次支付款项中直接扣除。</w:t>
      </w:r>
    </w:p>
    <w:p w14:paraId="72C3481D">
      <w:pPr>
        <w:autoSpaceDE/>
        <w:autoSpaceDN/>
        <w:adjustRightInd/>
        <w:spacing w:line="400" w:lineRule="exact"/>
        <w:ind w:firstLine="482" w:firstLineChars="200"/>
        <w:rPr>
          <w:rFonts w:hint="eastAsia" w:ascii="Times New Roman" w:hAnsi="Times New Roman" w:eastAsia="仿宋_GB2312" w:cs="Times New Roman"/>
          <w:b/>
          <w:bCs/>
          <w:i w:val="0"/>
          <w:iCs w:val="0"/>
          <w:color w:val="auto"/>
          <w:kern w:val="2"/>
          <w:highlight w:val="none"/>
          <w:u w:val="single" w:color="auto"/>
          <w:lang w:eastAsia="zh-CN"/>
        </w:rPr>
      </w:pPr>
      <w:r>
        <w:rPr>
          <w:rFonts w:hint="eastAsia" w:ascii="Times New Roman" w:hAnsi="Times New Roman" w:eastAsia="仿宋_GB2312" w:cs="Times New Roman"/>
          <w:b/>
          <w:bCs/>
          <w:i w:val="0"/>
          <w:iCs w:val="0"/>
          <w:color w:val="auto"/>
          <w:kern w:val="2"/>
          <w:highlight w:val="none"/>
          <w:u w:val="single" w:color="auto"/>
        </w:rPr>
        <w:t>注：（1）免于追究承包人违约责任的变更情形</w:t>
      </w:r>
      <w:r>
        <w:rPr>
          <w:rFonts w:hint="eastAsia" w:ascii="Times New Roman" w:hAnsi="Times New Roman" w:eastAsia="仿宋_GB2312" w:cs="Times New Roman"/>
          <w:b/>
          <w:bCs/>
          <w:i w:val="0"/>
          <w:iCs w:val="0"/>
          <w:color w:val="auto"/>
          <w:kern w:val="2"/>
          <w:highlight w:val="none"/>
          <w:u w:val="single" w:color="auto"/>
          <w:lang w:eastAsia="zh-CN"/>
        </w:rPr>
        <w:t>：</w:t>
      </w:r>
    </w:p>
    <w:p w14:paraId="1059EFC0">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①原关键岗位人员死亡或不具有完全民事行为能力的【应提供死亡证明或精神疾病诊断证明（或鉴定证明，或法院判决）】；</w:t>
      </w:r>
    </w:p>
    <w:p w14:paraId="70A74965">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②因不可抗力因素导致原关键岗位人员无法履职，影响时间在90天及以上的（应提供相关不可抗力证据）；</w:t>
      </w:r>
    </w:p>
    <w:p w14:paraId="41E9117B">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③原关键岗位人员因患重大疾病或发生人身意外伤害导致无法从事施工现场管理工作的【应提供</w:t>
      </w:r>
      <w:r>
        <w:rPr>
          <w:rFonts w:hint="eastAsia" w:ascii="Times New Roman" w:hAnsi="Times New Roman" w:eastAsia="仿宋_GB2312" w:cs="Times New Roman"/>
          <w:i w:val="0"/>
          <w:iCs w:val="0"/>
          <w:color w:val="auto"/>
          <w:kern w:val="2"/>
          <w:highlight w:val="none"/>
          <w:u w:val="single" w:color="auto"/>
          <w:lang w:val="en-US" w:eastAsia="zh-CN"/>
        </w:rPr>
        <w:t>发包方指定的三级甲等</w:t>
      </w:r>
      <w:r>
        <w:rPr>
          <w:rFonts w:hint="eastAsia" w:ascii="Times New Roman" w:hAnsi="Times New Roman" w:eastAsia="仿宋_GB2312" w:cs="Times New Roman"/>
          <w:i w:val="0"/>
          <w:iCs w:val="0"/>
          <w:color w:val="auto"/>
          <w:kern w:val="2"/>
          <w:highlight w:val="none"/>
          <w:u w:val="single" w:color="auto"/>
        </w:rPr>
        <w:t>及以上医院开具的医学证明或伤病丧失劳动能力证明等。重大疾病参照中国保险行业协会制订的《重大疾病保险的疾病定义使用规范(2020 年修订版)》第3.1 条（重大疾病保险的疾病名称及疾病定义）中列明的31 种疾病认定】；</w:t>
      </w:r>
    </w:p>
    <w:p w14:paraId="67DBC1A8">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④非承包人原因导致工程停止建设，或暂停6个月以上，或领取中标通知书后未开工建设达6 个月以上的【应出具由建设单位签署意见盖章确认的书面材料】；</w:t>
      </w:r>
    </w:p>
    <w:p w14:paraId="4772DEFC">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⑤非承包人原因造成工程延期竣工，或有关法律法规政策变化，导致原关键岗位人员年龄超过从业资格规定的。</w:t>
      </w:r>
    </w:p>
    <w:p w14:paraId="3A4AA532">
      <w:pPr>
        <w:numPr>
          <w:ilvl w:val="0"/>
          <w:numId w:val="39"/>
        </w:numPr>
        <w:autoSpaceDE/>
        <w:autoSpaceDN/>
        <w:adjustRightInd/>
        <w:spacing w:line="400" w:lineRule="exact"/>
        <w:ind w:left="141" w:leftChars="0" w:hanging="9" w:firstLineChars="0"/>
        <w:rPr>
          <w:rFonts w:hint="eastAsia" w:ascii="Times New Roman" w:hAnsi="Times New Roman" w:eastAsia="仿宋_GB2312" w:cs="Times New Roman"/>
          <w:b/>
          <w:bCs/>
          <w:i w:val="0"/>
          <w:iCs w:val="0"/>
          <w:color w:val="auto"/>
          <w:kern w:val="2"/>
          <w:highlight w:val="none"/>
          <w:u w:val="single" w:color="auto"/>
        </w:rPr>
      </w:pPr>
      <w:r>
        <w:rPr>
          <w:rFonts w:hint="eastAsia" w:ascii="Times New Roman" w:hAnsi="Times New Roman" w:eastAsia="仿宋_GB2312" w:cs="Times New Roman"/>
          <w:b/>
          <w:bCs/>
          <w:i w:val="0"/>
          <w:iCs w:val="0"/>
          <w:color w:val="auto"/>
          <w:kern w:val="2"/>
          <w:highlight w:val="none"/>
          <w:u w:val="single" w:color="auto"/>
        </w:rPr>
        <w:t>应追究承包人违约责任的变更情形：</w:t>
      </w:r>
    </w:p>
    <w:p w14:paraId="747469BB">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①辞职、退休、变更注册离开原单位的；</w:t>
      </w:r>
    </w:p>
    <w:p w14:paraId="26ADE6B6">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②因违法违规行为不能继续从事施工现场管理工作的；</w:t>
      </w:r>
    </w:p>
    <w:p w14:paraId="5921001F">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③注册证书有效期满且未延续注册或被依法注销撤销的；</w:t>
      </w:r>
    </w:p>
    <w:p w14:paraId="793D0136">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④建设单位认定原岗位人员不能胜任工作，要求更换的；</w:t>
      </w:r>
    </w:p>
    <w:p w14:paraId="1064A6CE">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color="auto"/>
        </w:rPr>
      </w:pPr>
      <w:r>
        <w:rPr>
          <w:rFonts w:hint="eastAsia" w:ascii="Times New Roman" w:hAnsi="Times New Roman" w:eastAsia="仿宋_GB2312" w:cs="Times New Roman"/>
          <w:i w:val="0"/>
          <w:iCs w:val="0"/>
          <w:color w:val="auto"/>
          <w:kern w:val="2"/>
          <w:highlight w:val="none"/>
          <w:u w:val="single" w:color="auto"/>
        </w:rPr>
        <w:t>⑤申请单位提出经建设单位认可的其他理由需要变更人员的。</w:t>
      </w:r>
    </w:p>
    <w:p w14:paraId="75C22C0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w:t>
      </w:r>
      <w:bookmarkStart w:id="246" w:name="_Toc297216151"/>
      <w:bookmarkStart w:id="247" w:name="_Toc296890987"/>
      <w:bookmarkStart w:id="248" w:name="_Toc297120459"/>
      <w:bookmarkStart w:id="249" w:name="_Toc296944498"/>
      <w:bookmarkStart w:id="250" w:name="_Toc296347158"/>
      <w:bookmarkStart w:id="251" w:name="_Toc304295523"/>
      <w:bookmarkStart w:id="252" w:name="_Toc297123492"/>
      <w:bookmarkStart w:id="253" w:name="_Toc292559869"/>
      <w:bookmarkStart w:id="254" w:name="_Toc297048345"/>
      <w:bookmarkStart w:id="255" w:name="_Toc300934945"/>
      <w:bookmarkStart w:id="256" w:name="_Toc303539102"/>
      <w:bookmarkStart w:id="257" w:name="_Toc312677988"/>
      <w:bookmarkStart w:id="258" w:name="_Toc296891199"/>
      <w:bookmarkStart w:id="259" w:name="_Toc292559364"/>
      <w:bookmarkStart w:id="260" w:name="_Toc296346660"/>
      <w:bookmarkStart w:id="261" w:name="_Toc296503159"/>
      <w:r>
        <w:rPr>
          <w:rFonts w:eastAsia="黑体"/>
          <w:i w:val="0"/>
          <w:iCs w:val="0"/>
          <w:color w:val="auto"/>
          <w:kern w:val="2"/>
          <w:highlight w:val="none"/>
        </w:rPr>
        <w:t>.5 分包</w:t>
      </w:r>
    </w:p>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629095AE">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w:t>
      </w:r>
      <w:bookmarkStart w:id="262" w:name="_Toc296346661"/>
      <w:bookmarkStart w:id="263" w:name="_Toc297216152"/>
      <w:bookmarkStart w:id="264" w:name="_Toc292559870"/>
      <w:bookmarkStart w:id="265" w:name="_Toc297120460"/>
      <w:bookmarkStart w:id="266" w:name="_Toc296944499"/>
      <w:bookmarkStart w:id="267" w:name="_Toc296890988"/>
      <w:bookmarkStart w:id="268" w:name="_Toc303539103"/>
      <w:bookmarkStart w:id="269" w:name="_Toc297048346"/>
      <w:bookmarkStart w:id="270" w:name="_Toc296891200"/>
      <w:bookmarkStart w:id="271" w:name="_Toc300934946"/>
      <w:bookmarkStart w:id="272" w:name="_Toc296503160"/>
      <w:bookmarkStart w:id="273" w:name="_Toc296347159"/>
      <w:bookmarkStart w:id="274" w:name="_Toc304295524"/>
      <w:bookmarkStart w:id="275" w:name="_Toc292559365"/>
      <w:bookmarkStart w:id="276" w:name="_Toc297123493"/>
      <w:bookmarkStart w:id="277" w:name="_Toc312677989"/>
      <w:bookmarkStart w:id="278" w:name="_Toc318581158"/>
      <w:r>
        <w:rPr>
          <w:rFonts w:eastAsia="仿宋_GB2312"/>
          <w:i w:val="0"/>
          <w:iCs w:val="0"/>
          <w:color w:val="auto"/>
          <w:kern w:val="2"/>
          <w:highlight w:val="none"/>
        </w:rPr>
        <w:t>.5.1 分包的一般约定</w:t>
      </w:r>
    </w:p>
    <w:p w14:paraId="0D5896B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禁止分包的工程包括：</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承包人自身有资质可以施工的，一律不得分包</w:t>
      </w:r>
      <w:r>
        <w:rPr>
          <w:rFonts w:hint="eastAsia" w:ascii="Times New Roman" w:hAnsi="Times New Roman" w:eastAsia="仿宋_GB2312" w:cs="Times New Roman"/>
          <w:i w:val="0"/>
          <w:iCs w:val="0"/>
          <w:color w:val="auto"/>
          <w:kern w:val="2"/>
          <w:highlight w:val="none"/>
          <w:u w:val="single"/>
        </w:rPr>
        <w:t>，否则发包人有权解除工程承包合同，并由承包人承担违约责任</w:t>
      </w:r>
      <w:r>
        <w:rPr>
          <w:rFonts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E187839">
      <w:pPr>
        <w:autoSpaceDE/>
        <w:autoSpaceDN/>
        <w:adjustRightInd/>
        <w:spacing w:line="400" w:lineRule="exact"/>
        <w:rPr>
          <w:rFonts w:eastAsia="仿宋_GB2312"/>
          <w:i w:val="0"/>
          <w:iCs w:val="0"/>
          <w:color w:val="auto"/>
          <w:kern w:val="2"/>
          <w:highlight w:val="none"/>
          <w:u w:val="single"/>
        </w:rPr>
      </w:pPr>
      <w:r>
        <w:rPr>
          <w:rFonts w:eastAsia="仿宋_GB2312"/>
          <w:i w:val="0"/>
          <w:iCs w:val="0"/>
          <w:color w:val="auto"/>
          <w:kern w:val="2"/>
          <w:highlight w:val="none"/>
        </w:rPr>
        <w:t>主体结构、关键性工作的范围：</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本工程主体结构的施工以及发包人认为关键性的施工工作，必须由承包人自行完成</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Start w:id="279" w:name="_Toc296347160"/>
      <w:bookmarkStart w:id="280" w:name="_Toc297120461"/>
      <w:bookmarkStart w:id="281" w:name="_Toc297048347"/>
      <w:bookmarkStart w:id="282" w:name="_Toc296503161"/>
      <w:bookmarkStart w:id="283" w:name="_Toc296891201"/>
      <w:bookmarkStart w:id="284" w:name="_Toc296944500"/>
      <w:bookmarkStart w:id="285" w:name="_Toc297216153"/>
      <w:bookmarkStart w:id="286" w:name="_Toc296890989"/>
      <w:bookmarkStart w:id="287" w:name="_Toc304295525"/>
      <w:bookmarkStart w:id="288" w:name="_Toc297123494"/>
      <w:bookmarkStart w:id="289" w:name="_Toc296346662"/>
      <w:bookmarkStart w:id="290" w:name="_Toc303539104"/>
      <w:bookmarkStart w:id="291" w:name="_Toc300934947"/>
    </w:p>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14:paraId="1276E62E">
      <w:pPr>
        <w:autoSpaceDE/>
        <w:autoSpaceDN/>
        <w:adjustRightInd/>
        <w:spacing w:line="400" w:lineRule="exact"/>
        <w:jc w:val="both"/>
        <w:rPr>
          <w:rFonts w:eastAsia="仿宋_GB2312"/>
          <w:i w:val="0"/>
          <w:iCs w:val="0"/>
          <w:color w:val="auto"/>
          <w:kern w:val="2"/>
          <w:highlight w:val="none"/>
        </w:rPr>
      </w:pPr>
      <w:r>
        <w:rPr>
          <w:rFonts w:eastAsia="仿宋_GB2312"/>
          <w:i w:val="0"/>
          <w:iCs w:val="0"/>
          <w:color w:val="auto"/>
          <w:kern w:val="2"/>
          <w:highlight w:val="none"/>
        </w:rPr>
        <w:t xml:space="preserve">    3</w:t>
      </w:r>
      <w:bookmarkStart w:id="292" w:name="_Toc312677990"/>
      <w:bookmarkStart w:id="293" w:name="_Toc318581159"/>
      <w:r>
        <w:rPr>
          <w:rFonts w:eastAsia="仿宋_GB2312"/>
          <w:i w:val="0"/>
          <w:iCs w:val="0"/>
          <w:color w:val="auto"/>
          <w:kern w:val="2"/>
          <w:highlight w:val="none"/>
        </w:rPr>
        <w:t>.5.2分包的确定</w:t>
      </w:r>
    </w:p>
    <w:p w14:paraId="02F92F75">
      <w:pPr>
        <w:autoSpaceDE/>
        <w:autoSpaceDN/>
        <w:adjustRightInd/>
        <w:spacing w:line="400" w:lineRule="exact"/>
        <w:ind w:firstLine="480" w:firstLineChars="200"/>
        <w:jc w:val="both"/>
        <w:rPr>
          <w:rFonts w:eastAsia="仿宋_GB2312"/>
          <w:i w:val="0"/>
          <w:iCs w:val="0"/>
          <w:color w:val="auto"/>
          <w:kern w:val="2"/>
          <w:highlight w:val="none"/>
          <w:u w:val="single"/>
        </w:rPr>
      </w:pPr>
      <w:r>
        <w:rPr>
          <w:rFonts w:eastAsia="仿宋_GB2312"/>
          <w:i w:val="0"/>
          <w:iCs w:val="0"/>
          <w:color w:val="auto"/>
          <w:kern w:val="2"/>
          <w:highlight w:val="none"/>
        </w:rPr>
        <w:t>允许分包的专业工程包括：</w:t>
      </w:r>
      <w:r>
        <w:rPr>
          <w:rFonts w:hint="eastAsia" w:ascii="Times New Roman" w:hAnsi="Times New Roman" w:eastAsia="仿宋_GB2312" w:cs="Times New Roman"/>
          <w:i w:val="0"/>
          <w:iCs w:val="0"/>
          <w:color w:val="auto"/>
          <w:kern w:val="2"/>
          <w:highlight w:val="none"/>
          <w:u w:val="single"/>
          <w:lang w:val="en-US" w:eastAsia="zh-CN"/>
        </w:rPr>
        <w:t>非主体、非关键性施工项目</w:t>
      </w:r>
      <w:r>
        <w:rPr>
          <w:rFonts w:eastAsia="仿宋_GB2312"/>
          <w:i w:val="0"/>
          <w:iCs w:val="0"/>
          <w:color w:val="auto"/>
          <w:kern w:val="2"/>
          <w:highlight w:val="none"/>
        </w:rPr>
        <w:t>。</w:t>
      </w:r>
    </w:p>
    <w:p w14:paraId="3C55772F">
      <w:pPr>
        <w:autoSpaceDE/>
        <w:autoSpaceDN/>
        <w:adjustRightInd/>
        <w:spacing w:line="400" w:lineRule="exact"/>
        <w:ind w:firstLine="480" w:firstLineChars="200"/>
        <w:jc w:val="both"/>
        <w:rPr>
          <w:rFonts w:hint="eastAsia" w:ascii="Times New Roman" w:hAnsi="Times New Roman" w:eastAsia="仿宋_GB2312" w:cs="Times New Roman"/>
          <w:i w:val="0"/>
          <w:iCs w:val="0"/>
          <w:color w:val="auto"/>
          <w:kern w:val="2"/>
          <w:highlight w:val="none"/>
          <w:u w:val="single"/>
          <w:lang w:val="en-US" w:eastAsia="zh-CN"/>
        </w:rPr>
      </w:pPr>
      <w:r>
        <w:rPr>
          <w:rFonts w:eastAsia="仿宋_GB2312"/>
          <w:i w:val="0"/>
          <w:iCs w:val="0"/>
          <w:color w:val="auto"/>
          <w:kern w:val="2"/>
          <w:highlight w:val="none"/>
        </w:rPr>
        <w:t>其他关于分包的约定：</w:t>
      </w:r>
      <w:r>
        <w:rPr>
          <w:rFonts w:hint="eastAsia" w:eastAsia="仿宋_GB2312" w:cs="Times New Roman"/>
          <w:i w:val="0"/>
          <w:iCs w:val="0"/>
          <w:color w:val="auto"/>
          <w:kern w:val="2"/>
          <w:highlight w:val="none"/>
          <w:u w:val="single"/>
          <w:lang w:val="en-US" w:eastAsia="zh-CN"/>
        </w:rPr>
        <w:t>①</w:t>
      </w:r>
      <w:r>
        <w:rPr>
          <w:rFonts w:hint="eastAsia" w:ascii="Times New Roman" w:hAnsi="Times New Roman" w:eastAsia="仿宋_GB2312" w:cs="Times New Roman"/>
          <w:i w:val="0"/>
          <w:iCs w:val="0"/>
          <w:color w:val="auto"/>
          <w:kern w:val="2"/>
          <w:highlight w:val="none"/>
          <w:u w:val="single"/>
          <w:lang w:val="en-US" w:eastAsia="zh-CN"/>
        </w:rPr>
        <w:t>关于以暂估价形式计入本次招标范围内的专业工程，后期具备招标条件时，由总包单位和发包人联合作为招标人进行依法招标。招标时产生的交易服务费、公证费、评审专家费及评审相关费用等一切费用由总承包单位承担。招标流程、招标方案需在招标工作启动前1个月由发包人审核，发包人有权审核审定招标文件。如因总包单位配合响应度无法满足发包人要求，导致相关招标延误的，延误时间按10000元/天处以违约金。该违约金在进度款支付时直接扣缴。</w:t>
      </w:r>
      <w:r>
        <w:rPr>
          <w:rFonts w:hint="eastAsia" w:eastAsia="仿宋_GB2312" w:cs="Times New Roman"/>
          <w:i w:val="0"/>
          <w:iCs w:val="0"/>
          <w:color w:val="auto"/>
          <w:kern w:val="2"/>
          <w:highlight w:val="none"/>
          <w:u w:val="single"/>
          <w:lang w:val="en-US" w:eastAsia="zh-CN"/>
        </w:rPr>
        <w:t>②</w:t>
      </w:r>
      <w:r>
        <w:rPr>
          <w:rFonts w:hint="eastAsia" w:ascii="Times New Roman" w:hAnsi="Times New Roman" w:eastAsia="仿宋_GB2312" w:cs="Times New Roman"/>
          <w:i w:val="0"/>
          <w:iCs w:val="0"/>
          <w:color w:val="auto"/>
          <w:kern w:val="2"/>
          <w:highlight w:val="none"/>
          <w:u w:val="single"/>
          <w:lang w:val="en-US" w:eastAsia="zh-CN"/>
        </w:rPr>
        <w:t>其他非主体、非关键性施工项目，若承包单位无资质承接需分包的项目须经发包人同意并确认，否则不允许分包，允许承包单位与有相关资质的单位协作完成，但相关费用不再增加，并由承包单位负总责</w:t>
      </w:r>
    </w:p>
    <w:p w14:paraId="5ACD8070">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3.5.4 分包合同价款</w:t>
      </w:r>
    </w:p>
    <w:p w14:paraId="621E11B2">
      <w:pPr>
        <w:autoSpaceDE/>
        <w:autoSpaceDN/>
        <w:adjustRightInd/>
        <w:spacing w:line="400" w:lineRule="exact"/>
        <w:ind w:firstLine="480" w:firstLineChars="200"/>
        <w:jc w:val="both"/>
        <w:rPr>
          <w:rFonts w:eastAsia="仿宋_GB2312"/>
          <w:i w:val="0"/>
          <w:iCs w:val="0"/>
          <w:color w:val="auto"/>
          <w:kern w:val="2"/>
          <w:highlight w:val="none"/>
        </w:rPr>
      </w:pPr>
      <w:r>
        <w:rPr>
          <w:rFonts w:eastAsia="仿宋_GB2312"/>
          <w:i w:val="0"/>
          <w:iCs w:val="0"/>
          <w:color w:val="auto"/>
          <w:kern w:val="2"/>
          <w:highlight w:val="none"/>
        </w:rPr>
        <w:t>关于分包合同价款支付的约定：</w:t>
      </w:r>
      <w:r>
        <w:rPr>
          <w:rFonts w:eastAsia="仿宋_GB2312"/>
          <w:i w:val="0"/>
          <w:iCs w:val="0"/>
          <w:color w:val="auto"/>
          <w:kern w:val="2"/>
          <w:highlight w:val="none"/>
          <w:u w:val="single"/>
        </w:rPr>
        <w:t></w:t>
      </w:r>
      <w:r>
        <w:rPr>
          <w:rFonts w:hint="eastAsia" w:ascii="Times New Roman" w:hAnsi="Times New Roman" w:eastAsia="仿宋_GB2312" w:cs="Times New Roman"/>
          <w:i w:val="0"/>
          <w:iCs w:val="0"/>
          <w:strike w:val="0"/>
          <w:dstrike w:val="0"/>
          <w:color w:val="auto"/>
          <w:kern w:val="2"/>
          <w:highlight w:val="none"/>
          <w:u w:val="single"/>
          <w:lang w:val="en-US" w:eastAsia="zh-CN"/>
        </w:rPr>
        <w:t>/</w:t>
      </w:r>
      <w:r>
        <w:rPr>
          <w:rFonts w:eastAsia="仿宋_GB2312"/>
          <w:i w:val="0"/>
          <w:iCs w:val="0"/>
          <w:color w:val="auto"/>
          <w:kern w:val="2"/>
          <w:highlight w:val="none"/>
        </w:rPr>
        <w:t>。</w:t>
      </w:r>
    </w:p>
    <w:bookmarkEnd w:id="292"/>
    <w:bookmarkEnd w:id="293"/>
    <w:p w14:paraId="14A4C2F0">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3.6 工程照管与成品、半成品保护</w:t>
      </w:r>
    </w:p>
    <w:p w14:paraId="06891323">
      <w:pPr>
        <w:autoSpaceDE/>
        <w:autoSpaceDN/>
        <w:adjustRightInd/>
        <w:spacing w:before="120" w:after="120" w:line="400" w:lineRule="exact"/>
        <w:ind w:firstLine="480" w:firstLineChars="200"/>
        <w:jc w:val="both"/>
        <w:rPr>
          <w:rFonts w:eastAsia="仿宋_GB2312"/>
          <w:i w:val="0"/>
          <w:iCs w:val="0"/>
          <w:color w:val="auto"/>
          <w:highlight w:val="none"/>
          <w:u w:val="single"/>
        </w:rPr>
      </w:pPr>
      <w:r>
        <w:rPr>
          <w:rFonts w:eastAsia="仿宋_GB2312"/>
          <w:i w:val="0"/>
          <w:iCs w:val="0"/>
          <w:color w:val="auto"/>
          <w:highlight w:val="none"/>
        </w:rPr>
        <w:t>承包人负责照管工程及工程相关的材料、工程设备的起始时间：</w:t>
      </w:r>
      <w:r>
        <w:rPr>
          <w:rFonts w:hint="eastAsia" w:ascii="Times New Roman" w:hAnsi="Times New Roman" w:eastAsia="仿宋_GB2312" w:cs="Times New Roman"/>
          <w:i w:val="0"/>
          <w:iCs w:val="0"/>
          <w:color w:val="auto"/>
          <w:highlight w:val="none"/>
          <w:u w:val="single"/>
        </w:rPr>
        <w:t>已竣工工程未交付发包人验收之前的成品保护由承包人负责，费用由承包人承担</w:t>
      </w:r>
      <w:r>
        <w:rPr>
          <w:rFonts w:eastAsia="仿宋_GB2312"/>
          <w:i w:val="0"/>
          <w:iCs w:val="0"/>
          <w:color w:val="auto"/>
          <w:highlight w:val="none"/>
          <w:u w:val="single"/>
        </w:rPr>
        <w:t xml:space="preserve"> </w:t>
      </w:r>
      <w:r>
        <w:rPr>
          <w:rFonts w:eastAsia="仿宋_GB2312"/>
          <w:i w:val="0"/>
          <w:iCs w:val="0"/>
          <w:color w:val="auto"/>
          <w:highlight w:val="none"/>
        </w:rPr>
        <w:t>。</w:t>
      </w:r>
    </w:p>
    <w:p w14:paraId="24255D00">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3.7 履约担保</w:t>
      </w:r>
    </w:p>
    <w:p w14:paraId="4D416583">
      <w:pPr>
        <w:autoSpaceDE/>
        <w:autoSpaceDN/>
        <w:adjustRightInd/>
        <w:spacing w:line="400" w:lineRule="exact"/>
        <w:ind w:firstLine="480" w:firstLineChars="200"/>
        <w:rPr>
          <w:rFonts w:hint="eastAsia" w:eastAsia="仿宋_GB2312"/>
          <w:i w:val="0"/>
          <w:iCs w:val="0"/>
          <w:color w:val="auto"/>
          <w:kern w:val="2"/>
          <w:highlight w:val="none"/>
        </w:rPr>
      </w:pPr>
      <w:r>
        <w:rPr>
          <w:rFonts w:hint="eastAsia" w:eastAsia="仿宋_GB2312"/>
          <w:i w:val="0"/>
          <w:iCs w:val="0"/>
          <w:color w:val="auto"/>
          <w:kern w:val="2"/>
          <w:highlight w:val="none"/>
        </w:rPr>
        <w:t>承包人是否提供履约担保：</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提供</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0EB20A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承包人提供履约担保的形式</w:t>
      </w:r>
      <w:r>
        <w:rPr>
          <w:rFonts w:hint="eastAsia" w:eastAsia="仿宋_GB2312"/>
          <w:i w:val="0"/>
          <w:iCs w:val="0"/>
          <w:color w:val="auto"/>
          <w:kern w:val="2"/>
          <w:highlight w:val="none"/>
        </w:rPr>
        <w:t>、金额及期限的</w:t>
      </w:r>
      <w:r>
        <w:rPr>
          <w:rFonts w:eastAsia="仿宋_GB2312"/>
          <w:i w:val="0"/>
          <w:iCs w:val="0"/>
          <w:color w:val="auto"/>
          <w:kern w:val="2"/>
          <w:highlight w:val="none"/>
        </w:rPr>
        <w:t>：</w:t>
      </w:r>
      <w:r>
        <w:rPr>
          <w:rFonts w:hint="eastAsia" w:ascii="Times New Roman" w:hAnsi="Times New Roman" w:eastAsia="仿宋_GB2312" w:cs="Times New Roman"/>
          <w:i w:val="0"/>
          <w:iCs w:val="0"/>
          <w:color w:val="auto"/>
          <w:kern w:val="2"/>
          <w:highlight w:val="none"/>
          <w:u w:val="single"/>
          <w:lang w:eastAsia="zh-CN"/>
        </w:rPr>
        <w:t>可采用</w:t>
      </w:r>
      <w:r>
        <w:rPr>
          <w:rFonts w:hint="eastAsia" w:ascii="Times New Roman" w:hAnsi="Times New Roman" w:eastAsia="仿宋_GB2312" w:cs="Times New Roman"/>
          <w:i w:val="0"/>
          <w:iCs w:val="0"/>
          <w:color w:val="auto"/>
          <w:kern w:val="2"/>
          <w:highlight w:val="none"/>
          <w:u w:val="single"/>
        </w:rPr>
        <w:t>现金、支票、汇票、转账、银行保函、融资担保公司保函或者保险机构保证、保险、保单</w:t>
      </w:r>
      <w:r>
        <w:rPr>
          <w:rFonts w:eastAsia="仿宋_GB2312"/>
          <w:i w:val="0"/>
          <w:iCs w:val="0"/>
          <w:color w:val="auto"/>
          <w:kern w:val="2"/>
          <w:highlight w:val="none"/>
        </w:rPr>
        <w:t>。</w:t>
      </w:r>
    </w:p>
    <w:p w14:paraId="15BA0AFB">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担保金额：按照《关于在全省工程建设领域改革保证金制度的通知》（浙建〔2020〕7 号）文件规定办理。本项目履约担保金额为合同价的 2%（含工期、质量各 1.0%），合同签订后 15 天内向发包人提交，在工程竣工验收合格后</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由承包人提出退款申请45</w:t>
      </w:r>
      <w:r>
        <w:rPr>
          <w:rFonts w:hint="eastAsia" w:ascii="Times New Roman" w:hAnsi="Times New Roman" w:eastAsia="仿宋_GB2312" w:cs="Times New Roman"/>
          <w:i w:val="0"/>
          <w:iCs w:val="0"/>
          <w:color w:val="auto"/>
          <w:kern w:val="2"/>
          <w:highlight w:val="none"/>
          <w:u w:val="single"/>
        </w:rPr>
        <w:t>日内承包人无合同违约情况时全额返还</w:t>
      </w:r>
      <w:r>
        <w:rPr>
          <w:rFonts w:hint="eastAsia" w:ascii="Times New Roman" w:hAnsi="Times New Roman" w:eastAsia="仿宋_GB2312" w:cs="Times New Roman"/>
          <w:i w:val="0"/>
          <w:iCs w:val="0"/>
          <w:color w:val="auto"/>
          <w:kern w:val="2"/>
          <w:highlight w:val="none"/>
          <w:u w:val="single"/>
          <w:lang w:eastAsia="zh-CN"/>
        </w:rPr>
        <w:t>（无息）</w:t>
      </w:r>
      <w:r>
        <w:rPr>
          <w:rFonts w:hint="eastAsia" w:ascii="Times New Roman" w:hAnsi="Times New Roman" w:eastAsia="仿宋_GB2312" w:cs="Times New Roman"/>
          <w:i w:val="0"/>
          <w:iCs w:val="0"/>
          <w:color w:val="auto"/>
          <w:kern w:val="2"/>
          <w:highlight w:val="none"/>
          <w:u w:val="single"/>
        </w:rPr>
        <w:t>。</w:t>
      </w:r>
    </w:p>
    <w:p w14:paraId="198B6E6A">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担保期限：自主合同生效之日起至工程合同约定的工程竣工验收合格之日后10日止。如采用保函形式，保证期满但项目尚未完成竣工验收的，承包人应办理保函接续手续，担保期限应满足合同约定要求。</w:t>
      </w:r>
    </w:p>
    <w:p w14:paraId="1844B7F1">
      <w:pPr>
        <w:keepNext/>
        <w:keepLines/>
        <w:spacing w:before="120" w:after="120" w:line="400" w:lineRule="exact"/>
        <w:jc w:val="both"/>
        <w:outlineLvl w:val="3"/>
        <w:rPr>
          <w:rFonts w:eastAsia="黑体"/>
          <w:bCs/>
          <w:i w:val="0"/>
          <w:iCs w:val="0"/>
          <w:color w:val="auto"/>
          <w:kern w:val="2"/>
          <w:highlight w:val="none"/>
        </w:rPr>
      </w:pPr>
      <w:bookmarkStart w:id="294" w:name="_Toc351203636"/>
      <w:r>
        <w:rPr>
          <w:rFonts w:eastAsia="黑体"/>
          <w:bCs/>
          <w:i w:val="0"/>
          <w:iCs w:val="0"/>
          <w:color w:val="auto"/>
          <w:kern w:val="2"/>
          <w:highlight w:val="none"/>
        </w:rPr>
        <w:t>4</w:t>
      </w:r>
      <w:bookmarkStart w:id="295" w:name="_Toc267251413"/>
      <w:bookmarkStart w:id="296" w:name="_Toc297048348"/>
      <w:bookmarkStart w:id="297" w:name="_Toc296890990"/>
      <w:bookmarkStart w:id="298" w:name="_Toc292559366"/>
      <w:bookmarkStart w:id="299" w:name="_Toc297120462"/>
      <w:bookmarkStart w:id="300" w:name="_Toc296891202"/>
      <w:bookmarkStart w:id="301" w:name="_Toc292559871"/>
      <w:bookmarkStart w:id="302" w:name="_Toc296346663"/>
      <w:bookmarkStart w:id="303" w:name="_Toc296347161"/>
      <w:bookmarkStart w:id="304" w:name="_Toc296944501"/>
      <w:bookmarkStart w:id="305" w:name="_Toc296503162"/>
      <w:r>
        <w:rPr>
          <w:rFonts w:eastAsia="黑体"/>
          <w:bCs/>
          <w:i w:val="0"/>
          <w:iCs w:val="0"/>
          <w:color w:val="auto"/>
          <w:kern w:val="2"/>
          <w:highlight w:val="none"/>
        </w:rPr>
        <w:t>. 监</w:t>
      </w:r>
      <w:bookmarkEnd w:id="295"/>
      <w:bookmarkEnd w:id="296"/>
      <w:bookmarkEnd w:id="297"/>
      <w:bookmarkEnd w:id="298"/>
      <w:bookmarkEnd w:id="299"/>
      <w:bookmarkEnd w:id="300"/>
      <w:bookmarkEnd w:id="301"/>
      <w:bookmarkEnd w:id="302"/>
      <w:bookmarkEnd w:id="303"/>
      <w:bookmarkEnd w:id="304"/>
      <w:bookmarkEnd w:id="305"/>
      <w:r>
        <w:rPr>
          <w:rFonts w:eastAsia="黑体"/>
          <w:bCs/>
          <w:i w:val="0"/>
          <w:iCs w:val="0"/>
          <w:color w:val="auto"/>
          <w:kern w:val="2"/>
          <w:highlight w:val="none"/>
        </w:rPr>
        <w:t>理人</w:t>
      </w:r>
      <w:bookmarkEnd w:id="294"/>
    </w:p>
    <w:p w14:paraId="20B1E140">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4.1监理人的一般规定</w:t>
      </w:r>
    </w:p>
    <w:p w14:paraId="4854A733">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关于监理人的监理内容：</w:t>
      </w:r>
      <w:r>
        <w:rPr>
          <w:rFonts w:hint="eastAsia" w:ascii="Times New Roman" w:hAnsi="Times New Roman" w:eastAsia="仿宋_GB2312" w:cs="Times New Roman"/>
          <w:i w:val="0"/>
          <w:iCs w:val="0"/>
          <w:color w:val="auto"/>
          <w:kern w:val="2"/>
          <w:highlight w:val="none"/>
          <w:u w:val="single"/>
        </w:rPr>
        <w:t>详见监理承包合同，监理范围从其施工范围</w:t>
      </w:r>
      <w:r>
        <w:rPr>
          <w:rFonts w:eastAsia="仿宋_GB2312"/>
          <w:i w:val="0"/>
          <w:iCs w:val="0"/>
          <w:color w:val="auto"/>
          <w:kern w:val="2"/>
          <w:highlight w:val="none"/>
        </w:rPr>
        <w:t>。</w:t>
      </w:r>
    </w:p>
    <w:p w14:paraId="461218B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关于监理人的监理权限：</w:t>
      </w:r>
      <w:r>
        <w:rPr>
          <w:rFonts w:hint="eastAsia" w:ascii="Times New Roman" w:hAnsi="Times New Roman" w:eastAsia="仿宋_GB2312" w:cs="Times New Roman"/>
          <w:i w:val="0"/>
          <w:iCs w:val="0"/>
          <w:color w:val="auto"/>
          <w:kern w:val="2"/>
          <w:highlight w:val="none"/>
          <w:u w:val="single"/>
        </w:rPr>
        <w:t>按照发包人与监理方签订的合同，依照合同和有关法律、法规、负责和主持整个项目的监理工作，在合同规定范围，对工程项目施工进行全过程监理（包括工程质量、工程进度、安全文明施工管理、工程量与工程款的审核等）</w:t>
      </w:r>
      <w:r>
        <w:rPr>
          <w:rFonts w:eastAsia="仿宋_GB2312"/>
          <w:i w:val="0"/>
          <w:iCs w:val="0"/>
          <w:color w:val="auto"/>
          <w:kern w:val="2"/>
          <w:highlight w:val="none"/>
        </w:rPr>
        <w:t xml:space="preserve">。 </w:t>
      </w:r>
    </w:p>
    <w:p w14:paraId="4E9F4F53">
      <w:pPr>
        <w:autoSpaceDE/>
        <w:autoSpaceDN/>
        <w:adjustRightInd/>
        <w:spacing w:line="400" w:lineRule="exact"/>
        <w:jc w:val="both"/>
        <w:rPr>
          <w:rFonts w:hint="eastAsia" w:eastAsia="仿宋_GB2312"/>
          <w:i w:val="0"/>
          <w:iCs w:val="0"/>
          <w:color w:val="auto"/>
          <w:kern w:val="2"/>
          <w:highlight w:val="none"/>
        </w:rPr>
      </w:pPr>
      <w:r>
        <w:rPr>
          <w:rFonts w:eastAsia="仿宋_GB2312"/>
          <w:i w:val="0"/>
          <w:iCs w:val="0"/>
          <w:color w:val="auto"/>
          <w:kern w:val="2"/>
          <w:highlight w:val="none"/>
        </w:rPr>
        <w:t>关于监理人在施工现场的办公场所、生活场所的提供和费用承担的约定：</w:t>
      </w:r>
      <w:r>
        <w:rPr>
          <w:rFonts w:hint="eastAsia" w:ascii="Times New Roman" w:hAnsi="Times New Roman" w:eastAsia="仿宋_GB2312" w:cs="Times New Roman"/>
          <w:i w:val="0"/>
          <w:iCs w:val="0"/>
          <w:color w:val="auto"/>
          <w:kern w:val="2"/>
          <w:highlight w:val="none"/>
          <w:u w:val="single"/>
        </w:rPr>
        <w:t xml:space="preserve">监理人在施工现场的办公场所由承包人负责，并提供除电子产品外的必要的办公设施供使用；承包人提供必需的宿舍给监理单位供其值班人员使用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D3503D7">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4.2 监理人员</w:t>
      </w:r>
    </w:p>
    <w:p w14:paraId="06E24709">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总监理工程师：</w:t>
      </w:r>
    </w:p>
    <w:p w14:paraId="0720D36E">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姓    名：</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2DBEFCA5">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职    务：</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1174DDB2">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监理工程师执业资格证书号：</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1102D5B2">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联系电话：</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3EB4D976">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电子信箱：</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75C96539">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通信地址：</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合同签订时明确</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429BB36F">
      <w:pPr>
        <w:autoSpaceDE/>
        <w:autoSpaceDN/>
        <w:adjustRightInd/>
        <w:spacing w:line="400" w:lineRule="exact"/>
        <w:ind w:firstLine="480" w:firstLineChars="200"/>
        <w:jc w:val="both"/>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关于监理人的其他约定：</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kern w:val="2"/>
          <w:highlight w:val="none"/>
          <w:u w:val="single"/>
        </w:rPr>
        <w:t>依据监理合同,但涉及设计变更、工期顺延、材料价格、用材、追加工程款、经济补偿等可能影响工程价款或工期的签证需经发包人共同签字确认，签证才有效</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1F31689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4.4 商定或确定</w:t>
      </w:r>
    </w:p>
    <w:p w14:paraId="61B85CE8">
      <w:pPr>
        <w:autoSpaceDE/>
        <w:autoSpaceDN/>
        <w:adjustRightInd/>
        <w:spacing w:line="400" w:lineRule="exact"/>
        <w:ind w:firstLine="480" w:firstLineChars="200"/>
        <w:jc w:val="both"/>
        <w:rPr>
          <w:rFonts w:eastAsia="仿宋_GB2312"/>
          <w:i w:val="0"/>
          <w:iCs w:val="0"/>
          <w:color w:val="auto"/>
          <w:kern w:val="2"/>
          <w:highlight w:val="none"/>
        </w:rPr>
      </w:pPr>
      <w:bookmarkStart w:id="306" w:name="_Toc267251418"/>
      <w:r>
        <w:rPr>
          <w:rFonts w:eastAsia="仿宋_GB2312"/>
          <w:i w:val="0"/>
          <w:iCs w:val="0"/>
          <w:color w:val="auto"/>
          <w:kern w:val="2"/>
          <w:highlight w:val="none"/>
        </w:rPr>
        <w:t>在发包人和承包人不能通过协商达成一致意见时，发包人授权监理人对以下事项进行确定：</w:t>
      </w:r>
    </w:p>
    <w:p w14:paraId="4CB55326">
      <w:pPr>
        <w:spacing w:line="400" w:lineRule="exact"/>
        <w:ind w:firstLine="480" w:firstLineChars="200"/>
        <w:rPr>
          <w:rFonts w:ascii="Times New Roman" w:hAnsi="Times New Roman" w:eastAsia="仿宋_GB2312" w:cs="Times New Roman"/>
          <w:i w:val="0"/>
          <w:iCs w:val="0"/>
          <w:color w:val="auto"/>
          <w:highlight w:val="none"/>
        </w:rPr>
      </w:pPr>
      <w:bookmarkStart w:id="307" w:name="_Toc351203637"/>
      <w:r>
        <w:rPr>
          <w:rFonts w:ascii="Times New Roman" w:hAnsi="Times New Roman" w:eastAsia="仿宋_GB2312" w:cs="Times New Roman"/>
          <w:i w:val="0"/>
          <w:iCs w:val="0"/>
          <w:color w:val="auto"/>
          <w:highlight w:val="none"/>
        </w:rPr>
        <w:t>（1）</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sz w:val="30"/>
          <w:szCs w:val="32"/>
          <w:highlight w:val="none"/>
          <w:u w:val="single"/>
        </w:rPr>
        <w:t>/</w:t>
      </w:r>
      <w:r>
        <w:rPr>
          <w:rFonts w:ascii="Times New Roman" w:hAnsi="Times New Roman" w:eastAsia="仿宋_GB2312" w:cs="Times New Roman"/>
          <w:i w:val="0"/>
          <w:iCs w:val="0"/>
          <w:color w:val="auto"/>
          <w:sz w:val="30"/>
          <w:szCs w:val="3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5E0B748D">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（2）</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sz w:val="30"/>
          <w:szCs w:val="32"/>
          <w:highlight w:val="none"/>
          <w:u w:val="single"/>
        </w:rPr>
        <w:t>/</w:t>
      </w:r>
      <w:r>
        <w:rPr>
          <w:rFonts w:ascii="Times New Roman" w:hAnsi="Times New Roman" w:eastAsia="仿宋_GB2312" w:cs="Times New Roman"/>
          <w:i w:val="0"/>
          <w:iCs w:val="0"/>
          <w:color w:val="auto"/>
          <w:sz w:val="30"/>
          <w:szCs w:val="3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22F6E54C">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（3）</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ascii="Times New Roman" w:hAnsi="Times New Roman" w:eastAsia="仿宋_GB2312" w:cs="Times New Roman"/>
          <w:i w:val="0"/>
          <w:iCs w:val="0"/>
          <w:color w:val="auto"/>
          <w:sz w:val="30"/>
          <w:szCs w:val="32"/>
          <w:highlight w:val="none"/>
          <w:u w:val="single"/>
        </w:rPr>
        <w:t>/</w:t>
      </w:r>
      <w:r>
        <w:rPr>
          <w:rFonts w:ascii="Times New Roman" w:hAnsi="Times New Roman" w:eastAsia="仿宋_GB2312" w:cs="Times New Roman"/>
          <w:i w:val="0"/>
          <w:iCs w:val="0"/>
          <w:color w:val="auto"/>
          <w:sz w:val="30"/>
          <w:szCs w:val="3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02E2BDC7">
      <w:pPr>
        <w:keepNext/>
        <w:keepLines/>
        <w:spacing w:before="120" w:after="120" w:line="400" w:lineRule="exact"/>
        <w:jc w:val="both"/>
        <w:outlineLvl w:val="3"/>
        <w:rPr>
          <w:rFonts w:eastAsia="黑体"/>
          <w:bCs/>
          <w:i w:val="0"/>
          <w:iCs w:val="0"/>
          <w:color w:val="auto"/>
          <w:kern w:val="2"/>
          <w:highlight w:val="none"/>
        </w:rPr>
      </w:pPr>
      <w:r>
        <w:rPr>
          <w:rFonts w:eastAsia="黑体"/>
          <w:bCs/>
          <w:i w:val="0"/>
          <w:iCs w:val="0"/>
          <w:color w:val="auto"/>
          <w:kern w:val="2"/>
          <w:highlight w:val="none"/>
        </w:rPr>
        <w:t>5</w:t>
      </w:r>
      <w:bookmarkEnd w:id="306"/>
      <w:bookmarkStart w:id="308" w:name="_Toc297120463"/>
      <w:bookmarkStart w:id="309" w:name="_Toc296346664"/>
      <w:bookmarkStart w:id="310" w:name="_Toc297048349"/>
      <w:bookmarkStart w:id="311" w:name="_Toc296347162"/>
      <w:bookmarkStart w:id="312" w:name="_Toc296891203"/>
      <w:bookmarkStart w:id="313" w:name="_Toc296890991"/>
      <w:bookmarkStart w:id="314" w:name="_Toc296503163"/>
      <w:bookmarkStart w:id="315" w:name="_Toc292559367"/>
      <w:bookmarkStart w:id="316" w:name="_Toc292559872"/>
      <w:bookmarkStart w:id="317" w:name="_Toc296944502"/>
      <w:r>
        <w:rPr>
          <w:rFonts w:eastAsia="黑体"/>
          <w:bCs/>
          <w:i w:val="0"/>
          <w:iCs w:val="0"/>
          <w:color w:val="auto"/>
          <w:kern w:val="2"/>
          <w:highlight w:val="none"/>
        </w:rPr>
        <w:t>. 工程质量</w:t>
      </w:r>
      <w:bookmarkEnd w:id="307"/>
    </w:p>
    <w:p w14:paraId="488859C8">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318" w:name="_Toc10232"/>
      <w:bookmarkStart w:id="319" w:name="_Toc351203638"/>
      <w:bookmarkStart w:id="320" w:name="_Toc304295527"/>
      <w:bookmarkStart w:id="321" w:name="_Toc300934949"/>
      <w:bookmarkStart w:id="322" w:name="_Toc297123496"/>
      <w:bookmarkStart w:id="323" w:name="_Toc303539106"/>
      <w:bookmarkStart w:id="324" w:name="_Toc318581164"/>
      <w:bookmarkStart w:id="325" w:name="_Toc297216155"/>
      <w:bookmarkStart w:id="326" w:name="_Toc312677997"/>
      <w:r>
        <w:rPr>
          <w:rFonts w:ascii="Times New Roman" w:hAnsi="Times New Roman" w:eastAsia="黑体" w:cs="Times New Roman"/>
          <w:i w:val="0"/>
          <w:iCs w:val="0"/>
          <w:color w:val="auto"/>
          <w:kern w:val="2"/>
          <w:highlight w:val="none"/>
        </w:rPr>
        <w:t>5.1 质量要求</w:t>
      </w:r>
      <w:bookmarkEnd w:id="318"/>
    </w:p>
    <w:p w14:paraId="714E2A00">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5.1.1 特殊质量标准和要求：</w:t>
      </w:r>
      <w:r>
        <w:rPr>
          <w:rFonts w:hint="eastAsia" w:ascii="Times New Roman" w:hAnsi="Times New Roman" w:eastAsia="仿宋_GB2312" w:cs="Times New Roman"/>
          <w:i w:val="0"/>
          <w:iCs w:val="0"/>
          <w:color w:val="auto"/>
          <w:kern w:val="2"/>
          <w:highlight w:val="none"/>
          <w:u w:val="single"/>
        </w:rPr>
        <w:t>符合现行国家有关工程施工验收规范和标准的合格要求。</w:t>
      </w:r>
      <w:r>
        <w:rPr>
          <w:rFonts w:ascii="Times New Roman" w:hAnsi="Times New Roman" w:eastAsia="仿宋_GB2312" w:cs="Times New Roman"/>
          <w:i w:val="0"/>
          <w:iCs w:val="0"/>
          <w:color w:val="auto"/>
          <w:kern w:val="2"/>
          <w:highlight w:val="none"/>
          <w:u w:val="single"/>
        </w:rPr>
        <w:t xml:space="preserve"> </w:t>
      </w:r>
    </w:p>
    <w:p w14:paraId="4BE98719">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关于工程奖项的约定：</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4B1D9D75">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327" w:name="_Toc20072"/>
      <w:r>
        <w:rPr>
          <w:rFonts w:ascii="Times New Roman" w:hAnsi="Times New Roman" w:eastAsia="黑体" w:cs="Times New Roman"/>
          <w:i w:val="0"/>
          <w:iCs w:val="0"/>
          <w:color w:val="auto"/>
          <w:kern w:val="2"/>
          <w:highlight w:val="none"/>
        </w:rPr>
        <w:t>5.3 隐蔽工程</w:t>
      </w:r>
      <w:bookmarkEnd w:id="327"/>
    </w:p>
    <w:p w14:paraId="34B2F9B1">
      <w:pPr>
        <w:autoSpaceDE/>
        <w:autoSpaceDN/>
        <w:adjustRightInd/>
        <w:spacing w:line="400" w:lineRule="exact"/>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lang w:val="en-US" w:eastAsia="zh-CN"/>
        </w:rPr>
        <w:t xml:space="preserve">    </w:t>
      </w:r>
      <w:r>
        <w:rPr>
          <w:rFonts w:ascii="Times New Roman" w:hAnsi="Times New Roman" w:eastAsia="仿宋_GB2312" w:cs="Times New Roman"/>
          <w:i w:val="0"/>
          <w:iCs w:val="0"/>
          <w:color w:val="auto"/>
          <w:kern w:val="2"/>
          <w:highlight w:val="none"/>
        </w:rPr>
        <w:t>5.3.2承包人提前通知监理人隐蔽工程检查的期限的约定：</w:t>
      </w:r>
      <w:r>
        <w:rPr>
          <w:rFonts w:hint="eastAsia" w:ascii="Times New Roman" w:hAnsi="Times New Roman" w:eastAsia="仿宋_GB2312" w:cs="Times New Roman"/>
          <w:i w:val="0"/>
          <w:iCs w:val="0"/>
          <w:color w:val="auto"/>
          <w:kern w:val="2"/>
          <w:highlight w:val="none"/>
          <w:u w:val="single"/>
        </w:rPr>
        <w:t>按国家有关规定、质监、监理、发包人要求办理</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C0E6762">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监理人不能按时进行检查时，应提前</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24</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小时提交书面延期要求。</w:t>
      </w:r>
    </w:p>
    <w:p w14:paraId="3642A1F0">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关于延期最长不得超过：</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48</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小时。</w:t>
      </w:r>
    </w:p>
    <w:p w14:paraId="660EF3F7">
      <w:pPr>
        <w:keepNext/>
        <w:keepLines/>
        <w:spacing w:before="120" w:after="120" w:line="400" w:lineRule="exact"/>
        <w:jc w:val="both"/>
        <w:outlineLvl w:val="3"/>
        <w:rPr>
          <w:rFonts w:eastAsia="黑体"/>
          <w:bCs/>
          <w:i w:val="0"/>
          <w:iCs w:val="0"/>
          <w:color w:val="auto"/>
          <w:kern w:val="2"/>
          <w:highlight w:val="none"/>
        </w:rPr>
      </w:pPr>
      <w:r>
        <w:rPr>
          <w:rFonts w:eastAsia="黑体"/>
          <w:bCs/>
          <w:i w:val="0"/>
          <w:iCs w:val="0"/>
          <w:color w:val="auto"/>
          <w:kern w:val="2"/>
          <w:highlight w:val="none"/>
        </w:rPr>
        <w:t>6. 安全文明施工与环境保护</w:t>
      </w:r>
      <w:bookmarkEnd w:id="319"/>
    </w:p>
    <w:p w14:paraId="789727C9">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6.1安全文明施工</w:t>
      </w:r>
    </w:p>
    <w:p w14:paraId="1D240A2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6.1.1 项目安全生产的达标目标及相应事项的约定：</w:t>
      </w:r>
      <w:r>
        <w:rPr>
          <w:rFonts w:hint="eastAsia" w:ascii="Times New Roman" w:hAnsi="Times New Roman" w:eastAsia="仿宋_GB2312" w:cs="Times New Roman"/>
          <w:i w:val="0"/>
          <w:iCs w:val="0"/>
          <w:color w:val="auto"/>
          <w:kern w:val="2"/>
          <w:highlight w:val="none"/>
          <w:u w:val="single"/>
        </w:rPr>
        <w:t>承包人在施工现场的安全管理、教育和安全事故责任由承包人承担。承包人应确保安全施工，按规定做好安全台帐，因承包人原因发生的施工安全事故，一切责任由承包人承担</w:t>
      </w:r>
      <w:r>
        <w:rPr>
          <w:rFonts w:eastAsia="仿宋_GB2312"/>
          <w:i w:val="0"/>
          <w:iCs w:val="0"/>
          <w:color w:val="auto"/>
          <w:kern w:val="2"/>
          <w:highlight w:val="none"/>
        </w:rPr>
        <w:t>。</w:t>
      </w:r>
    </w:p>
    <w:p w14:paraId="3259305A">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6.1.4 关于治安保卫的特别约定：</w:t>
      </w:r>
      <w:r>
        <w:rPr>
          <w:rFonts w:hint="eastAsia" w:ascii="Times New Roman" w:hAnsi="Times New Roman" w:eastAsia="仿宋_GB2312" w:cs="Times New Roman"/>
          <w:i w:val="0"/>
          <w:iCs w:val="0"/>
          <w:color w:val="auto"/>
          <w:kern w:val="2"/>
          <w:highlight w:val="none"/>
          <w:u w:val="single"/>
        </w:rPr>
        <w:t>施工期间承包人应遵守国家及当地政府发布的法令、法规及交通、绿化、噪音、外来民工登记、计划生育等管理规定。教育职工和民工遵纪守法，严禁打架、斗殴、赌博等违法行为发生。施工过程中造成一切人身、财产损害均由施工承包人负责</w:t>
      </w:r>
      <w:r>
        <w:rPr>
          <w:rFonts w:eastAsia="仿宋_GB2312"/>
          <w:i w:val="0"/>
          <w:iCs w:val="0"/>
          <w:color w:val="auto"/>
          <w:kern w:val="2"/>
          <w:highlight w:val="none"/>
        </w:rPr>
        <w:t>。</w:t>
      </w:r>
    </w:p>
    <w:p w14:paraId="4025E5BB">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关于编制施工场地治安管理计划的约定：</w:t>
      </w:r>
      <w:r>
        <w:rPr>
          <w:rFonts w:hint="eastAsia" w:ascii="Times New Roman" w:hAnsi="Times New Roman" w:eastAsia="仿宋_GB2312" w:cs="Times New Roman"/>
          <w:i w:val="0"/>
          <w:iCs w:val="0"/>
          <w:color w:val="auto"/>
          <w:kern w:val="2"/>
          <w:highlight w:val="none"/>
          <w:u w:val="single"/>
        </w:rPr>
        <w:t>承包人为施工场地治安管理计划和突发治安事件紧急预案的编制责任人</w:t>
      </w:r>
      <w:r>
        <w:rPr>
          <w:rFonts w:eastAsia="仿宋_GB2312"/>
          <w:i w:val="0"/>
          <w:iCs w:val="0"/>
          <w:color w:val="auto"/>
          <w:kern w:val="2"/>
          <w:highlight w:val="none"/>
        </w:rPr>
        <w:t>。</w:t>
      </w:r>
    </w:p>
    <w:p w14:paraId="33A61BE4">
      <w:pPr>
        <w:autoSpaceDE/>
        <w:autoSpaceDN/>
        <w:adjustRightInd/>
        <w:spacing w:line="400" w:lineRule="exact"/>
        <w:ind w:firstLine="480" w:firstLineChars="200"/>
        <w:rPr>
          <w:rFonts w:hint="eastAsia" w:eastAsia="仿宋_GB2312"/>
          <w:i w:val="0"/>
          <w:iCs w:val="0"/>
          <w:color w:val="auto"/>
          <w:kern w:val="2"/>
          <w:highlight w:val="none"/>
        </w:rPr>
      </w:pPr>
      <w:r>
        <w:rPr>
          <w:rFonts w:hint="eastAsia" w:eastAsia="仿宋_GB2312"/>
          <w:i w:val="0"/>
          <w:iCs w:val="0"/>
          <w:color w:val="auto"/>
          <w:kern w:val="2"/>
          <w:highlight w:val="none"/>
        </w:rPr>
        <w:t>6.1.5 文明施工</w:t>
      </w:r>
    </w:p>
    <w:p w14:paraId="665B19B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80" w:firstLineChars="200"/>
        <w:jc w:val="left"/>
        <w:textAlignment w:val="auto"/>
        <w:outlineLvl w:val="9"/>
        <w:rPr>
          <w:rFonts w:hint="eastAsia" w:ascii="Times New Roman" w:hAnsi="Times New Roman" w:eastAsia="仿宋_GB2312" w:cs="Times New Roman"/>
          <w:i w:val="0"/>
          <w:iCs w:val="0"/>
          <w:color w:val="auto"/>
          <w:kern w:val="2"/>
          <w:highlight w:val="none"/>
          <w:u w:val="single"/>
          <w:lang w:eastAsia="zh-CN"/>
        </w:rPr>
      </w:pPr>
      <w:r>
        <w:rPr>
          <w:rFonts w:hint="eastAsia" w:eastAsia="仿宋_GB2312"/>
          <w:i w:val="0"/>
          <w:iCs w:val="0"/>
          <w:color w:val="auto"/>
          <w:kern w:val="2"/>
          <w:highlight w:val="none"/>
        </w:rPr>
        <w:t>合同当事人对文明施工的要求：</w:t>
      </w:r>
      <w:r>
        <w:rPr>
          <w:rFonts w:hint="eastAsia" w:ascii="Times New Roman" w:hAnsi="Times New Roman" w:eastAsia="仿宋_GB2312" w:cs="Times New Roman"/>
          <w:i w:val="0"/>
          <w:iCs w:val="0"/>
          <w:color w:val="auto"/>
          <w:kern w:val="2"/>
          <w:highlight w:val="none"/>
          <w:u w:val="single"/>
        </w:rPr>
        <w:t>（1）承包人应按照省、市有关建筑工程施工现场标准化管理规定及</w:t>
      </w:r>
      <w:r>
        <w:rPr>
          <w:rFonts w:hint="eastAsia" w:ascii="Times New Roman" w:hAnsi="Times New Roman" w:eastAsia="仿宋_GB2312" w:cs="Times New Roman"/>
          <w:i w:val="0"/>
          <w:iCs w:val="0"/>
          <w:color w:val="auto"/>
          <w:kern w:val="2"/>
          <w:highlight w:val="none"/>
          <w:u w:val="single"/>
          <w:lang w:eastAsia="zh-CN"/>
        </w:rPr>
        <w:t>绍兴市镜湖开发集团有限公司、</w:t>
      </w:r>
      <w:r>
        <w:rPr>
          <w:rFonts w:hint="eastAsia" w:ascii="Times New Roman" w:hAnsi="Times New Roman" w:eastAsia="仿宋_GB2312" w:cs="Times New Roman"/>
          <w:i w:val="0"/>
          <w:iCs w:val="0"/>
          <w:color w:val="auto"/>
          <w:kern w:val="2"/>
          <w:highlight w:val="none"/>
          <w:u w:val="single"/>
          <w:lang w:val="en-US" w:eastAsia="zh-CN"/>
        </w:rPr>
        <w:t>镜湖科技城开发服务公司</w:t>
      </w:r>
      <w:r>
        <w:rPr>
          <w:rFonts w:hint="eastAsia" w:ascii="Times New Roman" w:hAnsi="Times New Roman" w:eastAsia="仿宋_GB2312" w:cs="Times New Roman"/>
          <w:i w:val="0"/>
          <w:iCs w:val="0"/>
          <w:color w:val="auto"/>
          <w:kern w:val="2"/>
          <w:highlight w:val="none"/>
          <w:u w:val="single"/>
        </w:rPr>
        <w:t>的相关要求组织施工，确保现场文明施工，为周边创造良好环境。由于承包人原因造成了损失，承包人除承担违约责任外，同时将对发包人及其他参建单位由此造成的直接损失进行赔偿；（2）承包人按</w:t>
      </w:r>
      <w:r>
        <w:rPr>
          <w:rFonts w:hint="eastAsia" w:ascii="Times New Roman" w:hAnsi="Times New Roman" w:eastAsia="仿宋_GB2312" w:cs="Times New Roman"/>
          <w:i w:val="0"/>
          <w:iCs w:val="0"/>
          <w:color w:val="auto"/>
          <w:kern w:val="2"/>
          <w:highlight w:val="none"/>
          <w:u w:val="single"/>
          <w:lang w:eastAsia="zh-CN"/>
        </w:rPr>
        <w:t>绍兴市镜湖开发集团有限公司、</w:t>
      </w:r>
      <w:r>
        <w:rPr>
          <w:rFonts w:hint="eastAsia" w:ascii="Times New Roman" w:hAnsi="Times New Roman" w:eastAsia="仿宋_GB2312" w:cs="Times New Roman"/>
          <w:i w:val="0"/>
          <w:iCs w:val="0"/>
          <w:color w:val="auto"/>
          <w:kern w:val="2"/>
          <w:highlight w:val="none"/>
          <w:u w:val="single"/>
          <w:lang w:val="en-US" w:eastAsia="zh-CN"/>
        </w:rPr>
        <w:t>镜湖科技城开发服务公司</w:t>
      </w:r>
      <w:r>
        <w:rPr>
          <w:rFonts w:hint="eastAsia" w:ascii="Times New Roman" w:hAnsi="Times New Roman" w:eastAsia="仿宋_GB2312" w:cs="Times New Roman"/>
          <w:i w:val="0"/>
          <w:iCs w:val="0"/>
          <w:color w:val="auto"/>
          <w:kern w:val="2"/>
          <w:highlight w:val="none"/>
          <w:u w:val="single"/>
        </w:rPr>
        <w:t>文明施工的通行标准或其出台的相关的指导文件做到文明施工，工完场清，保证施工场地清洁符合环境卫生管理的有关规定，承担因违反有关规定造成的损失和罚款；（3）在发包人或相关行业管理部门考核检查过程中如发现问题书面整改通知书下达后要求3天内整改完毕，同时按每次</w:t>
      </w:r>
      <w:r>
        <w:rPr>
          <w:rFonts w:hint="eastAsia" w:ascii="Times New Roman" w:hAnsi="Times New Roman" w:eastAsia="仿宋_GB2312" w:cs="Times New Roman"/>
          <w:i w:val="0"/>
          <w:iCs w:val="0"/>
          <w:color w:val="auto"/>
          <w:kern w:val="2"/>
          <w:highlight w:val="none"/>
          <w:u w:val="single"/>
          <w:lang w:val="en-US" w:eastAsia="zh-CN"/>
        </w:rPr>
        <w:t>10</w:t>
      </w:r>
      <w:r>
        <w:rPr>
          <w:rFonts w:hint="eastAsia" w:ascii="Times New Roman" w:hAnsi="Times New Roman" w:eastAsia="仿宋_GB2312" w:cs="Times New Roman"/>
          <w:i w:val="0"/>
          <w:iCs w:val="0"/>
          <w:color w:val="auto"/>
          <w:kern w:val="2"/>
          <w:highlight w:val="none"/>
          <w:u w:val="single"/>
        </w:rPr>
        <w:t>000元进行罚款，在工程款支付中直接扣除。（4）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r>
        <w:rPr>
          <w:rFonts w:hint="eastAsia" w:eastAsia="仿宋_GB2312"/>
          <w:i w:val="0"/>
          <w:iCs w:val="0"/>
          <w:color w:val="auto"/>
          <w:kern w:val="2"/>
          <w:highlight w:val="none"/>
        </w:rPr>
        <w:t>。</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5</w:t>
      </w:r>
      <w:r>
        <w:rPr>
          <w:rFonts w:hint="eastAsia" w:ascii="Times New Roman" w:hAnsi="Times New Roman" w:eastAsia="仿宋_GB2312" w:cs="Times New Roman"/>
          <w:i w:val="0"/>
          <w:iCs w:val="0"/>
          <w:color w:val="auto"/>
          <w:kern w:val="2"/>
          <w:highlight w:val="none"/>
          <w:u w:val="single"/>
          <w:lang w:eastAsia="zh-CN"/>
        </w:rPr>
        <w:t>）本工程发包人不另提供弃土、弃渣堆放场地及取土源，承包人应对施工现场及周边地区进行仔细踏勘， 自行考虑弃土、弃渣堆放场地及取土源；工程产生的废土、弃渣等外运应尽量做到日产日清，不得影响工程的施工进展，不得影响施工区域周边单位、居民的正常生活工作。因承包人处置不当而引起的相关监管部门处罚或周边单位居民的投诉，由承包人自行处理并承担相关责任和费用。（</w:t>
      </w:r>
      <w:r>
        <w:rPr>
          <w:rFonts w:hint="eastAsia" w:ascii="Times New Roman" w:hAnsi="Times New Roman" w:eastAsia="仿宋_GB2312" w:cs="Times New Roman"/>
          <w:i w:val="0"/>
          <w:iCs w:val="0"/>
          <w:color w:val="auto"/>
          <w:kern w:val="2"/>
          <w:highlight w:val="none"/>
          <w:u w:val="single"/>
          <w:lang w:val="en-US" w:eastAsia="zh-CN"/>
        </w:rPr>
        <w:t>6</w:t>
      </w:r>
      <w:r>
        <w:rPr>
          <w:rFonts w:hint="eastAsia" w:ascii="Times New Roman" w:hAnsi="Times New Roman" w:eastAsia="仿宋_GB2312" w:cs="Times New Roman"/>
          <w:i w:val="0"/>
          <w:iCs w:val="0"/>
          <w:color w:val="auto"/>
          <w:kern w:val="2"/>
          <w:highlight w:val="none"/>
          <w:u w:val="single"/>
          <w:lang w:eastAsia="zh-CN"/>
        </w:rPr>
        <w:t>）施工现场按建设工地要求配备车辆冲洗、扬尘控制等相关管理设施，按规定对渣土（泥浆）车次、出土方量等做好统一登记，</w:t>
      </w:r>
      <w:r>
        <w:rPr>
          <w:rFonts w:hint="eastAsia" w:ascii="Times New Roman" w:hAnsi="Times New Roman" w:eastAsia="仿宋_GB2312" w:cs="Times New Roman"/>
          <w:i w:val="0"/>
          <w:iCs w:val="0"/>
          <w:color w:val="auto"/>
          <w:kern w:val="2"/>
          <w:highlight w:val="none"/>
          <w:u w:val="single"/>
          <w:lang w:val="en-US" w:eastAsia="zh-CN"/>
        </w:rPr>
        <w:t>冲洗设施应符合行政管理部门规定</w:t>
      </w:r>
      <w:r>
        <w:rPr>
          <w:rFonts w:hint="eastAsia" w:ascii="Times New Roman" w:hAnsi="Times New Roman" w:eastAsia="仿宋_GB2312" w:cs="Times New Roman"/>
          <w:i w:val="0"/>
          <w:iCs w:val="0"/>
          <w:color w:val="auto"/>
          <w:kern w:val="2"/>
          <w:highlight w:val="none"/>
          <w:u w:val="single"/>
          <w:lang w:eastAsia="zh-CN"/>
        </w:rPr>
        <w:t>。</w:t>
      </w:r>
    </w:p>
    <w:p w14:paraId="28E1919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6.1.6 关于安全文明施工费支付比例和支付期限的约定：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按照通用条款</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bookmarkEnd w:id="320"/>
    <w:bookmarkEnd w:id="321"/>
    <w:bookmarkEnd w:id="322"/>
    <w:bookmarkEnd w:id="323"/>
    <w:bookmarkEnd w:id="324"/>
    <w:bookmarkEnd w:id="325"/>
    <w:bookmarkEnd w:id="326"/>
    <w:p w14:paraId="0D7A1BA2">
      <w:pPr>
        <w:keepNext/>
        <w:keepLines/>
        <w:spacing w:before="120" w:after="120" w:line="400" w:lineRule="exact"/>
        <w:jc w:val="both"/>
        <w:outlineLvl w:val="3"/>
        <w:rPr>
          <w:rFonts w:eastAsia="黑体"/>
          <w:bCs/>
          <w:i w:val="0"/>
          <w:iCs w:val="0"/>
          <w:color w:val="auto"/>
          <w:kern w:val="2"/>
          <w:highlight w:val="none"/>
        </w:rPr>
      </w:pPr>
      <w:bookmarkStart w:id="328" w:name="_Toc351203639"/>
      <w:r>
        <w:rPr>
          <w:rFonts w:eastAsia="黑体"/>
          <w:bCs/>
          <w:i w:val="0"/>
          <w:iCs w:val="0"/>
          <w:color w:val="auto"/>
          <w:kern w:val="2"/>
          <w:highlight w:val="none"/>
        </w:rPr>
        <w:t>7. 工期和进度</w:t>
      </w:r>
      <w:bookmarkEnd w:id="328"/>
    </w:p>
    <w:p w14:paraId="59C887C9">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7.1 施工组织设计</w:t>
      </w:r>
    </w:p>
    <w:p w14:paraId="5BFE01A0">
      <w:pPr>
        <w:autoSpaceDE/>
        <w:autoSpaceDN/>
        <w:adjustRightInd/>
        <w:spacing w:line="400" w:lineRule="exact"/>
        <w:ind w:firstLine="480" w:firstLineChars="200"/>
        <w:rPr>
          <w:rFonts w:eastAsia="仿宋_GB2312"/>
          <w:i w:val="0"/>
          <w:iCs w:val="0"/>
          <w:color w:val="auto"/>
          <w:highlight w:val="none"/>
        </w:rPr>
      </w:pPr>
      <w:r>
        <w:rPr>
          <w:rFonts w:eastAsia="仿宋_GB2312"/>
          <w:i w:val="0"/>
          <w:iCs w:val="0"/>
          <w:color w:val="auto"/>
          <w:kern w:val="2"/>
          <w:highlight w:val="none"/>
        </w:rPr>
        <w:t>7.1.</w:t>
      </w:r>
      <w:r>
        <w:rPr>
          <w:rFonts w:hint="eastAsia" w:eastAsia="仿宋_GB2312"/>
          <w:i w:val="0"/>
          <w:iCs w:val="0"/>
          <w:color w:val="auto"/>
          <w:kern w:val="2"/>
          <w:highlight w:val="none"/>
        </w:rPr>
        <w:t>1 合</w:t>
      </w:r>
      <w:r>
        <w:rPr>
          <w:rFonts w:hint="eastAsia" w:eastAsia="仿宋_GB2312"/>
          <w:i w:val="0"/>
          <w:iCs w:val="0"/>
          <w:color w:val="auto"/>
          <w:highlight w:val="none"/>
        </w:rPr>
        <w:t>同当事人约定的</w:t>
      </w:r>
      <w:r>
        <w:rPr>
          <w:rFonts w:eastAsia="仿宋_GB2312"/>
          <w:i w:val="0"/>
          <w:iCs w:val="0"/>
          <w:color w:val="auto"/>
          <w:highlight w:val="none"/>
        </w:rPr>
        <w:t>施工组织设计</w:t>
      </w:r>
      <w:r>
        <w:rPr>
          <w:rFonts w:hint="eastAsia" w:eastAsia="仿宋_GB2312"/>
          <w:i w:val="0"/>
          <w:iCs w:val="0"/>
          <w:color w:val="auto"/>
          <w:highlight w:val="none"/>
        </w:rPr>
        <w:t>应包括的其他内容</w:t>
      </w:r>
      <w:r>
        <w:rPr>
          <w:rFonts w:eastAsia="仿宋_GB2312"/>
          <w:i w:val="0"/>
          <w:iCs w:val="0"/>
          <w:color w:val="auto"/>
          <w:highlight w:val="none"/>
        </w:rPr>
        <w:t>：</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 xml:space="preserve">施工方案、施工现场平面布置图、施工进度计划和保证措施、劳动力及材料供应计划、施工机械设备的选用、质量保证体系及措施、安全生产和文明施工措施、环境保护和成本控制措施、合同当事人约定的其他内容  </w:t>
      </w:r>
      <w:r>
        <w:rPr>
          <w:rFonts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67FB5E5">
      <w:pPr>
        <w:spacing w:line="400" w:lineRule="exact"/>
        <w:ind w:firstLine="480" w:firstLineChars="200"/>
        <w:rPr>
          <w:rFonts w:eastAsia="仿宋_GB2312"/>
          <w:i w:val="0"/>
          <w:iCs w:val="0"/>
          <w:color w:val="auto"/>
          <w:highlight w:val="none"/>
        </w:rPr>
      </w:pPr>
      <w:r>
        <w:rPr>
          <w:rFonts w:eastAsia="仿宋_GB2312"/>
          <w:i w:val="0"/>
          <w:iCs w:val="0"/>
          <w:color w:val="auto"/>
          <w:kern w:val="2"/>
          <w:highlight w:val="none"/>
        </w:rPr>
        <w:t xml:space="preserve">7.1.2 </w:t>
      </w:r>
      <w:r>
        <w:rPr>
          <w:rFonts w:eastAsia="仿宋_GB2312"/>
          <w:i w:val="0"/>
          <w:iCs w:val="0"/>
          <w:color w:val="auto"/>
          <w:highlight w:val="none"/>
        </w:rPr>
        <w:t>施工组织设计的提交和修改</w:t>
      </w:r>
    </w:p>
    <w:p w14:paraId="4C76565F">
      <w:pPr>
        <w:autoSpaceDE/>
        <w:autoSpaceDN/>
        <w:adjustRightInd/>
        <w:spacing w:line="400" w:lineRule="exact"/>
        <w:ind w:firstLine="480" w:firstLineChars="200"/>
        <w:rPr>
          <w:rFonts w:hint="eastAsia" w:eastAsia="仿宋_GB2312"/>
          <w:i w:val="0"/>
          <w:iCs w:val="0"/>
          <w:color w:val="auto"/>
          <w:kern w:val="2"/>
          <w:highlight w:val="none"/>
        </w:rPr>
      </w:pPr>
      <w:r>
        <w:rPr>
          <w:rFonts w:ascii="Times New Roman" w:hAnsi="Times New Roman" w:eastAsia="仿宋_GB2312" w:cs="Times New Roman"/>
          <w:i w:val="0"/>
          <w:iCs w:val="0"/>
          <w:color w:val="auto"/>
          <w:kern w:val="2"/>
          <w:highlight w:val="none"/>
        </w:rPr>
        <w:t>承包人</w:t>
      </w:r>
      <w:r>
        <w:rPr>
          <w:rFonts w:eastAsia="仿宋_GB2312"/>
          <w:i w:val="0"/>
          <w:iCs w:val="0"/>
          <w:color w:val="auto"/>
          <w:highlight w:val="none"/>
        </w:rPr>
        <w:t>提交详细施工组织设计的期限的约定：</w:t>
      </w:r>
      <w:r>
        <w:rPr>
          <w:rFonts w:hint="eastAsia" w:ascii="Times New Roman" w:hAnsi="Times New Roman" w:eastAsia="仿宋_GB2312" w:cs="Times New Roman"/>
          <w:i w:val="0"/>
          <w:iCs w:val="0"/>
          <w:color w:val="auto"/>
          <w:kern w:val="2"/>
          <w:highlight w:val="none"/>
          <w:u w:val="single"/>
        </w:rPr>
        <w:t>承包人应在签订合同后</w:t>
      </w:r>
      <w:r>
        <w:rPr>
          <w:rFonts w:hint="eastAsia" w:ascii="Times New Roman" w:hAnsi="Times New Roman" w:eastAsia="仿宋_GB2312" w:cs="Times New Roman"/>
          <w:i w:val="0"/>
          <w:iCs w:val="0"/>
          <w:color w:val="auto"/>
          <w:kern w:val="2"/>
          <w:highlight w:val="none"/>
          <w:u w:val="single"/>
          <w:lang w:val="en-US" w:eastAsia="zh-CN"/>
        </w:rPr>
        <w:t>7</w:t>
      </w:r>
      <w:r>
        <w:rPr>
          <w:rFonts w:hint="eastAsia" w:ascii="Times New Roman" w:hAnsi="Times New Roman" w:eastAsia="仿宋_GB2312" w:cs="Times New Roman"/>
          <w:i w:val="0"/>
          <w:iCs w:val="0"/>
          <w:color w:val="auto"/>
          <w:kern w:val="2"/>
          <w:highlight w:val="none"/>
          <w:u w:val="single"/>
        </w:rPr>
        <w:t>日内提供修正的施工组织设计。发包人在规定时间内提出修改意见的，承包人应及时作出调整，若由于承包人原因未及时调整导致工期延期的，按30000元</w:t>
      </w:r>
      <w:r>
        <w:rPr>
          <w:rFonts w:hint="eastAsia" w:ascii="Times New Roman" w:hAnsi="Times New Roman" w:eastAsia="仿宋_GB2312" w:cs="Times New Roman"/>
          <w:i w:val="0"/>
          <w:iCs w:val="0"/>
          <w:color w:val="auto"/>
          <w:kern w:val="2"/>
          <w:highlight w:val="none"/>
          <w:u w:val="single"/>
          <w:lang w:val="en-US" w:eastAsia="zh-CN"/>
        </w:rPr>
        <w:t>/天</w:t>
      </w:r>
      <w:r>
        <w:rPr>
          <w:rFonts w:hint="eastAsia" w:ascii="Times New Roman" w:hAnsi="Times New Roman" w:eastAsia="仿宋_GB2312" w:cs="Times New Roman"/>
          <w:i w:val="0"/>
          <w:iCs w:val="0"/>
          <w:color w:val="auto"/>
          <w:kern w:val="2"/>
          <w:highlight w:val="none"/>
          <w:u w:val="single"/>
        </w:rPr>
        <w:t>进行罚款</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工期延期另行按本章7.5条款执行</w:t>
      </w:r>
      <w:r>
        <w:rPr>
          <w:rFonts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rPr>
        <w:t>。</w:t>
      </w:r>
    </w:p>
    <w:p w14:paraId="71B9D97D">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发包人和监理人在收到</w:t>
      </w:r>
      <w:r>
        <w:rPr>
          <w:rFonts w:hint="eastAsia" w:eastAsia="仿宋_GB2312"/>
          <w:i w:val="0"/>
          <w:iCs w:val="0"/>
          <w:color w:val="auto"/>
          <w:kern w:val="2"/>
          <w:highlight w:val="none"/>
        </w:rPr>
        <w:t>详细的施工组织设计</w:t>
      </w:r>
      <w:r>
        <w:rPr>
          <w:rFonts w:eastAsia="仿宋_GB2312"/>
          <w:i w:val="0"/>
          <w:iCs w:val="0"/>
          <w:color w:val="auto"/>
          <w:kern w:val="2"/>
          <w:highlight w:val="none"/>
        </w:rPr>
        <w:t>后确认或提出修改意见的期限：</w:t>
      </w:r>
      <w:r>
        <w:rPr>
          <w:rFonts w:hint="eastAsia" w:eastAsia="仿宋_GB2312"/>
          <w:i w:val="0"/>
          <w:iCs w:val="0"/>
          <w:color w:val="auto"/>
          <w:kern w:val="2"/>
          <w:highlight w:val="none"/>
          <w:u w:val="single"/>
        </w:rPr>
        <w:t>发包人应在收到详细的施工组织设计后7日内确认或提出修改意见</w:t>
      </w:r>
      <w:r>
        <w:rPr>
          <w:rFonts w:eastAsia="仿宋_GB2312"/>
          <w:i w:val="0"/>
          <w:iCs w:val="0"/>
          <w:color w:val="auto"/>
          <w:kern w:val="2"/>
          <w:highlight w:val="none"/>
        </w:rPr>
        <w:t>。</w:t>
      </w:r>
    </w:p>
    <w:p w14:paraId="7A4478C8">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w:t>
      </w:r>
      <w:bookmarkStart w:id="329" w:name="_Toc312678005"/>
      <w:bookmarkStart w:id="330" w:name="_Toc300934966"/>
      <w:bookmarkStart w:id="331" w:name="_Toc304295541"/>
      <w:bookmarkStart w:id="332" w:name="_Toc297216173"/>
      <w:bookmarkStart w:id="333" w:name="_Toc303539123"/>
      <w:bookmarkStart w:id="334" w:name="_Toc312677479"/>
      <w:bookmarkStart w:id="335" w:name="_Toc297123514"/>
      <w:r>
        <w:rPr>
          <w:rFonts w:eastAsia="黑体"/>
          <w:i w:val="0"/>
          <w:iCs w:val="0"/>
          <w:color w:val="auto"/>
          <w:kern w:val="2"/>
          <w:highlight w:val="none"/>
        </w:rPr>
        <w:t>.2 施工进度计划</w:t>
      </w:r>
    </w:p>
    <w:p w14:paraId="3A526C49">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7.2.2 施工进度计划的修订</w:t>
      </w:r>
    </w:p>
    <w:p w14:paraId="0259E6C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发包人和监理人在收到修订的施工进度计划后确认或提出修改意见的期限：</w:t>
      </w:r>
      <w:r>
        <w:rPr>
          <w:rFonts w:hint="eastAsia" w:eastAsia="仿宋_GB2312"/>
          <w:i w:val="0"/>
          <w:iCs w:val="0"/>
          <w:color w:val="auto"/>
          <w:kern w:val="2"/>
          <w:highlight w:val="none"/>
          <w:u w:val="single"/>
        </w:rPr>
        <w:t>承包人在开工前按合同工期要求编排施工进度计划，按周上报进度完成情况，进度计划的上报、考核按照招标人及上级主管部门的有关规定执行，由监理单位进行考核并作出处罚，承包人必须接受。在施工过程中若出现工程质量、进度等问题，在发包人3次书面通知后仍未能采取有效措施的，发包人有权单方终止合同，承包人向发包人支付合同价20％的违约金，发包人保留进一步索赔的权利</w:t>
      </w:r>
      <w:r>
        <w:rPr>
          <w:rFonts w:eastAsia="仿宋_GB2312"/>
          <w:i w:val="0"/>
          <w:iCs w:val="0"/>
          <w:color w:val="auto"/>
          <w:kern w:val="2"/>
          <w:highlight w:val="none"/>
        </w:rPr>
        <w:t>。</w:t>
      </w:r>
    </w:p>
    <w:p w14:paraId="7889EBC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7.3 开工</w:t>
      </w:r>
    </w:p>
    <w:p w14:paraId="7D40B10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7.3.1 开工准备</w:t>
      </w:r>
    </w:p>
    <w:p w14:paraId="1EC95FEA">
      <w:pPr>
        <w:autoSpaceDE/>
        <w:autoSpaceDN/>
        <w:adjustRightInd/>
        <w:spacing w:line="400" w:lineRule="exact"/>
        <w:ind w:firstLine="645"/>
        <w:rPr>
          <w:rFonts w:eastAsia="仿宋_GB2312"/>
          <w:i w:val="0"/>
          <w:iCs w:val="0"/>
          <w:color w:val="auto"/>
          <w:kern w:val="2"/>
          <w:highlight w:val="none"/>
          <w:u w:val="single"/>
        </w:rPr>
      </w:pPr>
      <w:r>
        <w:rPr>
          <w:rFonts w:eastAsia="仿宋_GB2312"/>
          <w:i w:val="0"/>
          <w:iCs w:val="0"/>
          <w:color w:val="auto"/>
          <w:kern w:val="2"/>
          <w:highlight w:val="none"/>
        </w:rPr>
        <w:t>关于承包人提交</w:t>
      </w:r>
      <w:r>
        <w:rPr>
          <w:rFonts w:eastAsia="仿宋_GB2312"/>
          <w:i w:val="0"/>
          <w:iCs w:val="0"/>
          <w:color w:val="auto"/>
          <w:highlight w:val="none"/>
        </w:rPr>
        <w:t>工程开工报审表的期限：</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发包人发出开工令3天内</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6948B22">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关于发包人应完成的其他开工准备工作及期限：</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sz w:val="30"/>
          <w:szCs w:val="32"/>
          <w:highlight w:val="none"/>
          <w:u w:val="single"/>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DFF416E">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关于承包人应完成的其他开工准备工作及期限：</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sz w:val="30"/>
          <w:szCs w:val="32"/>
          <w:highlight w:val="none"/>
          <w:u w:val="single"/>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1BBC962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7.3.2开工通知</w:t>
      </w:r>
    </w:p>
    <w:p w14:paraId="598054A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因发包人原因造成监理人未能在计划开工日期之日起</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180</w:t>
      </w:r>
      <w:r>
        <w:rPr>
          <w:rFonts w:eastAsia="仿宋_GB2312"/>
          <w:i w:val="0"/>
          <w:iCs w:val="0"/>
          <w:color w:val="auto"/>
          <w:kern w:val="2"/>
          <w:highlight w:val="none"/>
          <w:u w:val="single"/>
        </w:rPr>
        <w:t xml:space="preserve"> </w:t>
      </w:r>
      <w:r>
        <w:rPr>
          <w:rFonts w:eastAsia="仿宋_GB2312"/>
          <w:i w:val="0"/>
          <w:iCs w:val="0"/>
          <w:color w:val="auto"/>
          <w:kern w:val="2"/>
          <w:highlight w:val="none"/>
        </w:rPr>
        <w:t>天内发出开工通知的，承包人有权提出价格调整要求，或者解除合同。</w:t>
      </w:r>
    </w:p>
    <w:bookmarkEnd w:id="329"/>
    <w:bookmarkEnd w:id="330"/>
    <w:bookmarkEnd w:id="331"/>
    <w:bookmarkEnd w:id="332"/>
    <w:bookmarkEnd w:id="333"/>
    <w:bookmarkEnd w:id="334"/>
    <w:bookmarkEnd w:id="335"/>
    <w:p w14:paraId="3211CCE3">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7.4 测量放线</w:t>
      </w:r>
    </w:p>
    <w:p w14:paraId="30F3B222">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7.4.1发包人通过监理人向承包人提供测量基准点、基准线和水准点及其书面资料的期限：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开工前7天</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4B541F17">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w:t>
      </w:r>
      <w:bookmarkStart w:id="336" w:name="_Toc312678010"/>
      <w:bookmarkStart w:id="337" w:name="_Toc297123516"/>
      <w:bookmarkStart w:id="338" w:name="_Toc297216175"/>
      <w:bookmarkStart w:id="339" w:name="_Toc303539125"/>
      <w:bookmarkStart w:id="340" w:name="_Toc300934968"/>
      <w:bookmarkStart w:id="341" w:name="_Toc312677484"/>
      <w:bookmarkStart w:id="342" w:name="_Toc304295546"/>
      <w:r>
        <w:rPr>
          <w:rFonts w:eastAsia="黑体"/>
          <w:i w:val="0"/>
          <w:iCs w:val="0"/>
          <w:color w:val="auto"/>
          <w:kern w:val="2"/>
          <w:highlight w:val="none"/>
        </w:rPr>
        <w:t>.5 工期延误</w:t>
      </w:r>
    </w:p>
    <w:bookmarkEnd w:id="336"/>
    <w:bookmarkEnd w:id="337"/>
    <w:bookmarkEnd w:id="338"/>
    <w:bookmarkEnd w:id="339"/>
    <w:bookmarkEnd w:id="340"/>
    <w:bookmarkEnd w:id="341"/>
    <w:bookmarkEnd w:id="342"/>
    <w:p w14:paraId="292FF597">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7.5.1 因发包人原因导致工期延误</w:t>
      </w:r>
    </w:p>
    <w:p w14:paraId="0975871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（7）因发包人原因导致工期延误的其他情形：</w:t>
      </w:r>
      <w:r>
        <w:rPr>
          <w:rFonts w:hint="eastAsia" w:eastAsia="仿宋_GB2312"/>
          <w:i w:val="0"/>
          <w:iCs w:val="0"/>
          <w:color w:val="auto"/>
          <w:kern w:val="2"/>
          <w:highlight w:val="none"/>
          <w:u w:val="single"/>
        </w:rPr>
        <w:t>发包人应承担由此延误的工期</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2606BF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7</w:t>
      </w:r>
      <w:bookmarkStart w:id="343" w:name="_Toc312678012"/>
      <w:bookmarkStart w:id="344" w:name="_Toc318581169"/>
      <w:bookmarkStart w:id="345" w:name="_Toc312677486"/>
      <w:bookmarkStart w:id="346" w:name="_Toc297216177"/>
      <w:bookmarkStart w:id="347" w:name="_Toc297123518"/>
      <w:bookmarkStart w:id="348" w:name="_Toc303539127"/>
      <w:bookmarkStart w:id="349" w:name="_Toc300934970"/>
      <w:bookmarkStart w:id="350" w:name="_Toc304295548"/>
      <w:r>
        <w:rPr>
          <w:rFonts w:eastAsia="仿宋_GB2312"/>
          <w:i w:val="0"/>
          <w:iCs w:val="0"/>
          <w:color w:val="auto"/>
          <w:kern w:val="2"/>
          <w:highlight w:val="none"/>
        </w:rPr>
        <w:t>.5.2 因承包人原因导致工期延误</w:t>
      </w:r>
    </w:p>
    <w:bookmarkEnd w:id="343"/>
    <w:bookmarkEnd w:id="344"/>
    <w:bookmarkEnd w:id="345"/>
    <w:p w14:paraId="5B484179">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因</w:t>
      </w:r>
      <w:bookmarkStart w:id="351" w:name="_Toc312677487"/>
      <w:bookmarkStart w:id="352" w:name="_Toc312678013"/>
      <w:bookmarkStart w:id="353" w:name="_Toc318581170"/>
      <w:r>
        <w:rPr>
          <w:rFonts w:eastAsia="仿宋_GB2312"/>
          <w:i w:val="0"/>
          <w:iCs w:val="0"/>
          <w:color w:val="auto"/>
          <w:kern w:val="2"/>
          <w:highlight w:val="none"/>
        </w:rPr>
        <w:t>承包人原因造成工期延误，逾期竣工违约金的计算方法为：</w:t>
      </w:r>
    </w:p>
    <w:p w14:paraId="6938ACBE">
      <w:pPr>
        <w:autoSpaceDE/>
        <w:autoSpaceDN/>
        <w:adjustRightInd/>
        <w:spacing w:line="400" w:lineRule="exact"/>
        <w:rPr>
          <w:rFonts w:eastAsia="仿宋_GB2312"/>
          <w:i w:val="0"/>
          <w:iCs w:val="0"/>
          <w:color w:val="auto"/>
          <w:kern w:val="2"/>
          <w:highlight w:val="none"/>
        </w:rPr>
      </w:pPr>
      <w:r>
        <w:rPr>
          <w:rFonts w:hint="eastAsia" w:eastAsia="仿宋_GB2312"/>
          <w:i w:val="0"/>
          <w:iCs w:val="0"/>
          <w:color w:val="auto"/>
          <w:kern w:val="2"/>
          <w:highlight w:val="none"/>
          <w:u w:val="single"/>
        </w:rPr>
        <w:t>工期延误按</w:t>
      </w:r>
      <w:r>
        <w:rPr>
          <w:rFonts w:hint="eastAsia" w:eastAsia="仿宋_GB2312"/>
          <w:i w:val="0"/>
          <w:iCs w:val="0"/>
          <w:color w:val="auto"/>
          <w:kern w:val="2"/>
          <w:highlight w:val="none"/>
          <w:u w:val="single"/>
          <w:lang w:val="en-US" w:eastAsia="zh-CN"/>
        </w:rPr>
        <w:t>6</w:t>
      </w:r>
      <w:r>
        <w:rPr>
          <w:rFonts w:hint="eastAsia" w:eastAsia="仿宋_GB2312"/>
          <w:i w:val="0"/>
          <w:iCs w:val="0"/>
          <w:color w:val="auto"/>
          <w:kern w:val="2"/>
          <w:highlight w:val="none"/>
          <w:u w:val="single"/>
        </w:rPr>
        <w:t>0000元/天处罚。上述相关处罚金额从就近一次支付款项中直接扣除</w:t>
      </w:r>
      <w:r>
        <w:rPr>
          <w:rFonts w:eastAsia="仿宋_GB2312"/>
          <w:i w:val="0"/>
          <w:iCs w:val="0"/>
          <w:color w:val="auto"/>
          <w:kern w:val="2"/>
          <w:highlight w:val="none"/>
        </w:rPr>
        <w:t>。</w:t>
      </w:r>
      <w:bookmarkEnd w:id="346"/>
      <w:bookmarkEnd w:id="347"/>
      <w:bookmarkEnd w:id="348"/>
      <w:bookmarkEnd w:id="349"/>
      <w:bookmarkEnd w:id="350"/>
      <w:bookmarkEnd w:id="351"/>
      <w:bookmarkEnd w:id="352"/>
    </w:p>
    <w:bookmarkEnd w:id="353"/>
    <w:p w14:paraId="2D8F346E">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因承包人原因造成工期延误，逾</w:t>
      </w:r>
      <w:bookmarkStart w:id="354" w:name="_Toc312678014"/>
      <w:bookmarkStart w:id="355" w:name="_Toc318581171"/>
      <w:r>
        <w:rPr>
          <w:rFonts w:eastAsia="仿宋_GB2312"/>
          <w:i w:val="0"/>
          <w:iCs w:val="0"/>
          <w:color w:val="auto"/>
          <w:kern w:val="2"/>
          <w:highlight w:val="none"/>
        </w:rPr>
        <w:t>期竣工违约金的上限：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354"/>
    <w:bookmarkEnd w:id="355"/>
    <w:p w14:paraId="13400B1C">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w:t>
      </w:r>
      <w:bookmarkStart w:id="356" w:name="_Toc312678015"/>
      <w:bookmarkStart w:id="357" w:name="_Toc304295549"/>
      <w:bookmarkStart w:id="358" w:name="_Toc297216178"/>
      <w:bookmarkStart w:id="359" w:name="_Toc300934971"/>
      <w:bookmarkStart w:id="360" w:name="_Toc297123519"/>
      <w:bookmarkStart w:id="361" w:name="_Toc303539128"/>
      <w:r>
        <w:rPr>
          <w:rFonts w:eastAsia="黑体"/>
          <w:i w:val="0"/>
          <w:iCs w:val="0"/>
          <w:color w:val="auto"/>
          <w:kern w:val="2"/>
          <w:highlight w:val="none"/>
        </w:rPr>
        <w:t>.6 不</w:t>
      </w:r>
      <w:bookmarkEnd w:id="356"/>
      <w:bookmarkEnd w:id="357"/>
      <w:bookmarkEnd w:id="358"/>
      <w:bookmarkEnd w:id="359"/>
      <w:bookmarkEnd w:id="360"/>
      <w:bookmarkEnd w:id="361"/>
      <w:r>
        <w:rPr>
          <w:rFonts w:eastAsia="黑体"/>
          <w:i w:val="0"/>
          <w:iCs w:val="0"/>
          <w:color w:val="auto"/>
          <w:kern w:val="2"/>
          <w:highlight w:val="none"/>
        </w:rPr>
        <w:t>利物质条件</w:t>
      </w:r>
    </w:p>
    <w:p w14:paraId="20BBB60D">
      <w:pPr>
        <w:autoSpaceDE/>
        <w:autoSpaceDN/>
        <w:adjustRightInd/>
        <w:spacing w:line="400" w:lineRule="exact"/>
        <w:ind w:firstLine="480" w:firstLineChars="200"/>
        <w:rPr>
          <w:rFonts w:eastAsia="仿宋_GB2312"/>
          <w:i w:val="0"/>
          <w:iCs w:val="0"/>
          <w:color w:val="auto"/>
          <w:kern w:val="2"/>
          <w:highlight w:val="none"/>
        </w:rPr>
      </w:pPr>
      <w:bookmarkStart w:id="362" w:name="_Toc300934972"/>
      <w:bookmarkStart w:id="363" w:name="_Toc318581172"/>
      <w:bookmarkStart w:id="364" w:name="_Toc303539129"/>
      <w:bookmarkStart w:id="365" w:name="_Toc312678016"/>
      <w:bookmarkStart w:id="366" w:name="_Toc297123520"/>
      <w:bookmarkStart w:id="367" w:name="_Toc297216179"/>
      <w:bookmarkStart w:id="368" w:name="_Toc304295550"/>
      <w:r>
        <w:rPr>
          <w:rFonts w:eastAsia="仿宋_GB2312"/>
          <w:i w:val="0"/>
          <w:iCs w:val="0"/>
          <w:color w:val="auto"/>
          <w:kern w:val="2"/>
          <w:highlight w:val="none"/>
        </w:rPr>
        <w:t>不利物质条件的其他情形和有关约定：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按通用条款执行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362"/>
    <w:bookmarkEnd w:id="363"/>
    <w:bookmarkEnd w:id="364"/>
    <w:bookmarkEnd w:id="365"/>
    <w:bookmarkEnd w:id="366"/>
    <w:bookmarkEnd w:id="367"/>
    <w:bookmarkEnd w:id="368"/>
    <w:p w14:paraId="39BA3C6C">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7</w:t>
      </w:r>
      <w:bookmarkStart w:id="369" w:name="_Toc297123521"/>
      <w:bookmarkStart w:id="370" w:name="_Toc297216180"/>
      <w:bookmarkStart w:id="371" w:name="_Toc300934973"/>
      <w:bookmarkStart w:id="372" w:name="_Toc312678017"/>
      <w:bookmarkStart w:id="373" w:name="_Toc303539130"/>
      <w:bookmarkStart w:id="374" w:name="_Toc304295551"/>
      <w:r>
        <w:rPr>
          <w:rFonts w:eastAsia="黑体"/>
          <w:i w:val="0"/>
          <w:iCs w:val="0"/>
          <w:color w:val="auto"/>
          <w:kern w:val="2"/>
          <w:highlight w:val="none"/>
        </w:rPr>
        <w:t>.7异常恶劣的气候条件</w:t>
      </w:r>
    </w:p>
    <w:bookmarkEnd w:id="369"/>
    <w:bookmarkEnd w:id="370"/>
    <w:bookmarkEnd w:id="371"/>
    <w:bookmarkEnd w:id="372"/>
    <w:bookmarkEnd w:id="373"/>
    <w:bookmarkEnd w:id="374"/>
    <w:p w14:paraId="25787F0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发包人和承包人同意以下情形视为异常恶劣的气候条件：</w:t>
      </w:r>
    </w:p>
    <w:p w14:paraId="1872FAB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指项目所在地出现的百年一遇的恶劣气候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40E7E0E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政府有关部门通知停工的其它恶劣气候条件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641EDB7E">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（3）</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4B02E752">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375" w:name="_Toc20338"/>
      <w:r>
        <w:rPr>
          <w:rFonts w:eastAsia="黑体"/>
          <w:i w:val="0"/>
          <w:iCs w:val="0"/>
          <w:color w:val="auto"/>
          <w:kern w:val="2"/>
          <w:highlight w:val="none"/>
        </w:rPr>
        <w:t>7.9 提前竣工的奖励</w:t>
      </w:r>
      <w:bookmarkEnd w:id="375"/>
    </w:p>
    <w:p w14:paraId="66814DA9">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7.9.2提前竣工的奖励：</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不奖励  </w:t>
      </w:r>
      <w:r>
        <w:rPr>
          <w:rFonts w:eastAsia="仿宋_GB2312"/>
          <w:i w:val="0"/>
          <w:iCs w:val="0"/>
          <w:color w:val="auto"/>
          <w:kern w:val="2"/>
          <w:highlight w:val="none"/>
        </w:rPr>
        <w:t>。</w:t>
      </w:r>
    </w:p>
    <w:p w14:paraId="3194DB77">
      <w:pPr>
        <w:keepNext/>
        <w:keepLines/>
        <w:spacing w:before="120" w:after="120" w:line="400" w:lineRule="exact"/>
        <w:ind w:firstLine="480" w:firstLineChars="200"/>
        <w:jc w:val="both"/>
        <w:outlineLvl w:val="3"/>
        <w:rPr>
          <w:rFonts w:eastAsia="黑体"/>
          <w:bCs/>
          <w:i w:val="0"/>
          <w:iCs w:val="0"/>
          <w:color w:val="auto"/>
          <w:kern w:val="2"/>
          <w:highlight w:val="none"/>
        </w:rPr>
      </w:pPr>
      <w:bookmarkStart w:id="376" w:name="_Toc351203640"/>
      <w:r>
        <w:rPr>
          <w:rFonts w:eastAsia="黑体"/>
          <w:bCs/>
          <w:i w:val="0"/>
          <w:iCs w:val="0"/>
          <w:color w:val="auto"/>
          <w:kern w:val="2"/>
          <w:highlight w:val="none"/>
        </w:rPr>
        <w:t>8. 材料与设备</w:t>
      </w:r>
      <w:bookmarkEnd w:id="376"/>
    </w:p>
    <w:bookmarkEnd w:id="308"/>
    <w:bookmarkEnd w:id="309"/>
    <w:bookmarkEnd w:id="310"/>
    <w:bookmarkEnd w:id="311"/>
    <w:bookmarkEnd w:id="312"/>
    <w:bookmarkEnd w:id="313"/>
    <w:bookmarkEnd w:id="314"/>
    <w:bookmarkEnd w:id="315"/>
    <w:bookmarkEnd w:id="316"/>
    <w:bookmarkEnd w:id="317"/>
    <w:p w14:paraId="544909B8">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8</w:t>
      </w:r>
      <w:bookmarkStart w:id="377" w:name="_Toc304295556"/>
      <w:bookmarkStart w:id="378" w:name="_Toc296503167"/>
      <w:bookmarkStart w:id="379" w:name="_Toc297120467"/>
      <w:bookmarkStart w:id="380" w:name="_Toc300934979"/>
      <w:bookmarkStart w:id="381" w:name="_Toc296347166"/>
      <w:bookmarkStart w:id="382" w:name="_Toc292559372"/>
      <w:bookmarkStart w:id="383" w:name="_Toc296891207"/>
      <w:bookmarkStart w:id="384" w:name="_Toc303539136"/>
      <w:bookmarkStart w:id="385" w:name="_Toc296944506"/>
      <w:bookmarkStart w:id="386" w:name="_Toc280868654"/>
      <w:bookmarkStart w:id="387" w:name="_Toc296346668"/>
      <w:bookmarkStart w:id="388" w:name="_Toc297216186"/>
      <w:bookmarkStart w:id="389" w:name="_Toc297123527"/>
      <w:bookmarkStart w:id="390" w:name="_Toc297048353"/>
      <w:bookmarkStart w:id="391" w:name="_Toc312677493"/>
      <w:bookmarkStart w:id="392" w:name="_Toc296890995"/>
      <w:bookmarkStart w:id="393" w:name="_Toc312678019"/>
      <w:bookmarkStart w:id="394" w:name="_Toc292559877"/>
      <w:bookmarkStart w:id="395" w:name="_Toc280868656"/>
      <w:bookmarkStart w:id="396" w:name="_Toc280868655"/>
      <w:bookmarkStart w:id="397" w:name="_Toc267251424"/>
      <w:r>
        <w:rPr>
          <w:rFonts w:eastAsia="黑体"/>
          <w:i w:val="0"/>
          <w:iCs w:val="0"/>
          <w:color w:val="auto"/>
          <w:kern w:val="2"/>
          <w:highlight w:val="none"/>
        </w:rPr>
        <w:t>.4材料与工程设备的保管与使用</w:t>
      </w:r>
    </w:p>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14:paraId="476707A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8</w:t>
      </w:r>
      <w:bookmarkStart w:id="398" w:name="_Toc292559373"/>
      <w:bookmarkStart w:id="399" w:name="_Toc292559878"/>
      <w:bookmarkStart w:id="400" w:name="_Toc312677494"/>
      <w:bookmarkStart w:id="401" w:name="_Toc303539137"/>
      <w:bookmarkStart w:id="402" w:name="_Toc297120468"/>
      <w:bookmarkStart w:id="403" w:name="_Toc304295557"/>
      <w:bookmarkStart w:id="404" w:name="_Toc296891208"/>
      <w:bookmarkStart w:id="405" w:name="_Toc296346669"/>
      <w:bookmarkStart w:id="406" w:name="_Toc296503168"/>
      <w:bookmarkStart w:id="407" w:name="_Toc296890996"/>
      <w:bookmarkStart w:id="408" w:name="_Toc297123528"/>
      <w:bookmarkStart w:id="409" w:name="_Toc318581173"/>
      <w:bookmarkStart w:id="410" w:name="_Toc312678020"/>
      <w:bookmarkStart w:id="411" w:name="_Toc296347167"/>
      <w:bookmarkStart w:id="412" w:name="_Toc297216187"/>
      <w:bookmarkStart w:id="413" w:name="_Toc296944507"/>
      <w:bookmarkStart w:id="414" w:name="_Toc300934980"/>
      <w:bookmarkStart w:id="415" w:name="_Toc297048354"/>
      <w:r>
        <w:rPr>
          <w:rFonts w:eastAsia="仿宋_GB2312"/>
          <w:i w:val="0"/>
          <w:iCs w:val="0"/>
          <w:color w:val="auto"/>
          <w:kern w:val="2"/>
          <w:highlight w:val="none"/>
        </w:rPr>
        <w:t>.4.1发包人供应</w:t>
      </w:r>
      <w:r>
        <w:rPr>
          <w:rFonts w:ascii="Times New Roman" w:hAnsi="Times New Roman" w:eastAsia="仿宋_GB2312" w:cs="Times New Roman"/>
          <w:i w:val="0"/>
          <w:iCs w:val="0"/>
          <w:color w:val="auto"/>
          <w:kern w:val="2"/>
          <w:highlight w:val="none"/>
        </w:rPr>
        <w:t>的</w:t>
      </w:r>
      <w:r>
        <w:rPr>
          <w:rFonts w:eastAsia="仿宋_GB2312"/>
          <w:i w:val="0"/>
          <w:iCs w:val="0"/>
          <w:color w:val="auto"/>
          <w:kern w:val="2"/>
          <w:highlight w:val="none"/>
        </w:rPr>
        <w:t>材料设备的保管费用的承担：</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bookmarkEnd w:id="398"/>
      <w:bookmarkEnd w:id="399"/>
    </w:p>
    <w:p w14:paraId="2289B28C">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416" w:name="_Toc24371"/>
      <w:r>
        <w:rPr>
          <w:rFonts w:eastAsia="黑体"/>
          <w:i w:val="0"/>
          <w:iCs w:val="0"/>
          <w:color w:val="auto"/>
          <w:kern w:val="2"/>
          <w:highlight w:val="none"/>
        </w:rPr>
        <w:t>8.6 样品</w:t>
      </w:r>
      <w:bookmarkEnd w:id="416"/>
    </w:p>
    <w:p w14:paraId="54CD6488">
      <w:pPr>
        <w:spacing w:line="400" w:lineRule="exact"/>
        <w:ind w:firstLine="480" w:firstLineChars="200"/>
        <w:rPr>
          <w:rFonts w:eastAsia="仿宋_GB2312"/>
          <w:i w:val="0"/>
          <w:iCs w:val="0"/>
          <w:color w:val="auto"/>
          <w:highlight w:val="none"/>
        </w:rPr>
      </w:pPr>
      <w:r>
        <w:rPr>
          <w:rFonts w:eastAsia="仿宋_GB2312"/>
          <w:i w:val="0"/>
          <w:iCs w:val="0"/>
          <w:color w:val="auto"/>
          <w:highlight w:val="none"/>
        </w:rPr>
        <w:t>8.6.1</w:t>
      </w:r>
      <w:r>
        <w:rPr>
          <w:rFonts w:eastAsia="仿宋_GB2312"/>
          <w:i w:val="0"/>
          <w:iCs w:val="0"/>
          <w:color w:val="auto"/>
          <w:highlight w:val="none"/>
        </w:rPr>
        <w:tab/>
      </w:r>
      <w:r>
        <w:rPr>
          <w:rFonts w:eastAsia="仿宋_GB2312"/>
          <w:i w:val="0"/>
          <w:iCs w:val="0"/>
          <w:color w:val="auto"/>
          <w:highlight w:val="none"/>
        </w:rPr>
        <w:t>样品的报送</w:t>
      </w:r>
      <w:r>
        <w:rPr>
          <w:rFonts w:hint="eastAsia" w:eastAsia="仿宋_GB2312"/>
          <w:i w:val="0"/>
          <w:iCs w:val="0"/>
          <w:color w:val="auto"/>
          <w:highlight w:val="none"/>
        </w:rPr>
        <w:t>与封存</w:t>
      </w:r>
    </w:p>
    <w:p w14:paraId="178FFEF3">
      <w:pPr>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highlight w:val="none"/>
        </w:rPr>
        <w:t>需要承包人报送样品的材料或工程设备，样品的种类、名称、规格、数量要求：</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p>
    <w:p w14:paraId="022A8B41">
      <w:pPr>
        <w:spacing w:line="400" w:lineRule="exact"/>
        <w:rPr>
          <w:rFonts w:eastAsia="仿宋_GB2312"/>
          <w:i w:val="0"/>
          <w:iCs w:val="0"/>
          <w:color w:val="auto"/>
          <w:kern w:val="2"/>
          <w:highlight w:val="none"/>
        </w:rPr>
      </w:pPr>
      <w:r>
        <w:rPr>
          <w:rFonts w:hint="eastAsia" w:ascii="Times New Roman" w:hAnsi="Times New Roman" w:eastAsia="仿宋_GB2312" w:cs="Times New Roman"/>
          <w:i w:val="0"/>
          <w:iCs w:val="0"/>
          <w:color w:val="auto"/>
          <w:kern w:val="2"/>
          <w:highlight w:val="none"/>
          <w:u w:val="single"/>
          <w:lang w:eastAsia="zh-CN"/>
        </w:rPr>
        <w:t>本项目材料、设备进场，须严格按监理规范及相关管理规定要求进行验收，未经验收通过的材料、设备不得使用。关于国产材料、设备的进场验收要求：根据需要，费用较高、不便于运输、不便于更换的重要材料、设备出厂前，承包人应提前通知各方至工厂或产地验收，因承包人未通知或通知不及时导致相关责任及损失，由承包人承担。关于进口材料、设备的进场验收要求：材料、设备进场前，除常规出厂合格证、检测报告外，还需提供出口国出口报关单及完税凭证、国内进口报关单及完税凭证、原产地证明等材料，原产地证明须盖出口国当地商检机构或商会公章。上述材料不齐全的，不得进场使用。上述证明材料根据办理时序先后，承包人应及时、分批报发包人审核。发包人对承包人所投产品及材料设备参数有异议的，有权委托第三方检测机构进行检测，检测不合格的，发包人有权按本项目招标要求进行选择，投标报价不调整</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B731FD1">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417" w:name="_Toc26500"/>
      <w:r>
        <w:rPr>
          <w:rFonts w:eastAsia="黑体"/>
          <w:i w:val="0"/>
          <w:iCs w:val="0"/>
          <w:color w:val="auto"/>
          <w:kern w:val="2"/>
          <w:highlight w:val="none"/>
        </w:rPr>
        <w:t>8.8 施工设备和临时设施</w:t>
      </w:r>
      <w:bookmarkEnd w:id="417"/>
    </w:p>
    <w:p w14:paraId="7192600B">
      <w:pPr>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8.8.1 承包人提供的施工设备和临时设施</w:t>
      </w:r>
    </w:p>
    <w:p w14:paraId="7D97E75D">
      <w:pPr>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关于修建临时设施费用承担的约定：</w:t>
      </w:r>
      <w:r>
        <w:rPr>
          <w:rFonts w:hint="eastAsia" w:ascii="Times New Roman" w:hAnsi="Times New Roman" w:eastAsia="仿宋_GB2312" w:cs="Times New Roman"/>
          <w:i w:val="0"/>
          <w:iCs w:val="0"/>
          <w:color w:val="auto"/>
          <w:kern w:val="2"/>
          <w:highlight w:val="none"/>
          <w:u w:val="single"/>
          <w:lang w:eastAsia="zh-CN"/>
        </w:rPr>
        <w:t>需承包人自行安排临时设施搭设场地，相关费用由承包人自行承担。如需占用发包人提供场地外的其它土地，则相关手续和费用由承包人自行承担</w:t>
      </w:r>
      <w:r>
        <w:rPr>
          <w:rFonts w:eastAsia="仿宋_GB2312"/>
          <w:i w:val="0"/>
          <w:iCs w:val="0"/>
          <w:color w:val="auto"/>
          <w:kern w:val="2"/>
          <w:highlight w:val="none"/>
        </w:rPr>
        <w:t>。</w:t>
      </w:r>
    </w:p>
    <w:p w14:paraId="12E3DD46">
      <w:pPr>
        <w:spacing w:line="400" w:lineRule="exact"/>
        <w:ind w:firstLine="480" w:firstLineChars="200"/>
        <w:rPr>
          <w:rFonts w:eastAsia="仿宋_GB2312"/>
          <w:i w:val="0"/>
          <w:iCs w:val="0"/>
          <w:color w:val="auto"/>
          <w:kern w:val="2"/>
          <w:highlight w:val="none"/>
          <w:u w:val="single"/>
        </w:rPr>
      </w:pPr>
      <w:r>
        <w:rPr>
          <w:rFonts w:hint="eastAsia" w:eastAsia="仿宋_GB2312"/>
          <w:i w:val="0"/>
          <w:iCs w:val="0"/>
          <w:color w:val="auto"/>
          <w:kern w:val="2"/>
          <w:highlight w:val="none"/>
          <w:u w:val="single"/>
          <w:lang w:eastAsia="zh-CN"/>
        </w:rPr>
        <w:t>由于场地的局限性</w:t>
      </w:r>
      <w:r>
        <w:rPr>
          <w:rFonts w:hint="eastAsia" w:eastAsia="仿宋_GB2312"/>
          <w:i w:val="0"/>
          <w:iCs w:val="0"/>
          <w:color w:val="auto"/>
          <w:kern w:val="2"/>
          <w:highlight w:val="none"/>
          <w:u w:val="single"/>
        </w:rPr>
        <w:t>不能满足临建搭设、施工等需求，需租地或借地，则由承包人自行考虑租地或借地的手续，且费用已包含在合同价款内。</w:t>
      </w:r>
    </w:p>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14:paraId="78B095D2">
      <w:pPr>
        <w:keepNext/>
        <w:keepLines/>
        <w:spacing w:before="120" w:after="120" w:line="400" w:lineRule="exact"/>
        <w:jc w:val="both"/>
        <w:outlineLvl w:val="3"/>
        <w:rPr>
          <w:rFonts w:eastAsia="黑体"/>
          <w:bCs/>
          <w:i w:val="0"/>
          <w:iCs w:val="0"/>
          <w:color w:val="auto"/>
          <w:kern w:val="2"/>
          <w:highlight w:val="none"/>
        </w:rPr>
      </w:pPr>
      <w:bookmarkStart w:id="418" w:name="_Toc351203641"/>
      <w:r>
        <w:rPr>
          <w:rFonts w:eastAsia="黑体"/>
          <w:bCs/>
          <w:i w:val="0"/>
          <w:iCs w:val="0"/>
          <w:color w:val="auto"/>
          <w:kern w:val="2"/>
          <w:highlight w:val="none"/>
        </w:rPr>
        <w:t>9</w:t>
      </w:r>
      <w:bookmarkEnd w:id="395"/>
      <w:bookmarkEnd w:id="396"/>
      <w:bookmarkEnd w:id="397"/>
      <w:bookmarkStart w:id="419" w:name="_Toc297123533"/>
      <w:bookmarkStart w:id="420" w:name="_Toc300934982"/>
      <w:bookmarkStart w:id="421" w:name="_Toc304295559"/>
      <w:bookmarkStart w:id="422" w:name="_Toc303539139"/>
      <w:bookmarkStart w:id="423" w:name="_Toc312678021"/>
      <w:bookmarkStart w:id="424" w:name="_Toc297216192"/>
      <w:bookmarkStart w:id="425" w:name="_Toc312677495"/>
      <w:bookmarkStart w:id="426" w:name="_Toc296891001"/>
      <w:bookmarkStart w:id="427" w:name="_Toc296944512"/>
      <w:bookmarkStart w:id="428" w:name="_Toc296891213"/>
      <w:bookmarkStart w:id="429" w:name="_Toc292559883"/>
      <w:bookmarkStart w:id="430" w:name="_Toc292559378"/>
      <w:bookmarkStart w:id="431" w:name="_Toc296346674"/>
      <w:bookmarkStart w:id="432" w:name="_Toc296503173"/>
      <w:bookmarkStart w:id="433" w:name="_Toc296347172"/>
      <w:bookmarkStart w:id="434" w:name="_Toc267251427"/>
      <w:bookmarkStart w:id="435" w:name="_Toc297048359"/>
      <w:bookmarkStart w:id="436" w:name="_Toc267251428"/>
      <w:bookmarkStart w:id="437" w:name="_Toc297120473"/>
      <w:r>
        <w:rPr>
          <w:rFonts w:eastAsia="黑体"/>
          <w:bCs/>
          <w:i w:val="0"/>
          <w:iCs w:val="0"/>
          <w:color w:val="auto"/>
          <w:kern w:val="2"/>
          <w:highlight w:val="none"/>
        </w:rPr>
        <w:t>. 试验与检验</w:t>
      </w:r>
      <w:bookmarkEnd w:id="418"/>
    </w:p>
    <w:bookmarkEnd w:id="419"/>
    <w:bookmarkEnd w:id="420"/>
    <w:bookmarkEnd w:id="421"/>
    <w:bookmarkEnd w:id="422"/>
    <w:bookmarkEnd w:id="423"/>
    <w:bookmarkEnd w:id="424"/>
    <w:bookmarkEnd w:id="425"/>
    <w:p w14:paraId="10CEF027">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9</w:t>
      </w:r>
      <w:bookmarkStart w:id="438" w:name="_Toc312678022"/>
      <w:bookmarkStart w:id="439" w:name="_Toc297123534"/>
      <w:bookmarkStart w:id="440" w:name="_Toc303539140"/>
      <w:bookmarkStart w:id="441" w:name="_Toc312677496"/>
      <w:bookmarkStart w:id="442" w:name="_Toc304295560"/>
      <w:bookmarkStart w:id="443" w:name="_Toc297216193"/>
      <w:bookmarkStart w:id="444" w:name="_Toc300934983"/>
      <w:r>
        <w:rPr>
          <w:rFonts w:eastAsia="黑体"/>
          <w:i w:val="0"/>
          <w:iCs w:val="0"/>
          <w:color w:val="auto"/>
          <w:kern w:val="2"/>
          <w:highlight w:val="none"/>
        </w:rPr>
        <w:t>.1试验设备与试验人员</w:t>
      </w:r>
    </w:p>
    <w:bookmarkEnd w:id="438"/>
    <w:bookmarkEnd w:id="439"/>
    <w:bookmarkEnd w:id="440"/>
    <w:bookmarkEnd w:id="441"/>
    <w:bookmarkEnd w:id="442"/>
    <w:bookmarkEnd w:id="443"/>
    <w:bookmarkEnd w:id="444"/>
    <w:p w14:paraId="5F443B1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9</w:t>
      </w:r>
      <w:bookmarkStart w:id="445" w:name="_Toc312677497"/>
      <w:bookmarkStart w:id="446" w:name="_Toc300934984"/>
      <w:bookmarkStart w:id="447" w:name="_Toc297216194"/>
      <w:bookmarkStart w:id="448" w:name="_Toc304295561"/>
      <w:bookmarkStart w:id="449" w:name="_Toc297123535"/>
      <w:bookmarkStart w:id="450" w:name="_Toc312678023"/>
      <w:bookmarkStart w:id="451" w:name="_Toc303539141"/>
      <w:bookmarkStart w:id="452" w:name="_Toc318581174"/>
      <w:r>
        <w:rPr>
          <w:rFonts w:eastAsia="仿宋_GB2312"/>
          <w:i w:val="0"/>
          <w:iCs w:val="0"/>
          <w:color w:val="auto"/>
          <w:kern w:val="2"/>
          <w:highlight w:val="none"/>
        </w:rPr>
        <w:t>.1.2 试验设备</w:t>
      </w:r>
    </w:p>
    <w:p w14:paraId="7681366D">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施工现场需要配置的试验场所：</w:t>
      </w:r>
      <w:bookmarkEnd w:id="445"/>
      <w:bookmarkEnd w:id="446"/>
      <w:bookmarkEnd w:id="447"/>
      <w:bookmarkEnd w:id="448"/>
      <w:bookmarkEnd w:id="449"/>
      <w:bookmarkEnd w:id="450"/>
      <w:bookmarkEnd w:id="451"/>
      <w:bookmarkStart w:id="453" w:name="_Toc300934985"/>
      <w:bookmarkStart w:id="454" w:name="_Toc312677498"/>
      <w:bookmarkStart w:id="455" w:name="_Toc297216195"/>
      <w:bookmarkStart w:id="456" w:name="_Toc304295562"/>
      <w:bookmarkStart w:id="457" w:name="_Toc312678024"/>
      <w:bookmarkStart w:id="458" w:name="_Toc303539142"/>
      <w:bookmarkStart w:id="459" w:name="_Toc297123536"/>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r>
        <w:rPr>
          <w:rFonts w:hint="eastAsia" w:eastAsia="仿宋_GB2312"/>
          <w:i w:val="0"/>
          <w:iCs w:val="0"/>
          <w:color w:val="auto"/>
          <w:kern w:val="2"/>
          <w:highlight w:val="none"/>
        </w:rPr>
        <w:t xml:space="preserve"> </w:t>
      </w:r>
    </w:p>
    <w:p w14:paraId="4FB26768">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施工现场需要配备的试验设备：</w:t>
      </w:r>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C2B7ACA">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施工现场需要具备的其他试验条件：</w:t>
      </w:r>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61E5AC3">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460" w:name="_Toc5953"/>
      <w:r>
        <w:rPr>
          <w:rFonts w:eastAsia="黑体"/>
          <w:i w:val="0"/>
          <w:iCs w:val="0"/>
          <w:color w:val="auto"/>
          <w:kern w:val="2"/>
          <w:highlight w:val="none"/>
        </w:rPr>
        <w:t>9.4 现场工艺试验</w:t>
      </w:r>
      <w:bookmarkEnd w:id="460"/>
      <w:r>
        <w:rPr>
          <w:rFonts w:hint="eastAsia" w:eastAsia="黑体"/>
          <w:i w:val="0"/>
          <w:iCs w:val="0"/>
          <w:color w:val="auto"/>
          <w:kern w:val="2"/>
          <w:highlight w:val="none"/>
        </w:rPr>
        <w:t xml:space="preserve"> </w:t>
      </w:r>
    </w:p>
    <w:p w14:paraId="3782513B">
      <w:pPr>
        <w:autoSpaceDE/>
        <w:autoSpaceDN/>
        <w:adjustRightInd/>
        <w:spacing w:line="400" w:lineRule="exact"/>
        <w:rPr>
          <w:rFonts w:hint="eastAsia" w:eastAsia="仿宋_GB2312"/>
          <w:i w:val="0"/>
          <w:iCs w:val="0"/>
          <w:color w:val="auto"/>
          <w:kern w:val="2"/>
          <w:highlight w:val="none"/>
        </w:rPr>
      </w:pPr>
      <w:r>
        <w:rPr>
          <w:rFonts w:eastAsia="仿宋_GB2312"/>
          <w:i w:val="0"/>
          <w:iCs w:val="0"/>
          <w:color w:val="auto"/>
          <w:kern w:val="2"/>
          <w:highlight w:val="none"/>
        </w:rPr>
        <w:t>现场工艺试验的有关约定：</w:t>
      </w:r>
      <w:r>
        <w:rPr>
          <w:rFonts w:hint="eastAsia" w:eastAsia="仿宋_GB2312"/>
          <w:i w:val="0"/>
          <w:iCs w:val="0"/>
          <w:color w:val="auto"/>
          <w:kern w:val="2"/>
          <w:highlight w:val="none"/>
          <w:u w:val="single"/>
        </w:rPr>
        <w:t>按照相关标准、规范、规程执行</w:t>
      </w:r>
      <w:r>
        <w:rPr>
          <w:rFonts w:eastAsia="仿宋_GB2312"/>
          <w:i w:val="0"/>
          <w:iCs w:val="0"/>
          <w:color w:val="auto"/>
          <w:kern w:val="2"/>
          <w:highlight w:val="none"/>
        </w:rPr>
        <w:t>。</w:t>
      </w:r>
    </w:p>
    <w:bookmarkEnd w:id="452"/>
    <w:bookmarkEnd w:id="453"/>
    <w:bookmarkEnd w:id="454"/>
    <w:bookmarkEnd w:id="455"/>
    <w:bookmarkEnd w:id="456"/>
    <w:bookmarkEnd w:id="457"/>
    <w:bookmarkEnd w:id="458"/>
    <w:bookmarkEnd w:id="459"/>
    <w:p w14:paraId="56146A11">
      <w:pPr>
        <w:keepNext/>
        <w:keepLines/>
        <w:spacing w:before="120" w:after="120" w:line="400" w:lineRule="exact"/>
        <w:jc w:val="both"/>
        <w:outlineLvl w:val="3"/>
        <w:rPr>
          <w:rFonts w:eastAsia="黑体"/>
          <w:bCs/>
          <w:i w:val="0"/>
          <w:iCs w:val="0"/>
          <w:color w:val="auto"/>
          <w:kern w:val="2"/>
          <w:highlight w:val="none"/>
        </w:rPr>
      </w:pPr>
      <w:bookmarkStart w:id="461" w:name="_Toc351203642"/>
      <w:r>
        <w:rPr>
          <w:rFonts w:eastAsia="黑体"/>
          <w:bCs/>
          <w:i w:val="0"/>
          <w:iCs w:val="0"/>
          <w:color w:val="auto"/>
          <w:kern w:val="2"/>
          <w:highlight w:val="none"/>
        </w:rPr>
        <w:t>1</w:t>
      </w:r>
      <w:bookmarkEnd w:id="426"/>
      <w:bookmarkEnd w:id="427"/>
      <w:bookmarkEnd w:id="428"/>
      <w:bookmarkEnd w:id="429"/>
      <w:bookmarkEnd w:id="430"/>
      <w:bookmarkEnd w:id="431"/>
      <w:bookmarkEnd w:id="432"/>
      <w:bookmarkEnd w:id="433"/>
      <w:bookmarkEnd w:id="434"/>
      <w:bookmarkEnd w:id="435"/>
      <w:bookmarkEnd w:id="436"/>
      <w:bookmarkEnd w:id="437"/>
      <w:bookmarkStart w:id="462" w:name="_Toc297120493"/>
      <w:bookmarkStart w:id="463" w:name="_Toc296891021"/>
      <w:bookmarkStart w:id="464" w:name="_Toc303539146"/>
      <w:bookmarkStart w:id="465" w:name="_Toc296944532"/>
      <w:bookmarkStart w:id="466" w:name="_Toc296891233"/>
      <w:bookmarkStart w:id="467" w:name="_Toc297216199"/>
      <w:bookmarkStart w:id="468" w:name="_Toc296346694"/>
      <w:bookmarkStart w:id="469" w:name="_Toc300934989"/>
      <w:bookmarkStart w:id="470" w:name="_Toc297123540"/>
      <w:bookmarkStart w:id="471" w:name="_Toc292559398"/>
      <w:bookmarkStart w:id="472" w:name="_Toc297048379"/>
      <w:bookmarkStart w:id="473" w:name="_Toc296503193"/>
      <w:bookmarkStart w:id="474" w:name="_Toc292559903"/>
      <w:bookmarkStart w:id="475" w:name="_Toc296347192"/>
      <w:bookmarkStart w:id="476" w:name="_Toc304295566"/>
      <w:bookmarkStart w:id="477" w:name="_Toc312677499"/>
      <w:bookmarkStart w:id="478" w:name="_Toc312678025"/>
      <w:bookmarkStart w:id="479" w:name="_Toc267251435"/>
      <w:bookmarkStart w:id="480" w:name="_Toc267251441"/>
      <w:bookmarkStart w:id="481" w:name="_Toc267251439"/>
      <w:bookmarkStart w:id="482" w:name="_Toc267251437"/>
      <w:bookmarkStart w:id="483" w:name="_Toc267251433"/>
      <w:bookmarkStart w:id="484" w:name="_Toc267251440"/>
      <w:bookmarkStart w:id="485" w:name="_Toc267251442"/>
      <w:r>
        <w:rPr>
          <w:rFonts w:eastAsia="黑体"/>
          <w:bCs/>
          <w:i w:val="0"/>
          <w:iCs w:val="0"/>
          <w:color w:val="auto"/>
          <w:kern w:val="2"/>
          <w:highlight w:val="none"/>
        </w:rPr>
        <w:t>0. 变更</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bookmarkEnd w:id="477"/>
    <w:bookmarkEnd w:id="478"/>
    <w:p w14:paraId="616EC4B4">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w:t>
      </w:r>
      <w:bookmarkStart w:id="486" w:name="_Toc296503194"/>
      <w:bookmarkStart w:id="487" w:name="_Toc303539147"/>
      <w:bookmarkStart w:id="488" w:name="_Toc297123541"/>
      <w:bookmarkStart w:id="489" w:name="_Toc296944533"/>
      <w:bookmarkStart w:id="490" w:name="_Toc292559904"/>
      <w:bookmarkStart w:id="491" w:name="_Toc312677500"/>
      <w:bookmarkStart w:id="492" w:name="_Toc296346695"/>
      <w:bookmarkStart w:id="493" w:name="_Toc300934990"/>
      <w:bookmarkStart w:id="494" w:name="_Toc296347193"/>
      <w:bookmarkStart w:id="495" w:name="_Toc296891234"/>
      <w:bookmarkStart w:id="496" w:name="_Toc304295567"/>
      <w:bookmarkStart w:id="497" w:name="_Toc297120494"/>
      <w:bookmarkStart w:id="498" w:name="_Toc297048380"/>
      <w:bookmarkStart w:id="499" w:name="_Toc297216200"/>
      <w:bookmarkStart w:id="500" w:name="_Toc312678026"/>
      <w:bookmarkStart w:id="501" w:name="_Toc292559399"/>
      <w:bookmarkStart w:id="502" w:name="_Toc296891022"/>
      <w:r>
        <w:rPr>
          <w:rFonts w:eastAsia="黑体"/>
          <w:i w:val="0"/>
          <w:iCs w:val="0"/>
          <w:color w:val="auto"/>
          <w:kern w:val="2"/>
          <w:highlight w:val="none"/>
        </w:rPr>
        <w:t>0.1变更的范围</w:t>
      </w:r>
    </w:p>
    <w:p w14:paraId="417E3382">
      <w:pPr>
        <w:autoSpaceDE/>
        <w:autoSpaceDN/>
        <w:adjustRightInd/>
        <w:spacing w:line="400" w:lineRule="exact"/>
        <w:rPr>
          <w:rFonts w:hint="eastAsia" w:eastAsia="仿宋_GB2312"/>
          <w:i w:val="0"/>
          <w:iCs w:val="0"/>
          <w:color w:val="auto"/>
          <w:kern w:val="2"/>
          <w:highlight w:val="none"/>
          <w:u w:val="single"/>
        </w:rPr>
      </w:pPr>
      <w:r>
        <w:rPr>
          <w:rFonts w:eastAsia="仿宋_GB2312"/>
          <w:i w:val="0"/>
          <w:iCs w:val="0"/>
          <w:color w:val="auto"/>
          <w:kern w:val="2"/>
          <w:highlight w:val="none"/>
        </w:rPr>
        <w:t>关于变更的范围的约定：</w:t>
      </w:r>
      <w:r>
        <w:rPr>
          <w:rFonts w:hint="eastAsia" w:eastAsia="仿宋_GB2312"/>
          <w:i w:val="0"/>
          <w:iCs w:val="0"/>
          <w:color w:val="auto"/>
          <w:kern w:val="2"/>
          <w:highlight w:val="none"/>
          <w:u w:val="single"/>
        </w:rPr>
        <w:t>1、设计变更等经发包人确认的工程变更联系单；2．在招标明确的范围之外，应发包人要求增减的工作内容；3．图纸会审纪要明确的工作内容变更由设计单位明确（不涉及设计的由发包人明确）。</w:t>
      </w:r>
    </w:p>
    <w:p w14:paraId="2A7F87B0">
      <w:pPr>
        <w:autoSpaceDE/>
        <w:autoSpaceDN/>
        <w:adjustRightInd/>
        <w:spacing w:line="400" w:lineRule="exact"/>
        <w:rPr>
          <w:rFonts w:eastAsia="仿宋_GB2312"/>
          <w:i w:val="0"/>
          <w:iCs w:val="0"/>
          <w:color w:val="auto"/>
          <w:kern w:val="2"/>
          <w:highlight w:val="none"/>
        </w:rPr>
      </w:pPr>
      <w:r>
        <w:rPr>
          <w:rFonts w:hint="eastAsia" w:eastAsia="仿宋_GB2312"/>
          <w:i w:val="0"/>
          <w:iCs w:val="0"/>
          <w:color w:val="auto"/>
          <w:kern w:val="2"/>
          <w:highlight w:val="none"/>
          <w:u w:val="single"/>
        </w:rPr>
        <w:t>（以上变更内容均应参照</w:t>
      </w:r>
      <w:r>
        <w:rPr>
          <w:rFonts w:hint="eastAsia" w:eastAsia="仿宋_GB2312"/>
          <w:i w:val="0"/>
          <w:iCs w:val="0"/>
          <w:color w:val="auto"/>
          <w:kern w:val="2"/>
          <w:highlight w:val="none"/>
          <w:u w:val="single"/>
          <w:lang w:eastAsia="zh-CN"/>
        </w:rPr>
        <w:t>《</w:t>
      </w:r>
      <w:r>
        <w:rPr>
          <w:rFonts w:hint="eastAsia" w:eastAsia="仿宋_GB2312"/>
          <w:i w:val="0"/>
          <w:iCs w:val="0"/>
          <w:color w:val="auto"/>
          <w:kern w:val="2"/>
          <w:highlight w:val="none"/>
          <w:u w:val="single"/>
          <w:lang w:val="en-US" w:eastAsia="zh-CN"/>
        </w:rPr>
        <w:t>绍兴市镜湖科技城开发服务有限公司建设项目工程变更管理办法（试行）</w:t>
      </w:r>
      <w:r>
        <w:rPr>
          <w:rFonts w:hint="eastAsia" w:eastAsia="仿宋_GB2312"/>
          <w:i w:val="0"/>
          <w:iCs w:val="0"/>
          <w:color w:val="auto"/>
          <w:kern w:val="2"/>
          <w:highlight w:val="none"/>
          <w:u w:val="single"/>
          <w:lang w:eastAsia="zh-CN"/>
        </w:rPr>
        <w:t>》</w:t>
      </w:r>
      <w:r>
        <w:rPr>
          <w:rFonts w:hint="eastAsia" w:eastAsia="仿宋_GB2312"/>
          <w:i w:val="0"/>
          <w:iCs w:val="0"/>
          <w:color w:val="auto"/>
          <w:kern w:val="2"/>
          <w:highlight w:val="none"/>
          <w:u w:val="single"/>
        </w:rPr>
        <w:t>执行，要求在变更项目发生前提交变更申请，并经发包人审批同意后方可进行变更施工）</w:t>
      </w:r>
      <w:r>
        <w:rPr>
          <w:rFonts w:eastAsia="仿宋_GB2312"/>
          <w:i w:val="0"/>
          <w:iCs w:val="0"/>
          <w:color w:val="auto"/>
          <w:kern w:val="2"/>
          <w:highlight w:val="none"/>
        </w:rPr>
        <w:t>。</w:t>
      </w:r>
    </w:p>
    <w:p w14:paraId="0653383B">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503" w:name="_Toc8104"/>
      <w:r>
        <w:rPr>
          <w:rFonts w:eastAsia="黑体"/>
          <w:i w:val="0"/>
          <w:iCs w:val="0"/>
          <w:color w:val="auto"/>
          <w:kern w:val="2"/>
          <w:highlight w:val="none"/>
        </w:rPr>
        <w:t>10.4 变更估价</w:t>
      </w:r>
      <w:bookmarkEnd w:id="503"/>
    </w:p>
    <w:p w14:paraId="7EB76CC4">
      <w:pPr>
        <w:autoSpaceDE/>
        <w:autoSpaceDN/>
        <w:adjustRightInd/>
        <w:spacing w:line="400" w:lineRule="exact"/>
        <w:ind w:firstLine="480" w:firstLineChars="200"/>
        <w:rPr>
          <w:rFonts w:hint="eastAsia" w:eastAsia="仿宋_GB2312"/>
          <w:i w:val="0"/>
          <w:iCs w:val="0"/>
          <w:color w:val="auto"/>
          <w:kern w:val="2"/>
          <w:highlight w:val="none"/>
        </w:rPr>
      </w:pPr>
      <w:r>
        <w:rPr>
          <w:rFonts w:hint="eastAsia" w:eastAsia="仿宋_GB2312"/>
          <w:i w:val="0"/>
          <w:iCs w:val="0"/>
          <w:color w:val="auto"/>
          <w:kern w:val="2"/>
          <w:highlight w:val="none"/>
        </w:rPr>
        <w:t>10.4.1 变更估价原则</w:t>
      </w:r>
    </w:p>
    <w:p w14:paraId="3A37A281">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 xml:space="preserve">关于变更估价的约定: </w:t>
      </w:r>
      <w:r>
        <w:rPr>
          <w:rFonts w:hint="eastAsia" w:eastAsia="仿宋_GB2312"/>
          <w:i w:val="0"/>
          <w:iCs w:val="0"/>
          <w:color w:val="auto"/>
          <w:kern w:val="2"/>
          <w:highlight w:val="none"/>
          <w:u w:val="single"/>
        </w:rPr>
        <w:t>工程变更引起清单项目或其工程量发生变化时，综合单价的调整：</w:t>
      </w:r>
    </w:p>
    <w:p w14:paraId="1DB24DD6">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（1）已标价工程量清单中有适用综合单价的，按原综合单价；</w:t>
      </w:r>
    </w:p>
    <w:p w14:paraId="7F6F4803">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（2）已标价工程量清单中没有适用的综合单价，但有类似的工程项目综合单价，可参照类似工程项目综合单价确定；</w:t>
      </w:r>
    </w:p>
    <w:p w14:paraId="68534775">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3）已标价工程量清单中没有适用的综合单价也没有类似的工程项目综合单价，则按以下原则调整：①承包人依据合同及招标文件约定并按标底编制口径、组价原则和承包人投标报价浮动率（按合同中标价同比例计算投标报价浮动率）提出单价，经发包人按相关程序签证确定结算价格；②无定额可以套用的，承包人依据合同约定的组价原则或通过市场询价等方式合理提出单价，经发包人按相关程序签证确定结算价格；</w:t>
      </w:r>
    </w:p>
    <w:p w14:paraId="1D5B3270">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（4）当合同内单项工程增加或减少（含取消）时，投标报价发现严重不平衡报价时，即出现如下两种情形时，认定为严重不平衡报价。</w:t>
      </w:r>
    </w:p>
    <w:p w14:paraId="6ED82283">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① A&gt;B*i*1.15</w:t>
      </w:r>
    </w:p>
    <w:p w14:paraId="0F76C7EE">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② A&lt;B*i*0.85</w:t>
      </w:r>
    </w:p>
    <w:p w14:paraId="6F001E68">
      <w:pPr>
        <w:autoSpaceDE/>
        <w:autoSpaceDN/>
        <w:adjustRightInd/>
        <w:spacing w:line="400" w:lineRule="exact"/>
        <w:ind w:firstLine="480" w:firstLineChars="200"/>
        <w:rPr>
          <w:rFonts w:hint="eastAsia" w:eastAsia="仿宋_GB2312"/>
          <w:i w:val="0"/>
          <w:iCs w:val="0"/>
          <w:color w:val="auto"/>
          <w:kern w:val="2"/>
          <w:highlight w:val="none"/>
          <w:u w:val="single"/>
        </w:rPr>
      </w:pPr>
      <w:r>
        <w:rPr>
          <w:rFonts w:hint="eastAsia" w:eastAsia="仿宋_GB2312"/>
          <w:i w:val="0"/>
          <w:iCs w:val="0"/>
          <w:color w:val="auto"/>
          <w:kern w:val="2"/>
          <w:highlight w:val="none"/>
          <w:u w:val="single"/>
        </w:rPr>
        <w:t>式中：A为投标报价综合单价；B为招标控制价综合单价；i为中标下浮率，i=[1-（中标价-暂估价-暂列金额）/（招标控制价-暂估价-暂列金额）]×100%</w:t>
      </w:r>
    </w:p>
    <w:p w14:paraId="7D3BF946">
      <w:pPr>
        <w:autoSpaceDE/>
        <w:autoSpaceDN/>
        <w:adjustRightInd/>
        <w:spacing w:line="400" w:lineRule="exact"/>
        <w:ind w:firstLine="480" w:firstLineChars="200"/>
        <w:rPr>
          <w:rFonts w:eastAsia="仿宋_GB2312"/>
          <w:i w:val="0"/>
          <w:iCs w:val="0"/>
          <w:color w:val="auto"/>
          <w:kern w:val="2"/>
          <w:highlight w:val="none"/>
          <w:u w:val="single"/>
        </w:rPr>
      </w:pPr>
      <w:r>
        <w:rPr>
          <w:rFonts w:hint="eastAsia" w:eastAsia="仿宋_GB2312"/>
          <w:i w:val="0"/>
          <w:iCs w:val="0"/>
          <w:color w:val="auto"/>
          <w:kern w:val="2"/>
          <w:highlight w:val="none"/>
          <w:u w:val="single"/>
        </w:rPr>
        <w:t>出现严重不平衡报价时，其增加或减少部分工程量的综合单价，承包人应结合招标控制价（综合单价）重新组价，组价原则按招标控制价编制采纳的信息价（无信息价按市场价）套相应计价规则并按中标下浮率i下浮重新计算，经发包人按相关程序签证确定结算价格。</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5BEF27E2">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Start w:id="504" w:name="_Toc296891237"/>
      <w:bookmarkStart w:id="505" w:name="_Toc297216203"/>
      <w:bookmarkStart w:id="506" w:name="_Toc292559907"/>
      <w:bookmarkStart w:id="507" w:name="_Toc296944536"/>
      <w:bookmarkStart w:id="508" w:name="_Toc303539150"/>
      <w:bookmarkStart w:id="509" w:name="_Toc297123544"/>
      <w:bookmarkStart w:id="510" w:name="_Toc297048383"/>
      <w:bookmarkStart w:id="511" w:name="_Toc296503197"/>
      <w:bookmarkStart w:id="512" w:name="_Toc296346698"/>
      <w:bookmarkStart w:id="513" w:name="_Toc297120497"/>
      <w:bookmarkStart w:id="514" w:name="_Toc296891025"/>
      <w:bookmarkStart w:id="515" w:name="_Toc292559402"/>
      <w:bookmarkStart w:id="516" w:name="_Toc300934993"/>
      <w:bookmarkStart w:id="517" w:name="_Toc296347196"/>
      <w:bookmarkStart w:id="518" w:name="_Toc304295570"/>
      <w:bookmarkStart w:id="519" w:name="_Toc312677503"/>
      <w:bookmarkStart w:id="520" w:name="_Toc312678029"/>
      <w:r>
        <w:rPr>
          <w:rFonts w:eastAsia="黑体"/>
          <w:i w:val="0"/>
          <w:iCs w:val="0"/>
          <w:color w:val="auto"/>
          <w:kern w:val="2"/>
          <w:highlight w:val="none"/>
        </w:rPr>
        <w:t>0.5承</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Start w:id="521" w:name="_Toc297216204"/>
      <w:bookmarkStart w:id="522" w:name="_Toc297123545"/>
      <w:bookmarkStart w:id="523" w:name="_Toc296347202"/>
      <w:bookmarkStart w:id="524" w:name="_Toc297048389"/>
      <w:bookmarkStart w:id="525" w:name="_Toc292559408"/>
      <w:bookmarkStart w:id="526" w:name="_Toc296891031"/>
      <w:bookmarkStart w:id="527" w:name="_Toc292559913"/>
      <w:bookmarkStart w:id="528" w:name="_Toc300934994"/>
      <w:bookmarkStart w:id="529" w:name="_Toc296891243"/>
      <w:bookmarkStart w:id="530" w:name="_Toc296503203"/>
      <w:bookmarkStart w:id="531" w:name="_Toc296346704"/>
      <w:bookmarkStart w:id="532" w:name="_Toc297120503"/>
      <w:bookmarkStart w:id="533" w:name="_Toc303539151"/>
      <w:bookmarkStart w:id="534" w:name="_Toc296944542"/>
      <w:r>
        <w:rPr>
          <w:rFonts w:eastAsia="黑体"/>
          <w:i w:val="0"/>
          <w:iCs w:val="0"/>
          <w:color w:val="auto"/>
          <w:kern w:val="2"/>
          <w:highlight w:val="none"/>
        </w:rPr>
        <w:t>包人的合理化建议</w:t>
      </w:r>
    </w:p>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7CB1C450">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监理人审查承包人合理化建议的期限：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提交报告7天内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65E78D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发包人审批承包人合理化建议的期限：</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提交报告7天内 </w:t>
      </w:r>
      <w:r>
        <w:rPr>
          <w:rFonts w:hint="eastAsia" w:eastAsia="仿宋_GB2312"/>
          <w:i w:val="0"/>
          <w:iCs w:val="0"/>
          <w:color w:val="auto"/>
          <w:kern w:val="2"/>
          <w:highlight w:val="none"/>
          <w:u w:val="single"/>
          <w:lang w:val="en-US" w:eastAsia="zh-CN"/>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7962D60">
      <w:pPr>
        <w:autoSpaceDE/>
        <w:autoSpaceDN/>
        <w:adjustRightInd/>
        <w:spacing w:line="400" w:lineRule="exact"/>
        <w:rPr>
          <w:rFonts w:eastAsia="仿宋_GB2312"/>
          <w:i w:val="0"/>
          <w:iCs w:val="0"/>
          <w:color w:val="auto"/>
          <w:kern w:val="2"/>
          <w:highlight w:val="none"/>
          <w:u w:val="single"/>
        </w:rPr>
      </w:pPr>
      <w:r>
        <w:rPr>
          <w:rFonts w:eastAsia="仿宋_GB2312"/>
          <w:i w:val="0"/>
          <w:iCs w:val="0"/>
          <w:color w:val="auto"/>
          <w:kern w:val="2"/>
          <w:highlight w:val="none"/>
        </w:rPr>
        <w:t>承</w:t>
      </w:r>
      <w:bookmarkStart w:id="535" w:name="_Toc296944543"/>
      <w:bookmarkStart w:id="536" w:name="_Toc296891244"/>
      <w:bookmarkStart w:id="537" w:name="_Toc292559409"/>
      <w:bookmarkStart w:id="538" w:name="_Toc297048390"/>
      <w:bookmarkStart w:id="539" w:name="_Toc296891032"/>
      <w:bookmarkStart w:id="540" w:name="_Toc297120504"/>
      <w:bookmarkStart w:id="541" w:name="_Toc312677504"/>
      <w:bookmarkStart w:id="542" w:name="_Toc296346705"/>
      <w:bookmarkStart w:id="543" w:name="_Toc318581175"/>
      <w:bookmarkStart w:id="544" w:name="_Toc292559914"/>
      <w:bookmarkStart w:id="545" w:name="_Toc297216205"/>
      <w:bookmarkStart w:id="546" w:name="_Toc312678030"/>
      <w:bookmarkStart w:id="547" w:name="_Toc304295571"/>
      <w:bookmarkStart w:id="548" w:name="_Toc297123546"/>
      <w:bookmarkStart w:id="549" w:name="_Toc296347203"/>
      <w:bookmarkStart w:id="550" w:name="_Toc296503204"/>
      <w:bookmarkStart w:id="551" w:name="_Toc303539152"/>
      <w:bookmarkStart w:id="552" w:name="_Toc300934995"/>
      <w:r>
        <w:rPr>
          <w:rFonts w:eastAsia="仿宋_GB2312"/>
          <w:i w:val="0"/>
          <w:iCs w:val="0"/>
          <w:color w:val="auto"/>
          <w:kern w:val="2"/>
          <w:highlight w:val="none"/>
        </w:rPr>
        <w:t>包人提出的合理化建议降低了合同价格或者提高了工程经济效益的奖励的方法和金额为：</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双方另行协商决定</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14:paraId="49230874">
      <w:pPr>
        <w:autoSpaceDE/>
        <w:autoSpaceDN/>
        <w:adjustRightInd/>
        <w:spacing w:after="120" w:line="400" w:lineRule="exact"/>
        <w:ind w:firstLine="480" w:firstLineChars="200"/>
        <w:jc w:val="both"/>
        <w:outlineLvl w:val="0"/>
        <w:rPr>
          <w:rFonts w:eastAsia="黑体"/>
          <w:i w:val="0"/>
          <w:iCs w:val="0"/>
          <w:color w:val="auto"/>
          <w:kern w:val="2"/>
          <w:highlight w:val="none"/>
        </w:rPr>
      </w:pPr>
      <w:bookmarkStart w:id="553" w:name="_Toc10889"/>
      <w:r>
        <w:rPr>
          <w:rFonts w:eastAsia="黑体"/>
          <w:i w:val="0"/>
          <w:iCs w:val="0"/>
          <w:color w:val="auto"/>
          <w:kern w:val="2"/>
          <w:highlight w:val="none"/>
        </w:rPr>
        <w:t>1</w:t>
      </w:r>
      <w:bookmarkStart w:id="554" w:name="_Toc292559404"/>
      <w:bookmarkStart w:id="555" w:name="_Toc303539154"/>
      <w:bookmarkStart w:id="556" w:name="_Toc296891239"/>
      <w:bookmarkStart w:id="557" w:name="_Toc296347198"/>
      <w:bookmarkStart w:id="558" w:name="_Toc312677507"/>
      <w:bookmarkStart w:id="559" w:name="_Toc304295574"/>
      <w:bookmarkStart w:id="560" w:name="_Toc297120499"/>
      <w:bookmarkStart w:id="561" w:name="_Toc300934997"/>
      <w:bookmarkStart w:id="562" w:name="_Toc296891027"/>
      <w:bookmarkStart w:id="563" w:name="_Toc312678033"/>
      <w:bookmarkStart w:id="564" w:name="_Toc296503199"/>
      <w:bookmarkStart w:id="565" w:name="_Toc296944538"/>
      <w:bookmarkStart w:id="566" w:name="_Toc297216207"/>
      <w:bookmarkStart w:id="567" w:name="_Toc297048385"/>
      <w:bookmarkStart w:id="568" w:name="_Toc297123548"/>
      <w:bookmarkStart w:id="569" w:name="_Toc292559909"/>
      <w:bookmarkStart w:id="570" w:name="_Toc296346700"/>
      <w:r>
        <w:rPr>
          <w:rFonts w:eastAsia="黑体"/>
          <w:i w:val="0"/>
          <w:iCs w:val="0"/>
          <w:color w:val="auto"/>
          <w:kern w:val="2"/>
          <w:highlight w:val="none"/>
        </w:rPr>
        <w:t>0.7 暂估价</w:t>
      </w:r>
      <w:bookmarkEnd w:id="553"/>
    </w:p>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14:paraId="20283340">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highlight w:val="none"/>
        </w:rPr>
        <w:t>暂</w:t>
      </w:r>
      <w:bookmarkStart w:id="571" w:name="_Toc318581176"/>
      <w:bookmarkStart w:id="572" w:name="_Toc312677508"/>
      <w:bookmarkStart w:id="573" w:name="_Toc312678034"/>
      <w:r>
        <w:rPr>
          <w:rFonts w:eastAsia="仿宋_GB2312"/>
          <w:i w:val="0"/>
          <w:iCs w:val="0"/>
          <w:color w:val="auto"/>
          <w:highlight w:val="none"/>
        </w:rPr>
        <w:t>估价材料和工程设备的明细详见附件</w:t>
      </w:r>
      <w:r>
        <w:rPr>
          <w:rFonts w:hint="eastAsia" w:eastAsia="仿宋_GB2312"/>
          <w:i w:val="0"/>
          <w:iCs w:val="0"/>
          <w:color w:val="auto"/>
          <w:highlight w:val="none"/>
        </w:rPr>
        <w:t>11：《</w:t>
      </w:r>
      <w:r>
        <w:rPr>
          <w:rFonts w:eastAsia="仿宋_GB2312"/>
          <w:i w:val="0"/>
          <w:iCs w:val="0"/>
          <w:color w:val="auto"/>
          <w:kern w:val="2"/>
          <w:highlight w:val="none"/>
        </w:rPr>
        <w:t>暂估价一览表</w:t>
      </w:r>
      <w:r>
        <w:rPr>
          <w:rFonts w:hint="eastAsia" w:eastAsia="仿宋_GB2312"/>
          <w:i w:val="0"/>
          <w:iCs w:val="0"/>
          <w:color w:val="auto"/>
          <w:kern w:val="2"/>
          <w:highlight w:val="none"/>
        </w:rPr>
        <w:t>》</w:t>
      </w:r>
      <w:r>
        <w:rPr>
          <w:rFonts w:hint="eastAsia" w:eastAsia="仿宋_GB2312"/>
          <w:i w:val="0"/>
          <w:iCs w:val="0"/>
          <w:color w:val="auto"/>
          <w:highlight w:val="none"/>
        </w:rPr>
        <w:t>。</w:t>
      </w:r>
    </w:p>
    <w:bookmarkEnd w:id="571"/>
    <w:bookmarkEnd w:id="572"/>
    <w:bookmarkEnd w:id="573"/>
    <w:p w14:paraId="0CD2AB0D">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w:t>
      </w:r>
      <w:bookmarkStart w:id="574" w:name="_Toc318581177"/>
      <w:bookmarkStart w:id="575" w:name="_Toc312678035"/>
      <w:bookmarkStart w:id="576" w:name="_Toc312677509"/>
      <w:r>
        <w:rPr>
          <w:rFonts w:eastAsia="仿宋_GB2312"/>
          <w:i w:val="0"/>
          <w:iCs w:val="0"/>
          <w:color w:val="auto"/>
          <w:kern w:val="2"/>
          <w:highlight w:val="none"/>
        </w:rPr>
        <w:t>0.7.1 依法必须招标的暂估价项目</w:t>
      </w:r>
    </w:p>
    <w:bookmarkEnd w:id="574"/>
    <w:bookmarkEnd w:id="575"/>
    <w:bookmarkEnd w:id="576"/>
    <w:p w14:paraId="28A232C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对于依法必须招标的暂估价项目的确认和批准采取第</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种方式确定。</w:t>
      </w:r>
    </w:p>
    <w:p w14:paraId="2D6D632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10.7.2 不属于依法必须招标的暂估价项目</w:t>
      </w:r>
    </w:p>
    <w:p w14:paraId="21B1A1EB">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对于不属于依法必须招标的暂估价项目的确认和批准采取第</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 xml:space="preserve"> 种方式确定。</w:t>
      </w:r>
    </w:p>
    <w:p w14:paraId="6DE95127">
      <w:pPr>
        <w:autoSpaceDE/>
        <w:autoSpaceDN/>
        <w:adjustRightInd/>
        <w:spacing w:line="400" w:lineRule="exact"/>
        <w:ind w:firstLine="480" w:firstLineChars="200"/>
        <w:rPr>
          <w:rFonts w:eastAsia="仿宋_GB2312"/>
          <w:i w:val="0"/>
          <w:iCs w:val="0"/>
          <w:color w:val="auto"/>
          <w:highlight w:val="none"/>
        </w:rPr>
      </w:pPr>
      <w:r>
        <w:rPr>
          <w:rFonts w:eastAsia="仿宋_GB2312"/>
          <w:i w:val="0"/>
          <w:iCs w:val="0"/>
          <w:color w:val="auto"/>
          <w:kern w:val="2"/>
          <w:highlight w:val="none"/>
        </w:rPr>
        <w:t>第3种方式：</w:t>
      </w:r>
      <w:r>
        <w:rPr>
          <w:rFonts w:eastAsia="仿宋_GB2312"/>
          <w:i w:val="0"/>
          <w:iCs w:val="0"/>
          <w:color w:val="auto"/>
          <w:highlight w:val="none"/>
        </w:rPr>
        <w:t>承包人直接实施的暂估价项目</w:t>
      </w:r>
    </w:p>
    <w:p w14:paraId="41EF01EE">
      <w:pPr>
        <w:autoSpaceDE/>
        <w:autoSpaceDN/>
        <w:adjustRightInd/>
        <w:spacing w:line="400" w:lineRule="exact"/>
        <w:rPr>
          <w:rFonts w:hint="eastAsia" w:eastAsia="仿宋_GB2312"/>
          <w:i w:val="0"/>
          <w:iCs w:val="0"/>
          <w:color w:val="auto"/>
          <w:kern w:val="2"/>
          <w:highlight w:val="none"/>
        </w:rPr>
      </w:pPr>
      <w:r>
        <w:rPr>
          <w:rFonts w:eastAsia="仿宋_GB2312"/>
          <w:i w:val="0"/>
          <w:iCs w:val="0"/>
          <w:color w:val="auto"/>
          <w:kern w:val="2"/>
          <w:highlight w:val="none"/>
        </w:rPr>
        <w:t>承包人直接实施的暂估价项目的约定：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34A6B8B7">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10.8 暂列金额</w:t>
      </w:r>
    </w:p>
    <w:p w14:paraId="1DE62EFA">
      <w:pPr>
        <w:spacing w:line="400" w:lineRule="exact"/>
        <w:rPr>
          <w:rFonts w:eastAsia="仿宋_GB2312"/>
          <w:i w:val="0"/>
          <w:iCs w:val="0"/>
          <w:color w:val="auto"/>
          <w:highlight w:val="none"/>
        </w:rPr>
      </w:pPr>
      <w:r>
        <w:rPr>
          <w:rFonts w:hint="eastAsia" w:eastAsia="仿宋_GB2312"/>
          <w:i w:val="0"/>
          <w:iCs w:val="0"/>
          <w:color w:val="auto"/>
          <w:highlight w:val="none"/>
        </w:rPr>
        <w:t>合同当事人关于暂列金额使用的约定：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按照通用条款</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hint="eastAsia" w:eastAsia="仿宋_GB2312"/>
          <w:i w:val="0"/>
          <w:iCs w:val="0"/>
          <w:color w:val="auto"/>
          <w:kern w:val="2"/>
          <w:highlight w:val="none"/>
          <w:u w:val="single"/>
        </w:rPr>
        <w:t xml:space="preserve">   </w:t>
      </w:r>
      <w:r>
        <w:rPr>
          <w:rFonts w:hint="eastAsia" w:eastAsia="仿宋_GB2312"/>
          <w:i w:val="0"/>
          <w:iCs w:val="0"/>
          <w:color w:val="auto"/>
          <w:highlight w:val="none"/>
        </w:rPr>
        <w:t>。</w:t>
      </w:r>
    </w:p>
    <w:p w14:paraId="1CE4D1C8">
      <w:pPr>
        <w:keepNext/>
        <w:keepLines/>
        <w:spacing w:before="120" w:after="120" w:line="400" w:lineRule="exact"/>
        <w:jc w:val="both"/>
        <w:outlineLvl w:val="3"/>
        <w:rPr>
          <w:rFonts w:eastAsia="黑体"/>
          <w:bCs/>
          <w:i w:val="0"/>
          <w:iCs w:val="0"/>
          <w:color w:val="auto"/>
          <w:kern w:val="2"/>
          <w:highlight w:val="none"/>
        </w:rPr>
      </w:pPr>
      <w:bookmarkStart w:id="577" w:name="_Toc351203643"/>
      <w:r>
        <w:rPr>
          <w:rFonts w:eastAsia="黑体"/>
          <w:bCs/>
          <w:i w:val="0"/>
          <w:iCs w:val="0"/>
          <w:color w:val="auto"/>
          <w:kern w:val="2"/>
          <w:highlight w:val="none"/>
        </w:rPr>
        <w:t>11. 价格调整</w:t>
      </w:r>
      <w:bookmarkEnd w:id="577"/>
    </w:p>
    <w:p w14:paraId="29006D8F">
      <w:pPr>
        <w:autoSpaceDE/>
        <w:autoSpaceDN/>
        <w:adjustRightInd/>
        <w:spacing w:after="120" w:line="400" w:lineRule="exact"/>
        <w:ind w:firstLine="480" w:firstLineChars="200"/>
        <w:jc w:val="both"/>
        <w:rPr>
          <w:rFonts w:eastAsia="黑体"/>
          <w:i w:val="0"/>
          <w:iCs w:val="0"/>
          <w:color w:val="auto"/>
          <w:kern w:val="2"/>
          <w:highlight w:val="none"/>
        </w:rPr>
      </w:pPr>
      <w:bookmarkStart w:id="578" w:name="_Toc300935000"/>
      <w:bookmarkStart w:id="579" w:name="_Toc296347200"/>
      <w:bookmarkStart w:id="580" w:name="_Toc292559406"/>
      <w:bookmarkStart w:id="581" w:name="_Toc296944540"/>
      <w:bookmarkStart w:id="582" w:name="_Toc297120501"/>
      <w:bookmarkStart w:id="583" w:name="_Toc297048387"/>
      <w:bookmarkStart w:id="584" w:name="_Toc303539157"/>
      <w:bookmarkStart w:id="585" w:name="_Toc296346702"/>
      <w:bookmarkStart w:id="586" w:name="_Toc296891241"/>
      <w:bookmarkStart w:id="587" w:name="_Toc304295577"/>
      <w:bookmarkStart w:id="588" w:name="_Toc292559911"/>
      <w:bookmarkStart w:id="589" w:name="_Toc296891029"/>
      <w:bookmarkStart w:id="590" w:name="_Toc312678039"/>
      <w:bookmarkStart w:id="591" w:name="_Toc297123550"/>
      <w:bookmarkStart w:id="592" w:name="_Toc297216209"/>
      <w:bookmarkStart w:id="593" w:name="_Toc296503201"/>
      <w:r>
        <w:rPr>
          <w:rFonts w:eastAsia="黑体"/>
          <w:i w:val="0"/>
          <w:iCs w:val="0"/>
          <w:color w:val="auto"/>
          <w:kern w:val="2"/>
          <w:highlight w:val="none"/>
        </w:rPr>
        <w:t>11.1 市场价格波动引起的调整</w:t>
      </w:r>
    </w:p>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14:paraId="7A2E281E">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highlight w:val="none"/>
        </w:rPr>
        <w:t>市场价格波动是否调整合同价格的约定：</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调整</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0177B68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因市场价格波动调整合同价格，采用以下第</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3</w:t>
      </w:r>
      <w:r>
        <w:rPr>
          <w:rFonts w:eastAsia="仿宋_GB2312"/>
          <w:i w:val="0"/>
          <w:iCs w:val="0"/>
          <w:color w:val="auto"/>
          <w:kern w:val="2"/>
          <w:highlight w:val="none"/>
          <w:u w:val="single"/>
        </w:rPr>
        <w:t xml:space="preserve">  </w:t>
      </w:r>
      <w:r>
        <w:rPr>
          <w:rFonts w:eastAsia="仿宋_GB2312"/>
          <w:i w:val="0"/>
          <w:iCs w:val="0"/>
          <w:color w:val="auto"/>
          <w:kern w:val="2"/>
          <w:highlight w:val="none"/>
        </w:rPr>
        <w:t>种方式对合同价格进行调整：</w:t>
      </w:r>
    </w:p>
    <w:p w14:paraId="43CE509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第1种方式：采用价格指数</w:t>
      </w:r>
      <w:r>
        <w:rPr>
          <w:rFonts w:hint="eastAsia" w:eastAsia="仿宋_GB2312"/>
          <w:i w:val="0"/>
          <w:iCs w:val="0"/>
          <w:color w:val="auto"/>
          <w:kern w:val="2"/>
          <w:highlight w:val="none"/>
        </w:rPr>
        <w:t>进行价格</w:t>
      </w:r>
      <w:r>
        <w:rPr>
          <w:rFonts w:eastAsia="仿宋_GB2312"/>
          <w:i w:val="0"/>
          <w:iCs w:val="0"/>
          <w:color w:val="auto"/>
          <w:kern w:val="2"/>
          <w:highlight w:val="none"/>
        </w:rPr>
        <w:t>调整。</w:t>
      </w:r>
    </w:p>
    <w:p w14:paraId="6F906162">
      <w:pPr>
        <w:autoSpaceDE/>
        <w:autoSpaceDN/>
        <w:adjustRightInd/>
        <w:spacing w:line="400" w:lineRule="exact"/>
        <w:ind w:firstLine="480" w:firstLineChars="200"/>
        <w:rPr>
          <w:rFonts w:eastAsia="仿宋_GB2312"/>
          <w:i w:val="0"/>
          <w:iCs w:val="0"/>
          <w:color w:val="auto"/>
          <w:kern w:val="2"/>
          <w:highlight w:val="none"/>
          <w:u w:val="single"/>
        </w:rPr>
      </w:pPr>
      <w:r>
        <w:rPr>
          <w:rFonts w:eastAsia="仿宋_GB2312"/>
          <w:i w:val="0"/>
          <w:iCs w:val="0"/>
          <w:color w:val="auto"/>
          <w:kern w:val="2"/>
          <w:highlight w:val="none"/>
        </w:rPr>
        <w:t>关于各可调因子、定值和变值权重，以及基本价格指数及其来源的约定：</w:t>
      </w:r>
      <w:r>
        <w:rPr>
          <w:rFonts w:eastAsia="仿宋_GB2312"/>
          <w:i w:val="0"/>
          <w:iCs w:val="0"/>
          <w:color w:val="auto"/>
          <w:kern w:val="2"/>
          <w:highlight w:val="none"/>
          <w:u w:val="single"/>
        </w:rPr>
        <w:t xml:space="preserve">                                                </w:t>
      </w:r>
      <w:r>
        <w:rPr>
          <w:rFonts w:eastAsia="仿宋_GB2312"/>
          <w:i w:val="0"/>
          <w:iCs w:val="0"/>
          <w:color w:val="auto"/>
          <w:kern w:val="2"/>
          <w:highlight w:val="none"/>
        </w:rPr>
        <w:t xml:space="preserve">；  </w:t>
      </w:r>
    </w:p>
    <w:p w14:paraId="6F97D453">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第2种方式：采用造价信息</w:t>
      </w:r>
      <w:r>
        <w:rPr>
          <w:rFonts w:hint="eastAsia" w:eastAsia="仿宋_GB2312"/>
          <w:i w:val="0"/>
          <w:iCs w:val="0"/>
          <w:color w:val="auto"/>
          <w:kern w:val="2"/>
          <w:highlight w:val="none"/>
        </w:rPr>
        <w:t>进行价格</w:t>
      </w:r>
      <w:r>
        <w:rPr>
          <w:rFonts w:eastAsia="仿宋_GB2312"/>
          <w:i w:val="0"/>
          <w:iCs w:val="0"/>
          <w:color w:val="auto"/>
          <w:kern w:val="2"/>
          <w:highlight w:val="none"/>
        </w:rPr>
        <w:t>调整。</w:t>
      </w:r>
    </w:p>
    <w:p w14:paraId="75651CDD">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（2）关于基准价格的约定：</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084F603">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专用合同条款</w:t>
      </w:r>
      <w:r>
        <w:rPr>
          <w:rFonts w:hint="eastAsia" w:ascii="宋体" w:hAnsi="宋体" w:cs="宋体"/>
          <w:i w:val="0"/>
          <w:iCs w:val="0"/>
          <w:color w:val="auto"/>
          <w:kern w:val="2"/>
          <w:highlight w:val="none"/>
        </w:rPr>
        <w:t>①</w:t>
      </w:r>
      <w:r>
        <w:rPr>
          <w:rFonts w:eastAsia="仿宋_GB2312"/>
          <w:i w:val="0"/>
          <w:iCs w:val="0"/>
          <w:color w:val="auto"/>
          <w:kern w:val="2"/>
          <w:highlight w:val="none"/>
        </w:rPr>
        <w:t>承包人在已标价工程量清单或预算书中载明的材料单价低于基准价格的：专用合同条款合同履行期间材料单价涨幅以基准价格为基础超过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%时，或材料单价跌幅以已标价工程量清单或预算书中载明材料单价为基础超过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%时，其超过部分据实调整。</w:t>
      </w:r>
    </w:p>
    <w:p w14:paraId="7C92EDF2">
      <w:pPr>
        <w:autoSpaceDE/>
        <w:autoSpaceDN/>
        <w:adjustRightInd/>
        <w:spacing w:line="400" w:lineRule="exact"/>
        <w:ind w:firstLine="480" w:firstLineChars="200"/>
        <w:rPr>
          <w:rFonts w:eastAsia="仿宋_GB2312"/>
          <w:i w:val="0"/>
          <w:iCs w:val="0"/>
          <w:color w:val="auto"/>
          <w:kern w:val="2"/>
          <w:highlight w:val="none"/>
        </w:rPr>
      </w:pPr>
      <w:r>
        <w:rPr>
          <w:rFonts w:hint="eastAsia" w:ascii="宋体" w:hAnsi="宋体" w:cs="宋体"/>
          <w:i w:val="0"/>
          <w:iCs w:val="0"/>
          <w:color w:val="auto"/>
          <w:kern w:val="2"/>
          <w:highlight w:val="none"/>
        </w:rPr>
        <w:t>②</w:t>
      </w:r>
      <w:r>
        <w:rPr>
          <w:rFonts w:eastAsia="仿宋_GB2312"/>
          <w:i w:val="0"/>
          <w:iCs w:val="0"/>
          <w:color w:val="auto"/>
          <w:kern w:val="2"/>
          <w:highlight w:val="none"/>
        </w:rPr>
        <w:t>承包人在已标价工程量清单或预算书中载明的材料单价高于基准价格的：专用合同条款合同履行期间材料单价跌幅以基准价格为基础超过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%时，材料单价涨幅以已标价工程量清单或预算书中载明材料单价为基础超过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%时，其超过部分据实调整。</w:t>
      </w:r>
    </w:p>
    <w:p w14:paraId="79DA14DC">
      <w:pPr>
        <w:autoSpaceDE/>
        <w:autoSpaceDN/>
        <w:adjustRightInd/>
        <w:spacing w:line="400" w:lineRule="exact"/>
        <w:ind w:firstLine="645"/>
        <w:rPr>
          <w:rFonts w:eastAsia="仿宋_GB2312"/>
          <w:i w:val="0"/>
          <w:iCs w:val="0"/>
          <w:color w:val="auto"/>
          <w:kern w:val="2"/>
          <w:highlight w:val="none"/>
        </w:rPr>
      </w:pPr>
      <w:r>
        <w:rPr>
          <w:rFonts w:hint="eastAsia" w:ascii="宋体" w:hAnsi="宋体" w:cs="宋体"/>
          <w:i w:val="0"/>
          <w:iCs w:val="0"/>
          <w:color w:val="auto"/>
          <w:kern w:val="2"/>
          <w:highlight w:val="none"/>
        </w:rPr>
        <w:t>③</w:t>
      </w:r>
      <w:r>
        <w:rPr>
          <w:rFonts w:eastAsia="仿宋_GB2312"/>
          <w:i w:val="0"/>
          <w:iCs w:val="0"/>
          <w:color w:val="auto"/>
          <w:kern w:val="2"/>
          <w:highlight w:val="none"/>
        </w:rPr>
        <w:t>承包人在已标价工程量清单或预算书中载明的材料单价等于基准单价的：专用合同条款合同履行期间材料单价涨跌幅以基准单价为基础超过±</w:t>
      </w:r>
      <w:r>
        <w:rPr>
          <w:rFonts w:eastAsia="仿宋_GB2312"/>
          <w:i w:val="0"/>
          <w:iCs w:val="0"/>
          <w:color w:val="auto"/>
          <w:kern w:val="2"/>
          <w:highlight w:val="none"/>
          <w:u w:val="single"/>
        </w:rPr>
        <w:t xml:space="preserve">   </w:t>
      </w:r>
      <w:r>
        <w:rPr>
          <w:rFonts w:eastAsia="仿宋_GB2312"/>
          <w:i w:val="0"/>
          <w:iCs w:val="0"/>
          <w:color w:val="auto"/>
          <w:kern w:val="2"/>
          <w:highlight w:val="none"/>
        </w:rPr>
        <w:t>%时，其超过部分据实调整。</w:t>
      </w:r>
    </w:p>
    <w:p w14:paraId="17AD3BC8">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eastAsia="仿宋_GB2312"/>
          <w:i w:val="0"/>
          <w:iCs w:val="0"/>
          <w:color w:val="auto"/>
          <w:kern w:val="2"/>
          <w:highlight w:val="none"/>
        </w:rPr>
        <w:t>第3种方式：其他价格调整方式：</w:t>
      </w:r>
      <w:r>
        <w:rPr>
          <w:rFonts w:hint="eastAsia" w:ascii="Times New Roman" w:hAnsi="Times New Roman" w:eastAsia="仿宋_GB2312" w:cs="Times New Roman"/>
          <w:i w:val="0"/>
          <w:iCs w:val="0"/>
          <w:color w:val="auto"/>
          <w:kern w:val="2"/>
          <w:highlight w:val="none"/>
          <w:u w:val="single"/>
        </w:rPr>
        <w:t>市场价格波动是否调整合同价格的约定：人工、钢材(指钢筋、型钢、镀锌钢管，不含周转性钢材、幕墙钢龙骨)、</w:t>
      </w:r>
      <w:r>
        <w:rPr>
          <w:rFonts w:hint="eastAsia" w:eastAsia="仿宋_GB2312" w:cs="Times New Roman"/>
          <w:i w:val="0"/>
          <w:iCs w:val="0"/>
          <w:color w:val="auto"/>
          <w:kern w:val="2"/>
          <w:highlight w:val="none"/>
          <w:u w:val="single"/>
          <w:lang w:val="en-US" w:eastAsia="zh-CN"/>
        </w:rPr>
        <w:t>成品钢结构构件、</w:t>
      </w:r>
      <w:bookmarkStart w:id="795" w:name="_GoBack"/>
      <w:bookmarkEnd w:id="795"/>
      <w:r>
        <w:rPr>
          <w:rFonts w:hint="eastAsia" w:ascii="Times New Roman" w:hAnsi="Times New Roman" w:eastAsia="仿宋_GB2312" w:cs="Times New Roman"/>
          <w:i w:val="0"/>
          <w:iCs w:val="0"/>
          <w:color w:val="auto"/>
          <w:kern w:val="2"/>
          <w:highlight w:val="none"/>
          <w:u w:val="single"/>
        </w:rPr>
        <w:t xml:space="preserve">钢塑复合管、水泥、商品砼(不包含自密实混凝土，透水混凝土以及灌浆料)、预拌砂浆、电线、电缆、砌体材料：当波动率≤±5%时,在工程结算时价格不予调整；当波动率超过±5%以上时，在工程结算时允许对超过±5%以上部分予以调整；定价材料 （除税材料价和综合价）不因市场价格波动而调整。 </w:t>
      </w:r>
    </w:p>
    <w:p w14:paraId="1255E37B">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 xml:space="preserve">允许调整补（扣）价差的（主材种类详见前一款），在工程结算时计算方法约定如下： </w:t>
      </w:r>
    </w:p>
    <w:p w14:paraId="71EC5476">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hint="eastAsia" w:ascii="Times New Roman" w:hAnsi="Times New Roman" w:eastAsia="仿宋_GB2312" w:cs="Times New Roman"/>
          <w:i w:val="0"/>
          <w:iCs w:val="0"/>
          <w:color w:val="auto"/>
          <w:kern w:val="2"/>
          <w:highlight w:val="none"/>
          <w:u w:val="single"/>
        </w:rPr>
        <w:t xml:space="preserve">当波动率≤±5%时工程结算时价格不予调整；当波动率超过±5%以上时，按专 用条款第 11.1 条款的有关约定按实调整，在工程结算时计算方法约定调整公式如 下： </w:t>
      </w:r>
    </w:p>
    <w:p w14:paraId="0D4CAABA">
      <w:pPr>
        <w:autoSpaceDE/>
        <w:autoSpaceDN/>
        <w:adjustRightInd/>
        <w:spacing w:line="400" w:lineRule="exact"/>
        <w:rPr>
          <w:rFonts w:eastAsia="仿宋_GB2312"/>
          <w:i w:val="0"/>
          <w:iCs w:val="0"/>
          <w:color w:val="auto"/>
          <w:kern w:val="2"/>
          <w:highlight w:val="none"/>
        </w:rPr>
      </w:pPr>
      <w:r>
        <w:rPr>
          <w:rFonts w:hint="eastAsia" w:ascii="Times New Roman" w:hAnsi="Times New Roman" w:eastAsia="仿宋_GB2312" w:cs="Times New Roman"/>
          <w:i w:val="0"/>
          <w:iCs w:val="0"/>
          <w:color w:val="auto"/>
          <w:kern w:val="2"/>
          <w:highlight w:val="none"/>
          <w:u w:val="single"/>
        </w:rPr>
        <w:t xml:space="preserve">注：波动率=（A-C1）/C1×100%，差价=A-C1。 C1：基准价——允许调价差主材在 审定后招标控制价编制说明中明确的月刊《绍兴市造价信息（正刊）》【绍兴市信息价没有的材料套用《浙江造价信息》及市场调查价】中除税信息价。 A:比较价--施工期允许调价差主材计算方法:按合同工期前 80%月份的《绍兴市 造价信息(正刊)》【绍兴市信息价没有的材料套用《浙江造价信息》及市场调查价】 中所对应允许调价差主材综合除税信息价的算术平均值。因发包人造成工期延误的，延误期间发生的材料价格上涨差额由发包人承担；因承包人原因造成工期延误的，延误期间发生的材料价格上涨差额由承包人承担。 </w:t>
      </w:r>
    </w:p>
    <w:bookmarkEnd w:id="479"/>
    <w:bookmarkEnd w:id="480"/>
    <w:bookmarkEnd w:id="481"/>
    <w:bookmarkEnd w:id="482"/>
    <w:bookmarkEnd w:id="483"/>
    <w:bookmarkEnd w:id="484"/>
    <w:p w14:paraId="6C92CE8C">
      <w:pPr>
        <w:keepNext/>
        <w:keepLines/>
        <w:spacing w:before="120" w:after="120" w:line="400" w:lineRule="exact"/>
        <w:jc w:val="both"/>
        <w:outlineLvl w:val="3"/>
        <w:rPr>
          <w:rFonts w:eastAsia="黑体"/>
          <w:bCs/>
          <w:i w:val="0"/>
          <w:iCs w:val="0"/>
          <w:color w:val="auto"/>
          <w:kern w:val="2"/>
          <w:highlight w:val="none"/>
        </w:rPr>
      </w:pPr>
      <w:bookmarkStart w:id="594" w:name="_Toc296346706"/>
      <w:bookmarkStart w:id="595" w:name="_Toc297048391"/>
      <w:bookmarkStart w:id="596" w:name="_Toc292559410"/>
      <w:bookmarkStart w:id="597" w:name="_Toc296891033"/>
      <w:bookmarkStart w:id="598" w:name="_Toc297120505"/>
      <w:bookmarkStart w:id="599" w:name="_Toc296347204"/>
      <w:bookmarkStart w:id="600" w:name="_Toc292559915"/>
      <w:bookmarkStart w:id="601" w:name="_Toc296891245"/>
      <w:bookmarkStart w:id="602" w:name="_Toc296944544"/>
      <w:bookmarkStart w:id="603" w:name="_Toc296503205"/>
      <w:bookmarkStart w:id="604" w:name="_Toc351203644"/>
      <w:bookmarkStart w:id="605" w:name="_Toc312678040"/>
      <w:bookmarkStart w:id="606" w:name="_Toc304295579"/>
      <w:bookmarkStart w:id="607" w:name="_Toc303539159"/>
      <w:bookmarkStart w:id="608" w:name="_Toc300935002"/>
      <w:bookmarkStart w:id="609" w:name="_Toc297216211"/>
      <w:bookmarkStart w:id="610" w:name="_Toc297123552"/>
      <w:r>
        <w:rPr>
          <w:rFonts w:eastAsia="黑体"/>
          <w:bCs/>
          <w:i w:val="0"/>
          <w:iCs w:val="0"/>
          <w:color w:val="auto"/>
          <w:kern w:val="2"/>
          <w:highlight w:val="none"/>
        </w:rPr>
        <w:t xml:space="preserve">12. </w:t>
      </w:r>
      <w:bookmarkEnd w:id="594"/>
      <w:bookmarkEnd w:id="595"/>
      <w:bookmarkEnd w:id="596"/>
      <w:bookmarkEnd w:id="597"/>
      <w:bookmarkEnd w:id="598"/>
      <w:bookmarkEnd w:id="599"/>
      <w:bookmarkEnd w:id="600"/>
      <w:bookmarkEnd w:id="601"/>
      <w:bookmarkEnd w:id="602"/>
      <w:bookmarkEnd w:id="603"/>
      <w:r>
        <w:rPr>
          <w:rFonts w:eastAsia="黑体"/>
          <w:bCs/>
          <w:i w:val="0"/>
          <w:iCs w:val="0"/>
          <w:color w:val="auto"/>
          <w:kern w:val="2"/>
          <w:highlight w:val="none"/>
        </w:rPr>
        <w:t>合同价格、计量与支付</w:t>
      </w:r>
      <w:bookmarkEnd w:id="604"/>
    </w:p>
    <w:bookmarkEnd w:id="605"/>
    <w:bookmarkEnd w:id="606"/>
    <w:bookmarkEnd w:id="607"/>
    <w:bookmarkEnd w:id="608"/>
    <w:bookmarkEnd w:id="609"/>
    <w:bookmarkEnd w:id="610"/>
    <w:p w14:paraId="5626D5E7">
      <w:pPr>
        <w:autoSpaceDE/>
        <w:autoSpaceDN/>
        <w:adjustRightInd/>
        <w:spacing w:after="120" w:line="400" w:lineRule="exact"/>
        <w:ind w:firstLine="480" w:firstLineChars="200"/>
        <w:jc w:val="both"/>
        <w:rPr>
          <w:rFonts w:eastAsia="黑体"/>
          <w:i w:val="0"/>
          <w:iCs w:val="0"/>
          <w:color w:val="auto"/>
          <w:kern w:val="2"/>
          <w:highlight w:val="none"/>
        </w:rPr>
      </w:pPr>
      <w:bookmarkStart w:id="611" w:name="_Toc292559916"/>
      <w:bookmarkStart w:id="612" w:name="_Toc292559411"/>
      <w:bookmarkStart w:id="613" w:name="_Toc267251461"/>
      <w:bookmarkStart w:id="614" w:name="_Toc296347205"/>
      <w:bookmarkStart w:id="615" w:name="_Toc296503206"/>
      <w:bookmarkStart w:id="616" w:name="_Toc296891034"/>
      <w:bookmarkStart w:id="617" w:name="_Toc296891246"/>
      <w:bookmarkStart w:id="618" w:name="_Toc297048392"/>
      <w:bookmarkStart w:id="619" w:name="_Toc296944545"/>
      <w:bookmarkStart w:id="620" w:name="_Toc296346707"/>
      <w:bookmarkStart w:id="621" w:name="_Toc297120506"/>
      <w:bookmarkStart w:id="622" w:name="_Toc312678041"/>
      <w:bookmarkStart w:id="623" w:name="_Toc304295580"/>
      <w:bookmarkStart w:id="624" w:name="_Toc297216212"/>
      <w:bookmarkStart w:id="625" w:name="_Toc297123553"/>
      <w:bookmarkStart w:id="626" w:name="_Toc303539160"/>
      <w:bookmarkStart w:id="627" w:name="_Toc300935003"/>
      <w:r>
        <w:rPr>
          <w:rFonts w:eastAsia="黑体"/>
          <w:i w:val="0"/>
          <w:iCs w:val="0"/>
          <w:color w:val="auto"/>
          <w:kern w:val="2"/>
          <w:highlight w:val="none"/>
        </w:rPr>
        <w:t>12.1 合</w:t>
      </w:r>
      <w:bookmarkEnd w:id="611"/>
      <w:bookmarkEnd w:id="612"/>
      <w:bookmarkEnd w:id="613"/>
      <w:r>
        <w:rPr>
          <w:rFonts w:eastAsia="黑体"/>
          <w:i w:val="0"/>
          <w:iCs w:val="0"/>
          <w:color w:val="auto"/>
          <w:kern w:val="2"/>
          <w:highlight w:val="none"/>
        </w:rPr>
        <w:t>同价</w:t>
      </w:r>
      <w:bookmarkEnd w:id="614"/>
      <w:bookmarkEnd w:id="615"/>
      <w:bookmarkEnd w:id="616"/>
      <w:bookmarkEnd w:id="617"/>
      <w:bookmarkEnd w:id="618"/>
      <w:bookmarkEnd w:id="619"/>
      <w:bookmarkEnd w:id="620"/>
      <w:bookmarkEnd w:id="621"/>
      <w:r>
        <w:rPr>
          <w:rFonts w:eastAsia="黑体"/>
          <w:i w:val="0"/>
          <w:iCs w:val="0"/>
          <w:color w:val="auto"/>
          <w:kern w:val="2"/>
          <w:highlight w:val="none"/>
        </w:rPr>
        <w:t>格形式</w:t>
      </w:r>
    </w:p>
    <w:bookmarkEnd w:id="622"/>
    <w:bookmarkEnd w:id="623"/>
    <w:bookmarkEnd w:id="624"/>
    <w:bookmarkEnd w:id="625"/>
    <w:bookmarkEnd w:id="626"/>
    <w:bookmarkEnd w:id="627"/>
    <w:p w14:paraId="7D1B891E">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1、单价合同。</w:t>
      </w:r>
    </w:p>
    <w:p w14:paraId="284F7F18">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综合单价包含的风险范围：</w:t>
      </w:r>
      <w:r>
        <w:rPr>
          <w:rFonts w:hint="eastAsia" w:eastAsia="仿宋_GB2312"/>
          <w:i w:val="0"/>
          <w:iCs w:val="0"/>
          <w:color w:val="auto"/>
          <w:kern w:val="2"/>
          <w:highlight w:val="none"/>
          <w:u w:val="single"/>
        </w:rPr>
        <w:t xml:space="preserve">（1）应由承包人承担的不可调整的材料、人工以及机械台班价格在投标编制期或预算书编制期与合同实施期间的发生的市场价格波动（合同约定波动率范围内）；（2）在工程施工中承包人应能预计的所有费用；（3）所有本合同专用条款、招标文件、招标控制价及其编制说明明示要求投标人需承担或包干的费用；所有招标文件或工程量清单明示要求报价的内容而承包人未予报价的；（4）承包人对工程现场环境以及发包人提供的招标文件、图纸等资料作出错误的推论、理解而导致的报价失误；（5）其他：a、定额、标准、费率及相关政策规范（强制性文件除外）调整。b、国家政策变化以及一个有经验的承包人可以或应该能预见的风险。c、现行预算定额或计价规范未描述到，但又是按照施工工艺、施工规范、验收规范及质量通病防治措施等完成分项工程所必要的工作内容，均应包括在本合同总报价内。d、材料价格的正常波动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1A4636D2">
      <w:pPr>
        <w:autoSpaceDE/>
        <w:autoSpaceDN/>
        <w:adjustRightInd/>
        <w:spacing w:line="400" w:lineRule="exact"/>
        <w:rPr>
          <w:rFonts w:eastAsia="仿宋_GB2312"/>
          <w:i w:val="0"/>
          <w:iCs w:val="0"/>
          <w:color w:val="auto"/>
          <w:kern w:val="2"/>
          <w:highlight w:val="none"/>
        </w:rPr>
      </w:pPr>
      <w:r>
        <w:rPr>
          <w:rFonts w:eastAsia="仿宋_GB2312"/>
          <w:i w:val="0"/>
          <w:iCs w:val="0"/>
          <w:color w:val="auto"/>
          <w:kern w:val="2"/>
          <w:highlight w:val="none"/>
        </w:rPr>
        <w:t>风险费用的计算方法：</w:t>
      </w:r>
      <w:r>
        <w:rPr>
          <w:rFonts w:hint="eastAsia" w:eastAsia="仿宋_GB2312"/>
          <w:i w:val="0"/>
          <w:iCs w:val="0"/>
          <w:color w:val="auto"/>
          <w:kern w:val="2"/>
          <w:highlight w:val="none"/>
          <w:u w:val="single"/>
        </w:rPr>
        <w:t>已包含在综合单价中</w:t>
      </w:r>
      <w:r>
        <w:rPr>
          <w:rFonts w:eastAsia="仿宋_GB2312"/>
          <w:i w:val="0"/>
          <w:iCs w:val="0"/>
          <w:color w:val="auto"/>
          <w:kern w:val="2"/>
          <w:highlight w:val="none"/>
        </w:rPr>
        <w:t>。</w:t>
      </w:r>
    </w:p>
    <w:p w14:paraId="1FF505F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风险范围以外合同价格的调整方法：</w:t>
      </w:r>
      <w:r>
        <w:rPr>
          <w:rFonts w:hint="eastAsia" w:ascii="Times New Roman" w:hAnsi="Times New Roman" w:eastAsia="仿宋_GB2312" w:cs="Times New Roman"/>
          <w:i w:val="0"/>
          <w:iCs w:val="0"/>
          <w:color w:val="auto"/>
          <w:kern w:val="2"/>
          <w:highlight w:val="none"/>
          <w:u w:val="single"/>
          <w:lang w:eastAsia="zh-CN"/>
        </w:rPr>
        <w:t>市场价格波动引起的调整按本合同11.1第3 种方式的约定计算</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投标综合单价异常的处理按《浙江省建设工程计价规则</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rPr>
        <w:t>（2018版）8.3相关条款执行</w:t>
      </w:r>
      <w:r>
        <w:rPr>
          <w:rFonts w:eastAsia="仿宋_GB2312"/>
          <w:i w:val="0"/>
          <w:iCs w:val="0"/>
          <w:color w:val="auto"/>
          <w:kern w:val="2"/>
          <w:highlight w:val="none"/>
        </w:rPr>
        <w:t>。</w:t>
      </w:r>
    </w:p>
    <w:p w14:paraId="7D0060BE">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2、总价合同。</w:t>
      </w:r>
    </w:p>
    <w:p w14:paraId="2412020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总价包含的风险范围：</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31E77B9">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风险费用的计算方法：</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51B5D4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风险范围以外合同价格的调整方法：</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 xml:space="preserve">。     </w:t>
      </w:r>
    </w:p>
    <w:p w14:paraId="0287F12F">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3、其他价格方式：</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598683C">
      <w:pPr>
        <w:autoSpaceDE/>
        <w:autoSpaceDN/>
        <w:adjustRightInd/>
        <w:spacing w:after="120" w:line="400" w:lineRule="exact"/>
        <w:ind w:firstLine="480" w:firstLineChars="200"/>
        <w:jc w:val="both"/>
        <w:rPr>
          <w:rFonts w:eastAsia="黑体"/>
          <w:i w:val="0"/>
          <w:iCs w:val="0"/>
          <w:color w:val="auto"/>
          <w:kern w:val="2"/>
          <w:highlight w:val="none"/>
        </w:rPr>
      </w:pPr>
      <w:bookmarkStart w:id="628" w:name="_Toc304295581"/>
      <w:bookmarkStart w:id="629" w:name="_Toc303539161"/>
      <w:bookmarkStart w:id="630" w:name="_Toc300935004"/>
      <w:bookmarkStart w:id="631" w:name="_Toc297216213"/>
      <w:bookmarkStart w:id="632" w:name="_Toc297123554"/>
      <w:bookmarkStart w:id="633" w:name="_Toc312678042"/>
      <w:bookmarkStart w:id="634" w:name="_Toc296503207"/>
      <w:bookmarkStart w:id="635" w:name="_Toc292559412"/>
      <w:bookmarkStart w:id="636" w:name="_Toc297048393"/>
      <w:bookmarkStart w:id="637" w:name="_Toc296346708"/>
      <w:bookmarkStart w:id="638" w:name="_Toc297120507"/>
      <w:bookmarkStart w:id="639" w:name="_Toc296944546"/>
      <w:bookmarkStart w:id="640" w:name="_Toc296347206"/>
      <w:bookmarkStart w:id="641" w:name="_Toc296891247"/>
      <w:bookmarkStart w:id="642" w:name="_Toc296891035"/>
      <w:bookmarkStart w:id="643" w:name="_Toc292559917"/>
      <w:r>
        <w:rPr>
          <w:rFonts w:eastAsia="黑体"/>
          <w:i w:val="0"/>
          <w:iCs w:val="0"/>
          <w:color w:val="auto"/>
          <w:kern w:val="2"/>
          <w:highlight w:val="none"/>
        </w:rPr>
        <w:t>12.2 预付款</w:t>
      </w:r>
    </w:p>
    <w:bookmarkEnd w:id="628"/>
    <w:bookmarkEnd w:id="629"/>
    <w:bookmarkEnd w:id="630"/>
    <w:bookmarkEnd w:id="631"/>
    <w:bookmarkEnd w:id="632"/>
    <w:bookmarkEnd w:id="633"/>
    <w:p w14:paraId="3E9362D2">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12.2.1 预付款的支付</w:t>
      </w:r>
    </w:p>
    <w:p w14:paraId="5D5BBDE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预付款支付比例或金额：</w:t>
      </w:r>
      <w:r>
        <w:rPr>
          <w:rFonts w:hint="eastAsia" w:eastAsia="仿宋_GB2312"/>
          <w:i w:val="0"/>
          <w:iCs w:val="0"/>
          <w:color w:val="auto"/>
          <w:kern w:val="2"/>
          <w:highlight w:val="none"/>
          <w:u w:val="single"/>
        </w:rPr>
        <w:t>合同总价10%，基数为合同金额扣除暂（估）列价、预备费、安全文明施工费</w:t>
      </w:r>
      <w:r>
        <w:rPr>
          <w:rFonts w:eastAsia="仿宋_GB2312"/>
          <w:i w:val="0"/>
          <w:iCs w:val="0"/>
          <w:color w:val="auto"/>
          <w:kern w:val="2"/>
          <w:highlight w:val="none"/>
        </w:rPr>
        <w:t>。</w:t>
      </w:r>
    </w:p>
    <w:p w14:paraId="71C4FB10">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预付款支付期限：</w:t>
      </w:r>
      <w:r>
        <w:rPr>
          <w:rFonts w:hint="eastAsia" w:eastAsia="仿宋_GB2312"/>
          <w:i w:val="0"/>
          <w:iCs w:val="0"/>
          <w:color w:val="auto"/>
          <w:kern w:val="2"/>
          <w:highlight w:val="none"/>
          <w:u w:val="single"/>
        </w:rPr>
        <w:t>合同签订、承包人递交履约保函、总监理工程师发出开工指令后一个月内支付</w:t>
      </w:r>
      <w:r>
        <w:rPr>
          <w:rFonts w:eastAsia="仿宋_GB2312"/>
          <w:i w:val="0"/>
          <w:iCs w:val="0"/>
          <w:color w:val="auto"/>
          <w:kern w:val="2"/>
          <w:highlight w:val="none"/>
        </w:rPr>
        <w:t>。</w:t>
      </w:r>
    </w:p>
    <w:p w14:paraId="43FE5C1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预付款扣回的方式：</w:t>
      </w:r>
      <w:r>
        <w:rPr>
          <w:rFonts w:hint="eastAsia" w:ascii="Times New Roman" w:hAnsi="Times New Roman" w:eastAsia="仿宋_GB2312" w:cs="Times New Roman"/>
          <w:i w:val="0"/>
          <w:iCs w:val="0"/>
          <w:color w:val="auto"/>
          <w:kern w:val="2"/>
          <w:highlight w:val="none"/>
          <w:u w:val="single"/>
          <w:lang w:val="en-US" w:eastAsia="zh-CN"/>
        </w:rPr>
        <w:t>第一次支付工程款时</w:t>
      </w:r>
      <w:r>
        <w:rPr>
          <w:rFonts w:hint="eastAsia" w:ascii="Times New Roman" w:hAnsi="Times New Roman" w:eastAsia="仿宋_GB2312" w:cs="Times New Roman"/>
          <w:i w:val="0"/>
          <w:iCs w:val="0"/>
          <w:color w:val="auto"/>
          <w:kern w:val="2"/>
          <w:highlight w:val="none"/>
          <w:u w:val="single"/>
          <w:lang w:eastAsia="zh-CN"/>
        </w:rPr>
        <w:t>开始扣回预付款，分</w:t>
      </w:r>
      <w:r>
        <w:rPr>
          <w:rFonts w:hint="eastAsia" w:ascii="Times New Roman" w:hAnsi="Times New Roman" w:eastAsia="仿宋_GB2312" w:cs="Times New Roman"/>
          <w:i w:val="0"/>
          <w:iCs w:val="0"/>
          <w:color w:val="auto"/>
          <w:kern w:val="2"/>
          <w:highlight w:val="none"/>
          <w:u w:val="single"/>
          <w:lang w:val="en-US" w:eastAsia="zh-CN"/>
        </w:rPr>
        <w:t>6</w:t>
      </w:r>
      <w:r>
        <w:rPr>
          <w:rFonts w:hint="eastAsia" w:ascii="Times New Roman" w:hAnsi="Times New Roman" w:eastAsia="仿宋_GB2312" w:cs="Times New Roman"/>
          <w:i w:val="0"/>
          <w:iCs w:val="0"/>
          <w:color w:val="auto"/>
          <w:kern w:val="2"/>
          <w:highlight w:val="none"/>
          <w:u w:val="single"/>
          <w:lang w:eastAsia="zh-CN"/>
        </w:rPr>
        <w:t>期扣回，每期按预付款金额平均扣回，每期可支付产值不足以抵扣预付款时，当期不支付工程款，并入下一期一起支付，同时确保进度款累计支付至8</w:t>
      </w:r>
      <w:r>
        <w:rPr>
          <w:rFonts w:hint="eastAsia" w:ascii="Times New Roman" w:hAnsi="Times New Roman" w:eastAsia="仿宋_GB2312" w:cs="Times New Roman"/>
          <w:i w:val="0"/>
          <w:iCs w:val="0"/>
          <w:color w:val="auto"/>
          <w:kern w:val="2"/>
          <w:highlight w:val="none"/>
          <w:u w:val="single"/>
          <w:lang w:val="en-US" w:eastAsia="zh-CN"/>
        </w:rPr>
        <w:t>5</w:t>
      </w:r>
      <w:r>
        <w:rPr>
          <w:rFonts w:hint="eastAsia" w:ascii="Times New Roman" w:hAnsi="Times New Roman" w:eastAsia="仿宋_GB2312" w:cs="Times New Roman"/>
          <w:i w:val="0"/>
          <w:iCs w:val="0"/>
          <w:color w:val="auto"/>
          <w:kern w:val="2"/>
          <w:highlight w:val="none"/>
          <w:u w:val="single"/>
          <w:lang w:eastAsia="zh-CN"/>
        </w:rPr>
        <w:t>%前全部扣回</w:t>
      </w:r>
      <w:r>
        <w:rPr>
          <w:rFonts w:eastAsia="仿宋_GB2312"/>
          <w:i w:val="0"/>
          <w:iCs w:val="0"/>
          <w:color w:val="auto"/>
          <w:kern w:val="2"/>
          <w:highlight w:val="none"/>
        </w:rPr>
        <w:t>。</w:t>
      </w:r>
    </w:p>
    <w:p w14:paraId="6023402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12.2.2 预付款担保</w:t>
      </w:r>
    </w:p>
    <w:p w14:paraId="267A8A8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承包人提交预付款担保的期限：</w:t>
      </w:r>
      <w:r>
        <w:rPr>
          <w:rFonts w:hint="eastAsia" w:eastAsia="仿宋_GB2312"/>
          <w:i w:val="0"/>
          <w:iCs w:val="0"/>
          <w:color w:val="auto"/>
          <w:kern w:val="2"/>
          <w:highlight w:val="none"/>
          <w:u w:val="single"/>
        </w:rPr>
        <w:t>预付款支付前，担保比例金额与预付款对等</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4267253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预付款担保的形式为：</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银行保函或商业保函等</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bookmarkEnd w:id="634"/>
    <w:bookmarkEnd w:id="635"/>
    <w:bookmarkEnd w:id="636"/>
    <w:bookmarkEnd w:id="637"/>
    <w:bookmarkEnd w:id="638"/>
    <w:bookmarkEnd w:id="639"/>
    <w:bookmarkEnd w:id="640"/>
    <w:bookmarkEnd w:id="641"/>
    <w:bookmarkEnd w:id="642"/>
    <w:bookmarkEnd w:id="643"/>
    <w:p w14:paraId="37A58454">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12.3 计量</w:t>
      </w:r>
    </w:p>
    <w:p w14:paraId="301E01A4">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12.3.1 计量原则</w:t>
      </w:r>
    </w:p>
    <w:p w14:paraId="08CE09AD">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工程量计算规则：</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按招标控制价编制规则</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729D82E6">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12.3.2 计量周期</w:t>
      </w:r>
    </w:p>
    <w:p w14:paraId="529C33B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关于计量周期的约定：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按月</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2E85AF15">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12.3.3 单价合同的计量</w:t>
      </w:r>
    </w:p>
    <w:p w14:paraId="34EBEA0C">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关于单价合同计量的约定：</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按月计量，每月20日上报产值报表</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BEBCB21">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12.3.4 总价合同的计量</w:t>
      </w:r>
    </w:p>
    <w:p w14:paraId="6A8DB76E">
      <w:pPr>
        <w:autoSpaceDE/>
        <w:autoSpaceDN/>
        <w:adjustRightInd/>
        <w:spacing w:line="400" w:lineRule="exact"/>
        <w:ind w:firstLine="480" w:firstLineChars="200"/>
        <w:rPr>
          <w:rFonts w:hint="eastAsia" w:eastAsia="仿宋_GB2312"/>
          <w:i w:val="0"/>
          <w:iCs w:val="0"/>
          <w:color w:val="auto"/>
          <w:kern w:val="2"/>
          <w:highlight w:val="none"/>
        </w:rPr>
      </w:pPr>
      <w:r>
        <w:rPr>
          <w:rFonts w:eastAsia="仿宋_GB2312"/>
          <w:i w:val="0"/>
          <w:iCs w:val="0"/>
          <w:color w:val="auto"/>
          <w:kern w:val="2"/>
          <w:highlight w:val="none"/>
        </w:rPr>
        <w:t>关于总价合同计量的约定：</w:t>
      </w:r>
      <w:r>
        <w:rPr>
          <w:rFonts w:eastAsia="仿宋_GB2312"/>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6C33BE39">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12.3.5总价合同采用支付分解表计量支付的，是否适用第</w:t>
      </w:r>
      <w:r>
        <w:rPr>
          <w:rFonts w:eastAsia="仿宋_GB2312"/>
          <w:i w:val="0"/>
          <w:iCs w:val="0"/>
          <w:color w:val="auto"/>
          <w:highlight w:val="none"/>
        </w:rPr>
        <w:t xml:space="preserve">12.3.4 </w:t>
      </w:r>
      <w:r>
        <w:rPr>
          <w:rFonts w:eastAsia="仿宋_GB2312"/>
          <w:i w:val="0"/>
          <w:iCs w:val="0"/>
          <w:color w:val="auto"/>
          <w:kern w:val="2"/>
          <w:highlight w:val="none"/>
        </w:rPr>
        <w:t>项</w:t>
      </w:r>
      <w:r>
        <w:rPr>
          <w:rFonts w:hint="eastAsia" w:eastAsia="仿宋_GB2312"/>
          <w:i w:val="0"/>
          <w:iCs w:val="0"/>
          <w:color w:val="auto"/>
          <w:highlight w:val="none"/>
        </w:rPr>
        <w:t>〔</w:t>
      </w:r>
      <w:r>
        <w:rPr>
          <w:rFonts w:eastAsia="仿宋_GB2312"/>
          <w:i w:val="0"/>
          <w:iCs w:val="0"/>
          <w:color w:val="auto"/>
          <w:highlight w:val="none"/>
        </w:rPr>
        <w:t>总价合同的计量</w:t>
      </w:r>
      <w:r>
        <w:rPr>
          <w:rFonts w:hint="eastAsia" w:eastAsia="仿宋_GB2312"/>
          <w:i w:val="0"/>
          <w:iCs w:val="0"/>
          <w:color w:val="auto"/>
          <w:highlight w:val="none"/>
        </w:rPr>
        <w:t>〕</w:t>
      </w:r>
      <w:r>
        <w:rPr>
          <w:rFonts w:eastAsia="仿宋_GB2312"/>
          <w:i w:val="0"/>
          <w:iCs w:val="0"/>
          <w:color w:val="auto"/>
          <w:kern w:val="2"/>
          <w:highlight w:val="none"/>
        </w:rPr>
        <w:t>约定</w:t>
      </w:r>
      <w:r>
        <w:rPr>
          <w:rFonts w:hint="eastAsia" w:eastAsia="仿宋_GB2312"/>
          <w:i w:val="0"/>
          <w:iCs w:val="0"/>
          <w:color w:val="auto"/>
          <w:kern w:val="2"/>
          <w:highlight w:val="none"/>
        </w:rPr>
        <w:t>进行计量：</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xml:space="preserve">      </w:t>
      </w:r>
      <w:r>
        <w:rPr>
          <w:rFonts w:eastAsia="仿宋_GB2312"/>
          <w:i w:val="0"/>
          <w:iCs w:val="0"/>
          <w:color w:val="auto"/>
          <w:kern w:val="2"/>
          <w:highlight w:val="none"/>
        </w:rPr>
        <w:t>。</w:t>
      </w:r>
    </w:p>
    <w:p w14:paraId="2793548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12.3.6 其他价格形式合同的计量</w:t>
      </w:r>
    </w:p>
    <w:p w14:paraId="777A21DB">
      <w:pPr>
        <w:autoSpaceDE/>
        <w:autoSpaceDN/>
        <w:adjustRightInd/>
        <w:spacing w:line="400" w:lineRule="exact"/>
        <w:ind w:firstLine="480" w:firstLineChars="200"/>
        <w:rPr>
          <w:rFonts w:eastAsia="仿宋_GB2312"/>
          <w:i w:val="0"/>
          <w:iCs w:val="0"/>
          <w:color w:val="auto"/>
          <w:kern w:val="2"/>
          <w:highlight w:val="none"/>
        </w:rPr>
      </w:pPr>
      <w:r>
        <w:rPr>
          <w:rFonts w:eastAsia="仿宋_GB2312"/>
          <w:i w:val="0"/>
          <w:iCs w:val="0"/>
          <w:color w:val="auto"/>
          <w:kern w:val="2"/>
          <w:highlight w:val="none"/>
        </w:rPr>
        <w:t>其他价格形式的计量方式和程序：</w:t>
      </w:r>
      <w:r>
        <w:rPr>
          <w:rFonts w:eastAsia="仿宋_GB2312"/>
          <w:i w:val="0"/>
          <w:iCs w:val="0"/>
          <w:color w:val="auto"/>
          <w:kern w:val="2"/>
          <w:highlight w:val="none"/>
          <w:u w:val="single"/>
        </w:rPr>
        <w:t xml:space="preserve">       </w:t>
      </w:r>
      <w:r>
        <w:rPr>
          <w:rFonts w:hint="eastAsia" w:eastAsia="仿宋_GB2312"/>
          <w:i w:val="0"/>
          <w:iCs w:val="0"/>
          <w:color w:val="auto"/>
          <w:kern w:val="2"/>
          <w:highlight w:val="none"/>
          <w:u w:val="single"/>
          <w:lang w:val="en-US" w:eastAsia="zh-CN"/>
        </w:rPr>
        <w:t>/</w:t>
      </w:r>
      <w:r>
        <w:rPr>
          <w:rFonts w:hint="eastAsia" w:eastAsia="仿宋_GB2312"/>
          <w:i w:val="0"/>
          <w:iCs w:val="0"/>
          <w:color w:val="auto"/>
          <w:kern w:val="2"/>
          <w:highlight w:val="none"/>
          <w:u w:val="single"/>
        </w:rPr>
        <w:t>　　　　　</w:t>
      </w:r>
      <w:r>
        <w:rPr>
          <w:rFonts w:eastAsia="仿宋_GB2312"/>
          <w:i w:val="0"/>
          <w:iCs w:val="0"/>
          <w:color w:val="auto"/>
          <w:kern w:val="2"/>
          <w:highlight w:val="none"/>
          <w:u w:val="single"/>
        </w:rPr>
        <w:t xml:space="preserve"> </w:t>
      </w:r>
      <w:r>
        <w:rPr>
          <w:rFonts w:eastAsia="仿宋_GB2312"/>
          <w:i w:val="0"/>
          <w:iCs w:val="0"/>
          <w:color w:val="auto"/>
          <w:kern w:val="2"/>
          <w:highlight w:val="none"/>
        </w:rPr>
        <w:t>。</w:t>
      </w:r>
    </w:p>
    <w:p w14:paraId="5F7BBBBF">
      <w:pPr>
        <w:autoSpaceDE/>
        <w:autoSpaceDN/>
        <w:adjustRightInd/>
        <w:spacing w:after="120" w:line="400" w:lineRule="exact"/>
        <w:ind w:firstLine="480" w:firstLineChars="200"/>
        <w:jc w:val="both"/>
        <w:rPr>
          <w:rFonts w:eastAsia="黑体"/>
          <w:i w:val="0"/>
          <w:iCs w:val="0"/>
          <w:color w:val="auto"/>
          <w:kern w:val="2"/>
          <w:highlight w:val="none"/>
        </w:rPr>
      </w:pPr>
      <w:r>
        <w:rPr>
          <w:rFonts w:eastAsia="黑体"/>
          <w:i w:val="0"/>
          <w:iCs w:val="0"/>
          <w:color w:val="auto"/>
          <w:kern w:val="2"/>
          <w:highlight w:val="none"/>
        </w:rPr>
        <w:t>12.4 工程进度款支付</w:t>
      </w:r>
    </w:p>
    <w:p w14:paraId="3BC88C26">
      <w:pPr>
        <w:autoSpaceDE/>
        <w:autoSpaceDN/>
        <w:adjustRightInd/>
        <w:spacing w:line="400" w:lineRule="exact"/>
        <w:ind w:firstLine="480" w:firstLineChars="200"/>
        <w:rPr>
          <w:rFonts w:eastAsia="仿宋_GB2312"/>
          <w:i w:val="0"/>
          <w:iCs w:val="0"/>
          <w:color w:val="auto"/>
          <w:kern w:val="2"/>
          <w:highlight w:val="none"/>
        </w:rPr>
      </w:pPr>
      <w:bookmarkStart w:id="644" w:name="_Toc296891251"/>
      <w:bookmarkStart w:id="645" w:name="_Toc297216215"/>
      <w:bookmarkStart w:id="646" w:name="_Toc300935006"/>
      <w:bookmarkStart w:id="647" w:name="_Toc297120511"/>
      <w:bookmarkStart w:id="648" w:name="_Toc292559416"/>
      <w:bookmarkStart w:id="649" w:name="_Toc297048397"/>
      <w:bookmarkStart w:id="650" w:name="_Toc297123556"/>
      <w:bookmarkStart w:id="651" w:name="_Toc296346712"/>
      <w:bookmarkStart w:id="652" w:name="_Toc296347210"/>
      <w:bookmarkStart w:id="653" w:name="_Toc296944550"/>
      <w:bookmarkStart w:id="654" w:name="_Toc292559921"/>
      <w:bookmarkStart w:id="655" w:name="_Toc296503211"/>
      <w:bookmarkStart w:id="656" w:name="_Toc296891039"/>
      <w:bookmarkStart w:id="657" w:name="_Toc303539163"/>
      <w:r>
        <w:rPr>
          <w:rFonts w:eastAsia="仿宋_GB2312"/>
          <w:i w:val="0"/>
          <w:iCs w:val="0"/>
          <w:color w:val="auto"/>
          <w:kern w:val="2"/>
          <w:highlight w:val="none"/>
        </w:rPr>
        <w:t>12.4.1 付款周期</w:t>
      </w:r>
    </w:p>
    <w:p w14:paraId="06F16A4A">
      <w:pPr>
        <w:autoSpaceDE/>
        <w:autoSpaceDN/>
        <w:adjustRightInd/>
        <w:spacing w:line="400" w:lineRule="exact"/>
        <w:ind w:firstLine="480" w:firstLineChars="200"/>
        <w:rPr>
          <w:rFonts w:hint="eastAsia" w:eastAsia="仿宋_GB2312"/>
          <w:i w:val="0"/>
          <w:iCs w:val="0"/>
          <w:color w:val="auto"/>
          <w:kern w:val="2"/>
          <w:highlight w:val="none"/>
          <w:u w:val="single"/>
        </w:rPr>
      </w:pPr>
      <w:r>
        <w:rPr>
          <w:rFonts w:eastAsia="仿宋_GB2312"/>
          <w:i w:val="0"/>
          <w:iCs w:val="0"/>
          <w:color w:val="auto"/>
          <w:kern w:val="2"/>
          <w:highlight w:val="none"/>
        </w:rPr>
        <w:t>关于付款周期的约定：</w:t>
      </w:r>
      <w:r>
        <w:rPr>
          <w:rFonts w:hint="eastAsia" w:eastAsia="仿宋_GB2312"/>
          <w:i w:val="0"/>
          <w:iCs w:val="0"/>
          <w:color w:val="auto"/>
          <w:kern w:val="2"/>
          <w:highlight w:val="none"/>
          <w:u w:val="single"/>
        </w:rPr>
        <w:t>每月产值报表经监理、</w:t>
      </w:r>
      <w:r>
        <w:rPr>
          <w:rFonts w:hint="eastAsia" w:eastAsia="仿宋_GB2312"/>
          <w:i w:val="0"/>
          <w:iCs w:val="0"/>
          <w:color w:val="auto"/>
          <w:kern w:val="2"/>
          <w:highlight w:val="none"/>
          <w:u w:val="single"/>
          <w:lang w:val="en-US" w:eastAsia="zh-CN"/>
        </w:rPr>
        <w:t>全咨</w:t>
      </w:r>
      <w:r>
        <w:rPr>
          <w:rFonts w:hint="eastAsia" w:eastAsia="仿宋_GB2312"/>
          <w:i w:val="0"/>
          <w:iCs w:val="0"/>
          <w:color w:val="auto"/>
          <w:kern w:val="2"/>
          <w:highlight w:val="none"/>
          <w:u w:val="single"/>
        </w:rPr>
        <w:t>、发包人审核，按审核的产值的85%（不含联系单增加费用）支付进度款；</w:t>
      </w:r>
      <w:r>
        <w:rPr>
          <w:rFonts w:hint="eastAsia" w:eastAsia="仿宋_GB2312"/>
          <w:i w:val="0"/>
          <w:iCs w:val="0"/>
          <w:color w:val="auto"/>
          <w:kern w:val="2"/>
          <w:highlight w:val="none"/>
          <w:u w:val="single"/>
          <w:lang w:val="en-US" w:eastAsia="zh-CN"/>
        </w:rPr>
        <w:t>完成</w:t>
      </w:r>
      <w:r>
        <w:rPr>
          <w:rFonts w:hint="eastAsia" w:eastAsia="仿宋_GB2312"/>
          <w:i w:val="0"/>
          <w:iCs w:val="0"/>
          <w:color w:val="auto"/>
          <w:kern w:val="2"/>
          <w:highlight w:val="none"/>
          <w:u w:val="single"/>
        </w:rPr>
        <w:t>竣工验收</w:t>
      </w:r>
      <w:r>
        <w:rPr>
          <w:rFonts w:hint="eastAsia" w:eastAsia="仿宋_GB2312"/>
          <w:i w:val="0"/>
          <w:iCs w:val="0"/>
          <w:color w:val="auto"/>
          <w:kern w:val="2"/>
          <w:highlight w:val="none"/>
          <w:u w:val="single"/>
          <w:lang w:val="en-US" w:eastAsia="zh-CN"/>
        </w:rPr>
        <w:t>备案及提交结算资料</w:t>
      </w:r>
      <w:r>
        <w:rPr>
          <w:rFonts w:hint="eastAsia" w:eastAsia="仿宋_GB2312"/>
          <w:i w:val="0"/>
          <w:iCs w:val="0"/>
          <w:color w:val="auto"/>
          <w:kern w:val="2"/>
          <w:highlight w:val="none"/>
          <w:u w:val="single"/>
        </w:rPr>
        <w:t>后支付至90%（扣除预备费合同价，如实际完成的工程量低于合同价，则付至经业主、监理及相关部门核准的实际完成工程量的90%），经结算审定后付至审定价的98.5%，余款作为保修金，在</w:t>
      </w:r>
      <w:r>
        <w:rPr>
          <w:rFonts w:hint="eastAsia" w:eastAsia="仿宋_GB2312"/>
          <w:i w:val="0"/>
          <w:iCs w:val="0"/>
          <w:color w:val="auto"/>
          <w:kern w:val="2"/>
          <w:highlight w:val="none"/>
          <w:u w:val="single"/>
          <w:lang w:val="en-US" w:eastAsia="zh-CN"/>
        </w:rPr>
        <w:t>缺陷责任</w:t>
      </w:r>
      <w:r>
        <w:rPr>
          <w:rFonts w:hint="eastAsia" w:eastAsia="仿宋_GB2312"/>
          <w:i w:val="0"/>
          <w:iCs w:val="0"/>
          <w:color w:val="auto"/>
          <w:kern w:val="2"/>
          <w:highlight w:val="none"/>
          <w:u w:val="single"/>
        </w:rPr>
        <w:t>期满经发包方组织相关部门验收合格后28天内一次性付清。每次付款时承包人需提供增值税专用发票。</w:t>
      </w:r>
    </w:p>
    <w:p w14:paraId="55413C45">
      <w:pPr>
        <w:autoSpaceDE/>
        <w:autoSpaceDN/>
        <w:adjustRightInd/>
        <w:spacing w:line="400" w:lineRule="exact"/>
        <w:ind w:firstLine="480" w:firstLineChars="200"/>
        <w:rPr>
          <w:rFonts w:hint="default" w:eastAsia="仿宋_GB2312"/>
          <w:i w:val="0"/>
          <w:iCs w:val="0"/>
          <w:color w:val="auto"/>
          <w:kern w:val="2"/>
          <w:highlight w:val="none"/>
          <w:lang w:val="en-US" w:eastAsia="zh-CN"/>
        </w:rPr>
      </w:pPr>
      <w:r>
        <w:rPr>
          <w:rFonts w:hint="eastAsia" w:eastAsia="仿宋_GB2312"/>
          <w:i w:val="0"/>
          <w:iCs w:val="0"/>
          <w:color w:val="auto"/>
          <w:kern w:val="2"/>
          <w:highlight w:val="none"/>
          <w:u w:val="single"/>
        </w:rPr>
        <w:t>工程进度款按流程审批，审批完成后农民工工资先行支付，其余款项支付前，承包人须做好以下</w:t>
      </w:r>
      <w:r>
        <w:rPr>
          <w:rFonts w:hint="eastAsia" w:eastAsia="仿宋_GB2312"/>
          <w:i w:val="0"/>
          <w:iCs w:val="0"/>
          <w:color w:val="auto"/>
          <w:kern w:val="2"/>
          <w:highlight w:val="none"/>
          <w:u w:val="single"/>
          <w:lang w:val="en-US" w:eastAsia="zh-CN"/>
        </w:rPr>
        <w:t>五</w:t>
      </w:r>
      <w:r>
        <w:rPr>
          <w:rFonts w:hint="eastAsia" w:eastAsia="仿宋_GB2312"/>
          <w:i w:val="0"/>
          <w:iCs w:val="0"/>
          <w:color w:val="auto"/>
          <w:kern w:val="2"/>
          <w:highlight w:val="none"/>
          <w:u w:val="single"/>
        </w:rPr>
        <w:t>项工作：1、当月信访投诉及时解决；2、提交当月实名制考核表（需扣除相应违约费用）；3、发包人，监理人等提出的整改问题已经回复或整改到位。</w:t>
      </w:r>
      <w:r>
        <w:rPr>
          <w:rFonts w:hint="eastAsia" w:ascii="Times New Roman" w:hAnsi="Times New Roman" w:eastAsia="仿宋_GB2312" w:cs="Times New Roman"/>
          <w:i w:val="0"/>
          <w:iCs w:val="0"/>
          <w:color w:val="auto"/>
          <w:kern w:val="2"/>
          <w:highlight w:val="none"/>
          <w:u w:val="single"/>
          <w:lang w:val="en-US" w:eastAsia="zh-CN"/>
        </w:rPr>
        <w:t>4、当月设计变更资料已提交；5、发包人合理化工期未滞后。</w:t>
      </w:r>
      <w:r>
        <w:rPr>
          <w:rFonts w:hint="eastAsia" w:eastAsia="仿宋_GB2312"/>
          <w:i w:val="0"/>
          <w:iCs w:val="0"/>
          <w:color w:val="auto"/>
          <w:kern w:val="2"/>
          <w:highlight w:val="none"/>
          <w:u w:val="single"/>
        </w:rPr>
        <w:t xml:space="preserve">如果承包人未在其余工程款支付前做好上述工作，则发包人有权暂不支付该笔工程款 </w:t>
      </w:r>
      <w:r>
        <w:rPr>
          <w:rFonts w:hint="eastAsia" w:eastAsia="仿宋_GB2312"/>
          <w:i w:val="0"/>
          <w:iCs w:val="0"/>
          <w:color w:val="auto"/>
          <w:kern w:val="2"/>
          <w:highlight w:val="none"/>
          <w:u w:val="single"/>
          <w:lang w:eastAsia="zh-CN"/>
        </w:rPr>
        <w:t>；</w:t>
      </w:r>
    </w:p>
    <w:bookmarkEnd w:id="485"/>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14:paraId="18A75BE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12.4.2 进度付款申请单的编制</w:t>
      </w:r>
    </w:p>
    <w:p w14:paraId="10AD4DEC">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关于进度付款申请单编制的约定：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2F0E6B2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12.4.3 进度付款申请单的提交</w:t>
      </w:r>
    </w:p>
    <w:p w14:paraId="179E26F9">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（1）单价合同进度付款申请单提交的约定</w:t>
      </w:r>
      <w:r>
        <w:rPr>
          <w:rFonts w:hint="eastAsia" w:ascii="Times New Roman" w:hAnsi="Times New Roman" w:eastAsia="仿宋_GB2312" w:cs="Times New Roman"/>
          <w:i w:val="0"/>
          <w:iCs w:val="0"/>
          <w:color w:val="auto"/>
          <w:kern w:val="2"/>
          <w:highlight w:val="none"/>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 xml:space="preserve">按每月产值报表（每月20日前上报）一式四份  </w:t>
      </w:r>
      <w:r>
        <w:rPr>
          <w:rFonts w:ascii="Times New Roman" w:hAnsi="Times New Roman" w:eastAsia="仿宋_GB2312" w:cs="Times New Roman"/>
          <w:i w:val="0"/>
          <w:iCs w:val="0"/>
          <w:color w:val="auto"/>
          <w:kern w:val="2"/>
          <w:highlight w:val="none"/>
        </w:rPr>
        <w:t>。</w:t>
      </w:r>
    </w:p>
    <w:p w14:paraId="7574E9C4">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（2）总价合同进度付款申请单提交的约定</w:t>
      </w:r>
      <w:r>
        <w:rPr>
          <w:rFonts w:hint="eastAsia" w:ascii="Times New Roman" w:hAnsi="Times New Roman" w:eastAsia="仿宋_GB2312" w:cs="Times New Roman"/>
          <w:i w:val="0"/>
          <w:iCs w:val="0"/>
          <w:color w:val="auto"/>
          <w:kern w:val="2"/>
          <w:highlight w:val="none"/>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1F97BAF6">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（3）其他价格形式合同进度付款申请单提交的约定：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w:t>
      </w:r>
      <w:r>
        <w:rPr>
          <w:rFonts w:ascii="Times New Roman" w:hAnsi="Times New Roman" w:eastAsia="仿宋_GB2312" w:cs="Times New Roman"/>
          <w:i w:val="0"/>
          <w:iCs w:val="0"/>
          <w:color w:val="auto"/>
          <w:kern w:val="2"/>
          <w:highlight w:val="none"/>
        </w:rPr>
        <w:t>。</w:t>
      </w:r>
    </w:p>
    <w:p w14:paraId="0408EB2F">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12.4.4 进度款审核和支付</w:t>
      </w:r>
    </w:p>
    <w:p w14:paraId="78774C56">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u w:val="single"/>
        </w:rPr>
      </w:pPr>
      <w:r>
        <w:rPr>
          <w:rFonts w:ascii="Times New Roman" w:hAnsi="Times New Roman" w:eastAsia="仿宋_GB2312" w:cs="Times New Roman"/>
          <w:i w:val="0"/>
          <w:iCs w:val="0"/>
          <w:color w:val="auto"/>
          <w:kern w:val="2"/>
          <w:highlight w:val="none"/>
        </w:rPr>
        <w:t>（1）监理人审查并报送发包人的期限：</w:t>
      </w:r>
      <w:r>
        <w:rPr>
          <w:rFonts w:hint="eastAsia" w:ascii="Times New Roman" w:hAnsi="Times New Roman" w:eastAsia="仿宋_GB2312" w:cs="Times New Roman"/>
          <w:i w:val="0"/>
          <w:iCs w:val="0"/>
          <w:color w:val="auto"/>
          <w:kern w:val="2"/>
          <w:highlight w:val="none"/>
          <w:u w:val="single"/>
          <w:lang w:eastAsia="zh-CN"/>
        </w:rPr>
        <w:t xml:space="preserve"> 收到承包人进度付款申请单以及相关资料后7天内完成审查并报送发包人</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38797E5C">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发包人完成审批并签发进度款支付证书的期限：</w:t>
      </w:r>
      <w:r>
        <w:rPr>
          <w:rFonts w:hint="eastAsia" w:ascii="Times New Roman" w:hAnsi="Times New Roman" w:eastAsia="仿宋_GB2312" w:cs="Times New Roman"/>
          <w:i w:val="0"/>
          <w:iCs w:val="0"/>
          <w:color w:val="auto"/>
          <w:kern w:val="2"/>
          <w:highlight w:val="none"/>
          <w:u w:val="single"/>
          <w:lang w:eastAsia="zh-CN"/>
        </w:rPr>
        <w:t xml:space="preserve"> 发包人应在收到后14天内完成审批并签发进度款支付证书</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4BC96223">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（2）发包人支付进度款的期限：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发包人应在监理人收到进度付款申请单（以签字日期为准）后60天内</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D2EA3A9">
      <w:pPr>
        <w:autoSpaceDE/>
        <w:autoSpaceDN/>
        <w:adjustRightInd/>
        <w:spacing w:line="400" w:lineRule="exact"/>
        <w:ind w:firstLine="600" w:firstLineChars="250"/>
        <w:rPr>
          <w:rFonts w:hint="eastAsia" w:ascii="Times New Roman" w:hAnsi="Times New Roman" w:eastAsia="仿宋_GB2312" w:cs="Times New Roman"/>
          <w:i w:val="0"/>
          <w:iCs w:val="0"/>
          <w:color w:val="auto"/>
          <w:kern w:val="2"/>
          <w:highlight w:val="none"/>
          <w:lang w:val="en-US"/>
        </w:rPr>
      </w:pPr>
      <w:r>
        <w:rPr>
          <w:rFonts w:ascii="Times New Roman" w:hAnsi="Times New Roman" w:eastAsia="仿宋_GB2312" w:cs="Times New Roman"/>
          <w:i w:val="0"/>
          <w:iCs w:val="0"/>
          <w:color w:val="auto"/>
          <w:kern w:val="2"/>
          <w:highlight w:val="none"/>
        </w:rPr>
        <w:t>发包人逾期支付进度款的违约金的计算方式：</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rPr>
        <w:t>。</w:t>
      </w:r>
    </w:p>
    <w:p w14:paraId="75F512D7">
      <w:pPr>
        <w:autoSpaceDE/>
        <w:autoSpaceDN/>
        <w:adjustRightInd/>
        <w:spacing w:line="400" w:lineRule="exact"/>
        <w:ind w:left="4800" w:hanging="4800" w:hangingChars="2000"/>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lang w:val="en-US" w:eastAsia="zh-CN"/>
        </w:rPr>
        <w:t xml:space="preserve">    </w:t>
      </w:r>
      <w:r>
        <w:rPr>
          <w:rFonts w:ascii="Times New Roman" w:hAnsi="Times New Roman" w:eastAsia="仿宋_GB2312" w:cs="Times New Roman"/>
          <w:i w:val="0"/>
          <w:iCs w:val="0"/>
          <w:color w:val="auto"/>
          <w:kern w:val="2"/>
          <w:highlight w:val="none"/>
        </w:rPr>
        <w:t>2、总价合同支付分解表的编制与审批：</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118475E6">
      <w:pPr>
        <w:autoSpaceDE/>
        <w:autoSpaceDN/>
        <w:adjustRightInd/>
        <w:spacing w:line="400" w:lineRule="exact"/>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lang w:val="en-US" w:eastAsia="zh-CN"/>
        </w:rPr>
        <w:t xml:space="preserve">    </w:t>
      </w:r>
      <w:r>
        <w:rPr>
          <w:rFonts w:ascii="Times New Roman" w:hAnsi="Times New Roman" w:eastAsia="仿宋_GB2312" w:cs="Times New Roman"/>
          <w:i w:val="0"/>
          <w:iCs w:val="0"/>
          <w:color w:val="auto"/>
          <w:kern w:val="2"/>
          <w:highlight w:val="none"/>
        </w:rPr>
        <w:t>3、单价合同的总价项目支付分解表的编制与审批：</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081B2C76">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658" w:name="_Toc351203645"/>
      <w:bookmarkStart w:id="659" w:name="_Toc292559424"/>
      <w:bookmarkStart w:id="660" w:name="_Toc304295593"/>
      <w:bookmarkStart w:id="661" w:name="_Toc296346720"/>
      <w:bookmarkStart w:id="662" w:name="_Toc297048405"/>
      <w:bookmarkStart w:id="663" w:name="_Toc300935015"/>
      <w:bookmarkStart w:id="664" w:name="_Toc296503219"/>
      <w:bookmarkStart w:id="665" w:name="_Toc312678053"/>
      <w:bookmarkStart w:id="666" w:name="_Toc296891047"/>
      <w:bookmarkStart w:id="667" w:name="_Toc296944558"/>
      <w:bookmarkStart w:id="668" w:name="_Toc296891259"/>
      <w:bookmarkStart w:id="669" w:name="_Toc296347218"/>
      <w:bookmarkStart w:id="670" w:name="_Toc297216223"/>
      <w:bookmarkStart w:id="671" w:name="_Toc292559929"/>
      <w:bookmarkStart w:id="672" w:name="_Toc297123564"/>
      <w:bookmarkStart w:id="673" w:name="_Toc303539172"/>
      <w:bookmarkStart w:id="674" w:name="_Toc297120519"/>
      <w:r>
        <w:rPr>
          <w:rFonts w:ascii="Times New Roman" w:hAnsi="Times New Roman" w:eastAsia="黑体" w:cs="Times New Roman"/>
          <w:bCs/>
          <w:i w:val="0"/>
          <w:iCs w:val="0"/>
          <w:color w:val="auto"/>
          <w:kern w:val="2"/>
          <w:highlight w:val="none"/>
        </w:rPr>
        <w:t>13.</w:t>
      </w:r>
      <w:r>
        <w:rPr>
          <w:rFonts w:hint="eastAsia" w:ascii="Times New Roman" w:hAnsi="Times New Roman" w:eastAsia="黑体" w:cs="Times New Roman"/>
          <w:bCs/>
          <w:i w:val="0"/>
          <w:iCs w:val="0"/>
          <w:color w:val="auto"/>
          <w:kern w:val="2"/>
          <w:highlight w:val="none"/>
        </w:rPr>
        <w:t xml:space="preserve"> </w:t>
      </w:r>
      <w:r>
        <w:rPr>
          <w:rFonts w:ascii="Times New Roman" w:hAnsi="Times New Roman" w:eastAsia="黑体" w:cs="Times New Roman"/>
          <w:bCs/>
          <w:i w:val="0"/>
          <w:iCs w:val="0"/>
          <w:color w:val="auto"/>
          <w:kern w:val="2"/>
          <w:highlight w:val="none"/>
        </w:rPr>
        <w:t>验收和工程试车</w:t>
      </w:r>
      <w:bookmarkEnd w:id="658"/>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14:paraId="2B04BD12">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13.1 分部分项工程验收</w:t>
      </w:r>
    </w:p>
    <w:p w14:paraId="075D45C6">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13.1.2监理人不能按时进行验收时，应提前</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24</w:t>
      </w:r>
      <w:r>
        <w:rPr>
          <w:rFonts w:hint="eastAsia" w:ascii="Times New Roman" w:hAnsi="Times New Roman" w:eastAsia="仿宋_GB2312" w:cs="Times New Roman"/>
          <w:i w:val="0"/>
          <w:iCs w:val="0"/>
          <w:color w:val="auto"/>
          <w:kern w:val="2"/>
          <w:highlight w:val="none"/>
          <w:u w:val="single"/>
          <w:lang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小时提交书面延期要求。</w:t>
      </w:r>
    </w:p>
    <w:p w14:paraId="7EAA6E01">
      <w:pPr>
        <w:autoSpaceDE/>
        <w:autoSpaceDN/>
        <w:adjustRightInd/>
        <w:spacing w:line="400" w:lineRule="exact"/>
        <w:ind w:firstLine="480" w:firstLineChars="200"/>
        <w:rPr>
          <w:rFonts w:ascii="Times New Roman" w:hAnsi="Times New Roman" w:eastAsia="仿宋_GB2312" w:cs="Times New Roman"/>
          <w:b/>
          <w:i w:val="0"/>
          <w:iCs w:val="0"/>
          <w:color w:val="auto"/>
          <w:kern w:val="2"/>
          <w:highlight w:val="none"/>
        </w:rPr>
      </w:pPr>
      <w:r>
        <w:rPr>
          <w:rFonts w:ascii="Times New Roman" w:hAnsi="Times New Roman" w:eastAsia="仿宋_GB2312" w:cs="Times New Roman"/>
          <w:i w:val="0"/>
          <w:iCs w:val="0"/>
          <w:color w:val="auto"/>
          <w:kern w:val="2"/>
          <w:highlight w:val="none"/>
        </w:rPr>
        <w:t>关于延期最长不得超过：</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48</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小时。</w:t>
      </w:r>
    </w:p>
    <w:p w14:paraId="37514387">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bookmarkStart w:id="675" w:name="_Toc297048409"/>
      <w:bookmarkStart w:id="676" w:name="_Toc300935016"/>
      <w:bookmarkStart w:id="677" w:name="_Toc296944562"/>
      <w:bookmarkStart w:id="678" w:name="_Toc303539173"/>
      <w:bookmarkStart w:id="679" w:name="_Toc296891051"/>
      <w:bookmarkStart w:id="680" w:name="_Toc304295596"/>
      <w:bookmarkStart w:id="681" w:name="_Toc296503223"/>
      <w:bookmarkStart w:id="682" w:name="_Toc292559428"/>
      <w:bookmarkStart w:id="683" w:name="_Toc297120523"/>
      <w:bookmarkStart w:id="684" w:name="_Toc297216224"/>
      <w:bookmarkStart w:id="685" w:name="_Toc296347222"/>
      <w:bookmarkStart w:id="686" w:name="_Toc296346724"/>
      <w:bookmarkStart w:id="687" w:name="_Toc296891263"/>
      <w:bookmarkStart w:id="688" w:name="_Toc292559933"/>
      <w:bookmarkStart w:id="689" w:name="_Toc297123565"/>
      <w:bookmarkStart w:id="690" w:name="_Toc312678056"/>
      <w:bookmarkStart w:id="691" w:name="_Toc267251475"/>
      <w:bookmarkStart w:id="692" w:name="_Toc267251476"/>
      <w:bookmarkStart w:id="693" w:name="_Toc267251474"/>
      <w:bookmarkStart w:id="694" w:name="_Toc267251472"/>
      <w:bookmarkStart w:id="695" w:name="_Toc267251473"/>
      <w:bookmarkStart w:id="696" w:name="_Toc267251471"/>
      <w:bookmarkStart w:id="697" w:name="_Toc267251470"/>
      <w:r>
        <w:rPr>
          <w:rFonts w:ascii="Times New Roman" w:hAnsi="Times New Roman" w:eastAsia="黑体" w:cs="Times New Roman"/>
          <w:i w:val="0"/>
          <w:iCs w:val="0"/>
          <w:color w:val="auto"/>
          <w:kern w:val="2"/>
          <w:highlight w:val="none"/>
        </w:rPr>
        <w:t>13.2 竣工验收</w:t>
      </w:r>
    </w:p>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14:paraId="68AC8086">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bookmarkStart w:id="698" w:name="_Toc280868704"/>
      <w:bookmarkStart w:id="699" w:name="_Toc280868705"/>
      <w:bookmarkStart w:id="700" w:name="_Toc280868706"/>
      <w:bookmarkStart w:id="701" w:name="_Toc280868707"/>
      <w:bookmarkStart w:id="702" w:name="_Toc280868708"/>
      <w:bookmarkStart w:id="703" w:name="_Toc280868709"/>
      <w:r>
        <w:rPr>
          <w:rFonts w:ascii="Times New Roman" w:hAnsi="Times New Roman" w:eastAsia="仿宋_GB2312" w:cs="Times New Roman"/>
          <w:i w:val="0"/>
          <w:iCs w:val="0"/>
          <w:color w:val="auto"/>
          <w:kern w:val="2"/>
          <w:highlight w:val="none"/>
        </w:rPr>
        <w:t>13.2.2竣工验收程序</w:t>
      </w:r>
    </w:p>
    <w:bookmarkEnd w:id="698"/>
    <w:p w14:paraId="454F514A">
      <w:pPr>
        <w:autoSpaceDE/>
        <w:autoSpaceDN/>
        <w:adjustRightInd/>
        <w:spacing w:line="400" w:lineRule="exact"/>
        <w:ind w:left="4800" w:hanging="4800" w:hangingChars="20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highlight w:val="none"/>
        </w:rPr>
        <w:t>关于竣工验收程序的约定：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按通用条款13.2.2条标准执行</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0CD07216">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u w:val="single"/>
        </w:rPr>
      </w:pPr>
      <w:r>
        <w:rPr>
          <w:rFonts w:ascii="Times New Roman" w:hAnsi="Times New Roman" w:eastAsia="仿宋_GB2312" w:cs="Times New Roman"/>
          <w:i w:val="0"/>
          <w:iCs w:val="0"/>
          <w:color w:val="auto"/>
          <w:highlight w:val="none"/>
        </w:rPr>
        <w:t>发包人不按照本项约定组织竣工验收、颁发工程接收证书的违约金的计算方法：</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p>
    <w:p w14:paraId="04C2B238">
      <w:pPr>
        <w:autoSpaceDE/>
        <w:autoSpaceDN/>
        <w:adjustRightInd/>
        <w:spacing w:line="400" w:lineRule="exact"/>
        <w:rPr>
          <w:rFonts w:hint="eastAsia"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按通用条款相关条款执行 </w:t>
      </w:r>
      <w:r>
        <w:rPr>
          <w:rFonts w:ascii="Times New Roman" w:hAnsi="Times New Roman" w:eastAsia="仿宋_GB2312" w:cs="Times New Roman"/>
          <w:i w:val="0"/>
          <w:iCs w:val="0"/>
          <w:color w:val="auto"/>
          <w:kern w:val="2"/>
          <w:highlight w:val="none"/>
        </w:rPr>
        <w:t>。</w:t>
      </w:r>
    </w:p>
    <w:bookmarkEnd w:id="699"/>
    <w:p w14:paraId="58BAAD15">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13.2.5移交、接收全部与部分工程</w:t>
      </w:r>
    </w:p>
    <w:bookmarkEnd w:id="700"/>
    <w:p w14:paraId="610514AB">
      <w:pPr>
        <w:pStyle w:val="55"/>
        <w:numPr>
          <w:ilvl w:val="1"/>
          <w:numId w:val="0"/>
        </w:numPr>
        <w:tabs>
          <w:tab w:val="left" w:pos="284"/>
        </w:tabs>
        <w:snapToGrid w:val="0"/>
        <w:spacing w:line="360" w:lineRule="auto"/>
        <w:jc w:val="left"/>
        <w:rPr>
          <w:rFonts w:hint="eastAsia" w:ascii="Times New Roman" w:hAnsi="Times New Roman" w:eastAsia="仿宋_GB2312" w:cs="Times New Roman"/>
          <w:i w:val="0"/>
          <w:iCs w:val="0"/>
          <w:color w:val="auto"/>
          <w:highlight w:val="none"/>
        </w:rPr>
      </w:pPr>
      <w:r>
        <w:rPr>
          <w:rFonts w:hint="eastAsia" w:ascii="Times New Roman" w:hAnsi="Times New Roman" w:eastAsia="仿宋_GB2312" w:cs="Times New Roman"/>
          <w:i w:val="0"/>
          <w:iCs w:val="0"/>
          <w:color w:val="auto"/>
          <w:highlight w:val="none"/>
        </w:rPr>
        <w:t>承包人向发包人移交工程的期限：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承包人于竣工验收后30天竣工验收后完成备案手续手续办理，合同当事人应当在颁发工程接收证书后7天内完成工程的移交</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rPr>
        <w:t>。</w:t>
      </w:r>
    </w:p>
    <w:p w14:paraId="5A832B74">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u w:val="single"/>
        </w:rPr>
      </w:pPr>
      <w:r>
        <w:rPr>
          <w:rFonts w:ascii="Times New Roman" w:hAnsi="Times New Roman" w:eastAsia="仿宋_GB2312" w:cs="Times New Roman"/>
          <w:i w:val="0"/>
          <w:iCs w:val="0"/>
          <w:color w:val="auto"/>
          <w:highlight w:val="none"/>
        </w:rPr>
        <w:t>发包人未按本合同约定接收全部或部分工程的，违约金的计算方法为：</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双方另行协商解决 </w:t>
      </w:r>
      <w:r>
        <w:rPr>
          <w:rFonts w:ascii="Times New Roman" w:hAnsi="Times New Roman" w:eastAsia="仿宋_GB2312" w:cs="Times New Roman"/>
          <w:i w:val="0"/>
          <w:iCs w:val="0"/>
          <w:color w:val="auto"/>
          <w:kern w:val="2"/>
          <w:highlight w:val="none"/>
        </w:rPr>
        <w:t>。</w:t>
      </w:r>
    </w:p>
    <w:bookmarkEnd w:id="701"/>
    <w:p w14:paraId="397B9CE2">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承包人未按时移交工程的，违约金的计算方法为：</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按照工期违约处理</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0127B077">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13.3 工程试车</w:t>
      </w:r>
    </w:p>
    <w:bookmarkEnd w:id="702"/>
    <w:p w14:paraId="40FF1895">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13.3.1 试车程序</w:t>
      </w:r>
    </w:p>
    <w:p w14:paraId="7DEC14FB">
      <w:pPr>
        <w:autoSpaceDE/>
        <w:autoSpaceDN/>
        <w:adjustRightInd/>
        <w:spacing w:line="400" w:lineRule="exact"/>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工程试车内容：</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90A0541">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（1）单机无负荷试车费用由</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highlight w:val="none"/>
        </w:rPr>
        <w:t>承担；</w:t>
      </w:r>
    </w:p>
    <w:p w14:paraId="149F1130">
      <w:pPr>
        <w:autoSpaceDE/>
        <w:autoSpaceDN/>
        <w:adjustRightInd/>
        <w:spacing w:line="400" w:lineRule="exact"/>
        <w:ind w:firstLine="480" w:firstLineChars="200"/>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（2）无负荷联动试车费用由</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highlight w:val="none"/>
        </w:rPr>
        <w:t>承担。</w:t>
      </w:r>
    </w:p>
    <w:p w14:paraId="6EDD2644">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13.3.3 投料试车</w:t>
      </w:r>
    </w:p>
    <w:p w14:paraId="67D53BDB">
      <w:pPr>
        <w:autoSpaceDE/>
        <w:autoSpaceDN/>
        <w:adjustRightInd/>
        <w:spacing w:line="400" w:lineRule="exact"/>
        <w:rPr>
          <w:rFonts w:ascii="Times New Roman" w:hAnsi="Times New Roman" w:eastAsia="仿宋_GB2312" w:cs="Times New Roman"/>
          <w:i w:val="0"/>
          <w:iCs w:val="0"/>
          <w:color w:val="auto"/>
          <w:highlight w:val="none"/>
        </w:rPr>
      </w:pPr>
      <w:r>
        <w:rPr>
          <w:rFonts w:hint="eastAsia" w:ascii="Times New Roman" w:hAnsi="Times New Roman" w:eastAsia="仿宋_GB2312" w:cs="Times New Roman"/>
          <w:i w:val="0"/>
          <w:iCs w:val="0"/>
          <w:color w:val="auto"/>
          <w:highlight w:val="none"/>
        </w:rPr>
        <w:t>关于投料试车相关事项的约定：</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2BBBA82C">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04" w:name="_Toc7381"/>
      <w:r>
        <w:rPr>
          <w:rFonts w:ascii="Times New Roman" w:hAnsi="Times New Roman" w:eastAsia="黑体" w:cs="Times New Roman"/>
          <w:i w:val="0"/>
          <w:iCs w:val="0"/>
          <w:color w:val="auto"/>
          <w:kern w:val="2"/>
          <w:highlight w:val="none"/>
        </w:rPr>
        <w:t>13.6 竣工退场</w:t>
      </w:r>
      <w:bookmarkEnd w:id="704"/>
    </w:p>
    <w:p w14:paraId="4D34E488">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13.6.1 竣工退场</w:t>
      </w:r>
    </w:p>
    <w:p w14:paraId="3A775792">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承包人完成竣工退场的期限：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竣工验收通过后7天内承包人应对施工场地进行清理、并且经监理人验收符合要求为止。清场费用由承包人承担。场地清理未达到合同约定的，发包人有权委托其他人恢复或清理，所发生的金额从合同价款中扣除 </w:t>
      </w:r>
      <w:r>
        <w:rPr>
          <w:rFonts w:ascii="Times New Roman" w:hAnsi="Times New Roman" w:eastAsia="仿宋_GB2312" w:cs="Times New Roman"/>
          <w:i w:val="0"/>
          <w:iCs w:val="0"/>
          <w:color w:val="auto"/>
          <w:highlight w:val="none"/>
        </w:rPr>
        <w:t>。</w:t>
      </w:r>
    </w:p>
    <w:p w14:paraId="30806A87">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05" w:name="_Toc351203646"/>
      <w:r>
        <w:rPr>
          <w:rFonts w:ascii="Times New Roman" w:hAnsi="Times New Roman" w:eastAsia="黑体" w:cs="Times New Roman"/>
          <w:bCs/>
          <w:i w:val="0"/>
          <w:iCs w:val="0"/>
          <w:color w:val="auto"/>
          <w:kern w:val="2"/>
          <w:highlight w:val="none"/>
        </w:rPr>
        <w:t>14. 竣工结算</w:t>
      </w:r>
      <w:bookmarkEnd w:id="705"/>
    </w:p>
    <w:p w14:paraId="165D9C37">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14.1 竣工</w:t>
      </w:r>
      <w:r>
        <w:rPr>
          <w:rFonts w:hint="eastAsia" w:ascii="Times New Roman" w:hAnsi="Times New Roman" w:eastAsia="黑体" w:cs="Times New Roman"/>
          <w:i w:val="0"/>
          <w:iCs w:val="0"/>
          <w:color w:val="auto"/>
          <w:kern w:val="2"/>
          <w:highlight w:val="none"/>
        </w:rPr>
        <w:t>结算</w:t>
      </w:r>
      <w:r>
        <w:rPr>
          <w:rFonts w:ascii="Times New Roman" w:hAnsi="Times New Roman" w:eastAsia="黑体" w:cs="Times New Roman"/>
          <w:i w:val="0"/>
          <w:iCs w:val="0"/>
          <w:color w:val="auto"/>
          <w:kern w:val="2"/>
          <w:highlight w:val="none"/>
        </w:rPr>
        <w:t>申请</w:t>
      </w:r>
    </w:p>
    <w:p w14:paraId="6110E97C">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承包人提交竣工</w:t>
      </w:r>
      <w:r>
        <w:rPr>
          <w:rFonts w:hint="eastAsia" w:ascii="Times New Roman" w:hAnsi="Times New Roman" w:eastAsia="仿宋_GB2312" w:cs="Times New Roman"/>
          <w:i w:val="0"/>
          <w:iCs w:val="0"/>
          <w:color w:val="auto"/>
          <w:kern w:val="2"/>
          <w:highlight w:val="none"/>
        </w:rPr>
        <w:t>结算</w:t>
      </w:r>
      <w:r>
        <w:rPr>
          <w:rFonts w:ascii="Times New Roman" w:hAnsi="Times New Roman" w:eastAsia="仿宋_GB2312" w:cs="Times New Roman"/>
          <w:i w:val="0"/>
          <w:iCs w:val="0"/>
          <w:color w:val="auto"/>
          <w:kern w:val="2"/>
          <w:highlight w:val="none"/>
        </w:rPr>
        <w:t>申请单的期限：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竣工验收通过后30日内</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9B896E5">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竣工</w:t>
      </w:r>
      <w:r>
        <w:rPr>
          <w:rFonts w:hint="eastAsia" w:ascii="Times New Roman" w:hAnsi="Times New Roman" w:eastAsia="仿宋_GB2312" w:cs="Times New Roman"/>
          <w:i w:val="0"/>
          <w:iCs w:val="0"/>
          <w:color w:val="auto"/>
          <w:kern w:val="2"/>
          <w:highlight w:val="none"/>
        </w:rPr>
        <w:t>结算</w:t>
      </w:r>
      <w:r>
        <w:rPr>
          <w:rFonts w:ascii="Times New Roman" w:hAnsi="Times New Roman" w:eastAsia="仿宋_GB2312" w:cs="Times New Roman"/>
          <w:i w:val="0"/>
          <w:iCs w:val="0"/>
          <w:color w:val="auto"/>
          <w:kern w:val="2"/>
          <w:highlight w:val="none"/>
        </w:rPr>
        <w:t>申请单应包括的内容：</w:t>
      </w:r>
      <w:r>
        <w:rPr>
          <w:rFonts w:hint="eastAsia" w:ascii="Times New Roman" w:hAnsi="Times New Roman" w:eastAsia="仿宋_GB2312" w:cs="Times New Roman"/>
          <w:i w:val="0"/>
          <w:iCs w:val="0"/>
          <w:color w:val="auto"/>
          <w:kern w:val="2"/>
          <w:highlight w:val="none"/>
          <w:u w:val="single"/>
        </w:rPr>
        <w:t>（1）发包人已支付承包人的款项；（2）应扣留的质量保证金；（3）发包人应支付承包人的合同价款</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6D0553B0">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06" w:name="_Toc20377"/>
      <w:r>
        <w:rPr>
          <w:rFonts w:ascii="Times New Roman" w:hAnsi="Times New Roman" w:eastAsia="黑体" w:cs="Times New Roman"/>
          <w:i w:val="0"/>
          <w:iCs w:val="0"/>
          <w:color w:val="auto"/>
          <w:kern w:val="2"/>
          <w:highlight w:val="none"/>
        </w:rPr>
        <w:t>14.2 竣工结算审核</w:t>
      </w:r>
      <w:bookmarkEnd w:id="706"/>
    </w:p>
    <w:p w14:paraId="231A4A33">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发包人</w:t>
      </w:r>
      <w:r>
        <w:rPr>
          <w:rFonts w:hint="eastAsia" w:ascii="Times New Roman" w:hAnsi="Times New Roman" w:eastAsia="仿宋_GB2312" w:cs="Times New Roman"/>
          <w:i w:val="0"/>
          <w:iCs w:val="0"/>
          <w:color w:val="auto"/>
          <w:kern w:val="2"/>
          <w:highlight w:val="none"/>
        </w:rPr>
        <w:t>审批</w:t>
      </w:r>
      <w:r>
        <w:rPr>
          <w:rFonts w:ascii="Times New Roman" w:hAnsi="Times New Roman" w:eastAsia="仿宋_GB2312" w:cs="Times New Roman"/>
          <w:i w:val="0"/>
          <w:iCs w:val="0"/>
          <w:color w:val="auto"/>
          <w:kern w:val="2"/>
          <w:highlight w:val="none"/>
        </w:rPr>
        <w:t>竣工付款申请单的期限：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发包人应在收到监理人提交的经审核的竣工结算申请单后180天内送相关部门审核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27EA6125">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发包人完成竣工付款的期限：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265485B5">
      <w:pPr>
        <w:autoSpaceDE/>
        <w:autoSpaceDN/>
        <w:adjustRightInd/>
        <w:spacing w:line="400" w:lineRule="exact"/>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rPr>
        <w:t>关于竣工付款证书异议部分复核的方式和程序：</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按通用条款执行</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2670B2EB">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14.4 最终结清</w:t>
      </w:r>
    </w:p>
    <w:p w14:paraId="5B0BBF37">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14.4.1 最终结清申请单</w:t>
      </w:r>
    </w:p>
    <w:p w14:paraId="3DE4B115">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承包人提交最终结清申请单的份数：</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双方另行协商</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3E26DAA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highlight w:val="none"/>
        </w:rPr>
        <w:t>承包人提交最终结算申请单的期限：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缺陷责任期终止证书颁发后7天内</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 xml:space="preserve">。 </w:t>
      </w:r>
    </w:p>
    <w:p w14:paraId="6765F60E">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14.4.2 最终结清证书和支付</w:t>
      </w:r>
    </w:p>
    <w:p w14:paraId="171F0D20">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（1）发包人完成最终结清申请单的</w:t>
      </w:r>
      <w:r>
        <w:rPr>
          <w:rFonts w:hint="eastAsia" w:ascii="Times New Roman" w:hAnsi="Times New Roman" w:eastAsia="仿宋_GB2312" w:cs="Times New Roman"/>
          <w:i w:val="0"/>
          <w:iCs w:val="0"/>
          <w:color w:val="auto"/>
          <w:kern w:val="2"/>
          <w:highlight w:val="none"/>
        </w:rPr>
        <w:t>审批</w:t>
      </w:r>
      <w:r>
        <w:rPr>
          <w:rFonts w:ascii="Times New Roman" w:hAnsi="Times New Roman" w:eastAsia="仿宋_GB2312" w:cs="Times New Roman"/>
          <w:i w:val="0"/>
          <w:iCs w:val="0"/>
          <w:color w:val="auto"/>
          <w:kern w:val="2"/>
          <w:highlight w:val="none"/>
        </w:rPr>
        <w:t>并颁发最终结清证书的期限：</w:t>
      </w:r>
      <w:r>
        <w:rPr>
          <w:rFonts w:hint="eastAsia" w:ascii="Times New Roman" w:hAnsi="Times New Roman" w:eastAsia="仿宋_GB2312" w:cs="Times New Roman"/>
          <w:i w:val="0"/>
          <w:iCs w:val="0"/>
          <w:color w:val="auto"/>
          <w:kern w:val="2"/>
          <w:highlight w:val="none"/>
          <w:u w:val="single"/>
        </w:rPr>
        <w:t>本工程验收达到约定条件后，承包人应在</w:t>
      </w:r>
      <w:r>
        <w:rPr>
          <w:rFonts w:hint="eastAsia" w:ascii="Times New Roman" w:hAnsi="Times New Roman" w:eastAsia="仿宋_GB2312" w:cs="Times New Roman"/>
          <w:i w:val="0"/>
          <w:iCs w:val="0"/>
          <w:color w:val="auto"/>
          <w:kern w:val="2"/>
          <w:highlight w:val="none"/>
          <w:u w:val="single"/>
          <w:lang w:val="en-US" w:eastAsia="zh-CN"/>
        </w:rPr>
        <w:t>30</w:t>
      </w:r>
      <w:r>
        <w:rPr>
          <w:rFonts w:hint="eastAsia" w:ascii="Times New Roman" w:hAnsi="Times New Roman" w:eastAsia="仿宋_GB2312" w:cs="Times New Roman"/>
          <w:i w:val="0"/>
          <w:iCs w:val="0"/>
          <w:color w:val="auto"/>
          <w:kern w:val="2"/>
          <w:highlight w:val="none"/>
          <w:u w:val="single"/>
        </w:rPr>
        <w:t xml:space="preserve"> 日内提供工程结算资料。发包人收到工程结算书后及时委托第三方审核</w:t>
      </w:r>
      <w:r>
        <w:rPr>
          <w:rFonts w:hint="eastAsia" w:ascii="Times New Roman" w:hAnsi="Times New Roman" w:eastAsia="仿宋_GB2312" w:cs="Times New Roman"/>
          <w:i w:val="0"/>
          <w:iCs w:val="0"/>
          <w:color w:val="auto"/>
          <w:kern w:val="2"/>
          <w:highlight w:val="none"/>
          <w:u w:val="single"/>
          <w:lang w:eastAsia="zh-CN"/>
        </w:rPr>
        <w:t>，</w:t>
      </w:r>
      <w:r>
        <w:rPr>
          <w:rFonts w:hint="eastAsia" w:ascii="Times New Roman" w:hAnsi="Times New Roman" w:eastAsia="仿宋_GB2312" w:cs="Times New Roman"/>
          <w:i w:val="0"/>
          <w:iCs w:val="0"/>
          <w:color w:val="auto"/>
          <w:kern w:val="2"/>
          <w:highlight w:val="none"/>
          <w:u w:val="single"/>
          <w:lang w:val="en-US" w:eastAsia="zh-CN"/>
        </w:rPr>
        <w:t>出具结算审核意见时间按照</w:t>
      </w:r>
      <w:r>
        <w:rPr>
          <w:rFonts w:hint="eastAsia" w:eastAsia="仿宋_GB2312" w:cs="Times New Roman"/>
          <w:i w:val="0"/>
          <w:iCs w:val="0"/>
          <w:color w:val="auto"/>
          <w:kern w:val="2"/>
          <w:highlight w:val="none"/>
          <w:u w:val="single"/>
          <w:lang w:val="en-US" w:eastAsia="zh-CN"/>
        </w:rPr>
        <w:t>绍兴市镜湖科技城开发服务有限公司</w:t>
      </w:r>
      <w:r>
        <w:rPr>
          <w:rFonts w:hint="eastAsia" w:ascii="Times New Roman" w:hAnsi="Times New Roman" w:eastAsia="仿宋_GB2312" w:cs="Times New Roman"/>
          <w:i w:val="0"/>
          <w:iCs w:val="0"/>
          <w:color w:val="auto"/>
          <w:kern w:val="2"/>
          <w:highlight w:val="none"/>
          <w:u w:val="single"/>
        </w:rPr>
        <w:t>工程造价管理办法（试行）</w:t>
      </w:r>
      <w:r>
        <w:rPr>
          <w:rFonts w:hint="eastAsia" w:ascii="Times New Roman" w:hAnsi="Times New Roman" w:eastAsia="仿宋_GB2312" w:cs="Times New Roman"/>
          <w:i w:val="0"/>
          <w:iCs w:val="0"/>
          <w:color w:val="auto"/>
          <w:kern w:val="2"/>
          <w:highlight w:val="none"/>
          <w:u w:val="single"/>
          <w:lang w:val="en-US" w:eastAsia="zh-CN"/>
        </w:rPr>
        <w:t>执行（如有更新，则按新管理办法执行），</w:t>
      </w:r>
      <w:r>
        <w:rPr>
          <w:rFonts w:hint="eastAsia" w:ascii="Times New Roman" w:hAnsi="Times New Roman" w:eastAsia="仿宋_GB2312" w:cs="Times New Roman"/>
          <w:i w:val="0"/>
          <w:iCs w:val="0"/>
          <w:color w:val="auto"/>
          <w:kern w:val="2"/>
          <w:highlight w:val="none"/>
          <w:u w:val="single"/>
        </w:rPr>
        <w:t>承包人需按发包人要求，做好审计配合工作，审核结果按发包人相关程序报批后作为结算依据。结算审核追加相关费用由承包人承担，发包人在工程款支付时代为扣缴或承包人直接支付给发包人，再由发包人支付给第三方审核单位</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A66B3F2">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（2）发包人完成支付的期限：</w:t>
      </w:r>
      <w:r>
        <w:rPr>
          <w:rFonts w:hint="eastAsia" w:ascii="Times New Roman" w:hAnsi="Times New Roman" w:eastAsia="仿宋_GB2312" w:cs="Times New Roman"/>
          <w:i w:val="0"/>
          <w:iCs w:val="0"/>
          <w:color w:val="auto"/>
          <w:kern w:val="2"/>
          <w:highlight w:val="none"/>
          <w:u w:val="single"/>
        </w:rPr>
        <w:t xml:space="preserve"> 在颁发最终结清证书后28天内完成支付。发包人逾期支付的不支付违约金</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bookmarkEnd w:id="691"/>
    <w:bookmarkEnd w:id="692"/>
    <w:bookmarkEnd w:id="693"/>
    <w:bookmarkEnd w:id="694"/>
    <w:bookmarkEnd w:id="695"/>
    <w:bookmarkEnd w:id="696"/>
    <w:bookmarkEnd w:id="697"/>
    <w:bookmarkEnd w:id="703"/>
    <w:p w14:paraId="728781B3">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07" w:name="_Toc351203647"/>
      <w:bookmarkStart w:id="708" w:name="_Toc267251483"/>
      <w:bookmarkStart w:id="709" w:name="_Toc267251482"/>
      <w:bookmarkStart w:id="710" w:name="_Toc267251484"/>
      <w:bookmarkStart w:id="711" w:name="_Toc267251485"/>
      <w:bookmarkStart w:id="712" w:name="_Toc267251486"/>
      <w:bookmarkStart w:id="713" w:name="_Toc267251490"/>
      <w:bookmarkStart w:id="714" w:name="_Toc267251488"/>
      <w:bookmarkStart w:id="715" w:name="_Toc267251489"/>
      <w:bookmarkStart w:id="716" w:name="_Toc267251494"/>
      <w:bookmarkStart w:id="717" w:name="_Toc267251497"/>
      <w:bookmarkStart w:id="718" w:name="_Toc267251502"/>
      <w:bookmarkStart w:id="719" w:name="_Toc267251496"/>
      <w:bookmarkStart w:id="720" w:name="_Toc267251495"/>
      <w:bookmarkStart w:id="721" w:name="_Toc267251503"/>
      <w:bookmarkStart w:id="722" w:name="_Toc267251501"/>
      <w:bookmarkStart w:id="723" w:name="_Toc267251499"/>
      <w:bookmarkStart w:id="724" w:name="_Toc267251493"/>
      <w:bookmarkStart w:id="725" w:name="_Toc267251492"/>
      <w:bookmarkStart w:id="726" w:name="_Toc267251491"/>
      <w:bookmarkStart w:id="727" w:name="_Toc267251498"/>
      <w:bookmarkStart w:id="728" w:name="_Toc267251506"/>
      <w:bookmarkStart w:id="729" w:name="_Toc267251504"/>
      <w:bookmarkStart w:id="730" w:name="_Toc267251507"/>
      <w:bookmarkStart w:id="731" w:name="_Toc267251508"/>
      <w:bookmarkStart w:id="732" w:name="_Toc267251511"/>
      <w:bookmarkStart w:id="733" w:name="_Toc267251509"/>
      <w:bookmarkStart w:id="734" w:name="_Toc267251514"/>
      <w:bookmarkStart w:id="735" w:name="_Toc267251513"/>
      <w:bookmarkStart w:id="736" w:name="_Toc267251510"/>
      <w:bookmarkStart w:id="737" w:name="_Toc267251515"/>
      <w:r>
        <w:rPr>
          <w:rFonts w:ascii="Times New Roman" w:hAnsi="Times New Roman" w:eastAsia="黑体" w:cs="Times New Roman"/>
          <w:bCs/>
          <w:i w:val="0"/>
          <w:iCs w:val="0"/>
          <w:color w:val="auto"/>
          <w:kern w:val="2"/>
          <w:highlight w:val="none"/>
        </w:rPr>
        <w:t>15. 缺陷责任期与保修</w:t>
      </w:r>
      <w:bookmarkEnd w:id="707"/>
    </w:p>
    <w:p w14:paraId="25A168F7">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15.2缺陷责任期</w:t>
      </w:r>
      <w:bookmarkEnd w:id="708"/>
    </w:p>
    <w:p w14:paraId="451CD669">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缺陷责任期的具体期限：</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按省住建厅浙建[2016]2号文件规定执行，本工程缺陷责任期为24个月 </w:t>
      </w:r>
      <w:r>
        <w:rPr>
          <w:rFonts w:ascii="Times New Roman" w:hAnsi="Times New Roman" w:eastAsia="仿宋_GB2312" w:cs="Times New Roman"/>
          <w:i w:val="0"/>
          <w:iCs w:val="0"/>
          <w:color w:val="auto"/>
          <w:kern w:val="2"/>
          <w:highlight w:val="none"/>
        </w:rPr>
        <w:t>。</w:t>
      </w:r>
    </w:p>
    <w:p w14:paraId="2865FE21">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38" w:name="_Toc4874"/>
      <w:r>
        <w:rPr>
          <w:rFonts w:ascii="Times New Roman" w:hAnsi="Times New Roman" w:eastAsia="黑体" w:cs="Times New Roman"/>
          <w:i w:val="0"/>
          <w:iCs w:val="0"/>
          <w:color w:val="auto"/>
          <w:kern w:val="2"/>
          <w:highlight w:val="none"/>
        </w:rPr>
        <w:t>15.3 质量保证金</w:t>
      </w:r>
      <w:bookmarkEnd w:id="738"/>
    </w:p>
    <w:p w14:paraId="22E142C0">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kern w:val="2"/>
          <w:highlight w:val="none"/>
        </w:rPr>
        <w:t>关于是否扣留质量保证金的约定：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eastAsia="zh-CN"/>
        </w:rPr>
        <w:t>是</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r>
        <w:rPr>
          <w:rFonts w:hint="eastAsia" w:ascii="Times New Roman" w:hAnsi="Times New Roman" w:eastAsia="仿宋_GB2312" w:cs="Times New Roman"/>
          <w:i w:val="0"/>
          <w:iCs w:val="0"/>
          <w:color w:val="auto"/>
          <w:kern w:val="2"/>
          <w:highlight w:val="none"/>
        </w:rPr>
        <w:t>在工程项目竣工前，承包人按专用合同条款第3.7条提供履约担保的，发包人不得同时预留工程质量保证金。</w:t>
      </w:r>
    </w:p>
    <w:p w14:paraId="33862071">
      <w:pPr>
        <w:autoSpaceDE/>
        <w:autoSpaceDN/>
        <w:adjustRightInd/>
        <w:spacing w:line="400" w:lineRule="exact"/>
        <w:ind w:firstLine="480" w:firstLineChars="200"/>
        <w:outlineLvl w:val="0"/>
        <w:rPr>
          <w:rFonts w:ascii="Times New Roman" w:hAnsi="Times New Roman" w:eastAsia="仿宋_GB2312" w:cs="Times New Roman"/>
          <w:i w:val="0"/>
          <w:iCs w:val="0"/>
          <w:color w:val="auto"/>
          <w:kern w:val="2"/>
          <w:highlight w:val="none"/>
        </w:rPr>
      </w:pPr>
      <w:bookmarkStart w:id="739" w:name="_Toc2929"/>
      <w:r>
        <w:rPr>
          <w:rFonts w:ascii="Times New Roman" w:hAnsi="Times New Roman" w:eastAsia="仿宋_GB2312" w:cs="Times New Roman"/>
          <w:i w:val="0"/>
          <w:iCs w:val="0"/>
          <w:color w:val="auto"/>
          <w:kern w:val="2"/>
          <w:highlight w:val="none"/>
        </w:rPr>
        <w:t xml:space="preserve">15.3.1 </w:t>
      </w:r>
      <w:r>
        <w:rPr>
          <w:rFonts w:hint="eastAsia" w:ascii="Times New Roman" w:hAnsi="Times New Roman" w:eastAsia="仿宋_GB2312" w:cs="Times New Roman"/>
          <w:i w:val="0"/>
          <w:iCs w:val="0"/>
          <w:color w:val="auto"/>
          <w:kern w:val="2"/>
          <w:highlight w:val="none"/>
        </w:rPr>
        <w:t>承包人提供</w:t>
      </w:r>
      <w:r>
        <w:rPr>
          <w:rFonts w:ascii="Times New Roman" w:hAnsi="Times New Roman" w:eastAsia="仿宋_GB2312" w:cs="Times New Roman"/>
          <w:i w:val="0"/>
          <w:iCs w:val="0"/>
          <w:color w:val="auto"/>
          <w:kern w:val="2"/>
          <w:highlight w:val="none"/>
        </w:rPr>
        <w:t>质量保证金的</w:t>
      </w:r>
      <w:r>
        <w:rPr>
          <w:rFonts w:hint="eastAsia" w:ascii="Times New Roman" w:hAnsi="Times New Roman" w:eastAsia="仿宋_GB2312" w:cs="Times New Roman"/>
          <w:i w:val="0"/>
          <w:iCs w:val="0"/>
          <w:color w:val="auto"/>
          <w:kern w:val="2"/>
          <w:highlight w:val="none"/>
        </w:rPr>
        <w:t>方</w:t>
      </w:r>
      <w:r>
        <w:rPr>
          <w:rFonts w:ascii="Times New Roman" w:hAnsi="Times New Roman" w:eastAsia="仿宋_GB2312" w:cs="Times New Roman"/>
          <w:i w:val="0"/>
          <w:iCs w:val="0"/>
          <w:color w:val="auto"/>
          <w:kern w:val="2"/>
          <w:highlight w:val="none"/>
        </w:rPr>
        <w:t>式</w:t>
      </w:r>
      <w:bookmarkEnd w:id="739"/>
    </w:p>
    <w:p w14:paraId="33D4F66E">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质量保证金采用以下第</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1或</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3</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种方式：</w:t>
      </w:r>
    </w:p>
    <w:p w14:paraId="3DF5DA71">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（1）质量保证金保函，保证金额为：</w:t>
      </w:r>
      <w:r>
        <w:rPr>
          <w:rFonts w:hint="eastAsia" w:ascii="Times New Roman" w:hAnsi="Times New Roman" w:eastAsia="仿宋_GB2312" w:cs="Times New Roman"/>
          <w:i w:val="0"/>
          <w:iCs w:val="0"/>
          <w:color w:val="auto"/>
          <w:highlight w:val="none"/>
          <w:u w:val="single"/>
          <w:lang w:val="en-US" w:eastAsia="zh-CN"/>
        </w:rPr>
        <w:t>允许等额的银行保函</w:t>
      </w:r>
      <w:r>
        <w:rPr>
          <w:rFonts w:hint="eastAsia"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 xml:space="preserve">； </w:t>
      </w:r>
    </w:p>
    <w:p w14:paraId="37B2B052">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（2）</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 xml:space="preserve"> / </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%的工程款；</w:t>
      </w:r>
    </w:p>
    <w:p w14:paraId="0555BE7C">
      <w:pPr>
        <w:spacing w:line="400" w:lineRule="exact"/>
        <w:ind w:firstLine="480" w:firstLineChars="200"/>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（3）其他</w:t>
      </w:r>
      <w:r>
        <w:rPr>
          <w:rFonts w:hint="eastAsia" w:ascii="Times New Roman" w:hAnsi="Times New Roman" w:eastAsia="仿宋_GB2312" w:cs="Times New Roman"/>
          <w:i w:val="0"/>
          <w:iCs w:val="0"/>
          <w:color w:val="auto"/>
          <w:highlight w:val="none"/>
        </w:rPr>
        <w:t>方</w:t>
      </w:r>
      <w:r>
        <w:rPr>
          <w:rFonts w:ascii="Times New Roman" w:hAnsi="Times New Roman" w:eastAsia="仿宋_GB2312" w:cs="Times New Roman"/>
          <w:i w:val="0"/>
          <w:iCs w:val="0"/>
          <w:color w:val="auto"/>
          <w:highlight w:val="none"/>
        </w:rPr>
        <w:t>式:</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kern w:val="2"/>
          <w:highlight w:val="none"/>
          <w:u w:val="single"/>
        </w:rPr>
        <w:t>质量保证金为审定结算价的1.5%</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eastAsia="zh-CN"/>
        </w:rPr>
        <w:t>（允许</w:t>
      </w:r>
      <w:r>
        <w:rPr>
          <w:rFonts w:hint="eastAsia" w:ascii="Times New Roman" w:hAnsi="Times New Roman" w:eastAsia="仿宋_GB2312" w:cs="Times New Roman"/>
          <w:i w:val="0"/>
          <w:iCs w:val="0"/>
          <w:color w:val="auto"/>
          <w:kern w:val="2"/>
          <w:highlight w:val="none"/>
          <w:u w:val="single"/>
          <w:lang w:eastAsia="zh-CN"/>
        </w:rPr>
        <w:t>银行保函或商业保函等</w:t>
      </w:r>
      <w:r>
        <w:rPr>
          <w:rFonts w:hint="eastAsia" w:ascii="Times New Roman" w:hAnsi="Times New Roman" w:eastAsia="仿宋_GB2312" w:cs="Times New Roman"/>
          <w:i w:val="0"/>
          <w:iCs w:val="0"/>
          <w:color w:val="auto"/>
          <w:highlight w:val="none"/>
          <w:u w:val="single"/>
          <w:lang w:eastAsia="zh-CN"/>
        </w:rPr>
        <w:t>形式）</w:t>
      </w:r>
      <w:r>
        <w:rPr>
          <w:rFonts w:ascii="Times New Roman" w:hAnsi="Times New Roman" w:eastAsia="仿宋_GB2312" w:cs="Times New Roman"/>
          <w:i w:val="0"/>
          <w:iCs w:val="0"/>
          <w:color w:val="auto"/>
          <w:highlight w:val="none"/>
        </w:rPr>
        <w:t>。</w:t>
      </w:r>
    </w:p>
    <w:p w14:paraId="574D1CA1">
      <w:pPr>
        <w:autoSpaceDE/>
        <w:autoSpaceDN/>
        <w:adjustRightInd/>
        <w:spacing w:line="400" w:lineRule="exact"/>
        <w:ind w:firstLine="480" w:firstLineChars="200"/>
        <w:outlineLvl w:val="0"/>
        <w:rPr>
          <w:rFonts w:ascii="Times New Roman" w:hAnsi="Times New Roman" w:eastAsia="仿宋_GB2312" w:cs="Times New Roman"/>
          <w:i w:val="0"/>
          <w:iCs w:val="0"/>
          <w:color w:val="auto"/>
          <w:kern w:val="2"/>
          <w:highlight w:val="none"/>
        </w:rPr>
      </w:pPr>
      <w:bookmarkStart w:id="740" w:name="_Toc6206"/>
      <w:r>
        <w:rPr>
          <w:rFonts w:ascii="Times New Roman" w:hAnsi="Times New Roman" w:eastAsia="仿宋_GB2312" w:cs="Times New Roman"/>
          <w:i w:val="0"/>
          <w:iCs w:val="0"/>
          <w:color w:val="auto"/>
          <w:kern w:val="2"/>
          <w:highlight w:val="none"/>
        </w:rPr>
        <w:t>15.3.2 质量保证金的扣留</w:t>
      </w:r>
      <w:bookmarkEnd w:id="740"/>
      <w:r>
        <w:rPr>
          <w:rFonts w:ascii="Times New Roman" w:hAnsi="Times New Roman" w:eastAsia="仿宋_GB2312" w:cs="Times New Roman"/>
          <w:i w:val="0"/>
          <w:iCs w:val="0"/>
          <w:color w:val="auto"/>
          <w:kern w:val="2"/>
          <w:highlight w:val="none"/>
        </w:rPr>
        <w:t xml:space="preserve"> </w:t>
      </w:r>
    </w:p>
    <w:p w14:paraId="3500E969">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质量保证金的扣留采取以下第</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2</w:t>
      </w:r>
      <w:r>
        <w:rPr>
          <w:rFonts w:hint="eastAsia" w:ascii="Times New Roman" w:hAnsi="Times New Roman" w:eastAsia="仿宋_GB2312" w:cs="Times New Roman"/>
          <w:i w:val="0"/>
          <w:iCs w:val="0"/>
          <w:color w:val="auto"/>
          <w:kern w:val="2"/>
          <w:highlight w:val="none"/>
          <w:u w:val="single"/>
          <w:lang w:eastAsia="zh-CN"/>
        </w:rPr>
        <w:t>或</w:t>
      </w:r>
      <w:r>
        <w:rPr>
          <w:rFonts w:hint="eastAsia" w:ascii="Times New Roman" w:hAnsi="Times New Roman" w:eastAsia="仿宋_GB2312" w:cs="Times New Roman"/>
          <w:i w:val="0"/>
          <w:iCs w:val="0"/>
          <w:color w:val="auto"/>
          <w:kern w:val="2"/>
          <w:highlight w:val="none"/>
          <w:u w:val="single"/>
          <w:lang w:val="en-US" w:eastAsia="zh-CN"/>
        </w:rPr>
        <w:t>3</w:t>
      </w:r>
      <w:r>
        <w:rPr>
          <w:rFonts w:ascii="Times New Roman" w:hAnsi="Times New Roman" w:eastAsia="仿宋_GB2312" w:cs="Times New Roman"/>
          <w:i w:val="0"/>
          <w:iCs w:val="0"/>
          <w:color w:val="auto"/>
          <w:kern w:val="2"/>
          <w:highlight w:val="none"/>
        </w:rPr>
        <w:t>种方式：</w:t>
      </w:r>
    </w:p>
    <w:p w14:paraId="029763F6">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（1）在支付工程进度款时逐次扣留，在此情形下，质量保证金的计算基数不包括预付款的支付、扣回以及价格调整的金额；</w:t>
      </w:r>
    </w:p>
    <w:p w14:paraId="78EB8C88">
      <w:pPr>
        <w:spacing w:line="400" w:lineRule="exact"/>
        <w:ind w:firstLine="480" w:firstLineChars="200"/>
        <w:outlineLvl w:val="0"/>
        <w:rPr>
          <w:rFonts w:ascii="Times New Roman" w:hAnsi="Times New Roman" w:eastAsia="仿宋_GB2312" w:cs="Times New Roman"/>
          <w:i w:val="0"/>
          <w:iCs w:val="0"/>
          <w:color w:val="auto"/>
          <w:highlight w:val="none"/>
        </w:rPr>
      </w:pPr>
      <w:bookmarkStart w:id="741" w:name="_Toc5438"/>
      <w:r>
        <w:rPr>
          <w:rFonts w:ascii="Times New Roman" w:hAnsi="Times New Roman" w:eastAsia="仿宋_GB2312" w:cs="Times New Roman"/>
          <w:i w:val="0"/>
          <w:iCs w:val="0"/>
          <w:color w:val="auto"/>
          <w:highlight w:val="none"/>
        </w:rPr>
        <w:t>（2）工程竣工结算时一次性扣留质量保证金；</w:t>
      </w:r>
      <w:bookmarkEnd w:id="741"/>
    </w:p>
    <w:p w14:paraId="49631059">
      <w:pPr>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（3）其他扣留方式</w:t>
      </w:r>
      <w:r>
        <w:rPr>
          <w:rFonts w:hint="eastAsia" w:ascii="Times New Roman" w:hAnsi="Times New Roman" w:eastAsia="仿宋_GB2312" w:cs="Times New Roman"/>
          <w:i w:val="0"/>
          <w:iCs w:val="0"/>
          <w:color w:val="auto"/>
          <w:highlight w:val="none"/>
          <w:lang w:eastAsia="zh-CN"/>
        </w:rPr>
        <w:t>：</w:t>
      </w:r>
      <w:r>
        <w:rPr>
          <w:rFonts w:hint="eastAsia" w:ascii="Times New Roman" w:hAnsi="Times New Roman" w:eastAsia="仿宋_GB2312" w:cs="Times New Roman"/>
          <w:i w:val="0"/>
          <w:iCs w:val="0"/>
          <w:color w:val="auto"/>
          <w:highlight w:val="none"/>
          <w:lang w:val="en-US" w:eastAsia="zh-CN"/>
        </w:rPr>
        <w:t>允许以</w:t>
      </w:r>
      <w:r>
        <w:rPr>
          <w:rFonts w:hint="eastAsia" w:ascii="Times New Roman" w:hAnsi="Times New Roman" w:eastAsia="仿宋_GB2312" w:cs="Times New Roman"/>
          <w:i w:val="0"/>
          <w:iCs w:val="0"/>
          <w:color w:val="auto"/>
          <w:kern w:val="2"/>
          <w:highlight w:val="none"/>
          <w:u w:val="single"/>
          <w:lang w:eastAsia="zh-CN"/>
        </w:rPr>
        <w:t>银行保函或商业保函等</w:t>
      </w:r>
      <w:r>
        <w:rPr>
          <w:rFonts w:hint="eastAsia" w:ascii="Times New Roman" w:hAnsi="Times New Roman" w:eastAsia="仿宋_GB2312" w:cs="Times New Roman"/>
          <w:i w:val="0"/>
          <w:iCs w:val="0"/>
          <w:color w:val="auto"/>
          <w:kern w:val="2"/>
          <w:highlight w:val="none"/>
          <w:u w:val="single"/>
          <w:lang w:val="en-US" w:eastAsia="zh-CN"/>
        </w:rPr>
        <w:t>置换扣留的质量保证金</w:t>
      </w:r>
      <w:r>
        <w:rPr>
          <w:rFonts w:ascii="Times New Roman" w:hAnsi="Times New Roman" w:eastAsia="仿宋_GB2312" w:cs="Times New Roman"/>
          <w:i w:val="0"/>
          <w:iCs w:val="0"/>
          <w:color w:val="auto"/>
          <w:highlight w:val="none"/>
        </w:rPr>
        <w:t>。</w:t>
      </w:r>
    </w:p>
    <w:p w14:paraId="4273E38D">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关于质量保证金的补充约定：</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w:t>
      </w:r>
      <w:r>
        <w:rPr>
          <w:rFonts w:hint="eastAsia"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bookmarkEnd w:id="709"/>
    <w:bookmarkEnd w:id="710"/>
    <w:p w14:paraId="637FBF25">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15.4保修</w:t>
      </w:r>
    </w:p>
    <w:bookmarkEnd w:id="711"/>
    <w:p w14:paraId="11E4531A">
      <w:pPr>
        <w:autoSpaceDE/>
        <w:autoSpaceDN/>
        <w:adjustRightInd/>
        <w:spacing w:line="400" w:lineRule="exact"/>
        <w:ind w:firstLine="468" w:firstLineChars="195"/>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15.4.1 保修责任</w:t>
      </w:r>
    </w:p>
    <w:p w14:paraId="6C24261D">
      <w:pPr>
        <w:autoSpaceDE/>
        <w:autoSpaceDN/>
        <w:adjustRightInd/>
        <w:spacing w:line="400" w:lineRule="exact"/>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kern w:val="2"/>
          <w:highlight w:val="none"/>
        </w:rPr>
        <w:t>工程保修期为：</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kern w:val="2"/>
          <w:highlight w:val="none"/>
          <w:u w:val="single"/>
        </w:rPr>
        <w:t>按国务院的《建</w:t>
      </w:r>
      <w:r>
        <w:rPr>
          <w:rFonts w:hint="eastAsia" w:ascii="Times New Roman" w:hAnsi="Times New Roman" w:eastAsia="仿宋_GB2312" w:cs="Times New Roman"/>
          <w:i w:val="0"/>
          <w:iCs w:val="0"/>
          <w:color w:val="auto"/>
          <w:kern w:val="2"/>
          <w:highlight w:val="none"/>
          <w:u w:val="single"/>
          <w:lang w:eastAsia="zh-CN"/>
        </w:rPr>
        <w:t>设</w:t>
      </w:r>
      <w:r>
        <w:rPr>
          <w:rFonts w:hint="eastAsia" w:ascii="Times New Roman" w:hAnsi="Times New Roman" w:eastAsia="仿宋_GB2312" w:cs="Times New Roman"/>
          <w:i w:val="0"/>
          <w:iCs w:val="0"/>
          <w:color w:val="auto"/>
          <w:kern w:val="2"/>
          <w:highlight w:val="none"/>
          <w:u w:val="single"/>
        </w:rPr>
        <w:t>工程质量管理条例》相关规定执行</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26390D91">
      <w:pPr>
        <w:autoSpaceDE/>
        <w:autoSpaceDN/>
        <w:adjustRightInd/>
        <w:spacing w:line="400" w:lineRule="exact"/>
        <w:ind w:firstLine="468" w:firstLineChars="195"/>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15.4.3 修复通知</w:t>
      </w:r>
    </w:p>
    <w:p w14:paraId="338EBCF4">
      <w:pPr>
        <w:autoSpaceDE/>
        <w:autoSpaceDN/>
        <w:adjustRightInd/>
        <w:spacing w:line="400" w:lineRule="exact"/>
        <w:rPr>
          <w:rFonts w:ascii="Times New Roman" w:hAnsi="Times New Roman" w:eastAsia="仿宋_GB2312" w:cs="Times New Roman"/>
          <w:i w:val="0"/>
          <w:iCs w:val="0"/>
          <w:color w:val="auto"/>
          <w:highlight w:val="none"/>
        </w:rPr>
      </w:pPr>
      <w:r>
        <w:rPr>
          <w:rFonts w:hint="eastAsia" w:ascii="Times New Roman" w:hAnsi="Times New Roman" w:eastAsia="仿宋_GB2312" w:cs="Times New Roman"/>
          <w:i w:val="0"/>
          <w:iCs w:val="0"/>
          <w:color w:val="auto"/>
          <w:highlight w:val="none"/>
          <w:lang w:val="en-US" w:eastAsia="zh-CN"/>
        </w:rPr>
        <w:t xml:space="preserve">    </w:t>
      </w:r>
      <w:r>
        <w:rPr>
          <w:rFonts w:ascii="Times New Roman" w:hAnsi="Times New Roman" w:eastAsia="仿宋_GB2312" w:cs="Times New Roman"/>
          <w:i w:val="0"/>
          <w:iCs w:val="0"/>
          <w:color w:val="auto"/>
          <w:highlight w:val="none"/>
        </w:rPr>
        <w:t>承包人收到保修通知并到达工程现场的合理时间：</w:t>
      </w:r>
      <w:r>
        <w:rPr>
          <w:rFonts w:hint="eastAsia" w:ascii="Times New Roman" w:hAnsi="Times New Roman" w:eastAsia="仿宋_GB2312" w:cs="Times New Roman"/>
          <w:i w:val="0"/>
          <w:iCs w:val="0"/>
          <w:color w:val="auto"/>
          <w:kern w:val="2"/>
          <w:highlight w:val="none"/>
          <w:u w:val="single"/>
        </w:rPr>
        <w:t xml:space="preserve"> 24小时内</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bookmarkEnd w:id="712"/>
    <w:bookmarkEnd w:id="713"/>
    <w:bookmarkEnd w:id="714"/>
    <w:bookmarkEnd w:id="715"/>
    <w:p w14:paraId="07162CAE">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42" w:name="_Toc351203648"/>
      <w:bookmarkStart w:id="743" w:name="_Toc280868717"/>
      <w:bookmarkStart w:id="744" w:name="_Toc280868718"/>
      <w:r>
        <w:rPr>
          <w:rFonts w:ascii="Times New Roman" w:hAnsi="Times New Roman" w:eastAsia="黑体" w:cs="Times New Roman"/>
          <w:bCs/>
          <w:i w:val="0"/>
          <w:iCs w:val="0"/>
          <w:color w:val="auto"/>
          <w:kern w:val="2"/>
          <w:highlight w:val="none"/>
        </w:rPr>
        <w:t>16. 违约</w:t>
      </w:r>
      <w:bookmarkEnd w:id="742"/>
    </w:p>
    <w:p w14:paraId="3FAAAA32">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45" w:name="_Toc25526"/>
      <w:r>
        <w:rPr>
          <w:rFonts w:ascii="Times New Roman" w:hAnsi="Times New Roman" w:eastAsia="黑体" w:cs="Times New Roman"/>
          <w:i w:val="0"/>
          <w:iCs w:val="0"/>
          <w:color w:val="auto"/>
          <w:kern w:val="2"/>
          <w:highlight w:val="none"/>
        </w:rPr>
        <w:t>16.1 发包人违约</w:t>
      </w:r>
      <w:bookmarkEnd w:id="745"/>
    </w:p>
    <w:p w14:paraId="1CCF8406">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16.1.1发包人违约的情形</w:t>
      </w:r>
    </w:p>
    <w:p w14:paraId="25E7583F">
      <w:pPr>
        <w:autoSpaceDE/>
        <w:autoSpaceDN/>
        <w:adjustRightInd/>
        <w:spacing w:line="400" w:lineRule="exact"/>
        <w:ind w:left="1200" w:hanging="1200" w:hangingChars="500"/>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发包人违约的其他情形：</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按通用条款约定执行</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0E80F487">
      <w:pPr>
        <w:autoSpaceDE/>
        <w:autoSpaceDN/>
        <w:adjustRightInd/>
        <w:spacing w:line="400" w:lineRule="exact"/>
        <w:ind w:left="1200" w:hanging="1200" w:hangingChars="5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 xml:space="preserve">    16.1.2 发包人违约的责任</w:t>
      </w:r>
    </w:p>
    <w:p w14:paraId="302C84B9">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发包人违约责任的承担方式和计算方法：</w:t>
      </w:r>
    </w:p>
    <w:p w14:paraId="7782A120">
      <w:pPr>
        <w:autoSpaceDE/>
        <w:autoSpaceDN/>
        <w:adjustRightInd/>
        <w:spacing w:line="400" w:lineRule="exact"/>
        <w:ind w:firstLine="480" w:firstLineChars="200"/>
        <w:rPr>
          <w:rFonts w:ascii="Times New Roman" w:hAnsi="Times New Roman" w:eastAsia="仿宋_GB2312" w:cs="Times New Roman"/>
          <w:i w:val="0"/>
          <w:iCs w:val="0"/>
          <w:color w:val="auto"/>
          <w:highlight w:val="none"/>
          <w:u w:val="single"/>
        </w:rPr>
      </w:pPr>
      <w:r>
        <w:rPr>
          <w:rFonts w:ascii="Times New Roman" w:hAnsi="Times New Roman" w:eastAsia="仿宋_GB2312" w:cs="Times New Roman"/>
          <w:i w:val="0"/>
          <w:iCs w:val="0"/>
          <w:color w:val="auto"/>
          <w:highlight w:val="none"/>
        </w:rPr>
        <w:t>（1）因发包人原因未能在计划开工日期前7天内下达开工通知的违约责任：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347502AA">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（2）因发包人原因未能按合同约定支付合同价款的违约责任：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rPr>
        <w:t>。</w:t>
      </w:r>
    </w:p>
    <w:p w14:paraId="1A1ADFCC">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（3）发包人违反第10.1款</w:t>
      </w:r>
      <w:r>
        <w:rPr>
          <w:rFonts w:hint="eastAsia"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rPr>
        <w:t>变更的范围</w:t>
      </w:r>
      <w:r>
        <w:rPr>
          <w:rFonts w:hint="eastAsia"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rPr>
        <w:t>第（2）项约定，自行实施被取消的工作或转由他人实施的违约责任：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rPr>
        <w:t>。</w:t>
      </w:r>
    </w:p>
    <w:p w14:paraId="4AED1127">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（4）发包人提供的材料、工程设备的规格、数量或质量不符合合同约定，或因发包人原因导致交货日期延误或交货地点变更等情况的违约责任：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rPr>
        <w:t>。</w:t>
      </w:r>
    </w:p>
    <w:p w14:paraId="0BF39165">
      <w:pPr>
        <w:autoSpaceDE/>
        <w:autoSpaceDN/>
        <w:adjustRightInd/>
        <w:spacing w:line="400" w:lineRule="exact"/>
        <w:rPr>
          <w:rFonts w:ascii="Times New Roman" w:hAnsi="Times New Roman" w:eastAsia="仿宋_GB2312" w:cs="Times New Roman"/>
          <w:i w:val="0"/>
          <w:iCs w:val="0"/>
          <w:color w:val="auto"/>
          <w:highlight w:val="none"/>
        </w:rPr>
      </w:pPr>
      <w:r>
        <w:rPr>
          <w:rFonts w:hint="eastAsia" w:ascii="Times New Roman" w:hAnsi="Times New Roman" w:eastAsia="仿宋_GB2312" w:cs="Times New Roman"/>
          <w:i w:val="0"/>
          <w:iCs w:val="0"/>
          <w:color w:val="auto"/>
          <w:highlight w:val="none"/>
          <w:lang w:val="en-US" w:eastAsia="zh-CN"/>
        </w:rPr>
        <w:t xml:space="preserve">    </w:t>
      </w:r>
      <w:r>
        <w:rPr>
          <w:rFonts w:ascii="Times New Roman" w:hAnsi="Times New Roman" w:eastAsia="仿宋_GB2312" w:cs="Times New Roman"/>
          <w:i w:val="0"/>
          <w:iCs w:val="0"/>
          <w:color w:val="auto"/>
          <w:highlight w:val="none"/>
        </w:rPr>
        <w:t>（5）因发包人违反合同约定造成暂停施工的违约责任：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 xml:space="preserve">仅顺延工期 </w:t>
      </w:r>
      <w:r>
        <w:rPr>
          <w:rFonts w:ascii="Times New Roman" w:hAnsi="Times New Roman" w:eastAsia="仿宋_GB2312" w:cs="Times New Roman"/>
          <w:i w:val="0"/>
          <w:iCs w:val="0"/>
          <w:color w:val="auto"/>
          <w:highlight w:val="none"/>
        </w:rPr>
        <w:t>。</w:t>
      </w:r>
    </w:p>
    <w:p w14:paraId="5836E54F">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（6）发包人无正当理由没有在约定期限内发出复工指示，导致承包人无法复工的违约责任：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双方协商解决</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37E2C6C9">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（7）</w:t>
      </w:r>
      <w:r>
        <w:rPr>
          <w:rFonts w:hint="eastAsia" w:ascii="Times New Roman" w:hAnsi="Times New Roman" w:eastAsia="仿宋_GB2312" w:cs="Times New Roman"/>
          <w:i w:val="0"/>
          <w:iCs w:val="0"/>
          <w:color w:val="auto"/>
          <w:highlight w:val="none"/>
        </w:rPr>
        <w:t>其他：</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47EFCEBC">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16.1.3 因发包人违约解除合同</w:t>
      </w:r>
    </w:p>
    <w:p w14:paraId="3B61DC2E">
      <w:pPr>
        <w:spacing w:line="400" w:lineRule="exact"/>
        <w:ind w:firstLine="480" w:firstLineChars="200"/>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承包人按16.1.1项</w:t>
      </w:r>
      <w:r>
        <w:rPr>
          <w:rFonts w:hint="eastAsia"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rPr>
        <w:t>发包人违约的情形</w:t>
      </w:r>
      <w:r>
        <w:rPr>
          <w:rFonts w:hint="eastAsia"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rPr>
        <w:t>约定暂停施工满</w:t>
      </w:r>
      <w:r>
        <w:rPr>
          <w:rFonts w:hint="eastAsia" w:ascii="Times New Roman" w:hAnsi="Times New Roman" w:eastAsia="仿宋_GB2312" w:cs="Times New Roman"/>
          <w:i w:val="0"/>
          <w:iCs w:val="0"/>
          <w:color w:val="auto"/>
          <w:highlight w:val="none"/>
          <w:u w:val="single"/>
          <w:lang w:val="en-US" w:eastAsia="zh-CN"/>
        </w:rPr>
        <w:t xml:space="preserve"> 30 </w:t>
      </w:r>
      <w:r>
        <w:rPr>
          <w:rFonts w:hint="eastAsia" w:ascii="Times New Roman" w:hAnsi="Times New Roman" w:eastAsia="仿宋_GB2312" w:cs="Times New Roman"/>
          <w:i w:val="0"/>
          <w:iCs w:val="0"/>
          <w:color w:val="auto"/>
          <w:highlight w:val="none"/>
        </w:rPr>
        <w:t>天后发包人仍不纠正其违约行为并致使合同目的不能实现的，承包人有权解除合同</w:t>
      </w:r>
      <w:r>
        <w:rPr>
          <w:rFonts w:ascii="Times New Roman" w:hAnsi="Times New Roman" w:eastAsia="仿宋_GB2312" w:cs="Times New Roman"/>
          <w:i w:val="0"/>
          <w:iCs w:val="0"/>
          <w:color w:val="auto"/>
          <w:highlight w:val="none"/>
        </w:rPr>
        <w:t>。</w:t>
      </w:r>
    </w:p>
    <w:p w14:paraId="7E6123C2">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46" w:name="_Toc22742"/>
      <w:r>
        <w:rPr>
          <w:rFonts w:ascii="Times New Roman" w:hAnsi="Times New Roman" w:eastAsia="黑体" w:cs="Times New Roman"/>
          <w:i w:val="0"/>
          <w:iCs w:val="0"/>
          <w:color w:val="auto"/>
          <w:kern w:val="2"/>
          <w:highlight w:val="none"/>
        </w:rPr>
        <w:t>16.2 承包人违约</w:t>
      </w:r>
      <w:bookmarkEnd w:id="746"/>
    </w:p>
    <w:p w14:paraId="6040429B">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16.2.1 承包人违约的情形</w:t>
      </w:r>
    </w:p>
    <w:p w14:paraId="72037749">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承包人违约的其他情形：</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按通用条款约定执行</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0C3A20CE">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16.2.2承包人违约的责任</w:t>
      </w:r>
    </w:p>
    <w:p w14:paraId="74B64C49">
      <w:pPr>
        <w:autoSpaceDE/>
        <w:autoSpaceDN/>
        <w:adjustRightInd/>
        <w:spacing w:line="400" w:lineRule="exact"/>
        <w:ind w:left="1159" w:leftChars="183" w:hanging="720" w:hangingChars="300"/>
        <w:rPr>
          <w:rFonts w:ascii="Times New Roman" w:hAnsi="Times New Roman" w:eastAsia="仿宋_GB2312" w:cs="Times New Roman"/>
          <w:i w:val="0"/>
          <w:iCs w:val="0"/>
          <w:color w:val="auto"/>
          <w:highlight w:val="none"/>
          <w:u w:val="single"/>
        </w:rPr>
      </w:pPr>
      <w:r>
        <w:rPr>
          <w:rFonts w:ascii="Times New Roman" w:hAnsi="Times New Roman" w:eastAsia="仿宋_GB2312" w:cs="Times New Roman"/>
          <w:i w:val="0"/>
          <w:iCs w:val="0"/>
          <w:color w:val="auto"/>
          <w:highlight w:val="none"/>
        </w:rPr>
        <w:t>承包人违约责任的承担方式和计算方法：</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kern w:val="2"/>
          <w:highlight w:val="none"/>
        </w:rPr>
        <w:t xml:space="preserve">    </w:t>
      </w:r>
    </w:p>
    <w:p w14:paraId="566670C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16.2.3 因承包人违约解除合同</w:t>
      </w:r>
    </w:p>
    <w:p w14:paraId="7849BC07">
      <w:pPr>
        <w:autoSpaceDE/>
        <w:autoSpaceDN/>
        <w:adjustRightInd/>
        <w:spacing w:before="120" w:beforeLines="0" w:after="120" w:afterLines="0" w:line="400" w:lineRule="exact"/>
        <w:ind w:firstLine="480" w:firstLineChars="200"/>
        <w:jc w:val="both"/>
        <w:rPr>
          <w:rFonts w:hint="eastAsia"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关于承包人违约解除合同的特别约定：</w:t>
      </w:r>
      <w:r>
        <w:rPr>
          <w:rFonts w:hint="eastAsia" w:ascii="Times New Roman" w:hAnsi="Times New Roman" w:eastAsia="仿宋_GB2312" w:cs="Times New Roman"/>
          <w:i w:val="0"/>
          <w:iCs w:val="0"/>
          <w:color w:val="auto"/>
          <w:highlight w:val="none"/>
          <w:u w:val="single"/>
        </w:rPr>
        <w:t xml:space="preserve"> 因承包人违约导致合同解除的，承包人应按合同总价的2％向发包人支付违约金并赔偿发包人因此所受之全部损失包括但不限于另行委托第三人进行后续承包施工产生的差价损失及为此支出的律师费、诉讼费、差旅费等所有相关费用。并承包人应在收到合同解除通知后3天内退场并移交全部施工资料；若延期退场或延期移交资料的，每延期一天，应向发包人支付违约金5000</w:t>
      </w:r>
      <w:r>
        <w:rPr>
          <w:rFonts w:hint="eastAsia" w:ascii="Times New Roman" w:hAnsi="Times New Roman" w:eastAsia="仿宋_GB2312" w:cs="Times New Roman"/>
          <w:i w:val="0"/>
          <w:iCs w:val="0"/>
          <w:color w:val="auto"/>
          <w:highlight w:val="none"/>
          <w:u w:val="single"/>
          <w:lang w:val="en-US" w:eastAsia="zh-CN"/>
        </w:rPr>
        <w:t>0</w:t>
      </w:r>
      <w:r>
        <w:rPr>
          <w:rFonts w:hint="eastAsia" w:ascii="Times New Roman" w:hAnsi="Times New Roman" w:eastAsia="仿宋_GB2312" w:cs="Times New Roman"/>
          <w:i w:val="0"/>
          <w:iCs w:val="0"/>
          <w:color w:val="auto"/>
          <w:highlight w:val="none"/>
          <w:u w:val="single"/>
        </w:rPr>
        <w:t>元</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7569CDB8">
      <w:pPr>
        <w:autoSpaceDE/>
        <w:autoSpaceDN/>
        <w:adjustRightInd/>
        <w:spacing w:before="120" w:beforeLines="0" w:after="120" w:afterLines="0"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highlight w:val="none"/>
        </w:rPr>
        <w:t>发包人</w:t>
      </w:r>
      <w:r>
        <w:rPr>
          <w:rFonts w:hint="eastAsia" w:ascii="Times New Roman" w:hAnsi="Times New Roman" w:eastAsia="仿宋_GB2312" w:cs="Times New Roman"/>
          <w:i w:val="0"/>
          <w:iCs w:val="0"/>
          <w:color w:val="auto"/>
          <w:highlight w:val="none"/>
        </w:rPr>
        <w:t>继续</w:t>
      </w:r>
      <w:r>
        <w:rPr>
          <w:rFonts w:ascii="Times New Roman" w:hAnsi="Times New Roman" w:eastAsia="仿宋_GB2312" w:cs="Times New Roman"/>
          <w:i w:val="0"/>
          <w:iCs w:val="0"/>
          <w:color w:val="auto"/>
          <w:highlight w:val="none"/>
        </w:rPr>
        <w:t>使用承包人在施工现场的材料、设备、临时工程、承包人文件和由承包人或以其名义编制的其他文件</w:t>
      </w:r>
      <w:r>
        <w:rPr>
          <w:rFonts w:hint="eastAsia" w:ascii="Times New Roman" w:hAnsi="Times New Roman" w:eastAsia="仿宋_GB2312" w:cs="Times New Roman"/>
          <w:i w:val="0"/>
          <w:iCs w:val="0"/>
          <w:color w:val="auto"/>
          <w:highlight w:val="none"/>
        </w:rPr>
        <w:t>的费用承担方式</w:t>
      </w:r>
      <w:r>
        <w:rPr>
          <w:rFonts w:ascii="Times New Roman" w:hAnsi="Times New Roman" w:eastAsia="仿宋_GB2312" w:cs="Times New Roman"/>
          <w:i w:val="0"/>
          <w:iCs w:val="0"/>
          <w:color w:val="auto"/>
          <w:highlight w:val="none"/>
        </w:rPr>
        <w:t>：</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　　</w:t>
      </w:r>
      <w:r>
        <w:rPr>
          <w:rFonts w:hint="eastAsia" w:ascii="Times New Roman" w:hAnsi="Times New Roman" w:eastAsia="仿宋_GB2312" w:cs="Times New Roman"/>
          <w:i w:val="0"/>
          <w:iCs w:val="0"/>
          <w:color w:val="auto"/>
          <w:highlight w:val="none"/>
          <w:u w:val="single"/>
          <w:lang w:val="en-US" w:eastAsia="zh-CN"/>
        </w:rPr>
        <w:t>/</w:t>
      </w:r>
      <w:r>
        <w:rPr>
          <w:rFonts w:hint="eastAsia" w:ascii="Times New Roman" w:hAnsi="Times New Roman" w:eastAsia="仿宋_GB2312" w:cs="Times New Roman"/>
          <w:i w:val="0"/>
          <w:iCs w:val="0"/>
          <w:color w:val="auto"/>
          <w:highlight w:val="none"/>
          <w:u w:val="single"/>
        </w:rPr>
        <w:t>　　　</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rPr>
        <w:t>。</w:t>
      </w:r>
    </w:p>
    <w:p w14:paraId="41C068C5">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47" w:name="_Toc351203649"/>
      <w:r>
        <w:rPr>
          <w:rFonts w:ascii="Times New Roman" w:hAnsi="Times New Roman" w:eastAsia="黑体" w:cs="Times New Roman"/>
          <w:bCs/>
          <w:i w:val="0"/>
          <w:iCs w:val="0"/>
          <w:color w:val="auto"/>
          <w:kern w:val="2"/>
          <w:highlight w:val="none"/>
        </w:rPr>
        <w:t>17. 不可抗力</w:t>
      </w:r>
      <w:bookmarkEnd w:id="747"/>
      <w:r>
        <w:rPr>
          <w:rFonts w:ascii="Times New Roman" w:hAnsi="Times New Roman" w:eastAsia="黑体" w:cs="Times New Roman"/>
          <w:bCs/>
          <w:i w:val="0"/>
          <w:iCs w:val="0"/>
          <w:color w:val="auto"/>
          <w:kern w:val="2"/>
          <w:highlight w:val="none"/>
        </w:rPr>
        <w:t xml:space="preserve"> </w:t>
      </w:r>
      <w:bookmarkEnd w:id="743"/>
    </w:p>
    <w:p w14:paraId="63F933D6">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17.1 不可抗力的确认</w:t>
      </w:r>
    </w:p>
    <w:p w14:paraId="1F2B3D21">
      <w:pPr>
        <w:autoSpaceDE/>
        <w:autoSpaceDN/>
        <w:adjustRightInd/>
        <w:spacing w:line="400" w:lineRule="exact"/>
        <w:ind w:firstLine="480" w:firstLineChars="200"/>
        <w:rPr>
          <w:rFonts w:ascii="Times New Roman" w:hAnsi="Times New Roman" w:eastAsia="仿宋_GB2312" w:cs="Times New Roman"/>
          <w:i w:val="0"/>
          <w:iCs w:val="0"/>
          <w:color w:val="auto"/>
          <w:highlight w:val="none"/>
          <w:u w:val="single"/>
        </w:rPr>
      </w:pPr>
      <w:r>
        <w:rPr>
          <w:rFonts w:ascii="Times New Roman" w:hAnsi="Times New Roman" w:eastAsia="仿宋_GB2312" w:cs="Times New Roman"/>
          <w:i w:val="0"/>
          <w:iCs w:val="0"/>
          <w:color w:val="auto"/>
          <w:kern w:val="2"/>
          <w:highlight w:val="none"/>
        </w:rPr>
        <w:t xml:space="preserve">除通用合同条款约定的不可抗力事件之外，视为不可抗力的其他情形： </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根据国家和地方有关规定及通用条款的约定</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637C387B">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48" w:name="_Toc1290"/>
      <w:r>
        <w:rPr>
          <w:rFonts w:ascii="Times New Roman" w:hAnsi="Times New Roman" w:eastAsia="黑体" w:cs="Times New Roman"/>
          <w:i w:val="0"/>
          <w:iCs w:val="0"/>
          <w:color w:val="auto"/>
          <w:kern w:val="2"/>
          <w:highlight w:val="none"/>
        </w:rPr>
        <w:t>17.4 因不可抗力解除合同</w:t>
      </w:r>
      <w:bookmarkEnd w:id="748"/>
    </w:p>
    <w:p w14:paraId="40087352">
      <w:pPr>
        <w:autoSpaceDE/>
        <w:autoSpaceDN/>
        <w:adjustRightInd/>
        <w:spacing w:line="400" w:lineRule="exact"/>
        <w:ind w:firstLine="480" w:firstLineChars="200"/>
        <w:rPr>
          <w:rFonts w:hint="eastAsia"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合同解除后，发包人应在商定或确定发包人应支付款项后</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30</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天内完成款项的支付。</w:t>
      </w:r>
    </w:p>
    <w:p w14:paraId="0BD83092">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49" w:name="_Toc351203650"/>
      <w:r>
        <w:rPr>
          <w:rFonts w:ascii="Times New Roman" w:hAnsi="Times New Roman" w:eastAsia="黑体" w:cs="Times New Roman"/>
          <w:bCs/>
          <w:i w:val="0"/>
          <w:iCs w:val="0"/>
          <w:color w:val="auto"/>
          <w:kern w:val="2"/>
          <w:highlight w:val="none"/>
        </w:rPr>
        <w:t>18. 保险</w:t>
      </w:r>
      <w:bookmarkEnd w:id="749"/>
    </w:p>
    <w:bookmarkEnd w:id="744"/>
    <w:p w14:paraId="4DDA9904">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18.1 工程保险</w:t>
      </w:r>
    </w:p>
    <w:p w14:paraId="5ABA85C1">
      <w:pPr>
        <w:autoSpaceDE/>
        <w:autoSpaceDN/>
        <w:adjustRightInd/>
        <w:spacing w:line="400" w:lineRule="exact"/>
        <w:ind w:firstLine="480" w:firstLineChars="200"/>
        <w:rPr>
          <w:rFonts w:ascii="Times New Roman" w:hAnsi="Times New Roman" w:eastAsia="仿宋_GB2312" w:cs="Times New Roman"/>
          <w:i w:val="0"/>
          <w:iCs w:val="0"/>
          <w:color w:val="auto"/>
          <w:highlight w:val="none"/>
          <w:u w:val="single"/>
        </w:rPr>
      </w:pPr>
      <w:r>
        <w:rPr>
          <w:rFonts w:ascii="Times New Roman" w:hAnsi="Times New Roman" w:eastAsia="仿宋_GB2312" w:cs="Times New Roman"/>
          <w:i w:val="0"/>
          <w:iCs w:val="0"/>
          <w:color w:val="auto"/>
          <w:kern w:val="2"/>
          <w:highlight w:val="none"/>
        </w:rPr>
        <w:t>关于工程保险的特别约定：</w:t>
      </w:r>
      <w:r>
        <w:rPr>
          <w:rFonts w:hint="eastAsia" w:ascii="Times New Roman" w:hAnsi="Times New Roman" w:eastAsia="仿宋_GB2312" w:cs="Times New Roman"/>
          <w:i w:val="0"/>
          <w:iCs w:val="0"/>
          <w:color w:val="auto"/>
          <w:highlight w:val="none"/>
          <w:u w:val="single"/>
        </w:rPr>
        <w:t>按国家和地方规定；农民工工伤保险费已包含在规费中，中标单位需按绍政办发〔2007〕100 号文件规定缴纳。如遇政策性文件调整，需做相应调整</w:t>
      </w:r>
      <w:r>
        <w:rPr>
          <w:rFonts w:ascii="Times New Roman" w:hAnsi="Times New Roman" w:eastAsia="仿宋_GB2312" w:cs="Times New Roman"/>
          <w:i w:val="0"/>
          <w:iCs w:val="0"/>
          <w:color w:val="auto"/>
          <w:highlight w:val="none"/>
          <w:u w:val="single"/>
        </w:rPr>
        <w:t>。</w:t>
      </w:r>
    </w:p>
    <w:p w14:paraId="761611F0">
      <w:pPr>
        <w:autoSpaceDE/>
        <w:autoSpaceDN/>
        <w:adjustRightInd/>
        <w:spacing w:line="400" w:lineRule="exact"/>
        <w:ind w:firstLine="480" w:firstLineChars="200"/>
        <w:rPr>
          <w:rFonts w:hint="eastAsia" w:ascii="Times New Roman" w:hAnsi="Times New Roman" w:eastAsia="仿宋_GB2312" w:cs="Times New Roman"/>
          <w:i w:val="0"/>
          <w:iCs w:val="0"/>
          <w:color w:val="auto"/>
          <w:highlight w:val="none"/>
          <w:u w:val="single"/>
        </w:rPr>
      </w:pPr>
      <w:r>
        <w:rPr>
          <w:rFonts w:hint="eastAsia" w:ascii="Times New Roman" w:hAnsi="Times New Roman" w:eastAsia="仿宋_GB2312" w:cs="Times New Roman"/>
          <w:i w:val="0"/>
          <w:iCs w:val="0"/>
          <w:color w:val="auto"/>
          <w:highlight w:val="none"/>
          <w:u w:val="single"/>
        </w:rPr>
        <w:t>关于工程保险的特别约定：承包人统一为本合同工程办理建筑工程一切险（包括工程物质损失保险和第三者责任险），并支付保险费用。此保险将以发包人和承包人作为等同被保险人而联合受益，当本合同工程发生损失或损害时，承包人应立即向发包人报告并按保险单要求的条件和期限提供保险索赔所需的材料及证明文件。保险索赔由承包人向保险公司提出，保险赔偿先行赔付到承包人名下（如损害继续发生，承包人在递交第一次报告后，每 7 天（或按保险单要求）报告一次，直到损害结束）。</w:t>
      </w:r>
    </w:p>
    <w:p w14:paraId="33E6FFC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hint="eastAsia" w:ascii="Times New Roman" w:hAnsi="Times New Roman" w:eastAsia="仿宋_GB2312" w:cs="Times New Roman"/>
          <w:i w:val="0"/>
          <w:iCs w:val="0"/>
          <w:color w:val="auto"/>
          <w:highlight w:val="none"/>
          <w:u w:val="single"/>
        </w:rPr>
        <w:t>承包人应当为本合同工程和施工场地内的自有人员、设备及第三方生命财产办理保险并支付保险费用，费用已包含在总价内。因未办理保险所造成发包人、监理人、其他承包人、第三方人员的损失，承包人承担赔偿责任</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4A40A63E">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50" w:name="_Toc5667"/>
      <w:r>
        <w:rPr>
          <w:rFonts w:ascii="Times New Roman" w:hAnsi="Times New Roman" w:eastAsia="黑体" w:cs="Times New Roman"/>
          <w:i w:val="0"/>
          <w:iCs w:val="0"/>
          <w:color w:val="auto"/>
          <w:kern w:val="2"/>
          <w:highlight w:val="none"/>
        </w:rPr>
        <w:t>18.3 其他保险</w:t>
      </w:r>
      <w:bookmarkEnd w:id="750"/>
    </w:p>
    <w:p w14:paraId="59D49D1F">
      <w:pPr>
        <w:autoSpaceDE/>
        <w:autoSpaceDN/>
        <w:adjustRightInd/>
        <w:spacing w:line="400" w:lineRule="exact"/>
        <w:ind w:firstLine="480" w:firstLineChars="200"/>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kern w:val="2"/>
          <w:highlight w:val="none"/>
        </w:rPr>
        <w:t>关于其他保险的约定：</w:t>
      </w:r>
      <w:r>
        <w:rPr>
          <w:rFonts w:ascii="Times New Roman" w:hAnsi="Times New Roman" w:eastAsia="仿宋_GB2312" w:cs="Times New Roman"/>
          <w:i w:val="0"/>
          <w:iCs w:val="0"/>
          <w:color w:val="auto"/>
          <w:highlight w:val="none"/>
          <w:u w:val="single"/>
        </w:rPr>
        <w:t xml:space="preserve"> </w:t>
      </w:r>
      <w:r>
        <w:rPr>
          <w:rFonts w:hint="eastAsia" w:ascii="Times New Roman" w:hAnsi="Times New Roman" w:eastAsia="仿宋_GB2312" w:cs="Times New Roman"/>
          <w:i w:val="0"/>
          <w:iCs w:val="0"/>
          <w:color w:val="auto"/>
          <w:highlight w:val="none"/>
          <w:u w:val="single"/>
        </w:rPr>
        <w:t>按国家和地方规定</w:t>
      </w:r>
      <w:r>
        <w:rPr>
          <w:rFonts w:ascii="Times New Roman" w:hAnsi="Times New Roman" w:eastAsia="仿宋_GB2312" w:cs="Times New Roman"/>
          <w:i w:val="0"/>
          <w:iCs w:val="0"/>
          <w:color w:val="auto"/>
          <w:highlight w:val="none"/>
          <w:u w:val="single"/>
        </w:rPr>
        <w:t xml:space="preserve"> </w:t>
      </w:r>
      <w:r>
        <w:rPr>
          <w:rFonts w:ascii="Times New Roman" w:hAnsi="Times New Roman" w:eastAsia="仿宋_GB2312" w:cs="Times New Roman"/>
          <w:i w:val="0"/>
          <w:iCs w:val="0"/>
          <w:color w:val="auto"/>
          <w:highlight w:val="none"/>
        </w:rPr>
        <w:t>。</w:t>
      </w:r>
    </w:p>
    <w:p w14:paraId="5DBC9F9F">
      <w:pPr>
        <w:autoSpaceDE/>
        <w:autoSpaceDN/>
        <w:adjustRightInd/>
        <w:spacing w:line="400" w:lineRule="exact"/>
        <w:rPr>
          <w:rFonts w:ascii="Times New Roman" w:hAnsi="Times New Roman" w:eastAsia="仿宋_GB2312" w:cs="Times New Roman"/>
          <w:i w:val="0"/>
          <w:iCs w:val="0"/>
          <w:color w:val="auto"/>
          <w:highlight w:val="none"/>
        </w:rPr>
      </w:pPr>
      <w:r>
        <w:rPr>
          <w:rFonts w:ascii="Times New Roman" w:hAnsi="Times New Roman" w:eastAsia="仿宋_GB2312" w:cs="Times New Roman"/>
          <w:i w:val="0"/>
          <w:iCs w:val="0"/>
          <w:color w:val="auto"/>
          <w:kern w:val="2"/>
          <w:highlight w:val="none"/>
        </w:rPr>
        <w:t>承包人是否应为其施工设备等办理财产保险：</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0852026B">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黑体" w:cs="Times New Roman"/>
          <w:i w:val="0"/>
          <w:iCs w:val="0"/>
          <w:color w:val="auto"/>
          <w:kern w:val="2"/>
          <w:highlight w:val="none"/>
        </w:rPr>
        <w:t>18.7 通知义务</w:t>
      </w:r>
    </w:p>
    <w:p w14:paraId="473ACD9D">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highlight w:val="none"/>
        </w:rPr>
        <w:t>关于变更保险合同时的通知义务的约定：</w:t>
      </w:r>
      <w:r>
        <w:rPr>
          <w:rFonts w:ascii="Times New Roman" w:hAnsi="Times New Roman" w:eastAsia="仿宋_GB2312" w:cs="Times New Roman"/>
          <w:i w:val="0"/>
          <w:iCs w:val="0"/>
          <w:color w:val="auto"/>
          <w:kern w:val="2"/>
          <w:highlight w:val="none"/>
          <w:u w:val="single"/>
        </w:rPr>
        <w:t xml:space="preserve">    </w:t>
      </w:r>
      <w:bookmarkStart w:id="751" w:name="OLE_LINK3"/>
      <w:r>
        <w:rPr>
          <w:rFonts w:hint="eastAsia" w:ascii="Times New Roman" w:hAnsi="Times New Roman" w:eastAsia="仿宋_GB2312" w:cs="Times New Roman"/>
          <w:i w:val="0"/>
          <w:iCs w:val="0"/>
          <w:color w:val="auto"/>
          <w:kern w:val="2"/>
          <w:highlight w:val="none"/>
          <w:u w:val="single"/>
          <w:lang w:val="en-US" w:eastAsia="zh-CN"/>
        </w:rPr>
        <w:t>/</w:t>
      </w:r>
      <w:bookmarkEnd w:id="751"/>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bookmarkEnd w:id="716"/>
    <w:bookmarkEnd w:id="717"/>
    <w:bookmarkEnd w:id="718"/>
    <w:bookmarkEnd w:id="719"/>
    <w:bookmarkEnd w:id="720"/>
    <w:bookmarkEnd w:id="721"/>
    <w:bookmarkEnd w:id="722"/>
    <w:bookmarkEnd w:id="723"/>
    <w:bookmarkEnd w:id="724"/>
    <w:bookmarkEnd w:id="725"/>
    <w:bookmarkEnd w:id="726"/>
    <w:bookmarkEnd w:id="727"/>
    <w:p w14:paraId="28FC27A6">
      <w:pPr>
        <w:keepNext/>
        <w:keepLines/>
        <w:spacing w:before="120" w:beforeLines="0" w:after="120" w:afterLines="0" w:line="400" w:lineRule="exact"/>
        <w:jc w:val="both"/>
        <w:outlineLvl w:val="3"/>
        <w:rPr>
          <w:rFonts w:ascii="Times New Roman" w:hAnsi="Times New Roman" w:eastAsia="黑体" w:cs="Times New Roman"/>
          <w:bCs/>
          <w:i w:val="0"/>
          <w:iCs w:val="0"/>
          <w:color w:val="auto"/>
          <w:kern w:val="2"/>
          <w:highlight w:val="none"/>
        </w:rPr>
      </w:pPr>
      <w:bookmarkStart w:id="752" w:name="_Toc351203651"/>
      <w:r>
        <w:rPr>
          <w:rFonts w:ascii="Times New Roman" w:hAnsi="Times New Roman" w:eastAsia="黑体" w:cs="Times New Roman"/>
          <w:bCs/>
          <w:i w:val="0"/>
          <w:iCs w:val="0"/>
          <w:color w:val="auto"/>
          <w:kern w:val="2"/>
          <w:highlight w:val="none"/>
        </w:rPr>
        <w:t>20. 争议解决</w:t>
      </w:r>
      <w:bookmarkEnd w:id="752"/>
    </w:p>
    <w:bookmarkEnd w:id="728"/>
    <w:bookmarkEnd w:id="729"/>
    <w:p w14:paraId="63190A35">
      <w:pPr>
        <w:autoSpaceDE/>
        <w:autoSpaceDN/>
        <w:adjustRightInd/>
        <w:spacing w:after="120" w:afterLines="0" w:line="400" w:lineRule="exact"/>
        <w:ind w:firstLine="480" w:firstLineChars="200"/>
        <w:jc w:val="both"/>
        <w:outlineLvl w:val="0"/>
        <w:rPr>
          <w:rFonts w:ascii="Times New Roman" w:hAnsi="Times New Roman" w:eastAsia="黑体" w:cs="Times New Roman"/>
          <w:i w:val="0"/>
          <w:iCs w:val="0"/>
          <w:color w:val="auto"/>
          <w:kern w:val="2"/>
          <w:highlight w:val="none"/>
        </w:rPr>
      </w:pPr>
      <w:bookmarkStart w:id="753" w:name="_Toc14438"/>
      <w:r>
        <w:rPr>
          <w:rFonts w:ascii="Times New Roman" w:hAnsi="Times New Roman" w:eastAsia="黑体" w:cs="Times New Roman"/>
          <w:i w:val="0"/>
          <w:iCs w:val="0"/>
          <w:color w:val="auto"/>
          <w:kern w:val="2"/>
          <w:highlight w:val="none"/>
        </w:rPr>
        <w:t>20.3 争</w:t>
      </w:r>
      <w:bookmarkEnd w:id="730"/>
      <w:r>
        <w:rPr>
          <w:rFonts w:ascii="Times New Roman" w:hAnsi="Times New Roman" w:eastAsia="黑体" w:cs="Times New Roman"/>
          <w:i w:val="0"/>
          <w:iCs w:val="0"/>
          <w:color w:val="auto"/>
          <w:kern w:val="2"/>
          <w:highlight w:val="none"/>
        </w:rPr>
        <w:t>议评审</w:t>
      </w:r>
      <w:bookmarkEnd w:id="753"/>
    </w:p>
    <w:p w14:paraId="0079B903">
      <w:pPr>
        <w:autoSpaceDE/>
        <w:autoSpaceDN/>
        <w:adjustRightInd/>
        <w:spacing w:line="400" w:lineRule="exact"/>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合同当事人是否同意将工程争议提交争议评审小组决</w:t>
      </w:r>
      <w:r>
        <w:rPr>
          <w:rFonts w:hint="eastAsia" w:ascii="Times New Roman" w:hAnsi="Times New Roman" w:eastAsia="仿宋_GB2312" w:cs="Times New Roman"/>
          <w:i w:val="0"/>
          <w:iCs w:val="0"/>
          <w:color w:val="auto"/>
          <w:kern w:val="2"/>
          <w:highlight w:val="none"/>
        </w:rPr>
        <w:t>定：</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rPr>
        <w:t xml:space="preserve">。  </w:t>
      </w:r>
    </w:p>
    <w:p w14:paraId="4A40CBAD">
      <w:pPr>
        <w:autoSpaceDE/>
        <w:autoSpaceDN/>
        <w:adjustRightInd/>
        <w:spacing w:line="400" w:lineRule="exact"/>
        <w:ind w:firstLine="480" w:firstLineChars="200"/>
        <w:outlineLvl w:val="0"/>
        <w:rPr>
          <w:rFonts w:ascii="Times New Roman" w:hAnsi="Times New Roman" w:eastAsia="仿宋_GB2312" w:cs="Times New Roman"/>
          <w:i w:val="0"/>
          <w:iCs w:val="0"/>
          <w:color w:val="auto"/>
          <w:kern w:val="2"/>
          <w:highlight w:val="none"/>
        </w:rPr>
      </w:pPr>
      <w:bookmarkStart w:id="754" w:name="_Toc19684"/>
      <w:r>
        <w:rPr>
          <w:rFonts w:ascii="Times New Roman" w:hAnsi="Times New Roman" w:eastAsia="仿宋_GB2312" w:cs="Times New Roman"/>
          <w:i w:val="0"/>
          <w:iCs w:val="0"/>
          <w:color w:val="auto"/>
          <w:kern w:val="2"/>
          <w:highlight w:val="none"/>
        </w:rPr>
        <w:t>20.3.1 争议评审小组的确定</w:t>
      </w:r>
      <w:bookmarkEnd w:id="754"/>
    </w:p>
    <w:p w14:paraId="6878BF9B">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u w:val="single"/>
        </w:rPr>
      </w:pPr>
      <w:r>
        <w:rPr>
          <w:rFonts w:ascii="Times New Roman" w:hAnsi="Times New Roman" w:eastAsia="仿宋_GB2312" w:cs="Times New Roman"/>
          <w:i w:val="0"/>
          <w:iCs w:val="0"/>
          <w:color w:val="auto"/>
          <w:kern w:val="2"/>
          <w:highlight w:val="none"/>
        </w:rPr>
        <w:t>争议评审小组成员的确定：</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1CF0C700">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选定争议评审员的期限：</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6FB47C6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争议评审小组成员的报酬承担</w:t>
      </w:r>
      <w:r>
        <w:rPr>
          <w:rFonts w:hint="eastAsia" w:ascii="Times New Roman" w:hAnsi="Times New Roman" w:eastAsia="仿宋_GB2312" w:cs="Times New Roman"/>
          <w:i w:val="0"/>
          <w:iCs w:val="0"/>
          <w:color w:val="auto"/>
          <w:kern w:val="2"/>
          <w:highlight w:val="none"/>
        </w:rPr>
        <w:t>方</w:t>
      </w:r>
      <w:r>
        <w:rPr>
          <w:rFonts w:ascii="Times New Roman" w:hAnsi="Times New Roman" w:eastAsia="仿宋_GB2312" w:cs="Times New Roman"/>
          <w:i w:val="0"/>
          <w:iCs w:val="0"/>
          <w:color w:val="auto"/>
          <w:kern w:val="2"/>
          <w:highlight w:val="none"/>
        </w:rPr>
        <w:t>式：</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5C20DFDD">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其他事项的约定：</w:t>
      </w:r>
      <w:r>
        <w:rPr>
          <w:rFonts w:hint="eastAsia"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4F6C1810">
      <w:pPr>
        <w:spacing w:line="400" w:lineRule="exact"/>
        <w:ind w:firstLine="480" w:firstLineChars="200"/>
        <w:outlineLvl w:val="0"/>
        <w:rPr>
          <w:rFonts w:ascii="Times New Roman" w:hAnsi="Times New Roman" w:eastAsia="仿宋_GB2312" w:cs="Times New Roman"/>
          <w:i w:val="0"/>
          <w:iCs w:val="0"/>
          <w:color w:val="auto"/>
          <w:highlight w:val="none"/>
        </w:rPr>
      </w:pPr>
      <w:bookmarkStart w:id="755" w:name="_Toc27083"/>
      <w:r>
        <w:rPr>
          <w:rFonts w:ascii="Times New Roman" w:hAnsi="Times New Roman" w:eastAsia="仿宋_GB2312" w:cs="Times New Roman"/>
          <w:i w:val="0"/>
          <w:iCs w:val="0"/>
          <w:color w:val="auto"/>
          <w:highlight w:val="none"/>
        </w:rPr>
        <w:t>20.3.2 争议评审小组的决定</w:t>
      </w:r>
      <w:bookmarkEnd w:id="755"/>
    </w:p>
    <w:p w14:paraId="0056BD72">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合同当事人关于本项的约定：</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hint="eastAsia" w:ascii="Times New Roman" w:hAnsi="Times New Roman" w:eastAsia="仿宋_GB2312" w:cs="Times New Roman"/>
          <w:i w:val="0"/>
          <w:iCs w:val="0"/>
          <w:color w:val="auto"/>
          <w:kern w:val="2"/>
          <w:highlight w:val="none"/>
          <w:u w:val="single"/>
        </w:rPr>
        <w:t>　　</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w:t>
      </w:r>
    </w:p>
    <w:p w14:paraId="717F856B">
      <w:pPr>
        <w:autoSpaceDE/>
        <w:autoSpaceDN/>
        <w:adjustRightInd/>
        <w:spacing w:after="120" w:afterLines="0" w:line="400" w:lineRule="exact"/>
        <w:ind w:firstLine="480" w:firstLineChars="200"/>
        <w:jc w:val="both"/>
        <w:outlineLvl w:val="0"/>
        <w:rPr>
          <w:rFonts w:hint="eastAsia" w:ascii="Times New Roman" w:hAnsi="Times New Roman" w:eastAsia="黑体" w:cs="Times New Roman"/>
          <w:i w:val="0"/>
          <w:iCs w:val="0"/>
          <w:color w:val="auto"/>
          <w:kern w:val="2"/>
          <w:highlight w:val="none"/>
        </w:rPr>
      </w:pPr>
      <w:bookmarkStart w:id="756" w:name="_Toc24420"/>
      <w:r>
        <w:rPr>
          <w:rFonts w:ascii="Times New Roman" w:hAnsi="Times New Roman" w:eastAsia="黑体" w:cs="Times New Roman"/>
          <w:i w:val="0"/>
          <w:iCs w:val="0"/>
          <w:color w:val="auto"/>
          <w:kern w:val="2"/>
          <w:highlight w:val="none"/>
        </w:rPr>
        <w:t>20.4仲裁或诉讼</w:t>
      </w:r>
      <w:bookmarkEnd w:id="731"/>
      <w:bookmarkEnd w:id="756"/>
    </w:p>
    <w:p w14:paraId="7F1C82A0">
      <w:pPr>
        <w:autoSpaceDE/>
        <w:autoSpaceDN/>
        <w:adjustRightInd/>
        <w:spacing w:after="120" w:afterLines="0" w:line="400" w:lineRule="exact"/>
        <w:ind w:firstLine="480" w:firstLineChars="200"/>
        <w:jc w:val="both"/>
        <w:rPr>
          <w:rFonts w:ascii="Times New Roman" w:hAnsi="Times New Roman" w:eastAsia="黑体" w:cs="Times New Roman"/>
          <w:i w:val="0"/>
          <w:iCs w:val="0"/>
          <w:color w:val="auto"/>
          <w:kern w:val="2"/>
          <w:highlight w:val="none"/>
        </w:rPr>
      </w:pPr>
      <w:r>
        <w:rPr>
          <w:rFonts w:ascii="Times New Roman" w:hAnsi="Times New Roman" w:eastAsia="仿宋_GB2312" w:cs="Times New Roman"/>
          <w:i w:val="0"/>
          <w:iCs w:val="0"/>
          <w:color w:val="auto"/>
          <w:kern w:val="2"/>
          <w:highlight w:val="none"/>
        </w:rPr>
        <w:t>因合同及合同有关事项发生的争议，按下列第</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2</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种方式</w:t>
      </w:r>
      <w:r>
        <w:rPr>
          <w:rFonts w:hint="eastAsia" w:ascii="Times New Roman" w:hAnsi="Times New Roman" w:eastAsia="仿宋_GB2312" w:cs="Times New Roman"/>
          <w:i w:val="0"/>
          <w:iCs w:val="0"/>
          <w:color w:val="auto"/>
          <w:kern w:val="2"/>
          <w:highlight w:val="none"/>
        </w:rPr>
        <w:t>解</w:t>
      </w:r>
      <w:r>
        <w:rPr>
          <w:rFonts w:ascii="Times New Roman" w:hAnsi="Times New Roman" w:eastAsia="仿宋_GB2312" w:cs="Times New Roman"/>
          <w:i w:val="0"/>
          <w:iCs w:val="0"/>
          <w:color w:val="auto"/>
          <w:kern w:val="2"/>
          <w:highlight w:val="none"/>
        </w:rPr>
        <w:t>决：</w:t>
      </w:r>
    </w:p>
    <w:p w14:paraId="2CB97574">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（1）向</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 xml:space="preserve"> </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kern w:val="2"/>
          <w:highlight w:val="none"/>
          <w:u w:val="single"/>
          <w:lang w:val="en-US" w:eastAsia="zh-CN"/>
        </w:rPr>
        <w:t>/</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仲裁委员会申请仲裁；</w:t>
      </w:r>
    </w:p>
    <w:p w14:paraId="7C6E83D9">
      <w:pPr>
        <w:autoSpaceDE/>
        <w:autoSpaceDN/>
        <w:adjustRightInd/>
        <w:spacing w:line="400" w:lineRule="exact"/>
        <w:ind w:firstLine="480" w:firstLineChars="200"/>
        <w:rPr>
          <w:rFonts w:ascii="Times New Roman" w:hAnsi="Times New Roman" w:eastAsia="仿宋_GB2312" w:cs="Times New Roman"/>
          <w:i w:val="0"/>
          <w:iCs w:val="0"/>
          <w:color w:val="auto"/>
          <w:kern w:val="2"/>
          <w:highlight w:val="none"/>
        </w:rPr>
      </w:pPr>
      <w:r>
        <w:rPr>
          <w:rFonts w:ascii="Times New Roman" w:hAnsi="Times New Roman" w:eastAsia="仿宋_GB2312" w:cs="Times New Roman"/>
          <w:i w:val="0"/>
          <w:iCs w:val="0"/>
          <w:color w:val="auto"/>
          <w:kern w:val="2"/>
          <w:highlight w:val="none"/>
        </w:rPr>
        <w:t>（2）向</w:t>
      </w:r>
      <w:r>
        <w:rPr>
          <w:rFonts w:ascii="Times New Roman" w:hAnsi="Times New Roman" w:eastAsia="仿宋_GB2312" w:cs="Times New Roman"/>
          <w:i w:val="0"/>
          <w:iCs w:val="0"/>
          <w:color w:val="auto"/>
          <w:kern w:val="2"/>
          <w:highlight w:val="none"/>
          <w:u w:val="single"/>
        </w:rPr>
        <w:t xml:space="preserve">  </w:t>
      </w:r>
      <w:r>
        <w:rPr>
          <w:rFonts w:hint="eastAsia" w:ascii="Times New Roman" w:hAnsi="Times New Roman" w:eastAsia="仿宋_GB2312" w:cs="Times New Roman"/>
          <w:i w:val="0"/>
          <w:iCs w:val="0"/>
          <w:color w:val="auto"/>
          <w:highlight w:val="none"/>
          <w:u w:val="single"/>
          <w:lang w:val="en-US" w:eastAsia="zh-CN"/>
        </w:rPr>
        <w:t>工程所在地</w:t>
      </w:r>
      <w:r>
        <w:rPr>
          <w:rFonts w:ascii="Times New Roman" w:hAnsi="Times New Roman" w:eastAsia="仿宋_GB2312" w:cs="Times New Roman"/>
          <w:i w:val="0"/>
          <w:iCs w:val="0"/>
          <w:color w:val="auto"/>
          <w:kern w:val="2"/>
          <w:highlight w:val="none"/>
          <w:u w:val="single"/>
        </w:rPr>
        <w:t xml:space="preserve">  </w:t>
      </w:r>
      <w:r>
        <w:rPr>
          <w:rFonts w:ascii="Times New Roman" w:hAnsi="Times New Roman" w:eastAsia="仿宋_GB2312" w:cs="Times New Roman"/>
          <w:i w:val="0"/>
          <w:iCs w:val="0"/>
          <w:color w:val="auto"/>
          <w:kern w:val="2"/>
          <w:highlight w:val="none"/>
        </w:rPr>
        <w:t>人民法院起诉。</w:t>
      </w:r>
      <w:bookmarkEnd w:id="732"/>
      <w:bookmarkEnd w:id="733"/>
      <w:bookmarkEnd w:id="734"/>
      <w:bookmarkEnd w:id="735"/>
      <w:bookmarkEnd w:id="736"/>
      <w:bookmarkEnd w:id="737"/>
    </w:p>
    <w:p w14:paraId="375DAB7F">
      <w:pPr>
        <w:rPr>
          <w:rFonts w:hint="eastAsia" w:ascii="黑体" w:hAnsi="黑体" w:cs="Times New Roman"/>
          <w:b/>
          <w:bCs w:val="0"/>
          <w:i w:val="0"/>
          <w:iCs w:val="0"/>
          <w:color w:val="auto"/>
          <w:highlight w:val="none"/>
        </w:rPr>
      </w:pPr>
    </w:p>
    <w:p w14:paraId="4083F69F">
      <w:pPr>
        <w:rPr>
          <w:i w:val="0"/>
          <w:iCs w:val="0"/>
          <w:color w:val="auto"/>
          <w:highlight w:val="none"/>
        </w:rPr>
      </w:pPr>
    </w:p>
    <w:p w14:paraId="559FC93A">
      <w:pPr>
        <w:pStyle w:val="2"/>
        <w:rPr>
          <w:b/>
          <w:i w:val="0"/>
          <w:iCs w:val="0"/>
          <w:color w:val="auto"/>
          <w:highlight w:val="none"/>
        </w:rPr>
      </w:pPr>
      <w:r>
        <w:rPr>
          <w:rFonts w:hint="eastAsia" w:ascii="宋体" w:hAnsi="宋体"/>
          <w:b/>
          <w:i w:val="0"/>
          <w:iCs w:val="0"/>
          <w:color w:val="auto"/>
          <w:highlight w:val="none"/>
        </w:rPr>
        <w:br w:type="page"/>
      </w:r>
      <w:bookmarkStart w:id="757" w:name="_Toc45697245"/>
      <w:bookmarkEnd w:id="757"/>
      <w:bookmarkStart w:id="758" w:name="_Toc67589037"/>
      <w:bookmarkStart w:id="759" w:name="_Toc18266"/>
      <w:r>
        <w:rPr>
          <w:rFonts w:hint="eastAsia" w:ascii="黑体" w:hAnsi="黑体"/>
          <w:b/>
          <w:bCs w:val="0"/>
          <w:i w:val="0"/>
          <w:iCs w:val="0"/>
          <w:color w:val="auto"/>
          <w:highlight w:val="none"/>
        </w:rPr>
        <w:t>第五章 工程量清单编制</w:t>
      </w:r>
      <w:bookmarkEnd w:id="758"/>
      <w:bookmarkEnd w:id="759"/>
    </w:p>
    <w:p w14:paraId="60B752D8">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（一）工程量清单编制须按《浙江省建设工程计价规则》（2018版）实施，所采用的表格格式如下(具体详见附件)：</w:t>
      </w:r>
    </w:p>
    <w:p w14:paraId="05BADE5F">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招标工程量清单封面</w:t>
      </w:r>
    </w:p>
    <w:p w14:paraId="275984D9">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招标工程量清单扉页</w:t>
      </w:r>
    </w:p>
    <w:p w14:paraId="1FFC546F">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编制说明</w:t>
      </w:r>
    </w:p>
    <w:p w14:paraId="4DB1FC54">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分部分项工程和施工技术措施费项目清单与计价表</w:t>
      </w:r>
    </w:p>
    <w:p w14:paraId="17F6E29A">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施工组织（总价）措施项目清单与计价表</w:t>
      </w:r>
    </w:p>
    <w:p w14:paraId="1C910D82">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其他项目清单与计价汇总表</w:t>
      </w:r>
    </w:p>
    <w:p w14:paraId="10945D6E">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暂列金额明细表</w:t>
      </w:r>
    </w:p>
    <w:p w14:paraId="7092EED6">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材料（工程设备）暂估单价及调整表</w:t>
      </w:r>
    </w:p>
    <w:p w14:paraId="3C3EA55E">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专业工程暂估价表</w:t>
      </w:r>
    </w:p>
    <w:p w14:paraId="08402CB5">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专项技术措施暂估价表</w:t>
      </w:r>
    </w:p>
    <w:p w14:paraId="64487ADE">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计日工表</w:t>
      </w:r>
    </w:p>
    <w:p w14:paraId="4465DDFE">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总承包服务费计价表</w:t>
      </w:r>
    </w:p>
    <w:p w14:paraId="19EBD4DC">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主要工日一览表</w:t>
      </w:r>
    </w:p>
    <w:p w14:paraId="531BB3FD">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发包人提供材料和设备一览表</w:t>
      </w:r>
    </w:p>
    <w:p w14:paraId="76B82697">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主要材料和工程设备一览表</w:t>
      </w:r>
    </w:p>
    <w:p w14:paraId="1221570B">
      <w:pPr>
        <w:pStyle w:val="42"/>
        <w:numPr>
          <w:ilvl w:val="0"/>
          <w:numId w:val="40"/>
        </w:numPr>
        <w:spacing w:line="360" w:lineRule="auto"/>
        <w:rPr>
          <w:rFonts w:ascii="宋体" w:hAnsi="宋体"/>
          <w:i w:val="0"/>
          <w:iCs w:val="0"/>
          <w:color w:val="auto"/>
          <w:highlight w:val="none"/>
        </w:rPr>
      </w:pPr>
      <w:r>
        <w:rPr>
          <w:rFonts w:hint="eastAsia" w:ascii="宋体" w:hAnsi="宋体"/>
          <w:i w:val="0"/>
          <w:iCs w:val="0"/>
          <w:color w:val="auto"/>
          <w:highlight w:val="none"/>
        </w:rPr>
        <w:t>主要机械台班一览表</w:t>
      </w:r>
    </w:p>
    <w:p w14:paraId="19333CF7">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（二）招标控制价编制应按省建设厅、省财政厅和省发改委联合颁布的计价政策性文件以及建设主管部门颁布的相关政策性文件实施。</w:t>
      </w:r>
    </w:p>
    <w:p w14:paraId="4FF88783">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（三）招标人在招标文件中设置专门条款明确最高投标限价，防止投标人围标抬价。最高投标限价即为招标控制价，不得高于批准的概算造价。</w:t>
      </w:r>
    </w:p>
    <w:p w14:paraId="099BEE50">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（四）为防止投标人恶意低价竞标，招标人可以在招标文件中设置风险控制价。</w:t>
      </w:r>
    </w:p>
    <w:p w14:paraId="40BBECF6">
      <w:pPr>
        <w:spacing w:line="360" w:lineRule="auto"/>
        <w:ind w:firstLine="480" w:firstLineChars="200"/>
        <w:rPr>
          <w:rFonts w:ascii="宋体" w:hAnsi="宋体" w:cs="仿宋_GB2312"/>
          <w:i w:val="0"/>
          <w:iCs w:val="0"/>
          <w:color w:val="auto"/>
          <w:highlight w:val="none"/>
        </w:rPr>
      </w:pPr>
      <w:r>
        <w:rPr>
          <w:rFonts w:hint="eastAsia" w:ascii="宋体" w:hAnsi="宋体"/>
          <w:i w:val="0"/>
          <w:iCs w:val="0"/>
          <w:color w:val="auto"/>
          <w:highlight w:val="none"/>
        </w:rPr>
        <w:t>（五）</w:t>
      </w:r>
      <w:r>
        <w:rPr>
          <w:rFonts w:hint="eastAsia" w:ascii="宋体" w:hAnsi="宋体" w:cs="仿宋_GB2312"/>
          <w:i w:val="0"/>
          <w:iCs w:val="0"/>
          <w:color w:val="auto"/>
          <w:highlight w:val="none"/>
        </w:rPr>
        <w:t>工程量清单计价相关事项依据</w:t>
      </w:r>
      <w:r>
        <w:rPr>
          <w:rFonts w:hint="eastAsia" w:ascii="宋体" w:hAnsi="宋体"/>
          <w:i w:val="0"/>
          <w:iCs w:val="0"/>
          <w:color w:val="auto"/>
          <w:highlight w:val="none"/>
        </w:rPr>
        <w:t>《浙江省建设工程计价规则》（2018版）</w:t>
      </w:r>
      <w:r>
        <w:rPr>
          <w:rFonts w:hint="eastAsia" w:ascii="宋体" w:hAnsi="宋体" w:cs="仿宋_GB2312"/>
          <w:i w:val="0"/>
          <w:iCs w:val="0"/>
          <w:color w:val="auto"/>
          <w:highlight w:val="none"/>
        </w:rPr>
        <w:t>实施。</w:t>
      </w:r>
    </w:p>
    <w:p w14:paraId="59F2EEC4">
      <w:pPr>
        <w:spacing w:line="360" w:lineRule="auto"/>
        <w:ind w:firstLine="480" w:firstLineChars="200"/>
        <w:rPr>
          <w:rFonts w:ascii="宋体" w:hAnsi="宋体" w:cs="仿宋_GB2312"/>
          <w:i w:val="0"/>
          <w:iCs w:val="0"/>
          <w:color w:val="auto"/>
          <w:highlight w:val="none"/>
        </w:rPr>
      </w:pPr>
      <w:r>
        <w:rPr>
          <w:rFonts w:hint="eastAsia" w:ascii="宋体" w:hAnsi="宋体" w:cs="仿宋_GB2312"/>
          <w:i w:val="0"/>
          <w:iCs w:val="0"/>
          <w:color w:val="auto"/>
          <w:highlight w:val="none"/>
        </w:rPr>
        <w:t>（六）投标人应根据工程的实际，结合现行安全文明施工规范、施工现场管理规定要求、扬尘污染防治标准、安全文明施工标化工地创建等要求，采取合理措施，进行相应报价。</w:t>
      </w:r>
    </w:p>
    <w:p w14:paraId="05F22CD4">
      <w:pPr>
        <w:pStyle w:val="14"/>
        <w:rPr>
          <w:rFonts w:hint="eastAsia"/>
          <w:i w:val="0"/>
          <w:iCs w:val="0"/>
          <w:color w:val="auto"/>
          <w:highlight w:val="none"/>
        </w:rPr>
      </w:pPr>
    </w:p>
    <w:p w14:paraId="2FCEF97C">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附：1.招标工程量清单封面（格式）</w:t>
      </w:r>
    </w:p>
    <w:p w14:paraId="21B7CEE4">
      <w:pPr>
        <w:pStyle w:val="10"/>
        <w:spacing w:line="360" w:lineRule="auto"/>
        <w:ind w:firstLine="600" w:firstLineChars="250"/>
        <w:rPr>
          <w:rFonts w:hAnsi="宋体"/>
          <w:i w:val="0"/>
          <w:iCs w:val="0"/>
          <w:color w:val="auto"/>
          <w:sz w:val="24"/>
          <w:szCs w:val="24"/>
          <w:highlight w:val="none"/>
        </w:rPr>
      </w:pPr>
      <w:r>
        <w:rPr>
          <w:rFonts w:hint="eastAsia" w:hAnsi="宋体"/>
          <w:i w:val="0"/>
          <w:iCs w:val="0"/>
          <w:color w:val="auto"/>
          <w:sz w:val="24"/>
          <w:szCs w:val="24"/>
          <w:highlight w:val="none"/>
        </w:rPr>
        <w:t xml:space="preserve">   2.招标工量清单扉页（格式）</w:t>
      </w:r>
    </w:p>
    <w:p w14:paraId="7432E43A">
      <w:pPr>
        <w:pStyle w:val="10"/>
        <w:spacing w:line="360" w:lineRule="auto"/>
        <w:ind w:firstLine="960" w:firstLineChars="400"/>
        <w:rPr>
          <w:rFonts w:hAnsi="宋体"/>
          <w:i w:val="0"/>
          <w:iCs w:val="0"/>
          <w:color w:val="auto"/>
          <w:sz w:val="24"/>
          <w:szCs w:val="24"/>
          <w:highlight w:val="none"/>
        </w:rPr>
      </w:pPr>
      <w:r>
        <w:rPr>
          <w:rFonts w:hint="eastAsia" w:hAnsi="宋体"/>
          <w:i w:val="0"/>
          <w:iCs w:val="0"/>
          <w:color w:val="auto"/>
          <w:sz w:val="24"/>
          <w:szCs w:val="24"/>
          <w:highlight w:val="none"/>
        </w:rPr>
        <w:t>3.招标工量清单编制说明（格式）</w:t>
      </w:r>
    </w:p>
    <w:p w14:paraId="6D83C18A">
      <w:pPr>
        <w:pStyle w:val="10"/>
        <w:spacing w:line="360" w:lineRule="auto"/>
        <w:ind w:firstLine="840" w:firstLineChars="350"/>
        <w:rPr>
          <w:rFonts w:hAnsi="宋体"/>
          <w:i w:val="0"/>
          <w:iCs w:val="0"/>
          <w:color w:val="auto"/>
          <w:sz w:val="24"/>
          <w:szCs w:val="24"/>
          <w:highlight w:val="none"/>
        </w:rPr>
      </w:pPr>
      <w:r>
        <w:rPr>
          <w:rFonts w:hint="eastAsia" w:hAnsi="宋体"/>
          <w:i w:val="0"/>
          <w:iCs w:val="0"/>
          <w:color w:val="auto"/>
          <w:sz w:val="24"/>
          <w:szCs w:val="24"/>
          <w:highlight w:val="none"/>
        </w:rPr>
        <w:t xml:space="preserve"> 4.工程量清单格式详见投标文件商务标格式中的有关栏目（略）。</w:t>
      </w:r>
    </w:p>
    <w:p w14:paraId="5B8CF6C8">
      <w:pPr>
        <w:widowControl/>
        <w:spacing w:before="100" w:beforeAutospacing="1" w:after="100" w:afterAutospacing="1" w:line="360" w:lineRule="auto"/>
        <w:rPr>
          <w:rFonts w:ascii="宋体" w:hAnsi="宋体"/>
          <w:i w:val="0"/>
          <w:iCs w:val="0"/>
          <w:color w:val="auto"/>
          <w:sz w:val="28"/>
          <w:szCs w:val="28"/>
          <w:highlight w:val="none"/>
        </w:rPr>
      </w:pPr>
      <w:r>
        <w:rPr>
          <w:i w:val="0"/>
          <w:iCs w:val="0"/>
          <w:color w:val="auto"/>
          <w:highlight w:val="none"/>
        </w:rPr>
        <w:br w:type="page"/>
      </w:r>
      <w:r>
        <w:rPr>
          <w:rFonts w:hint="eastAsia" w:ascii="宋体" w:hAnsi="宋体"/>
          <w:i w:val="0"/>
          <w:iCs w:val="0"/>
          <w:color w:val="auto"/>
          <w:sz w:val="28"/>
          <w:szCs w:val="28"/>
          <w:highlight w:val="none"/>
        </w:rPr>
        <w:t>附件1：</w:t>
      </w:r>
    </w:p>
    <w:p w14:paraId="24C0C8DC">
      <w:pPr>
        <w:widowControl/>
        <w:spacing w:before="100" w:beforeAutospacing="1" w:after="100" w:afterAutospacing="1"/>
        <w:ind w:firstLine="240" w:firstLineChars="100"/>
        <w:jc w:val="center"/>
        <w:rPr>
          <w:rFonts w:ascii="宋体" w:hAnsi="宋体"/>
          <w:i w:val="0"/>
          <w:iCs w:val="0"/>
          <w:color w:val="auto"/>
          <w:highlight w:val="none"/>
        </w:rPr>
      </w:pPr>
      <w:r>
        <w:rPr>
          <w:rFonts w:hint="eastAsia" w:ascii="宋体" w:hAnsi="宋体"/>
          <w:i w:val="0"/>
          <w:iCs w:val="0"/>
          <w:color w:val="auto"/>
          <w:highlight w:val="none"/>
        </w:rPr>
        <w:t>招标工程量清单封面</w:t>
      </w:r>
    </w:p>
    <w:tbl>
      <w:tblPr>
        <w:tblStyle w:val="21"/>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25AE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79C61222">
            <w:pPr>
              <w:keepNext w:val="0"/>
              <w:keepLines w:val="0"/>
              <w:widowControl/>
              <w:suppressLineNumbers w:val="0"/>
              <w:spacing w:before="100" w:beforeAutospacing="1" w:after="100" w:afterAutospacing="1"/>
              <w:ind w:left="0" w:right="0"/>
              <w:rPr>
                <w:rFonts w:hint="default" w:ascii="Times New Roman" w:hAnsi="宋体" w:cs="Times New Roman"/>
                <w:i w:val="0"/>
                <w:iCs w:val="0"/>
                <w:color w:val="auto"/>
                <w:highlight w:val="none"/>
              </w:rPr>
            </w:pPr>
          </w:p>
          <w:p w14:paraId="0F782B37">
            <w:pPr>
              <w:pStyle w:val="14"/>
              <w:keepNext w:val="0"/>
              <w:keepLines w:val="0"/>
              <w:suppressLineNumbers w:val="0"/>
              <w:spacing w:afterAutospacing="0"/>
              <w:ind w:left="0" w:right="0"/>
              <w:rPr>
                <w:rFonts w:hint="eastAsia" w:cs="Times New Roman"/>
                <w:i w:val="0"/>
                <w:iCs w:val="0"/>
                <w:color w:val="auto"/>
                <w:highlight w:val="none"/>
              </w:rPr>
            </w:pPr>
          </w:p>
          <w:p w14:paraId="00B3C63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4CCF745E">
            <w:pPr>
              <w:pStyle w:val="14"/>
              <w:keepNext w:val="0"/>
              <w:keepLines w:val="0"/>
              <w:suppressLineNumbers w:val="0"/>
              <w:spacing w:afterAutospacing="0"/>
              <w:ind w:left="0" w:right="0"/>
              <w:rPr>
                <w:rFonts w:hint="eastAsia" w:cs="Times New Roman"/>
                <w:i w:val="0"/>
                <w:iCs w:val="0"/>
                <w:color w:val="auto"/>
                <w:highlight w:val="none"/>
              </w:rPr>
            </w:pPr>
          </w:p>
          <w:p w14:paraId="3F97DB12">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sz w:val="28"/>
                <w:szCs w:val="28"/>
                <w:highlight w:val="none"/>
                <w:u w:val="single"/>
              </w:rPr>
              <w:t xml:space="preserve">                    </w:t>
            </w:r>
            <w:r>
              <w:rPr>
                <w:rFonts w:hint="eastAsia" w:ascii="Times New Roman" w:hAnsi="Times New Roman" w:cs="Times New Roman"/>
                <w:i w:val="0"/>
                <w:iCs w:val="0"/>
                <w:color w:val="auto"/>
                <w:sz w:val="28"/>
                <w:szCs w:val="28"/>
                <w:highlight w:val="none"/>
              </w:rPr>
              <w:t>工程</w:t>
            </w:r>
          </w:p>
          <w:p w14:paraId="16596872">
            <w:pPr>
              <w:pStyle w:val="14"/>
              <w:keepNext w:val="0"/>
              <w:keepLines w:val="0"/>
              <w:suppressLineNumbers w:val="0"/>
              <w:spacing w:afterAutospacing="0"/>
              <w:ind w:left="0" w:right="0"/>
              <w:rPr>
                <w:rFonts w:hint="eastAsia" w:cs="Times New Roman"/>
                <w:i w:val="0"/>
                <w:iCs w:val="0"/>
                <w:color w:val="auto"/>
                <w:highlight w:val="none"/>
              </w:rPr>
            </w:pPr>
          </w:p>
          <w:p w14:paraId="77375AB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5E75BDCF">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招标工程量清单</w:t>
            </w:r>
          </w:p>
          <w:p w14:paraId="0B24602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42D6EF91">
            <w:pPr>
              <w:pStyle w:val="14"/>
              <w:keepNext w:val="0"/>
              <w:keepLines w:val="0"/>
              <w:suppressLineNumbers w:val="0"/>
              <w:spacing w:afterAutospacing="0"/>
              <w:ind w:left="0" w:right="0"/>
              <w:rPr>
                <w:rFonts w:hint="eastAsia" w:cs="Times New Roman"/>
                <w:i w:val="0"/>
                <w:iCs w:val="0"/>
                <w:color w:val="auto"/>
                <w:highlight w:val="none"/>
              </w:rPr>
            </w:pPr>
          </w:p>
          <w:p w14:paraId="59B74E3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24ED211D">
            <w:pPr>
              <w:pStyle w:val="14"/>
              <w:keepNext w:val="0"/>
              <w:keepLines w:val="0"/>
              <w:suppressLineNumbers w:val="0"/>
              <w:spacing w:afterAutospacing="0"/>
              <w:ind w:left="0" w:right="0"/>
              <w:rPr>
                <w:rFonts w:hint="eastAsia" w:cs="Times New Roman"/>
                <w:i w:val="0"/>
                <w:iCs w:val="0"/>
                <w:color w:val="auto"/>
                <w:highlight w:val="none"/>
              </w:rPr>
            </w:pPr>
          </w:p>
          <w:p w14:paraId="2CFF7A2D">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招标人：</w:t>
            </w:r>
            <w:r>
              <w:rPr>
                <w:rFonts w:hint="eastAsia" w:ascii="宋体" w:hAnsi="宋体" w:cs="Times New Roman"/>
                <w:i w:val="0"/>
                <w:iCs w:val="0"/>
                <w:color w:val="auto"/>
                <w:highlight w:val="none"/>
                <w:u w:val="single"/>
              </w:rPr>
              <w:t xml:space="preserve">                              </w:t>
            </w:r>
          </w:p>
          <w:p w14:paraId="07A182E2">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（单位盖章）</w:t>
            </w:r>
          </w:p>
          <w:p w14:paraId="0F8A307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p w14:paraId="25B6A831">
            <w:pPr>
              <w:pStyle w:val="14"/>
              <w:keepNext w:val="0"/>
              <w:keepLines w:val="0"/>
              <w:suppressLineNumbers w:val="0"/>
              <w:spacing w:afterAutospacing="0"/>
              <w:ind w:left="0" w:right="0"/>
              <w:rPr>
                <w:rFonts w:hint="eastAsia" w:cs="Times New Roman"/>
                <w:i w:val="0"/>
                <w:iCs w:val="0"/>
                <w:color w:val="auto"/>
                <w:highlight w:val="none"/>
              </w:rPr>
            </w:pPr>
          </w:p>
          <w:p w14:paraId="173A15E2">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造价咨询人：</w:t>
            </w:r>
            <w:r>
              <w:rPr>
                <w:rFonts w:hint="eastAsia" w:ascii="宋体" w:hAnsi="宋体" w:cs="Times New Roman"/>
                <w:i w:val="0"/>
                <w:iCs w:val="0"/>
                <w:color w:val="auto"/>
                <w:highlight w:val="none"/>
                <w:u w:val="single"/>
              </w:rPr>
              <w:t xml:space="preserve">                          </w:t>
            </w:r>
          </w:p>
          <w:p w14:paraId="6DBABE5C">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（单位盖章）</w:t>
            </w:r>
          </w:p>
          <w:p w14:paraId="16D3B58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19F7826F">
            <w:pPr>
              <w:pStyle w:val="14"/>
              <w:keepNext w:val="0"/>
              <w:keepLines w:val="0"/>
              <w:suppressLineNumbers w:val="0"/>
              <w:spacing w:afterAutospacing="0"/>
              <w:ind w:left="0" w:right="0"/>
              <w:rPr>
                <w:rFonts w:hint="eastAsia" w:cs="Times New Roman"/>
                <w:i w:val="0"/>
                <w:iCs w:val="0"/>
                <w:color w:val="auto"/>
                <w:highlight w:val="none"/>
              </w:rPr>
            </w:pPr>
          </w:p>
          <w:p w14:paraId="54292C5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5A0C6482">
            <w:pPr>
              <w:pStyle w:val="14"/>
              <w:keepNext w:val="0"/>
              <w:keepLines w:val="0"/>
              <w:suppressLineNumbers w:val="0"/>
              <w:spacing w:afterAutospacing="0"/>
              <w:ind w:left="0" w:right="0"/>
              <w:rPr>
                <w:rFonts w:hint="eastAsia" w:cs="Times New Roman"/>
                <w:i w:val="0"/>
                <w:iCs w:val="0"/>
                <w:color w:val="auto"/>
                <w:highlight w:val="none"/>
              </w:rPr>
            </w:pPr>
          </w:p>
          <w:p w14:paraId="42A34ADA">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 xml:space="preserve">  年    月    日</w:t>
            </w:r>
          </w:p>
          <w:p w14:paraId="62451DE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26B4501D">
      <w:pPr>
        <w:widowControl/>
        <w:spacing w:before="100" w:beforeAutospacing="1" w:after="100" w:afterAutospacing="1" w:line="360" w:lineRule="auto"/>
        <w:rPr>
          <w:rFonts w:ascii="宋体" w:hAnsi="宋体"/>
          <w:i w:val="0"/>
          <w:iCs w:val="0"/>
          <w:color w:val="auto"/>
          <w:sz w:val="28"/>
          <w:szCs w:val="28"/>
          <w:highlight w:val="none"/>
        </w:rPr>
      </w:pPr>
      <w:r>
        <w:rPr>
          <w:rFonts w:hint="eastAsia" w:ascii="宋体" w:hAnsi="宋体"/>
          <w:i w:val="0"/>
          <w:iCs w:val="0"/>
          <w:color w:val="auto"/>
          <w:sz w:val="28"/>
          <w:szCs w:val="28"/>
          <w:highlight w:val="none"/>
        </w:rPr>
        <w:t>附件2：</w:t>
      </w:r>
    </w:p>
    <w:p w14:paraId="326F5268">
      <w:pPr>
        <w:widowControl/>
        <w:spacing w:before="100" w:beforeAutospacing="1" w:after="100" w:afterAutospacing="1"/>
        <w:ind w:firstLine="240" w:firstLineChars="100"/>
        <w:jc w:val="center"/>
        <w:rPr>
          <w:rFonts w:ascii="宋体" w:hAnsi="宋体"/>
          <w:i w:val="0"/>
          <w:iCs w:val="0"/>
          <w:color w:val="auto"/>
          <w:highlight w:val="none"/>
        </w:rPr>
      </w:pPr>
      <w:r>
        <w:rPr>
          <w:rFonts w:hint="eastAsia" w:ascii="宋体" w:hAnsi="宋体"/>
          <w:i w:val="0"/>
          <w:iCs w:val="0"/>
          <w:color w:val="auto"/>
          <w:highlight w:val="none"/>
        </w:rPr>
        <w:t>招标工程量清单扉页</w:t>
      </w:r>
    </w:p>
    <w:tbl>
      <w:tblPr>
        <w:tblStyle w:val="21"/>
        <w:tblW w:w="91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09A1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51" w:type="dxa"/>
            <w:tcBorders>
              <w:top w:val="single" w:color="auto" w:sz="4" w:space="0"/>
              <w:left w:val="single" w:color="auto" w:sz="4" w:space="0"/>
              <w:bottom w:val="single" w:color="auto" w:sz="4" w:space="0"/>
              <w:right w:val="single" w:color="auto" w:sz="4" w:space="0"/>
            </w:tcBorders>
            <w:noWrap/>
            <w:vAlign w:val="top"/>
          </w:tcPr>
          <w:p w14:paraId="3694F167">
            <w:pPr>
              <w:pStyle w:val="14"/>
              <w:keepNext w:val="0"/>
              <w:keepLines w:val="0"/>
              <w:suppressLineNumbers w:val="0"/>
              <w:spacing w:afterAutospacing="0"/>
              <w:ind w:left="0" w:right="0"/>
              <w:rPr>
                <w:rFonts w:hint="eastAsia" w:cs="Times New Roman"/>
                <w:i w:val="0"/>
                <w:iCs w:val="0"/>
                <w:color w:val="auto"/>
                <w:highlight w:val="none"/>
              </w:rPr>
            </w:pPr>
          </w:p>
          <w:p w14:paraId="72D76948">
            <w:pPr>
              <w:pStyle w:val="14"/>
              <w:keepNext w:val="0"/>
              <w:keepLines w:val="0"/>
              <w:suppressLineNumbers w:val="0"/>
              <w:spacing w:afterAutospacing="0"/>
              <w:ind w:left="0" w:right="0"/>
              <w:rPr>
                <w:rFonts w:hint="eastAsia" w:cs="Times New Roman"/>
                <w:i w:val="0"/>
                <w:iCs w:val="0"/>
                <w:color w:val="auto"/>
                <w:highlight w:val="none"/>
              </w:rPr>
            </w:pPr>
          </w:p>
          <w:p w14:paraId="3E27CFA5">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b w:val="0"/>
                <w:bCs/>
                <w:i w:val="0"/>
                <w:iCs w:val="0"/>
                <w:color w:val="auto"/>
                <w:sz w:val="28"/>
                <w:szCs w:val="28"/>
                <w:highlight w:val="none"/>
                <w:u w:val="single"/>
              </w:rPr>
              <w:t xml:space="preserve">                  </w:t>
            </w:r>
            <w:r>
              <w:rPr>
                <w:rFonts w:hint="default" w:cs="Times New Roman"/>
                <w:i w:val="0"/>
                <w:iCs w:val="0"/>
                <w:color w:val="auto"/>
                <w:sz w:val="28"/>
                <w:szCs w:val="28"/>
                <w:highlight w:val="none"/>
              </w:rPr>
              <w:t>工程</w:t>
            </w:r>
          </w:p>
          <w:p w14:paraId="7B93E925">
            <w:pPr>
              <w:pStyle w:val="14"/>
              <w:keepNext w:val="0"/>
              <w:keepLines w:val="0"/>
              <w:suppressLineNumbers w:val="0"/>
              <w:spacing w:afterAutospacing="0"/>
              <w:ind w:left="0" w:right="0"/>
              <w:rPr>
                <w:rFonts w:hint="eastAsia" w:cs="Times New Roman"/>
                <w:i w:val="0"/>
                <w:iCs w:val="0"/>
                <w:color w:val="auto"/>
                <w:highlight w:val="none"/>
              </w:rPr>
            </w:pPr>
          </w:p>
          <w:p w14:paraId="2A467A38">
            <w:pPr>
              <w:pStyle w:val="14"/>
              <w:keepNext w:val="0"/>
              <w:keepLines w:val="0"/>
              <w:suppressLineNumbers w:val="0"/>
              <w:spacing w:afterAutospacing="0"/>
              <w:ind w:left="0" w:right="0"/>
              <w:rPr>
                <w:rFonts w:hint="eastAsia" w:cs="Times New Roman"/>
                <w:i w:val="0"/>
                <w:iCs w:val="0"/>
                <w:color w:val="auto"/>
                <w:highlight w:val="none"/>
              </w:rPr>
            </w:pPr>
          </w:p>
          <w:p w14:paraId="63B44766">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招标工程量清单</w:t>
            </w:r>
          </w:p>
          <w:p w14:paraId="2AA27A92">
            <w:pPr>
              <w:pStyle w:val="14"/>
              <w:keepNext w:val="0"/>
              <w:keepLines w:val="0"/>
              <w:suppressLineNumbers w:val="0"/>
              <w:spacing w:afterAutospacing="0"/>
              <w:ind w:left="0" w:right="0"/>
              <w:rPr>
                <w:rFonts w:hint="eastAsia" w:cs="Times New Roman"/>
                <w:i w:val="0"/>
                <w:iCs w:val="0"/>
                <w:color w:val="auto"/>
                <w:highlight w:val="none"/>
              </w:rPr>
            </w:pPr>
          </w:p>
          <w:p w14:paraId="7BDF8D87">
            <w:pPr>
              <w:pStyle w:val="14"/>
              <w:keepNext w:val="0"/>
              <w:keepLines w:val="0"/>
              <w:suppressLineNumbers w:val="0"/>
              <w:spacing w:afterAutospacing="0"/>
              <w:ind w:left="0" w:right="0"/>
              <w:rPr>
                <w:rFonts w:hint="eastAsia" w:cs="Times New Roman"/>
                <w:i w:val="0"/>
                <w:iCs w:val="0"/>
                <w:color w:val="auto"/>
                <w:highlight w:val="none"/>
              </w:rPr>
            </w:pPr>
          </w:p>
          <w:p w14:paraId="6D0F9B57">
            <w:pPr>
              <w:pStyle w:val="14"/>
              <w:keepNext w:val="0"/>
              <w:keepLines w:val="0"/>
              <w:suppressLineNumbers w:val="0"/>
              <w:spacing w:afterAutospacing="0"/>
              <w:ind w:left="0" w:right="0" w:firstLine="826" w:firstLineChars="343"/>
              <w:jc w:val="left"/>
              <w:rPr>
                <w:rFonts w:hint="default" w:cs="Times New Roman"/>
                <w:b w:val="0"/>
                <w:bCs/>
                <w:i w:val="0"/>
                <w:iCs w:val="0"/>
                <w:color w:val="auto"/>
                <w:highlight w:val="none"/>
                <w:u w:val="single"/>
              </w:rPr>
            </w:pPr>
            <w:r>
              <w:rPr>
                <w:rFonts w:hint="default" w:cs="Times New Roman"/>
                <w:i w:val="0"/>
                <w:iCs w:val="0"/>
                <w:color w:val="auto"/>
                <w:highlight w:val="none"/>
              </w:rPr>
              <w:t>招标人：</w:t>
            </w:r>
            <w:r>
              <w:rPr>
                <w:rFonts w:hint="eastAsia" w:cs="Times New Roman"/>
                <w:b w:val="0"/>
                <w:bCs/>
                <w:i w:val="0"/>
                <w:iCs w:val="0"/>
                <w:color w:val="auto"/>
                <w:highlight w:val="none"/>
                <w:u w:val="single"/>
              </w:rPr>
              <w:t xml:space="preserve">                    </w:t>
            </w:r>
            <w:r>
              <w:rPr>
                <w:rFonts w:hint="eastAsia" w:cs="宋体"/>
                <w:i w:val="0"/>
                <w:iCs w:val="0"/>
                <w:color w:val="auto"/>
                <w:highlight w:val="none"/>
              </w:rPr>
              <w:t>造价咨询人：</w:t>
            </w:r>
            <w:r>
              <w:rPr>
                <w:rFonts w:hint="eastAsia" w:cs="宋体"/>
                <w:b w:val="0"/>
                <w:bCs/>
                <w:i w:val="0"/>
                <w:iCs w:val="0"/>
                <w:color w:val="auto"/>
                <w:highlight w:val="none"/>
                <w:u w:val="single"/>
              </w:rPr>
              <w:t xml:space="preserve">                  </w:t>
            </w:r>
          </w:p>
          <w:p w14:paraId="429D3138">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（单位盖章）                  （单位盖章）</w:t>
            </w:r>
          </w:p>
          <w:p w14:paraId="518ABDCB">
            <w:pPr>
              <w:pStyle w:val="14"/>
              <w:keepNext w:val="0"/>
              <w:keepLines w:val="0"/>
              <w:suppressLineNumbers w:val="0"/>
              <w:spacing w:afterAutospacing="0"/>
              <w:ind w:left="0" w:right="0"/>
              <w:rPr>
                <w:rFonts w:hint="eastAsia" w:cs="Times New Roman"/>
                <w:i w:val="0"/>
                <w:iCs w:val="0"/>
                <w:color w:val="auto"/>
                <w:highlight w:val="none"/>
              </w:rPr>
            </w:pPr>
          </w:p>
          <w:p w14:paraId="25CFE602">
            <w:pPr>
              <w:pStyle w:val="14"/>
              <w:keepNext w:val="0"/>
              <w:keepLines w:val="0"/>
              <w:suppressLineNumbers w:val="0"/>
              <w:spacing w:afterAutospacing="0"/>
              <w:ind w:left="0" w:right="0" w:firstLine="964" w:firstLineChars="400"/>
              <w:jc w:val="left"/>
              <w:rPr>
                <w:rFonts w:hint="default" w:eastAsia="等线" w:cs="Times New Roman"/>
                <w:i w:val="0"/>
                <w:iCs w:val="0"/>
                <w:color w:val="auto"/>
                <w:highlight w:val="none"/>
              </w:rPr>
            </w:pPr>
            <w:r>
              <w:rPr>
                <w:rFonts w:hint="default" w:cs="Times New Roman"/>
                <w:i w:val="0"/>
                <w:iCs w:val="0"/>
                <w:color w:val="auto"/>
                <w:highlight w:val="none"/>
              </w:rPr>
              <w:t>法定代表人</w:t>
            </w:r>
            <w:r>
              <w:rPr>
                <w:rFonts w:hint="eastAsia" w:cs="Times New Roman"/>
                <w:i w:val="0"/>
                <w:iCs w:val="0"/>
                <w:color w:val="auto"/>
                <w:highlight w:val="none"/>
              </w:rPr>
              <w:t xml:space="preserve">                   </w:t>
            </w:r>
            <w:r>
              <w:rPr>
                <w:rFonts w:hint="default" w:cs="Times New Roman"/>
                <w:i w:val="0"/>
                <w:iCs w:val="0"/>
                <w:color w:val="auto"/>
                <w:highlight w:val="none"/>
              </w:rPr>
              <w:t>法定代表人</w:t>
            </w:r>
          </w:p>
          <w:p w14:paraId="670AEB33">
            <w:pPr>
              <w:pStyle w:val="14"/>
              <w:keepNext w:val="0"/>
              <w:keepLines w:val="0"/>
              <w:suppressLineNumbers w:val="0"/>
              <w:spacing w:afterAutospacing="0"/>
              <w:ind w:left="0" w:right="0" w:firstLine="964" w:firstLineChars="400"/>
              <w:jc w:val="left"/>
              <w:rPr>
                <w:rFonts w:hint="default" w:cs="Times New Roman"/>
                <w:i w:val="0"/>
                <w:iCs w:val="0"/>
                <w:color w:val="auto"/>
                <w:highlight w:val="none"/>
                <w:u w:val="single"/>
              </w:rPr>
            </w:pPr>
            <w:r>
              <w:rPr>
                <w:rFonts w:hint="default" w:cs="Times New Roman"/>
                <w:i w:val="0"/>
                <w:iCs w:val="0"/>
                <w:color w:val="auto"/>
                <w:highlight w:val="none"/>
              </w:rPr>
              <w:t>或其授权人</w:t>
            </w:r>
            <w:r>
              <w:rPr>
                <w:rFonts w:hint="default" w:cs="Times New Roman"/>
                <w:i w:val="0"/>
                <w:iCs w:val="0"/>
                <w:color w:val="auto"/>
                <w:highlight w:val="none"/>
                <w:u w:val="single"/>
              </w:rPr>
              <w:t>：</w:t>
            </w:r>
            <w:r>
              <w:rPr>
                <w:rFonts w:hint="eastAsia" w:cs="Times New Roman"/>
                <w:i w:val="0"/>
                <w:iCs w:val="0"/>
                <w:color w:val="auto"/>
                <w:highlight w:val="none"/>
                <w:u w:val="single"/>
              </w:rPr>
              <w:t xml:space="preserve">                 </w:t>
            </w:r>
            <w:r>
              <w:rPr>
                <w:rFonts w:hint="eastAsia" w:cs="宋体"/>
                <w:i w:val="0"/>
                <w:iCs w:val="0"/>
                <w:color w:val="auto"/>
                <w:highlight w:val="none"/>
              </w:rPr>
              <w:t>或其授权人：</w:t>
            </w:r>
            <w:r>
              <w:rPr>
                <w:rFonts w:hint="eastAsia" w:cs="宋体"/>
                <w:i w:val="0"/>
                <w:iCs w:val="0"/>
                <w:color w:val="auto"/>
                <w:highlight w:val="none"/>
                <w:u w:val="single"/>
              </w:rPr>
              <w:t xml:space="preserve">                </w:t>
            </w:r>
          </w:p>
          <w:p w14:paraId="10491EE4">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（签字或盖章）                  （签字或盖章）</w:t>
            </w:r>
          </w:p>
          <w:p w14:paraId="268EE53D">
            <w:pPr>
              <w:pStyle w:val="14"/>
              <w:keepNext w:val="0"/>
              <w:keepLines w:val="0"/>
              <w:suppressLineNumbers w:val="0"/>
              <w:spacing w:afterAutospacing="0"/>
              <w:ind w:left="0" w:right="0"/>
              <w:rPr>
                <w:rFonts w:hint="eastAsia" w:cs="Times New Roman"/>
                <w:i w:val="0"/>
                <w:iCs w:val="0"/>
                <w:color w:val="auto"/>
                <w:highlight w:val="none"/>
              </w:rPr>
            </w:pPr>
          </w:p>
          <w:p w14:paraId="6D8DB2FD">
            <w:pPr>
              <w:pStyle w:val="14"/>
              <w:keepNext w:val="0"/>
              <w:keepLines w:val="0"/>
              <w:suppressLineNumbers w:val="0"/>
              <w:spacing w:afterAutospacing="0"/>
              <w:ind w:left="0" w:right="0"/>
              <w:rPr>
                <w:rFonts w:hint="eastAsia" w:cs="Times New Roman"/>
                <w:i w:val="0"/>
                <w:iCs w:val="0"/>
                <w:color w:val="auto"/>
                <w:highlight w:val="none"/>
              </w:rPr>
            </w:pPr>
          </w:p>
          <w:p w14:paraId="034DA155">
            <w:pPr>
              <w:pStyle w:val="14"/>
              <w:keepNext w:val="0"/>
              <w:keepLines w:val="0"/>
              <w:suppressLineNumbers w:val="0"/>
              <w:spacing w:afterAutospacing="0"/>
              <w:ind w:left="0" w:right="0" w:firstLine="708" w:firstLineChars="294"/>
              <w:jc w:val="left"/>
              <w:rPr>
                <w:rFonts w:hint="default" w:cs="Times New Roman"/>
                <w:i w:val="0"/>
                <w:iCs w:val="0"/>
                <w:color w:val="auto"/>
                <w:highlight w:val="none"/>
                <w:u w:val="single"/>
              </w:rPr>
            </w:pPr>
            <w:r>
              <w:rPr>
                <w:rFonts w:hint="default" w:cs="Times New Roman"/>
                <w:i w:val="0"/>
                <w:iCs w:val="0"/>
                <w:color w:val="auto"/>
                <w:highlight w:val="none"/>
              </w:rPr>
              <w:t>编制人：</w:t>
            </w:r>
            <w:r>
              <w:rPr>
                <w:rFonts w:hint="eastAsia" w:cs="Times New Roman"/>
                <w:i w:val="0"/>
                <w:iCs w:val="0"/>
                <w:color w:val="auto"/>
                <w:highlight w:val="none"/>
                <w:u w:val="single"/>
              </w:rPr>
              <w:t xml:space="preserve">                        </w:t>
            </w:r>
            <w:r>
              <w:rPr>
                <w:rFonts w:hint="eastAsia" w:cs="宋体"/>
                <w:i w:val="0"/>
                <w:iCs w:val="0"/>
                <w:color w:val="auto"/>
                <w:highlight w:val="none"/>
              </w:rPr>
              <w:t>复核人：</w:t>
            </w:r>
            <w:r>
              <w:rPr>
                <w:rFonts w:hint="eastAsia" w:cs="宋体"/>
                <w:i w:val="0"/>
                <w:iCs w:val="0"/>
                <w:color w:val="auto"/>
                <w:highlight w:val="none"/>
                <w:u w:val="single"/>
              </w:rPr>
              <w:t xml:space="preserve">                     </w:t>
            </w:r>
          </w:p>
          <w:p w14:paraId="412D488C">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（造价工程师签字盖专用章）          （造价工程师签字盖专用章）</w:t>
            </w:r>
          </w:p>
          <w:p w14:paraId="4105627B">
            <w:pPr>
              <w:keepNext w:val="0"/>
              <w:keepLines w:val="0"/>
              <w:suppressLineNumbers w:val="0"/>
              <w:spacing w:before="0" w:beforeAutospacing="0" w:after="0" w:afterAutospacing="0"/>
              <w:ind w:left="0" w:right="0" w:firstLine="600" w:firstLineChars="250"/>
              <w:rPr>
                <w:rFonts w:hint="default" w:ascii="Times New Roman" w:hAnsi="Times New Roman" w:cs="Times New Roman"/>
                <w:i w:val="0"/>
                <w:iCs w:val="0"/>
                <w:color w:val="auto"/>
                <w:highlight w:val="none"/>
              </w:rPr>
            </w:pPr>
            <w:r>
              <w:rPr>
                <w:rFonts w:hint="eastAsia" w:ascii="宋体" w:hAnsi="宋体" w:cs="Times New Roman"/>
                <w:i w:val="0"/>
                <w:iCs w:val="0"/>
                <w:color w:val="auto"/>
                <w:highlight w:val="none"/>
              </w:rPr>
              <w:t>编制时间：  年   月   日                编制时间：  年   月   日</w:t>
            </w:r>
          </w:p>
          <w:p w14:paraId="2365954A">
            <w:pPr>
              <w:pStyle w:val="14"/>
              <w:keepNext w:val="0"/>
              <w:keepLines w:val="0"/>
              <w:suppressLineNumbers w:val="0"/>
              <w:spacing w:afterAutospacing="0"/>
              <w:ind w:left="0" w:right="0"/>
              <w:rPr>
                <w:rFonts w:hint="eastAsia" w:cs="Times New Roman"/>
                <w:i w:val="0"/>
                <w:iCs w:val="0"/>
                <w:color w:val="auto"/>
                <w:highlight w:val="none"/>
              </w:rPr>
            </w:pPr>
          </w:p>
        </w:tc>
      </w:tr>
    </w:tbl>
    <w:p w14:paraId="1540CD8C">
      <w:pPr>
        <w:widowControl/>
        <w:spacing w:before="100" w:beforeAutospacing="1" w:after="100" w:afterAutospacing="1" w:line="360" w:lineRule="auto"/>
        <w:rPr>
          <w:rFonts w:hint="eastAsia" w:ascii="宋体" w:hAnsi="宋体"/>
          <w:i w:val="0"/>
          <w:iCs w:val="0"/>
          <w:color w:val="auto"/>
          <w:sz w:val="28"/>
          <w:szCs w:val="28"/>
          <w:highlight w:val="none"/>
        </w:rPr>
      </w:pPr>
    </w:p>
    <w:p w14:paraId="6A1E6C5A">
      <w:pPr>
        <w:widowControl/>
        <w:spacing w:before="100" w:beforeAutospacing="1" w:after="100" w:afterAutospacing="1" w:line="360" w:lineRule="auto"/>
        <w:rPr>
          <w:rFonts w:ascii="宋体" w:hAnsi="宋体"/>
          <w:i w:val="0"/>
          <w:iCs w:val="0"/>
          <w:color w:val="auto"/>
          <w:sz w:val="28"/>
          <w:szCs w:val="28"/>
          <w:highlight w:val="none"/>
        </w:rPr>
      </w:pPr>
      <w:r>
        <w:rPr>
          <w:rFonts w:hint="eastAsia" w:ascii="宋体" w:hAnsi="宋体"/>
          <w:i w:val="0"/>
          <w:iCs w:val="0"/>
          <w:color w:val="auto"/>
          <w:sz w:val="28"/>
          <w:szCs w:val="28"/>
          <w:highlight w:val="none"/>
        </w:rPr>
        <w:t>附件3：</w:t>
      </w:r>
    </w:p>
    <w:p w14:paraId="3663E254">
      <w:pPr>
        <w:pStyle w:val="14"/>
        <w:rPr>
          <w:rFonts w:hint="eastAsia"/>
          <w:i w:val="0"/>
          <w:iCs w:val="0"/>
          <w:color w:val="auto"/>
          <w:highlight w:val="none"/>
        </w:rPr>
      </w:pPr>
      <w:r>
        <w:rPr>
          <w:rFonts w:hint="eastAsia"/>
          <w:i w:val="0"/>
          <w:iCs w:val="0"/>
          <w:color w:val="auto"/>
          <w:highlight w:val="none"/>
        </w:rPr>
        <w:t>编制说明</w:t>
      </w:r>
    </w:p>
    <w:p w14:paraId="4C60C830">
      <w:pPr>
        <w:widowControl/>
        <w:rPr>
          <w:rFonts w:ascii="宋体" w:hAnsi="宋体"/>
          <w:i w:val="0"/>
          <w:iCs w:val="0"/>
          <w:color w:val="auto"/>
          <w:highlight w:val="none"/>
        </w:rPr>
      </w:pPr>
      <w:r>
        <w:rPr>
          <w:rFonts w:hint="eastAsia" w:ascii="宋体" w:hAnsi="宋体"/>
          <w:i w:val="0"/>
          <w:iCs w:val="0"/>
          <w:color w:val="auto"/>
          <w:highlight w:val="none"/>
        </w:rPr>
        <w:t>工程名称：                                              第   页 共   页</w:t>
      </w:r>
    </w:p>
    <w:tbl>
      <w:tblPr>
        <w:tblStyle w:val="21"/>
        <w:tblW w:w="91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502F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vAlign w:val="top"/>
          </w:tcPr>
          <w:p w14:paraId="2FD0A476">
            <w:pPr>
              <w:keepNext w:val="0"/>
              <w:keepLines w:val="0"/>
              <w:widowControl/>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p>
          <w:p w14:paraId="6433CC49">
            <w:pPr>
              <w:pStyle w:val="42"/>
              <w:keepNext w:val="0"/>
              <w:keepLines w:val="0"/>
              <w:widowControl/>
              <w:numPr>
                <w:ilvl w:val="3"/>
                <w:numId w:val="41"/>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工程概况：建设地址、建筑面积、建筑高度、占地面积、经济指标、层高、层数、结构形式、定额（计划）工期、质量目标、施工现场情况、自然地理条件、环境保护要求等。</w:t>
            </w:r>
          </w:p>
          <w:p w14:paraId="0734F8A5">
            <w:pPr>
              <w:pStyle w:val="42"/>
              <w:keepNext w:val="0"/>
              <w:keepLines w:val="0"/>
              <w:widowControl/>
              <w:numPr>
                <w:ilvl w:val="3"/>
                <w:numId w:val="41"/>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编制依据：计价依据、标准与规范、施工图纸、标准图集等。</w:t>
            </w:r>
          </w:p>
          <w:p w14:paraId="17DE025C">
            <w:pPr>
              <w:pStyle w:val="42"/>
              <w:keepNext w:val="0"/>
              <w:keepLines w:val="0"/>
              <w:widowControl/>
              <w:numPr>
                <w:ilvl w:val="3"/>
                <w:numId w:val="41"/>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采用（或经合同双方批准、确认）的施工组织设计。</w:t>
            </w:r>
          </w:p>
          <w:p w14:paraId="4024B755">
            <w:pPr>
              <w:pStyle w:val="42"/>
              <w:keepNext w:val="0"/>
              <w:keepLines w:val="0"/>
              <w:widowControl/>
              <w:numPr>
                <w:ilvl w:val="3"/>
                <w:numId w:val="41"/>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综合单价需（或已）包括的风险因素、范围（幅度）。</w:t>
            </w:r>
          </w:p>
          <w:p w14:paraId="43D61C95">
            <w:pPr>
              <w:pStyle w:val="42"/>
              <w:keepNext w:val="0"/>
              <w:keepLines w:val="0"/>
              <w:widowControl/>
              <w:numPr>
                <w:ilvl w:val="3"/>
                <w:numId w:val="41"/>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采用的计价、计税方法。</w:t>
            </w:r>
          </w:p>
          <w:p w14:paraId="785AEB50">
            <w:pPr>
              <w:pStyle w:val="42"/>
              <w:keepNext w:val="0"/>
              <w:keepLines w:val="0"/>
              <w:widowControl/>
              <w:numPr>
                <w:ilvl w:val="3"/>
                <w:numId w:val="41"/>
              </w:numPr>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其他需要说明的问题。</w:t>
            </w:r>
          </w:p>
          <w:p w14:paraId="258BC23C">
            <w:pPr>
              <w:keepNext w:val="0"/>
              <w:keepLines w:val="0"/>
              <w:widowControl/>
              <w:suppressLineNumbers w:val="0"/>
              <w:spacing w:before="100" w:beforeAutospacing="1" w:after="0" w:afterAutospacing="0" w:line="300" w:lineRule="auto"/>
              <w:ind w:left="0" w:right="0"/>
              <w:rPr>
                <w:rFonts w:hint="default" w:ascii="宋体" w:hAnsi="宋体" w:cs="Times New Roman"/>
                <w:i w:val="0"/>
                <w:iCs w:val="0"/>
                <w:color w:val="auto"/>
                <w:highlight w:val="none"/>
              </w:rPr>
            </w:pPr>
          </w:p>
          <w:p w14:paraId="049B2574">
            <w:pPr>
              <w:pStyle w:val="14"/>
              <w:keepNext w:val="0"/>
              <w:keepLines w:val="0"/>
              <w:suppressLineNumbers w:val="0"/>
              <w:spacing w:afterAutospacing="0"/>
              <w:ind w:left="0" w:right="0"/>
              <w:rPr>
                <w:rFonts w:hint="eastAsia" w:cs="Times New Roman"/>
                <w:i w:val="0"/>
                <w:iCs w:val="0"/>
                <w:color w:val="auto"/>
                <w:highlight w:val="none"/>
              </w:rPr>
            </w:pPr>
          </w:p>
          <w:p w14:paraId="1EC9A2BC">
            <w:pPr>
              <w:keepNext w:val="0"/>
              <w:keepLines w:val="0"/>
              <w:suppressLineNumbers w:val="0"/>
              <w:spacing w:before="0" w:beforeAutospacing="0" w:after="0" w:afterAutospacing="0" w:line="300" w:lineRule="auto"/>
              <w:ind w:left="0" w:right="0" w:firstLine="480" w:firstLineChars="200"/>
              <w:rPr>
                <w:rFonts w:hint="default" w:ascii="宋体" w:hAnsi="宋体" w:cs="Times New Roman"/>
                <w:i w:val="0"/>
                <w:iCs w:val="0"/>
                <w:color w:val="auto"/>
                <w:highlight w:val="none"/>
              </w:rPr>
            </w:pPr>
            <w:r>
              <w:rPr>
                <w:rFonts w:hint="eastAsia" w:ascii="宋体" w:hAnsi="宋体" w:cs="Times New Roman"/>
                <w:i w:val="0"/>
                <w:iCs w:val="0"/>
                <w:color w:val="auto"/>
                <w:highlight w:val="none"/>
              </w:rPr>
              <w:t>注：1.工程概况须根据不同专业工程特征要求进行表述；</w:t>
            </w:r>
          </w:p>
          <w:p w14:paraId="73E6C862">
            <w:pPr>
              <w:keepNext w:val="0"/>
              <w:keepLines w:val="0"/>
              <w:suppressLineNumbers w:val="0"/>
              <w:spacing w:before="0" w:beforeAutospacing="0" w:after="0" w:afterAutospacing="0" w:line="300" w:lineRule="auto"/>
              <w:ind w:left="0" w:right="0" w:firstLine="960" w:firstLineChars="400"/>
              <w:rPr>
                <w:rFonts w:hint="default" w:ascii="宋体" w:hAnsi="宋体" w:cs="Times New Roman"/>
                <w:i w:val="0"/>
                <w:iCs w:val="0"/>
                <w:color w:val="auto"/>
                <w:highlight w:val="none"/>
              </w:rPr>
            </w:pPr>
            <w:r>
              <w:rPr>
                <w:rFonts w:hint="eastAsia" w:ascii="宋体" w:hAnsi="宋体" w:cs="Times New Roman"/>
                <w:i w:val="0"/>
                <w:iCs w:val="0"/>
                <w:color w:val="auto"/>
                <w:highlight w:val="none"/>
              </w:rPr>
              <w:t>2.必要时有关工程内容、数量、数据、工程特征等可列表表示；</w:t>
            </w:r>
          </w:p>
          <w:p w14:paraId="0F2E5F83">
            <w:pPr>
              <w:keepNext w:val="0"/>
              <w:keepLines w:val="0"/>
              <w:suppressLineNumbers w:val="0"/>
              <w:spacing w:before="0" w:beforeAutospacing="0" w:after="0" w:afterAutospacing="0" w:line="300" w:lineRule="auto"/>
              <w:ind w:left="0" w:right="0" w:firstLine="960" w:firstLineChars="400"/>
              <w:rPr>
                <w:rFonts w:hint="default" w:ascii="宋体" w:hAnsi="宋体" w:cs="Times New Roman"/>
                <w:i w:val="0"/>
                <w:iCs w:val="0"/>
                <w:color w:val="auto"/>
                <w:highlight w:val="none"/>
              </w:rPr>
            </w:pPr>
            <w:r>
              <w:rPr>
                <w:rFonts w:hint="eastAsia" w:ascii="宋体" w:hAnsi="宋体" w:cs="Times New Roman"/>
                <w:i w:val="0"/>
                <w:iCs w:val="0"/>
                <w:color w:val="auto"/>
                <w:highlight w:val="none"/>
              </w:rPr>
              <w:t>3.不同计价阶段应列明相应阶段涉及量、价、费的计价依据及取定标准。</w:t>
            </w:r>
          </w:p>
          <w:p w14:paraId="270FA899">
            <w:pPr>
              <w:pStyle w:val="14"/>
              <w:keepNext w:val="0"/>
              <w:keepLines w:val="0"/>
              <w:suppressLineNumbers w:val="0"/>
              <w:spacing w:afterAutospacing="0"/>
              <w:ind w:left="0" w:right="0"/>
              <w:rPr>
                <w:rFonts w:hint="eastAsia" w:cs="Times New Roman"/>
                <w:i w:val="0"/>
                <w:iCs w:val="0"/>
                <w:color w:val="auto"/>
                <w:highlight w:val="none"/>
              </w:rPr>
            </w:pPr>
          </w:p>
          <w:p w14:paraId="39240F87">
            <w:pPr>
              <w:pStyle w:val="14"/>
              <w:keepNext w:val="0"/>
              <w:keepLines w:val="0"/>
              <w:suppressLineNumbers w:val="0"/>
              <w:spacing w:afterAutospacing="0"/>
              <w:ind w:left="0" w:right="0"/>
              <w:rPr>
                <w:rFonts w:hint="eastAsia" w:cs="Times New Roman"/>
                <w:i w:val="0"/>
                <w:iCs w:val="0"/>
                <w:color w:val="auto"/>
                <w:highlight w:val="none"/>
              </w:rPr>
            </w:pPr>
          </w:p>
          <w:p w14:paraId="40EAB198">
            <w:pPr>
              <w:pStyle w:val="14"/>
              <w:keepNext w:val="0"/>
              <w:keepLines w:val="0"/>
              <w:suppressLineNumbers w:val="0"/>
              <w:spacing w:afterAutospacing="0"/>
              <w:ind w:left="0" w:right="0"/>
              <w:rPr>
                <w:rFonts w:hint="eastAsia" w:cs="Times New Roman"/>
                <w:i w:val="0"/>
                <w:iCs w:val="0"/>
                <w:color w:val="auto"/>
                <w:highlight w:val="none"/>
              </w:rPr>
            </w:pPr>
          </w:p>
          <w:p w14:paraId="22F1A37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52CD11A6">
      <w:pPr>
        <w:pStyle w:val="9"/>
        <w:kinsoku w:val="0"/>
        <w:ind w:left="0"/>
        <w:jc w:val="center"/>
        <w:rPr>
          <w:rFonts w:ascii="Microsoft JhengHei" w:eastAsia="等线"/>
          <w:b/>
          <w:bCs/>
          <w:i w:val="0"/>
          <w:iCs w:val="0"/>
          <w:color w:val="auto"/>
          <w:sz w:val="20"/>
          <w:szCs w:val="20"/>
          <w:highlight w:val="none"/>
        </w:rPr>
      </w:pPr>
    </w:p>
    <w:p w14:paraId="4135146E">
      <w:pPr>
        <w:pStyle w:val="2"/>
        <w:ind w:left="0"/>
        <w:jc w:val="both"/>
        <w:rPr>
          <w:b/>
          <w:bCs w:val="0"/>
          <w:i w:val="0"/>
          <w:iCs w:val="0"/>
          <w:color w:val="auto"/>
          <w:highlight w:val="none"/>
        </w:rPr>
      </w:pPr>
      <w:bookmarkStart w:id="760" w:name="_Toc45697246"/>
      <w:bookmarkEnd w:id="760"/>
      <w:bookmarkStart w:id="761" w:name="_Toc67589038"/>
      <w:bookmarkEnd w:id="761"/>
    </w:p>
    <w:p w14:paraId="33B24E15">
      <w:pPr>
        <w:pStyle w:val="2"/>
        <w:rPr>
          <w:b/>
          <w:i w:val="0"/>
          <w:iCs w:val="0"/>
          <w:color w:val="auto"/>
          <w:highlight w:val="none"/>
        </w:rPr>
      </w:pPr>
      <w:bookmarkStart w:id="762" w:name="_Toc27684"/>
      <w:r>
        <w:rPr>
          <w:rFonts w:hint="eastAsia" w:ascii="黑体" w:hAnsi="黑体"/>
          <w:b/>
          <w:i w:val="0"/>
          <w:iCs w:val="0"/>
          <w:color w:val="auto"/>
          <w:highlight w:val="none"/>
        </w:rPr>
        <w:t>第六章 图纸</w:t>
      </w:r>
      <w:bookmarkEnd w:id="762"/>
    </w:p>
    <w:p w14:paraId="4F982A48">
      <w:pPr>
        <w:spacing w:line="360" w:lineRule="auto"/>
        <w:ind w:left="1290"/>
        <w:rPr>
          <w:rFonts w:ascii="宋体" w:hAnsi="宋体"/>
          <w:i w:val="0"/>
          <w:iCs w:val="0"/>
          <w:color w:val="auto"/>
          <w:sz w:val="28"/>
          <w:szCs w:val="28"/>
          <w:highlight w:val="none"/>
        </w:rPr>
      </w:pPr>
      <w:r>
        <w:rPr>
          <w:rFonts w:hint="eastAsia" w:ascii="宋体" w:hAnsi="宋体"/>
          <w:i w:val="0"/>
          <w:iCs w:val="0"/>
          <w:color w:val="auto"/>
          <w:sz w:val="28"/>
          <w:szCs w:val="28"/>
          <w:highlight w:val="none"/>
        </w:rPr>
        <w:t>（内容由招标人提供）</w:t>
      </w:r>
    </w:p>
    <w:p w14:paraId="50B5CAFA">
      <w:pPr>
        <w:pStyle w:val="10"/>
        <w:spacing w:line="440" w:lineRule="exact"/>
        <w:rPr>
          <w:rFonts w:hAnsi="宋体"/>
          <w:i w:val="0"/>
          <w:iCs w:val="0"/>
          <w:color w:val="auto"/>
          <w:sz w:val="24"/>
          <w:szCs w:val="24"/>
          <w:highlight w:val="none"/>
        </w:rPr>
      </w:pPr>
    </w:p>
    <w:p w14:paraId="1B7A6325">
      <w:pPr>
        <w:pStyle w:val="10"/>
        <w:spacing w:line="440" w:lineRule="exact"/>
        <w:jc w:val="center"/>
        <w:rPr>
          <w:rFonts w:hAnsi="宋体"/>
          <w:i w:val="0"/>
          <w:iCs w:val="0"/>
          <w:color w:val="auto"/>
          <w:sz w:val="24"/>
          <w:szCs w:val="24"/>
          <w:highlight w:val="none"/>
        </w:rPr>
      </w:pPr>
    </w:p>
    <w:p w14:paraId="30BACACB">
      <w:pPr>
        <w:pStyle w:val="10"/>
        <w:spacing w:line="440" w:lineRule="exact"/>
        <w:jc w:val="center"/>
        <w:rPr>
          <w:rFonts w:hAnsi="宋体"/>
          <w:i w:val="0"/>
          <w:iCs w:val="0"/>
          <w:color w:val="auto"/>
          <w:sz w:val="24"/>
          <w:szCs w:val="24"/>
          <w:highlight w:val="none"/>
        </w:rPr>
      </w:pPr>
    </w:p>
    <w:p w14:paraId="5845A6B4">
      <w:pPr>
        <w:pStyle w:val="10"/>
        <w:spacing w:line="440" w:lineRule="exact"/>
        <w:jc w:val="center"/>
        <w:rPr>
          <w:rFonts w:hAnsi="宋体"/>
          <w:i w:val="0"/>
          <w:iCs w:val="0"/>
          <w:color w:val="auto"/>
          <w:sz w:val="24"/>
          <w:szCs w:val="24"/>
          <w:highlight w:val="none"/>
        </w:rPr>
      </w:pPr>
    </w:p>
    <w:p w14:paraId="6845ADF4">
      <w:pPr>
        <w:pStyle w:val="10"/>
        <w:spacing w:line="440" w:lineRule="exact"/>
        <w:jc w:val="center"/>
        <w:rPr>
          <w:rFonts w:hAnsi="宋体"/>
          <w:i w:val="0"/>
          <w:iCs w:val="0"/>
          <w:color w:val="auto"/>
          <w:sz w:val="24"/>
          <w:szCs w:val="24"/>
          <w:highlight w:val="none"/>
        </w:rPr>
      </w:pPr>
    </w:p>
    <w:p w14:paraId="1B17A03E">
      <w:pPr>
        <w:pStyle w:val="10"/>
        <w:spacing w:line="440" w:lineRule="exact"/>
        <w:jc w:val="center"/>
        <w:rPr>
          <w:rFonts w:hAnsi="宋体"/>
          <w:i w:val="0"/>
          <w:iCs w:val="0"/>
          <w:color w:val="auto"/>
          <w:sz w:val="24"/>
          <w:szCs w:val="24"/>
          <w:highlight w:val="none"/>
        </w:rPr>
      </w:pPr>
    </w:p>
    <w:p w14:paraId="52974581">
      <w:pPr>
        <w:pStyle w:val="10"/>
        <w:spacing w:line="440" w:lineRule="exact"/>
        <w:jc w:val="center"/>
        <w:rPr>
          <w:rFonts w:hAnsi="宋体"/>
          <w:i w:val="0"/>
          <w:iCs w:val="0"/>
          <w:color w:val="auto"/>
          <w:sz w:val="24"/>
          <w:szCs w:val="24"/>
          <w:highlight w:val="none"/>
        </w:rPr>
      </w:pPr>
    </w:p>
    <w:p w14:paraId="20B67C45">
      <w:pPr>
        <w:pStyle w:val="10"/>
        <w:spacing w:line="440" w:lineRule="exact"/>
        <w:jc w:val="center"/>
        <w:rPr>
          <w:rFonts w:hAnsi="宋体"/>
          <w:i w:val="0"/>
          <w:iCs w:val="0"/>
          <w:color w:val="auto"/>
          <w:sz w:val="24"/>
          <w:szCs w:val="24"/>
          <w:highlight w:val="none"/>
        </w:rPr>
      </w:pPr>
    </w:p>
    <w:p w14:paraId="2C4FFBFC">
      <w:pPr>
        <w:pStyle w:val="10"/>
        <w:spacing w:line="440" w:lineRule="exact"/>
        <w:jc w:val="center"/>
        <w:rPr>
          <w:rFonts w:hAnsi="宋体"/>
          <w:i w:val="0"/>
          <w:iCs w:val="0"/>
          <w:color w:val="auto"/>
          <w:sz w:val="24"/>
          <w:szCs w:val="24"/>
          <w:highlight w:val="none"/>
        </w:rPr>
      </w:pPr>
    </w:p>
    <w:p w14:paraId="48B0CF77">
      <w:pPr>
        <w:pStyle w:val="10"/>
        <w:spacing w:line="440" w:lineRule="exact"/>
        <w:jc w:val="center"/>
        <w:rPr>
          <w:rFonts w:hAnsi="宋体"/>
          <w:i w:val="0"/>
          <w:iCs w:val="0"/>
          <w:color w:val="auto"/>
          <w:sz w:val="24"/>
          <w:szCs w:val="24"/>
          <w:highlight w:val="none"/>
        </w:rPr>
      </w:pPr>
    </w:p>
    <w:p w14:paraId="303C1A5B">
      <w:pPr>
        <w:pStyle w:val="10"/>
        <w:spacing w:line="440" w:lineRule="exact"/>
        <w:jc w:val="center"/>
        <w:rPr>
          <w:rFonts w:hAnsi="宋体"/>
          <w:i w:val="0"/>
          <w:iCs w:val="0"/>
          <w:color w:val="auto"/>
          <w:sz w:val="24"/>
          <w:szCs w:val="24"/>
          <w:highlight w:val="none"/>
        </w:rPr>
      </w:pPr>
    </w:p>
    <w:p w14:paraId="5D346256">
      <w:pPr>
        <w:pStyle w:val="10"/>
        <w:spacing w:line="440" w:lineRule="exact"/>
        <w:jc w:val="center"/>
        <w:rPr>
          <w:rFonts w:hAnsi="宋体"/>
          <w:i w:val="0"/>
          <w:iCs w:val="0"/>
          <w:color w:val="auto"/>
          <w:sz w:val="24"/>
          <w:szCs w:val="24"/>
          <w:highlight w:val="none"/>
        </w:rPr>
      </w:pPr>
    </w:p>
    <w:p w14:paraId="3F68B82F">
      <w:pPr>
        <w:pStyle w:val="10"/>
        <w:spacing w:line="440" w:lineRule="exact"/>
        <w:jc w:val="center"/>
        <w:rPr>
          <w:rFonts w:hAnsi="宋体"/>
          <w:i w:val="0"/>
          <w:iCs w:val="0"/>
          <w:color w:val="auto"/>
          <w:sz w:val="24"/>
          <w:szCs w:val="24"/>
          <w:highlight w:val="none"/>
        </w:rPr>
      </w:pPr>
    </w:p>
    <w:p w14:paraId="202DA9A4">
      <w:pPr>
        <w:pStyle w:val="10"/>
        <w:spacing w:line="440" w:lineRule="exact"/>
        <w:jc w:val="center"/>
        <w:rPr>
          <w:rFonts w:hAnsi="宋体"/>
          <w:i w:val="0"/>
          <w:iCs w:val="0"/>
          <w:color w:val="auto"/>
          <w:sz w:val="24"/>
          <w:szCs w:val="24"/>
          <w:highlight w:val="none"/>
        </w:rPr>
      </w:pPr>
    </w:p>
    <w:p w14:paraId="36474BBD">
      <w:pPr>
        <w:pStyle w:val="10"/>
        <w:spacing w:line="440" w:lineRule="exact"/>
        <w:jc w:val="center"/>
        <w:rPr>
          <w:rFonts w:hAnsi="宋体"/>
          <w:i w:val="0"/>
          <w:iCs w:val="0"/>
          <w:color w:val="auto"/>
          <w:sz w:val="24"/>
          <w:szCs w:val="24"/>
          <w:highlight w:val="none"/>
        </w:rPr>
      </w:pPr>
    </w:p>
    <w:p w14:paraId="57A9BD96">
      <w:pPr>
        <w:pStyle w:val="10"/>
        <w:spacing w:line="440" w:lineRule="exact"/>
        <w:jc w:val="center"/>
        <w:rPr>
          <w:rFonts w:hAnsi="宋体"/>
          <w:i w:val="0"/>
          <w:iCs w:val="0"/>
          <w:color w:val="auto"/>
          <w:sz w:val="24"/>
          <w:szCs w:val="24"/>
          <w:highlight w:val="none"/>
        </w:rPr>
      </w:pPr>
    </w:p>
    <w:p w14:paraId="6597F74C">
      <w:pPr>
        <w:pStyle w:val="10"/>
        <w:spacing w:line="440" w:lineRule="exact"/>
        <w:jc w:val="center"/>
        <w:rPr>
          <w:rFonts w:hAnsi="宋体"/>
          <w:i w:val="0"/>
          <w:iCs w:val="0"/>
          <w:color w:val="auto"/>
          <w:sz w:val="24"/>
          <w:szCs w:val="24"/>
          <w:highlight w:val="none"/>
        </w:rPr>
      </w:pPr>
    </w:p>
    <w:p w14:paraId="3F2EA4BC">
      <w:pPr>
        <w:pStyle w:val="10"/>
        <w:spacing w:line="440" w:lineRule="exact"/>
        <w:jc w:val="center"/>
        <w:rPr>
          <w:rFonts w:hAnsi="宋体"/>
          <w:i w:val="0"/>
          <w:iCs w:val="0"/>
          <w:color w:val="auto"/>
          <w:sz w:val="24"/>
          <w:szCs w:val="24"/>
          <w:highlight w:val="none"/>
        </w:rPr>
      </w:pPr>
    </w:p>
    <w:p w14:paraId="57D38B9D">
      <w:pPr>
        <w:pStyle w:val="10"/>
        <w:spacing w:line="440" w:lineRule="exact"/>
        <w:jc w:val="center"/>
        <w:rPr>
          <w:rFonts w:hAnsi="宋体"/>
          <w:i w:val="0"/>
          <w:iCs w:val="0"/>
          <w:color w:val="auto"/>
          <w:sz w:val="24"/>
          <w:szCs w:val="24"/>
          <w:highlight w:val="none"/>
        </w:rPr>
      </w:pPr>
    </w:p>
    <w:p w14:paraId="333D78F0">
      <w:pPr>
        <w:pStyle w:val="10"/>
        <w:spacing w:line="440" w:lineRule="exact"/>
        <w:jc w:val="center"/>
        <w:rPr>
          <w:rFonts w:hAnsi="宋体"/>
          <w:i w:val="0"/>
          <w:iCs w:val="0"/>
          <w:color w:val="auto"/>
          <w:sz w:val="24"/>
          <w:szCs w:val="24"/>
          <w:highlight w:val="none"/>
        </w:rPr>
      </w:pPr>
    </w:p>
    <w:p w14:paraId="342A17FF">
      <w:pPr>
        <w:pStyle w:val="10"/>
        <w:spacing w:line="440" w:lineRule="exact"/>
        <w:jc w:val="center"/>
        <w:rPr>
          <w:rFonts w:hAnsi="宋体"/>
          <w:i w:val="0"/>
          <w:iCs w:val="0"/>
          <w:color w:val="auto"/>
          <w:sz w:val="24"/>
          <w:szCs w:val="24"/>
          <w:highlight w:val="none"/>
        </w:rPr>
      </w:pPr>
    </w:p>
    <w:p w14:paraId="06880F9F">
      <w:pPr>
        <w:pStyle w:val="10"/>
        <w:spacing w:line="440" w:lineRule="exact"/>
        <w:jc w:val="center"/>
        <w:rPr>
          <w:rFonts w:hAnsi="宋体"/>
          <w:i w:val="0"/>
          <w:iCs w:val="0"/>
          <w:color w:val="auto"/>
          <w:sz w:val="24"/>
          <w:szCs w:val="24"/>
          <w:highlight w:val="none"/>
        </w:rPr>
      </w:pPr>
    </w:p>
    <w:p w14:paraId="0288CCBC">
      <w:pPr>
        <w:pStyle w:val="10"/>
        <w:spacing w:line="440" w:lineRule="exact"/>
        <w:jc w:val="center"/>
        <w:rPr>
          <w:rFonts w:hAnsi="宋体"/>
          <w:i w:val="0"/>
          <w:iCs w:val="0"/>
          <w:color w:val="auto"/>
          <w:sz w:val="24"/>
          <w:szCs w:val="24"/>
          <w:highlight w:val="none"/>
        </w:rPr>
      </w:pPr>
    </w:p>
    <w:p w14:paraId="17D069EE">
      <w:pPr>
        <w:pStyle w:val="10"/>
        <w:spacing w:line="440" w:lineRule="exact"/>
        <w:jc w:val="center"/>
        <w:rPr>
          <w:rFonts w:hAnsi="宋体"/>
          <w:i w:val="0"/>
          <w:iCs w:val="0"/>
          <w:color w:val="auto"/>
          <w:sz w:val="24"/>
          <w:szCs w:val="24"/>
          <w:highlight w:val="none"/>
        </w:rPr>
      </w:pPr>
    </w:p>
    <w:p w14:paraId="01CD3773">
      <w:pPr>
        <w:pStyle w:val="10"/>
        <w:spacing w:line="440" w:lineRule="exact"/>
        <w:jc w:val="center"/>
        <w:rPr>
          <w:rFonts w:hAnsi="宋体"/>
          <w:i w:val="0"/>
          <w:iCs w:val="0"/>
          <w:color w:val="auto"/>
          <w:sz w:val="24"/>
          <w:szCs w:val="24"/>
          <w:highlight w:val="none"/>
        </w:rPr>
      </w:pPr>
    </w:p>
    <w:p w14:paraId="6E4EA869">
      <w:pPr>
        <w:pStyle w:val="10"/>
        <w:spacing w:line="440" w:lineRule="exact"/>
        <w:jc w:val="center"/>
        <w:rPr>
          <w:rFonts w:hAnsi="宋体"/>
          <w:i w:val="0"/>
          <w:iCs w:val="0"/>
          <w:color w:val="auto"/>
          <w:sz w:val="24"/>
          <w:szCs w:val="24"/>
          <w:highlight w:val="none"/>
        </w:rPr>
      </w:pPr>
    </w:p>
    <w:p w14:paraId="1F58234C">
      <w:pPr>
        <w:pStyle w:val="10"/>
        <w:spacing w:line="440" w:lineRule="exact"/>
        <w:jc w:val="center"/>
        <w:rPr>
          <w:rFonts w:hAnsi="宋体"/>
          <w:i w:val="0"/>
          <w:iCs w:val="0"/>
          <w:color w:val="auto"/>
          <w:sz w:val="24"/>
          <w:szCs w:val="24"/>
          <w:highlight w:val="none"/>
        </w:rPr>
      </w:pPr>
    </w:p>
    <w:p w14:paraId="197DDD1C">
      <w:pPr>
        <w:pStyle w:val="10"/>
        <w:spacing w:line="440" w:lineRule="exact"/>
        <w:jc w:val="center"/>
        <w:rPr>
          <w:rFonts w:hAnsi="宋体"/>
          <w:i w:val="0"/>
          <w:iCs w:val="0"/>
          <w:color w:val="auto"/>
          <w:sz w:val="24"/>
          <w:szCs w:val="24"/>
          <w:highlight w:val="none"/>
        </w:rPr>
      </w:pPr>
    </w:p>
    <w:p w14:paraId="058D77F4">
      <w:pPr>
        <w:pStyle w:val="10"/>
        <w:spacing w:line="440" w:lineRule="exact"/>
        <w:jc w:val="center"/>
        <w:rPr>
          <w:rFonts w:hAnsi="宋体"/>
          <w:i w:val="0"/>
          <w:iCs w:val="0"/>
          <w:color w:val="auto"/>
          <w:sz w:val="24"/>
          <w:szCs w:val="24"/>
          <w:highlight w:val="none"/>
        </w:rPr>
      </w:pPr>
      <w:r>
        <w:rPr>
          <w:rFonts w:hint="eastAsia" w:hAnsi="宋体"/>
          <w:i w:val="0"/>
          <w:iCs w:val="0"/>
          <w:color w:val="auto"/>
          <w:sz w:val="44"/>
          <w:szCs w:val="44"/>
          <w:highlight w:val="none"/>
        </w:rPr>
        <w:t>□图纸清单</w:t>
      </w:r>
    </w:p>
    <w:p w14:paraId="4AECC74C">
      <w:pPr>
        <w:pStyle w:val="10"/>
        <w:spacing w:line="440" w:lineRule="exact"/>
        <w:ind w:firstLine="480"/>
        <w:rPr>
          <w:rFonts w:hAnsi="宋体"/>
          <w:i w:val="0"/>
          <w:iCs w:val="0"/>
          <w:color w:val="auto"/>
          <w:sz w:val="24"/>
          <w:szCs w:val="24"/>
          <w:highlight w:val="none"/>
        </w:rPr>
      </w:pPr>
      <w:r>
        <w:rPr>
          <w:rFonts w:hint="eastAsia" w:hAnsi="宋体"/>
          <w:i w:val="0"/>
          <w:iCs w:val="0"/>
          <w:color w:val="auto"/>
          <w:sz w:val="24"/>
          <w:szCs w:val="24"/>
          <w:highlight w:val="none"/>
        </w:rPr>
        <w:t>设计人：                                       第   页共   页</w:t>
      </w:r>
    </w:p>
    <w:tbl>
      <w:tblPr>
        <w:tblStyle w:val="2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14:paraId="5963A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4F1BBD3F">
            <w:pPr>
              <w:pStyle w:val="10"/>
              <w:keepNext w:val="0"/>
              <w:keepLines w:val="0"/>
              <w:suppressLineNumbers w:val="0"/>
              <w:spacing w:before="0" w:beforeAutospacing="0" w:after="0" w:afterAutospacing="0" w:line="440" w:lineRule="exact"/>
              <w:ind w:left="0" w:right="0"/>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2402D3CB">
            <w:pPr>
              <w:pStyle w:val="10"/>
              <w:keepNext w:val="0"/>
              <w:keepLines w:val="0"/>
              <w:suppressLineNumbers w:val="0"/>
              <w:spacing w:before="0" w:beforeAutospacing="0" w:after="0" w:afterAutospacing="0" w:line="440" w:lineRule="exact"/>
              <w:ind w:left="0" w:right="0"/>
              <w:jc w:val="center"/>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图号</w:t>
            </w:r>
          </w:p>
        </w:tc>
        <w:tc>
          <w:tcPr>
            <w:tcW w:w="3737" w:type="dxa"/>
            <w:tcBorders>
              <w:top w:val="single" w:color="auto" w:sz="4" w:space="0"/>
              <w:left w:val="nil"/>
              <w:bottom w:val="single" w:color="auto" w:sz="4" w:space="0"/>
              <w:right w:val="single" w:color="auto" w:sz="4" w:space="0"/>
            </w:tcBorders>
            <w:noWrap/>
            <w:vAlign w:val="top"/>
          </w:tcPr>
          <w:p w14:paraId="27DFFA5F">
            <w:pPr>
              <w:pStyle w:val="10"/>
              <w:keepNext w:val="0"/>
              <w:keepLines w:val="0"/>
              <w:suppressLineNumbers w:val="0"/>
              <w:spacing w:before="0" w:beforeAutospacing="0" w:after="0" w:afterAutospacing="0" w:line="440" w:lineRule="exact"/>
              <w:ind w:left="0" w:right="0"/>
              <w:jc w:val="center"/>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图纸名称</w:t>
            </w:r>
          </w:p>
        </w:tc>
        <w:tc>
          <w:tcPr>
            <w:tcW w:w="1260" w:type="dxa"/>
            <w:tcBorders>
              <w:top w:val="single" w:color="auto" w:sz="4" w:space="0"/>
              <w:left w:val="nil"/>
              <w:bottom w:val="single" w:color="auto" w:sz="4" w:space="0"/>
              <w:right w:val="single" w:color="auto" w:sz="4" w:space="0"/>
            </w:tcBorders>
            <w:noWrap/>
            <w:vAlign w:val="top"/>
          </w:tcPr>
          <w:p w14:paraId="17027234">
            <w:pPr>
              <w:pStyle w:val="10"/>
              <w:keepNext w:val="0"/>
              <w:keepLines w:val="0"/>
              <w:suppressLineNumbers w:val="0"/>
              <w:spacing w:before="0" w:beforeAutospacing="0" w:after="0" w:afterAutospacing="0" w:line="440" w:lineRule="exact"/>
              <w:ind w:left="0" w:right="0"/>
              <w:jc w:val="center"/>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日期</w:t>
            </w:r>
          </w:p>
        </w:tc>
        <w:tc>
          <w:tcPr>
            <w:tcW w:w="1844" w:type="dxa"/>
            <w:tcBorders>
              <w:top w:val="single" w:color="auto" w:sz="4" w:space="0"/>
              <w:left w:val="nil"/>
              <w:bottom w:val="single" w:color="auto" w:sz="4" w:space="0"/>
              <w:right w:val="single" w:color="auto" w:sz="4" w:space="0"/>
            </w:tcBorders>
            <w:noWrap/>
            <w:vAlign w:val="top"/>
          </w:tcPr>
          <w:p w14:paraId="78406DE8">
            <w:pPr>
              <w:pStyle w:val="10"/>
              <w:keepNext w:val="0"/>
              <w:keepLines w:val="0"/>
              <w:suppressLineNumbers w:val="0"/>
              <w:spacing w:before="0" w:beforeAutospacing="0" w:after="0" w:afterAutospacing="0" w:line="440" w:lineRule="exact"/>
              <w:ind w:left="0" w:right="0"/>
              <w:jc w:val="center"/>
              <w:rPr>
                <w:rFonts w:hint="default" w:hAnsi="宋体" w:cs="Times New Roman"/>
                <w:i w:val="0"/>
                <w:iCs w:val="0"/>
                <w:color w:val="auto"/>
                <w:kern w:val="2"/>
                <w:sz w:val="24"/>
                <w:szCs w:val="24"/>
                <w:highlight w:val="none"/>
              </w:rPr>
            </w:pPr>
            <w:r>
              <w:rPr>
                <w:rFonts w:hint="eastAsia" w:hAnsi="宋体" w:cs="Times New Roman"/>
                <w:i w:val="0"/>
                <w:iCs w:val="0"/>
                <w:color w:val="auto"/>
                <w:kern w:val="2"/>
                <w:sz w:val="24"/>
                <w:szCs w:val="24"/>
                <w:highlight w:val="none"/>
              </w:rPr>
              <w:t>备注</w:t>
            </w:r>
          </w:p>
        </w:tc>
      </w:tr>
      <w:tr w14:paraId="1CA92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22DC58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D590F5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41E2D7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C21CE7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507EE82">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5D7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5FEC12D">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EE89E0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4F087FD">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C7C2BB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6A84304">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16C7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91A6CC7">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0C279BD">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4C12CF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461AA3B">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477114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564F9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AAD18A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00F3A3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B6E417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FCAC64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B530CC4">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3ACB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6F4896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0C14C4B">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FA49F6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94361B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A8A839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1029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77EFF1D">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CE9FC4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37C0E93">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CB8D3A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8130E3E">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66891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105F33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F135EA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399636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FB89272">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6584B92">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39F6B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CF70F9A">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730677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597D51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640CEE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06A91F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0F3D6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AE19ED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EFB9557">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C56136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72F204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A42D51C">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23265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32A748B">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B5B2FA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713787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404E99D">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1E3A93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4FFB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4AA8A84">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24E07CB">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19DA5A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30A2CB0">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DD8C746">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6E4B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5E6489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CD281D3">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412379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0BC8967">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F40BE6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0879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EEAA29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A6096A4">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404590D">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9D47DAF">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9C84AC9">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r w14:paraId="597CF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01087D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47888B8">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FF65A81">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E516AF5">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ED84357">
            <w:pPr>
              <w:pStyle w:val="10"/>
              <w:keepNext w:val="0"/>
              <w:keepLines w:val="0"/>
              <w:suppressLineNumbers w:val="0"/>
              <w:spacing w:before="0" w:beforeAutospacing="0" w:after="0" w:afterAutospacing="0" w:line="440" w:lineRule="exact"/>
              <w:ind w:left="0" w:right="0" w:firstLine="480"/>
              <w:jc w:val="center"/>
              <w:rPr>
                <w:rFonts w:hint="default" w:hAnsi="宋体" w:cs="Times New Roman"/>
                <w:i w:val="0"/>
                <w:iCs w:val="0"/>
                <w:color w:val="auto"/>
                <w:kern w:val="2"/>
                <w:sz w:val="24"/>
                <w:szCs w:val="24"/>
                <w:highlight w:val="none"/>
              </w:rPr>
            </w:pPr>
          </w:p>
        </w:tc>
      </w:tr>
    </w:tbl>
    <w:p w14:paraId="3F0381F8">
      <w:pPr>
        <w:pStyle w:val="10"/>
        <w:spacing w:line="440" w:lineRule="exact"/>
        <w:ind w:firstLine="480"/>
        <w:jc w:val="center"/>
        <w:rPr>
          <w:rFonts w:hAnsi="宋体"/>
          <w:i w:val="0"/>
          <w:iCs w:val="0"/>
          <w:color w:val="auto"/>
          <w:sz w:val="24"/>
          <w:szCs w:val="24"/>
          <w:highlight w:val="none"/>
        </w:rPr>
      </w:pPr>
    </w:p>
    <w:p w14:paraId="5FC2EB49">
      <w:pPr>
        <w:pStyle w:val="2"/>
        <w:ind w:left="0"/>
        <w:rPr>
          <w:bCs w:val="0"/>
          <w:i w:val="0"/>
          <w:iCs w:val="0"/>
          <w:color w:val="auto"/>
          <w:highlight w:val="none"/>
        </w:rPr>
      </w:pPr>
      <w:r>
        <w:rPr>
          <w:rFonts w:hint="eastAsia" w:hAnsi="宋体"/>
          <w:i w:val="0"/>
          <w:iCs w:val="0"/>
          <w:color w:val="auto"/>
          <w:sz w:val="24"/>
          <w:szCs w:val="24"/>
          <w:highlight w:val="none"/>
        </w:rPr>
        <w:br w:type="page"/>
      </w:r>
      <w:bookmarkStart w:id="763" w:name="_Toc494121492"/>
      <w:bookmarkEnd w:id="763"/>
      <w:bookmarkStart w:id="764" w:name="_Toc751"/>
      <w:bookmarkStart w:id="765" w:name="_Toc494360706"/>
      <w:r>
        <w:rPr>
          <w:rFonts w:hint="eastAsia" w:ascii="黑体" w:hAnsi="黑体"/>
          <w:b/>
          <w:bCs w:val="0"/>
          <w:i w:val="0"/>
          <w:iCs w:val="0"/>
          <w:color w:val="auto"/>
          <w:highlight w:val="none"/>
        </w:rPr>
        <w:t>第七章 技术标准和要求</w:t>
      </w:r>
      <w:bookmarkEnd w:id="764"/>
      <w:bookmarkEnd w:id="765"/>
    </w:p>
    <w:p w14:paraId="11E93B09">
      <w:pPr>
        <w:spacing w:line="360" w:lineRule="auto"/>
        <w:ind w:left="1290"/>
        <w:rPr>
          <w:rFonts w:ascii="宋体" w:hAnsi="宋体"/>
          <w:i w:val="0"/>
          <w:iCs w:val="0"/>
          <w:color w:val="auto"/>
          <w:sz w:val="28"/>
          <w:szCs w:val="28"/>
          <w:highlight w:val="none"/>
        </w:rPr>
      </w:pPr>
    </w:p>
    <w:p w14:paraId="2638C5F5">
      <w:pPr>
        <w:spacing w:line="360" w:lineRule="auto"/>
        <w:ind w:left="1290"/>
        <w:rPr>
          <w:rFonts w:ascii="宋体" w:hAnsi="宋体"/>
          <w:i w:val="0"/>
          <w:iCs w:val="0"/>
          <w:color w:val="auto"/>
          <w:sz w:val="28"/>
          <w:szCs w:val="28"/>
          <w:highlight w:val="none"/>
        </w:rPr>
      </w:pPr>
      <w:r>
        <w:rPr>
          <w:rFonts w:hint="eastAsia" w:ascii="宋体" w:hAnsi="宋体"/>
          <w:i w:val="0"/>
          <w:iCs w:val="0"/>
          <w:color w:val="auto"/>
          <w:sz w:val="28"/>
          <w:szCs w:val="28"/>
          <w:highlight w:val="none"/>
        </w:rPr>
        <w:t>（内容由招标人提供）</w:t>
      </w:r>
    </w:p>
    <w:p w14:paraId="0B31A8BE">
      <w:pPr>
        <w:pStyle w:val="10"/>
        <w:spacing w:line="440" w:lineRule="exact"/>
        <w:rPr>
          <w:i w:val="0"/>
          <w:iCs w:val="0"/>
          <w:color w:val="auto"/>
          <w:sz w:val="24"/>
          <w:szCs w:val="24"/>
          <w:highlight w:val="none"/>
        </w:rPr>
      </w:pPr>
    </w:p>
    <w:p w14:paraId="16D2E60E">
      <w:pPr>
        <w:pStyle w:val="10"/>
        <w:spacing w:line="440" w:lineRule="exact"/>
        <w:rPr>
          <w:i w:val="0"/>
          <w:iCs w:val="0"/>
          <w:color w:val="auto"/>
          <w:sz w:val="24"/>
          <w:szCs w:val="24"/>
          <w:highlight w:val="none"/>
        </w:rPr>
      </w:pPr>
    </w:p>
    <w:p w14:paraId="2E08C707">
      <w:pPr>
        <w:pStyle w:val="10"/>
        <w:spacing w:line="440" w:lineRule="exact"/>
        <w:rPr>
          <w:i w:val="0"/>
          <w:iCs w:val="0"/>
          <w:color w:val="auto"/>
          <w:sz w:val="24"/>
          <w:szCs w:val="24"/>
          <w:highlight w:val="none"/>
        </w:rPr>
      </w:pPr>
    </w:p>
    <w:p w14:paraId="498D3225">
      <w:pPr>
        <w:pStyle w:val="10"/>
        <w:spacing w:line="440" w:lineRule="exact"/>
        <w:rPr>
          <w:i w:val="0"/>
          <w:iCs w:val="0"/>
          <w:color w:val="auto"/>
          <w:sz w:val="24"/>
          <w:szCs w:val="24"/>
          <w:highlight w:val="none"/>
        </w:rPr>
      </w:pPr>
    </w:p>
    <w:p w14:paraId="232E9432">
      <w:pPr>
        <w:pStyle w:val="10"/>
        <w:spacing w:line="440" w:lineRule="exact"/>
        <w:rPr>
          <w:i w:val="0"/>
          <w:iCs w:val="0"/>
          <w:color w:val="auto"/>
          <w:sz w:val="24"/>
          <w:szCs w:val="24"/>
          <w:highlight w:val="none"/>
        </w:rPr>
      </w:pPr>
    </w:p>
    <w:p w14:paraId="484126B0">
      <w:pPr>
        <w:pStyle w:val="10"/>
        <w:spacing w:line="440" w:lineRule="exact"/>
        <w:rPr>
          <w:i w:val="0"/>
          <w:iCs w:val="0"/>
          <w:color w:val="auto"/>
          <w:sz w:val="24"/>
          <w:szCs w:val="24"/>
          <w:highlight w:val="none"/>
        </w:rPr>
      </w:pPr>
    </w:p>
    <w:p w14:paraId="48DECE48">
      <w:pPr>
        <w:pStyle w:val="10"/>
        <w:spacing w:line="440" w:lineRule="exact"/>
        <w:rPr>
          <w:i w:val="0"/>
          <w:iCs w:val="0"/>
          <w:color w:val="auto"/>
          <w:sz w:val="24"/>
          <w:szCs w:val="24"/>
          <w:highlight w:val="none"/>
        </w:rPr>
      </w:pPr>
    </w:p>
    <w:p w14:paraId="4AC0FDC3">
      <w:pPr>
        <w:pStyle w:val="10"/>
        <w:spacing w:line="440" w:lineRule="exact"/>
        <w:rPr>
          <w:i w:val="0"/>
          <w:iCs w:val="0"/>
          <w:color w:val="auto"/>
          <w:sz w:val="24"/>
          <w:szCs w:val="24"/>
          <w:highlight w:val="none"/>
        </w:rPr>
      </w:pPr>
    </w:p>
    <w:p w14:paraId="62D1EB85">
      <w:pPr>
        <w:pStyle w:val="10"/>
        <w:spacing w:line="440" w:lineRule="exact"/>
        <w:rPr>
          <w:i w:val="0"/>
          <w:iCs w:val="0"/>
          <w:color w:val="auto"/>
          <w:sz w:val="24"/>
          <w:szCs w:val="24"/>
          <w:highlight w:val="none"/>
        </w:rPr>
      </w:pPr>
    </w:p>
    <w:p w14:paraId="08158BD4">
      <w:pPr>
        <w:pStyle w:val="10"/>
        <w:spacing w:line="440" w:lineRule="exact"/>
        <w:rPr>
          <w:i w:val="0"/>
          <w:iCs w:val="0"/>
          <w:color w:val="auto"/>
          <w:sz w:val="24"/>
          <w:szCs w:val="24"/>
          <w:highlight w:val="none"/>
        </w:rPr>
      </w:pPr>
    </w:p>
    <w:p w14:paraId="4F12D26B">
      <w:pPr>
        <w:pStyle w:val="10"/>
        <w:spacing w:line="440" w:lineRule="exact"/>
        <w:rPr>
          <w:i w:val="0"/>
          <w:iCs w:val="0"/>
          <w:color w:val="auto"/>
          <w:sz w:val="24"/>
          <w:szCs w:val="24"/>
          <w:highlight w:val="none"/>
        </w:rPr>
      </w:pPr>
    </w:p>
    <w:p w14:paraId="21F7F0FA">
      <w:pPr>
        <w:pStyle w:val="10"/>
        <w:spacing w:line="440" w:lineRule="exact"/>
        <w:rPr>
          <w:i w:val="0"/>
          <w:iCs w:val="0"/>
          <w:color w:val="auto"/>
          <w:sz w:val="24"/>
          <w:szCs w:val="24"/>
          <w:highlight w:val="none"/>
        </w:rPr>
      </w:pPr>
    </w:p>
    <w:p w14:paraId="28B8D8CF">
      <w:pPr>
        <w:pStyle w:val="10"/>
        <w:spacing w:line="440" w:lineRule="exact"/>
        <w:rPr>
          <w:i w:val="0"/>
          <w:iCs w:val="0"/>
          <w:color w:val="auto"/>
          <w:sz w:val="24"/>
          <w:szCs w:val="24"/>
          <w:highlight w:val="none"/>
        </w:rPr>
      </w:pPr>
    </w:p>
    <w:p w14:paraId="028B6CE1">
      <w:pPr>
        <w:pStyle w:val="10"/>
        <w:spacing w:line="440" w:lineRule="exact"/>
        <w:rPr>
          <w:i w:val="0"/>
          <w:iCs w:val="0"/>
          <w:color w:val="auto"/>
          <w:sz w:val="24"/>
          <w:szCs w:val="24"/>
          <w:highlight w:val="none"/>
        </w:rPr>
      </w:pPr>
    </w:p>
    <w:p w14:paraId="23BFE530">
      <w:pPr>
        <w:pStyle w:val="10"/>
        <w:spacing w:line="440" w:lineRule="exact"/>
        <w:rPr>
          <w:i w:val="0"/>
          <w:iCs w:val="0"/>
          <w:color w:val="auto"/>
          <w:sz w:val="24"/>
          <w:szCs w:val="24"/>
          <w:highlight w:val="none"/>
        </w:rPr>
      </w:pPr>
    </w:p>
    <w:p w14:paraId="097D4750">
      <w:pPr>
        <w:pStyle w:val="10"/>
        <w:spacing w:line="440" w:lineRule="exact"/>
        <w:rPr>
          <w:i w:val="0"/>
          <w:iCs w:val="0"/>
          <w:color w:val="auto"/>
          <w:sz w:val="24"/>
          <w:szCs w:val="24"/>
          <w:highlight w:val="none"/>
        </w:rPr>
      </w:pPr>
    </w:p>
    <w:p w14:paraId="3ED70C23">
      <w:pPr>
        <w:pStyle w:val="10"/>
        <w:spacing w:line="440" w:lineRule="exact"/>
        <w:rPr>
          <w:i w:val="0"/>
          <w:iCs w:val="0"/>
          <w:color w:val="auto"/>
          <w:sz w:val="24"/>
          <w:szCs w:val="24"/>
          <w:highlight w:val="none"/>
        </w:rPr>
      </w:pPr>
    </w:p>
    <w:p w14:paraId="0C3F64AC">
      <w:pPr>
        <w:pStyle w:val="10"/>
        <w:spacing w:line="440" w:lineRule="exact"/>
        <w:rPr>
          <w:i w:val="0"/>
          <w:iCs w:val="0"/>
          <w:color w:val="auto"/>
          <w:sz w:val="24"/>
          <w:szCs w:val="24"/>
          <w:highlight w:val="none"/>
        </w:rPr>
      </w:pPr>
    </w:p>
    <w:p w14:paraId="39F5F308">
      <w:pPr>
        <w:pStyle w:val="10"/>
        <w:spacing w:line="440" w:lineRule="exact"/>
        <w:rPr>
          <w:i w:val="0"/>
          <w:iCs w:val="0"/>
          <w:color w:val="auto"/>
          <w:sz w:val="24"/>
          <w:szCs w:val="24"/>
          <w:highlight w:val="none"/>
        </w:rPr>
      </w:pPr>
    </w:p>
    <w:p w14:paraId="2BF29EA1">
      <w:pPr>
        <w:pStyle w:val="10"/>
        <w:spacing w:line="440" w:lineRule="exact"/>
        <w:rPr>
          <w:i w:val="0"/>
          <w:iCs w:val="0"/>
          <w:color w:val="auto"/>
          <w:sz w:val="24"/>
          <w:szCs w:val="24"/>
          <w:highlight w:val="none"/>
        </w:rPr>
      </w:pPr>
    </w:p>
    <w:p w14:paraId="4A70EBA0">
      <w:pPr>
        <w:pStyle w:val="10"/>
        <w:spacing w:line="440" w:lineRule="exact"/>
        <w:rPr>
          <w:i w:val="0"/>
          <w:iCs w:val="0"/>
          <w:color w:val="auto"/>
          <w:sz w:val="24"/>
          <w:szCs w:val="24"/>
          <w:highlight w:val="none"/>
        </w:rPr>
      </w:pPr>
    </w:p>
    <w:p w14:paraId="4C0D1360">
      <w:pPr>
        <w:pStyle w:val="10"/>
        <w:spacing w:line="440" w:lineRule="exact"/>
        <w:rPr>
          <w:i w:val="0"/>
          <w:iCs w:val="0"/>
          <w:color w:val="auto"/>
          <w:sz w:val="24"/>
          <w:szCs w:val="24"/>
          <w:highlight w:val="none"/>
        </w:rPr>
      </w:pPr>
    </w:p>
    <w:p w14:paraId="23BF5F09">
      <w:pPr>
        <w:pStyle w:val="10"/>
        <w:spacing w:line="440" w:lineRule="exact"/>
        <w:rPr>
          <w:i w:val="0"/>
          <w:iCs w:val="0"/>
          <w:color w:val="auto"/>
          <w:sz w:val="24"/>
          <w:szCs w:val="24"/>
          <w:highlight w:val="none"/>
        </w:rPr>
      </w:pPr>
    </w:p>
    <w:p w14:paraId="42359D89">
      <w:pPr>
        <w:pStyle w:val="10"/>
        <w:spacing w:line="440" w:lineRule="exact"/>
        <w:rPr>
          <w:i w:val="0"/>
          <w:iCs w:val="0"/>
          <w:color w:val="auto"/>
          <w:sz w:val="24"/>
          <w:szCs w:val="24"/>
          <w:highlight w:val="none"/>
        </w:rPr>
      </w:pPr>
    </w:p>
    <w:p w14:paraId="2A3B5C35">
      <w:pPr>
        <w:pStyle w:val="10"/>
        <w:spacing w:line="440" w:lineRule="exact"/>
        <w:rPr>
          <w:i w:val="0"/>
          <w:iCs w:val="0"/>
          <w:color w:val="auto"/>
          <w:sz w:val="24"/>
          <w:szCs w:val="24"/>
          <w:highlight w:val="none"/>
        </w:rPr>
      </w:pPr>
    </w:p>
    <w:p w14:paraId="4F0D8B45">
      <w:pPr>
        <w:pStyle w:val="10"/>
        <w:spacing w:line="440" w:lineRule="exact"/>
        <w:rPr>
          <w:i w:val="0"/>
          <w:iCs w:val="0"/>
          <w:color w:val="auto"/>
          <w:sz w:val="24"/>
          <w:szCs w:val="24"/>
          <w:highlight w:val="none"/>
        </w:rPr>
      </w:pPr>
    </w:p>
    <w:p w14:paraId="30DA0B39">
      <w:pPr>
        <w:pStyle w:val="10"/>
        <w:spacing w:line="440" w:lineRule="exact"/>
        <w:rPr>
          <w:i w:val="0"/>
          <w:iCs w:val="0"/>
          <w:color w:val="auto"/>
          <w:sz w:val="24"/>
          <w:szCs w:val="24"/>
          <w:highlight w:val="none"/>
        </w:rPr>
      </w:pPr>
    </w:p>
    <w:p w14:paraId="5E4D8570">
      <w:pPr>
        <w:pStyle w:val="10"/>
        <w:spacing w:line="440" w:lineRule="exact"/>
        <w:jc w:val="center"/>
        <w:rPr>
          <w:i w:val="0"/>
          <w:iCs w:val="0"/>
          <w:color w:val="auto"/>
          <w:sz w:val="44"/>
          <w:szCs w:val="44"/>
          <w:highlight w:val="none"/>
        </w:rPr>
      </w:pPr>
      <w:r>
        <w:rPr>
          <w:rFonts w:hint="eastAsia" w:hAnsi="宋体"/>
          <w:i w:val="0"/>
          <w:iCs w:val="0"/>
          <w:color w:val="auto"/>
          <w:sz w:val="44"/>
          <w:szCs w:val="44"/>
          <w:highlight w:val="none"/>
        </w:rPr>
        <w:t>□标准图集清单</w:t>
      </w:r>
    </w:p>
    <w:p w14:paraId="2A799397">
      <w:pPr>
        <w:pStyle w:val="10"/>
        <w:spacing w:line="440" w:lineRule="exact"/>
        <w:jc w:val="left"/>
        <w:rPr>
          <w:i w:val="0"/>
          <w:iCs w:val="0"/>
          <w:color w:val="auto"/>
          <w:sz w:val="24"/>
          <w:szCs w:val="24"/>
          <w:highlight w:val="none"/>
        </w:rPr>
      </w:pPr>
      <w:r>
        <w:rPr>
          <w:rFonts w:hint="eastAsia" w:hAnsi="宋体"/>
          <w:i w:val="0"/>
          <w:iCs w:val="0"/>
          <w:color w:val="auto"/>
          <w:sz w:val="24"/>
          <w:szCs w:val="24"/>
          <w:highlight w:val="none"/>
        </w:rPr>
        <w:t>以下标准图集，限于招标文件中指明的章节和内容，构成图纸的一部分。</w:t>
      </w:r>
    </w:p>
    <w:p w14:paraId="15D39FD8">
      <w:pPr>
        <w:pStyle w:val="10"/>
        <w:spacing w:line="440" w:lineRule="exact"/>
        <w:ind w:firstLine="1980" w:firstLineChars="825"/>
        <w:jc w:val="center"/>
        <w:rPr>
          <w:i w:val="0"/>
          <w:iCs w:val="0"/>
          <w:color w:val="auto"/>
          <w:sz w:val="24"/>
          <w:szCs w:val="24"/>
          <w:highlight w:val="none"/>
        </w:rPr>
      </w:pPr>
      <w:r>
        <w:rPr>
          <w:rFonts w:hint="eastAsia" w:hAnsi="宋体"/>
          <w:i w:val="0"/>
          <w:iCs w:val="0"/>
          <w:color w:val="auto"/>
          <w:sz w:val="24"/>
          <w:szCs w:val="24"/>
          <w:highlight w:val="none"/>
        </w:rPr>
        <w:t xml:space="preserve">                                      第  页 共  页</w:t>
      </w:r>
    </w:p>
    <w:tbl>
      <w:tblPr>
        <w:tblStyle w:val="21"/>
        <w:tblW w:w="89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699"/>
      </w:tblGrid>
      <w:tr w14:paraId="4B97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607C9CD2">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1A872E84">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图集编号</w:t>
            </w:r>
          </w:p>
        </w:tc>
        <w:tc>
          <w:tcPr>
            <w:tcW w:w="3737" w:type="dxa"/>
            <w:tcBorders>
              <w:top w:val="single" w:color="auto" w:sz="4" w:space="0"/>
              <w:left w:val="nil"/>
              <w:bottom w:val="single" w:color="auto" w:sz="4" w:space="0"/>
              <w:right w:val="single" w:color="auto" w:sz="4" w:space="0"/>
            </w:tcBorders>
            <w:noWrap/>
            <w:vAlign w:val="top"/>
          </w:tcPr>
          <w:p w14:paraId="7DE956A4">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图集名称</w:t>
            </w:r>
          </w:p>
        </w:tc>
        <w:tc>
          <w:tcPr>
            <w:tcW w:w="1260" w:type="dxa"/>
            <w:tcBorders>
              <w:top w:val="single" w:color="auto" w:sz="4" w:space="0"/>
              <w:left w:val="nil"/>
              <w:bottom w:val="single" w:color="auto" w:sz="4" w:space="0"/>
              <w:right w:val="single" w:color="auto" w:sz="4" w:space="0"/>
            </w:tcBorders>
            <w:noWrap/>
            <w:vAlign w:val="top"/>
          </w:tcPr>
          <w:p w14:paraId="6719724A">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日期</w:t>
            </w:r>
          </w:p>
        </w:tc>
        <w:tc>
          <w:tcPr>
            <w:tcW w:w="1699" w:type="dxa"/>
            <w:tcBorders>
              <w:top w:val="single" w:color="auto" w:sz="4" w:space="0"/>
              <w:left w:val="nil"/>
              <w:bottom w:val="single" w:color="auto" w:sz="4" w:space="0"/>
              <w:right w:val="single" w:color="auto" w:sz="4" w:space="0"/>
            </w:tcBorders>
            <w:noWrap/>
            <w:vAlign w:val="top"/>
          </w:tcPr>
          <w:p w14:paraId="194D5986">
            <w:pPr>
              <w:pStyle w:val="10"/>
              <w:keepNext w:val="0"/>
              <w:keepLines w:val="0"/>
              <w:suppressLineNumbers w:val="0"/>
              <w:spacing w:before="0" w:beforeAutospacing="0" w:after="0" w:afterAutospacing="0" w:line="440" w:lineRule="exact"/>
              <w:ind w:left="0" w:right="0"/>
              <w:jc w:val="center"/>
              <w:rPr>
                <w:rFonts w:hint="default" w:cs="Times New Roman"/>
                <w:i w:val="0"/>
                <w:iCs w:val="0"/>
                <w:color w:val="auto"/>
                <w:kern w:val="2"/>
                <w:sz w:val="24"/>
                <w:szCs w:val="24"/>
                <w:highlight w:val="none"/>
              </w:rPr>
            </w:pPr>
            <w:r>
              <w:rPr>
                <w:rFonts w:hint="eastAsia" w:cs="Times New Roman"/>
                <w:i w:val="0"/>
                <w:iCs w:val="0"/>
                <w:color w:val="auto"/>
                <w:kern w:val="2"/>
                <w:sz w:val="24"/>
                <w:szCs w:val="24"/>
                <w:highlight w:val="none"/>
              </w:rPr>
              <w:t>编写人</w:t>
            </w:r>
          </w:p>
        </w:tc>
      </w:tr>
      <w:tr w14:paraId="75546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A2B931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93A428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9CF31A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78815E9">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3A46BB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2C9FA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F4A97B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549FC9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1092F1F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B1EE2D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5E3A5FF">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502C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D397DD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145504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220E21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46D448F">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B291ED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56BA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04DEB2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57A7FB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4380DB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6A5229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6DB36B1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1FBD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386358D">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DBD605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EC466B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48D0350">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3DFFB1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254F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4214C9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B0FC72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35AEA5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5C56ECF">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4BFEFFC">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54DC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74FBF9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6ECCF1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DFB5F0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AB525BC">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24FA10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564B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673D48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B11819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9FD54B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F69297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0D0A26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0C80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D1ACA0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4B99F2BD">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1A634A1D">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65C54BC">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6A338539">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276CE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317EB8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3695026">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38662C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E6B533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65DB353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0A89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133F8A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4D234D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A472AC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B9AA1F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726AB0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14D8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65773EB">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83F9B6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713A8BC">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D984A0F">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932C681">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2523A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BE7C455">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0210499">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194C7B1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CF46180">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1641614">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2FFFC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04A7977">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4B71E77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DFF711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02DD31F">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612AD5F0">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715F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184852E">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C64025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11BDFC7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914B893">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66FD65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r w14:paraId="338CA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411B75C">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FA51A78">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A20521A">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2012E82">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38140549">
            <w:pPr>
              <w:pStyle w:val="10"/>
              <w:keepNext w:val="0"/>
              <w:keepLines w:val="0"/>
              <w:suppressLineNumbers w:val="0"/>
              <w:spacing w:before="0" w:beforeAutospacing="0" w:after="0" w:afterAutospacing="0" w:line="440" w:lineRule="exact"/>
              <w:ind w:left="0" w:right="0" w:firstLine="480"/>
              <w:jc w:val="center"/>
              <w:rPr>
                <w:rFonts w:hint="default" w:cs="Times New Roman"/>
                <w:i w:val="0"/>
                <w:iCs w:val="0"/>
                <w:color w:val="auto"/>
                <w:kern w:val="2"/>
                <w:sz w:val="24"/>
                <w:szCs w:val="24"/>
                <w:highlight w:val="none"/>
              </w:rPr>
            </w:pPr>
          </w:p>
        </w:tc>
      </w:tr>
    </w:tbl>
    <w:p w14:paraId="74A822A6">
      <w:pPr>
        <w:pStyle w:val="16"/>
        <w:ind w:left="0" w:leftChars="0"/>
        <w:rPr>
          <w:i w:val="0"/>
          <w:iCs w:val="0"/>
          <w:color w:val="auto"/>
          <w:highlight w:val="none"/>
        </w:rPr>
      </w:pPr>
    </w:p>
    <w:p w14:paraId="36EE4E5A">
      <w:pPr>
        <w:pStyle w:val="2"/>
        <w:rPr>
          <w:rFonts w:ascii="黑体" w:hAnsi="黑体"/>
          <w:b/>
          <w:bCs w:val="0"/>
          <w:i w:val="0"/>
          <w:iCs w:val="0"/>
          <w:color w:val="auto"/>
          <w:highlight w:val="none"/>
        </w:rPr>
      </w:pPr>
      <w:bookmarkStart w:id="766" w:name="_Toc45697247"/>
      <w:bookmarkEnd w:id="766"/>
      <w:bookmarkStart w:id="767" w:name="_Toc67589039"/>
      <w:bookmarkStart w:id="768" w:name="_Toc7557"/>
      <w:r>
        <w:rPr>
          <w:rFonts w:hint="eastAsia" w:ascii="黑体" w:hAnsi="黑体"/>
          <w:b/>
          <w:bCs w:val="0"/>
          <w:i w:val="0"/>
          <w:iCs w:val="0"/>
          <w:color w:val="auto"/>
          <w:highlight w:val="none"/>
        </w:rPr>
        <w:t>第八章 投标文件格式</w:t>
      </w:r>
      <w:bookmarkEnd w:id="767"/>
      <w:bookmarkEnd w:id="768"/>
    </w:p>
    <w:p w14:paraId="5AE1EDE0">
      <w:pPr>
        <w:pStyle w:val="2"/>
        <w:rPr>
          <w:b/>
          <w:i w:val="0"/>
          <w:iCs w:val="0"/>
          <w:color w:val="auto"/>
          <w:highlight w:val="none"/>
        </w:rPr>
      </w:pPr>
      <w:bookmarkStart w:id="769" w:name="_Toc9619"/>
      <w:r>
        <w:rPr>
          <w:rFonts w:hint="eastAsia" w:hAnsi="宋体"/>
          <w:b/>
          <w:bCs w:val="0"/>
          <w:i w:val="0"/>
          <w:iCs w:val="0"/>
          <w:color w:val="auto"/>
          <w:sz w:val="36"/>
          <w:szCs w:val="36"/>
          <w:highlight w:val="none"/>
        </w:rPr>
        <w:t>目 录</w:t>
      </w:r>
      <w:bookmarkEnd w:id="769"/>
    </w:p>
    <w:p w14:paraId="04E90AD4">
      <w:pPr>
        <w:pStyle w:val="10"/>
        <w:spacing w:line="360" w:lineRule="auto"/>
        <w:ind w:firstLine="602"/>
        <w:jc w:val="center"/>
        <w:rPr>
          <w:b/>
          <w:bCs/>
          <w:i w:val="0"/>
          <w:iCs w:val="0"/>
          <w:color w:val="auto"/>
          <w:sz w:val="30"/>
          <w:szCs w:val="30"/>
          <w:highlight w:val="none"/>
        </w:rPr>
      </w:pPr>
    </w:p>
    <w:p w14:paraId="2A177CFC">
      <w:pPr>
        <w:pStyle w:val="10"/>
        <w:spacing w:line="480" w:lineRule="auto"/>
        <w:ind w:firstLine="708" w:firstLineChars="253"/>
        <w:rPr>
          <w:i w:val="0"/>
          <w:iCs w:val="0"/>
          <w:color w:val="auto"/>
          <w:sz w:val="28"/>
          <w:szCs w:val="28"/>
          <w:highlight w:val="none"/>
        </w:rPr>
      </w:pPr>
      <w:r>
        <w:rPr>
          <w:rFonts w:hint="eastAsia"/>
          <w:i w:val="0"/>
          <w:iCs w:val="0"/>
          <w:color w:val="auto"/>
          <w:sz w:val="28"/>
          <w:szCs w:val="28"/>
          <w:highlight w:val="none"/>
        </w:rPr>
        <w:t xml:space="preserve">1. </w:t>
      </w:r>
      <w:r>
        <w:rPr>
          <w:rFonts w:hint="eastAsia" w:hAnsi="宋体"/>
          <w:i w:val="0"/>
          <w:iCs w:val="0"/>
          <w:color w:val="auto"/>
          <w:sz w:val="28"/>
          <w:szCs w:val="28"/>
          <w:highlight w:val="none"/>
        </w:rPr>
        <w:t>投标文件商务标格式</w:t>
      </w:r>
    </w:p>
    <w:p w14:paraId="62C93EE3">
      <w:pPr>
        <w:pStyle w:val="10"/>
        <w:spacing w:line="480" w:lineRule="auto"/>
        <w:ind w:firstLine="708" w:firstLineChars="253"/>
        <w:rPr>
          <w:i w:val="0"/>
          <w:iCs w:val="0"/>
          <w:color w:val="auto"/>
          <w:sz w:val="28"/>
          <w:szCs w:val="28"/>
          <w:highlight w:val="none"/>
        </w:rPr>
      </w:pPr>
      <w:r>
        <w:rPr>
          <w:rFonts w:hint="eastAsia"/>
          <w:i w:val="0"/>
          <w:iCs w:val="0"/>
          <w:color w:val="auto"/>
          <w:sz w:val="28"/>
          <w:szCs w:val="28"/>
          <w:highlight w:val="none"/>
        </w:rPr>
        <w:t xml:space="preserve">2. </w:t>
      </w:r>
      <w:r>
        <w:rPr>
          <w:rFonts w:hint="eastAsia" w:hAnsi="宋体"/>
          <w:i w:val="0"/>
          <w:iCs w:val="0"/>
          <w:color w:val="auto"/>
          <w:sz w:val="28"/>
          <w:szCs w:val="28"/>
          <w:highlight w:val="none"/>
        </w:rPr>
        <w:t>投标文件技术标格式</w:t>
      </w:r>
    </w:p>
    <w:p w14:paraId="213336CE">
      <w:pPr>
        <w:pStyle w:val="10"/>
        <w:spacing w:line="480" w:lineRule="auto"/>
        <w:ind w:firstLine="708" w:firstLineChars="253"/>
        <w:rPr>
          <w:i w:val="0"/>
          <w:iCs w:val="0"/>
          <w:color w:val="auto"/>
          <w:sz w:val="28"/>
          <w:szCs w:val="28"/>
          <w:highlight w:val="none"/>
        </w:rPr>
      </w:pPr>
      <w:r>
        <w:rPr>
          <w:rFonts w:hint="eastAsia"/>
          <w:i w:val="0"/>
          <w:iCs w:val="0"/>
          <w:color w:val="auto"/>
          <w:sz w:val="28"/>
          <w:szCs w:val="28"/>
          <w:highlight w:val="none"/>
        </w:rPr>
        <w:t xml:space="preserve">3. </w:t>
      </w:r>
      <w:r>
        <w:rPr>
          <w:rFonts w:hint="eastAsia" w:hAnsi="宋体"/>
          <w:i w:val="0"/>
          <w:iCs w:val="0"/>
          <w:color w:val="auto"/>
          <w:sz w:val="28"/>
          <w:szCs w:val="28"/>
          <w:highlight w:val="none"/>
        </w:rPr>
        <w:t>投标文件资信标格式</w:t>
      </w:r>
    </w:p>
    <w:p w14:paraId="6FC002F1">
      <w:pPr>
        <w:pStyle w:val="10"/>
        <w:spacing w:line="480" w:lineRule="auto"/>
        <w:ind w:firstLine="708" w:firstLineChars="253"/>
        <w:rPr>
          <w:i w:val="0"/>
          <w:iCs w:val="0"/>
          <w:color w:val="auto"/>
          <w:sz w:val="28"/>
          <w:szCs w:val="28"/>
          <w:highlight w:val="none"/>
        </w:rPr>
      </w:pPr>
      <w:r>
        <w:rPr>
          <w:rFonts w:hint="eastAsia"/>
          <w:i w:val="0"/>
          <w:iCs w:val="0"/>
          <w:color w:val="auto"/>
          <w:sz w:val="28"/>
          <w:szCs w:val="28"/>
          <w:highlight w:val="none"/>
        </w:rPr>
        <w:t xml:space="preserve">4. </w:t>
      </w:r>
      <w:r>
        <w:rPr>
          <w:rFonts w:hint="eastAsia" w:hAnsi="宋体"/>
          <w:i w:val="0"/>
          <w:iCs w:val="0"/>
          <w:color w:val="auto"/>
          <w:sz w:val="28"/>
          <w:szCs w:val="28"/>
          <w:highlight w:val="none"/>
        </w:rPr>
        <w:t>投标文件资格审查资料格式</w:t>
      </w:r>
    </w:p>
    <w:p w14:paraId="57C51A46">
      <w:pPr>
        <w:pStyle w:val="10"/>
        <w:jc w:val="center"/>
        <w:rPr>
          <w:rFonts w:ascii="Microsoft JhengHei" w:eastAsia="Microsoft JhengHei"/>
          <w:b/>
          <w:bCs/>
          <w:i w:val="0"/>
          <w:iCs w:val="0"/>
          <w:color w:val="auto"/>
          <w:sz w:val="24"/>
          <w:szCs w:val="24"/>
          <w:highlight w:val="none"/>
        </w:rPr>
      </w:pPr>
      <w:r>
        <w:rPr>
          <w:rFonts w:hint="eastAsia" w:ascii="Microsoft JhengHei" w:eastAsia="Microsoft JhengHei"/>
          <w:b/>
          <w:bCs/>
          <w:i w:val="0"/>
          <w:iCs w:val="0"/>
          <w:color w:val="auto"/>
          <w:sz w:val="24"/>
          <w:szCs w:val="24"/>
          <w:highlight w:val="none"/>
        </w:rPr>
        <w:br w:type="page"/>
      </w:r>
    </w:p>
    <w:p w14:paraId="36ADA5B1">
      <w:pPr>
        <w:pStyle w:val="10"/>
        <w:jc w:val="center"/>
        <w:rPr>
          <w:rFonts w:ascii="Microsoft JhengHei" w:eastAsia="Microsoft JhengHei"/>
          <w:b/>
          <w:bCs/>
          <w:i w:val="0"/>
          <w:iCs w:val="0"/>
          <w:color w:val="auto"/>
          <w:sz w:val="24"/>
          <w:szCs w:val="24"/>
          <w:highlight w:val="none"/>
        </w:rPr>
      </w:pPr>
    </w:p>
    <w:p w14:paraId="740F5979">
      <w:pPr>
        <w:pStyle w:val="10"/>
        <w:jc w:val="center"/>
        <w:rPr>
          <w:i w:val="0"/>
          <w:iCs w:val="0"/>
          <w:color w:val="auto"/>
          <w:sz w:val="84"/>
          <w:szCs w:val="84"/>
          <w:highlight w:val="none"/>
        </w:rPr>
      </w:pPr>
      <w:r>
        <w:rPr>
          <w:rFonts w:hint="eastAsia" w:hAnsi="宋体"/>
          <w:i w:val="0"/>
          <w:iCs w:val="0"/>
          <w:color w:val="auto"/>
          <w:sz w:val="84"/>
          <w:szCs w:val="84"/>
          <w:highlight w:val="none"/>
        </w:rPr>
        <w:t>建设工程施工投标文件</w:t>
      </w:r>
    </w:p>
    <w:p w14:paraId="65FBC29F">
      <w:pPr>
        <w:pStyle w:val="10"/>
        <w:jc w:val="center"/>
        <w:rPr>
          <w:i w:val="0"/>
          <w:iCs w:val="0"/>
          <w:color w:val="auto"/>
          <w:sz w:val="36"/>
          <w:szCs w:val="36"/>
          <w:highlight w:val="none"/>
        </w:rPr>
      </w:pPr>
    </w:p>
    <w:p w14:paraId="461FD59A">
      <w:pPr>
        <w:pStyle w:val="10"/>
        <w:jc w:val="center"/>
        <w:rPr>
          <w:i w:val="0"/>
          <w:iCs w:val="0"/>
          <w:color w:val="auto"/>
          <w:sz w:val="36"/>
          <w:szCs w:val="36"/>
          <w:highlight w:val="none"/>
        </w:rPr>
      </w:pPr>
    </w:p>
    <w:p w14:paraId="25BBA56A">
      <w:pPr>
        <w:pStyle w:val="10"/>
        <w:jc w:val="center"/>
        <w:rPr>
          <w:i w:val="0"/>
          <w:iCs w:val="0"/>
          <w:color w:val="auto"/>
          <w:sz w:val="36"/>
          <w:szCs w:val="36"/>
          <w:highlight w:val="none"/>
        </w:rPr>
      </w:pPr>
    </w:p>
    <w:p w14:paraId="3B1318D7">
      <w:pPr>
        <w:pStyle w:val="10"/>
        <w:ind w:firstLine="480"/>
        <w:jc w:val="center"/>
        <w:rPr>
          <w:rFonts w:hAnsi="宋体"/>
          <w:i w:val="0"/>
          <w:iCs w:val="0"/>
          <w:color w:val="auto"/>
          <w:sz w:val="32"/>
          <w:szCs w:val="32"/>
          <w:highlight w:val="none"/>
        </w:rPr>
      </w:pPr>
    </w:p>
    <w:p w14:paraId="0E59CF9B">
      <w:pPr>
        <w:pStyle w:val="10"/>
        <w:ind w:firstLine="560"/>
        <w:jc w:val="left"/>
        <w:rPr>
          <w:rFonts w:hAnsi="宋体"/>
          <w:i w:val="0"/>
          <w:iCs w:val="0"/>
          <w:color w:val="auto"/>
          <w:sz w:val="32"/>
          <w:szCs w:val="32"/>
          <w:highlight w:val="none"/>
        </w:rPr>
      </w:pPr>
      <w:r>
        <w:rPr>
          <w:rFonts w:hint="eastAsia" w:hAnsi="宋体"/>
          <w:i w:val="0"/>
          <w:iCs w:val="0"/>
          <w:color w:val="auto"/>
          <w:sz w:val="32"/>
          <w:szCs w:val="32"/>
          <w:highlight w:val="none"/>
        </w:rPr>
        <w:t>招标编号:________________</w:t>
      </w:r>
      <w:r>
        <w:rPr>
          <w:rFonts w:hint="eastAsia" w:hAnsi="宋体"/>
          <w:i w:val="0"/>
          <w:iCs w:val="0"/>
          <w:color w:val="auto"/>
          <w:sz w:val="32"/>
          <w:szCs w:val="32"/>
          <w:highlight w:val="none"/>
          <w:u w:val="single"/>
        </w:rPr>
        <w:t xml:space="preserve">          </w:t>
      </w:r>
      <w:r>
        <w:rPr>
          <w:rFonts w:hint="eastAsia" w:hAnsi="宋体"/>
          <w:i w:val="0"/>
          <w:iCs w:val="0"/>
          <w:color w:val="auto"/>
          <w:sz w:val="32"/>
          <w:szCs w:val="32"/>
          <w:highlight w:val="none"/>
        </w:rPr>
        <w:t>___________</w:t>
      </w:r>
    </w:p>
    <w:p w14:paraId="3989C1AD">
      <w:pPr>
        <w:pStyle w:val="10"/>
        <w:ind w:firstLine="560"/>
        <w:jc w:val="left"/>
        <w:rPr>
          <w:rFonts w:hAnsi="宋体"/>
          <w:i w:val="0"/>
          <w:iCs w:val="0"/>
          <w:color w:val="auto"/>
          <w:sz w:val="32"/>
          <w:szCs w:val="32"/>
          <w:highlight w:val="none"/>
        </w:rPr>
      </w:pPr>
    </w:p>
    <w:p w14:paraId="5DC1D9FE">
      <w:pPr>
        <w:pStyle w:val="10"/>
        <w:ind w:firstLine="560"/>
        <w:jc w:val="left"/>
        <w:rPr>
          <w:rFonts w:hAnsi="宋体"/>
          <w:i w:val="0"/>
          <w:iCs w:val="0"/>
          <w:color w:val="auto"/>
          <w:sz w:val="32"/>
          <w:szCs w:val="32"/>
          <w:highlight w:val="none"/>
        </w:rPr>
      </w:pPr>
    </w:p>
    <w:p w14:paraId="123787C5">
      <w:pPr>
        <w:pStyle w:val="10"/>
        <w:ind w:firstLine="480" w:firstLineChars="150"/>
        <w:jc w:val="left"/>
        <w:rPr>
          <w:rFonts w:hAnsi="宋体"/>
          <w:i w:val="0"/>
          <w:iCs w:val="0"/>
          <w:color w:val="auto"/>
          <w:sz w:val="32"/>
          <w:szCs w:val="32"/>
          <w:highlight w:val="none"/>
        </w:rPr>
      </w:pPr>
      <w:r>
        <w:rPr>
          <w:rFonts w:hint="eastAsia" w:hAnsi="宋体"/>
          <w:i w:val="0"/>
          <w:iCs w:val="0"/>
          <w:color w:val="auto"/>
          <w:sz w:val="32"/>
          <w:szCs w:val="32"/>
          <w:highlight w:val="none"/>
        </w:rPr>
        <w:t>工程名称:</w:t>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softHyphen/>
      </w:r>
      <w:r>
        <w:rPr>
          <w:rFonts w:hint="eastAsia" w:hAnsi="宋体"/>
          <w:i w:val="0"/>
          <w:iCs w:val="0"/>
          <w:color w:val="auto"/>
          <w:sz w:val="32"/>
          <w:szCs w:val="32"/>
          <w:highlight w:val="none"/>
        </w:rPr>
        <w:t xml:space="preserve">______________________________________ </w:t>
      </w:r>
    </w:p>
    <w:p w14:paraId="05381C72">
      <w:pPr>
        <w:pStyle w:val="10"/>
        <w:ind w:firstLine="640"/>
        <w:jc w:val="left"/>
        <w:rPr>
          <w:rFonts w:hAnsi="宋体"/>
          <w:i w:val="0"/>
          <w:iCs w:val="0"/>
          <w:color w:val="auto"/>
          <w:sz w:val="32"/>
          <w:szCs w:val="32"/>
          <w:highlight w:val="none"/>
        </w:rPr>
      </w:pPr>
    </w:p>
    <w:p w14:paraId="06828A40">
      <w:pPr>
        <w:pStyle w:val="10"/>
        <w:ind w:firstLine="640"/>
        <w:jc w:val="left"/>
        <w:rPr>
          <w:rFonts w:hAnsi="宋体"/>
          <w:i w:val="0"/>
          <w:iCs w:val="0"/>
          <w:color w:val="auto"/>
          <w:sz w:val="32"/>
          <w:szCs w:val="32"/>
          <w:highlight w:val="none"/>
        </w:rPr>
      </w:pPr>
    </w:p>
    <w:p w14:paraId="4EC785C5">
      <w:pPr>
        <w:pStyle w:val="10"/>
        <w:ind w:firstLine="480" w:firstLineChars="150"/>
        <w:jc w:val="left"/>
        <w:rPr>
          <w:rFonts w:hAnsi="宋体"/>
          <w:i w:val="0"/>
          <w:iCs w:val="0"/>
          <w:color w:val="auto"/>
          <w:sz w:val="32"/>
          <w:szCs w:val="32"/>
          <w:highlight w:val="none"/>
          <w:u w:val="single"/>
        </w:rPr>
      </w:pPr>
      <w:r>
        <w:rPr>
          <w:rFonts w:hint="eastAsia" w:hAnsi="宋体"/>
          <w:i w:val="0"/>
          <w:iCs w:val="0"/>
          <w:color w:val="auto"/>
          <w:sz w:val="32"/>
          <w:szCs w:val="32"/>
          <w:highlight w:val="none"/>
        </w:rPr>
        <w:t xml:space="preserve">投标人: </w:t>
      </w:r>
      <w:r>
        <w:rPr>
          <w:rFonts w:hint="eastAsia" w:hAnsi="宋体"/>
          <w:i w:val="0"/>
          <w:iCs w:val="0"/>
          <w:color w:val="auto"/>
          <w:sz w:val="32"/>
          <w:szCs w:val="32"/>
          <w:highlight w:val="none"/>
          <w:u w:val="single"/>
        </w:rPr>
        <w:t xml:space="preserve">                              (单位盖章)</w:t>
      </w:r>
    </w:p>
    <w:p w14:paraId="75162735">
      <w:pPr>
        <w:pStyle w:val="10"/>
        <w:ind w:firstLine="480" w:firstLineChars="150"/>
        <w:jc w:val="left"/>
        <w:rPr>
          <w:rFonts w:hAnsi="宋体"/>
          <w:i w:val="0"/>
          <w:iCs w:val="0"/>
          <w:color w:val="auto"/>
          <w:sz w:val="32"/>
          <w:szCs w:val="32"/>
          <w:highlight w:val="none"/>
          <w:u w:val="single"/>
        </w:rPr>
      </w:pPr>
    </w:p>
    <w:p w14:paraId="6CA1EB73">
      <w:pPr>
        <w:pStyle w:val="10"/>
        <w:ind w:firstLine="480" w:firstLineChars="150"/>
        <w:jc w:val="left"/>
        <w:rPr>
          <w:rFonts w:hAnsi="宋体"/>
          <w:i w:val="0"/>
          <w:iCs w:val="0"/>
          <w:color w:val="auto"/>
          <w:sz w:val="32"/>
          <w:szCs w:val="32"/>
          <w:highlight w:val="none"/>
          <w:u w:val="single"/>
        </w:rPr>
      </w:pPr>
    </w:p>
    <w:p w14:paraId="65692FB5">
      <w:pPr>
        <w:pStyle w:val="10"/>
        <w:ind w:firstLine="480" w:firstLineChars="150"/>
        <w:jc w:val="left"/>
        <w:rPr>
          <w:rFonts w:hAnsi="宋体"/>
          <w:i w:val="0"/>
          <w:iCs w:val="0"/>
          <w:color w:val="auto"/>
          <w:sz w:val="32"/>
          <w:szCs w:val="32"/>
          <w:highlight w:val="none"/>
          <w:u w:val="single"/>
        </w:rPr>
      </w:pPr>
      <w:r>
        <w:rPr>
          <w:rFonts w:hint="eastAsia" w:hAnsi="宋体"/>
          <w:i w:val="0"/>
          <w:iCs w:val="0"/>
          <w:color w:val="auto"/>
          <w:sz w:val="32"/>
          <w:szCs w:val="32"/>
          <w:highlight w:val="none"/>
        </w:rPr>
        <w:t>法定代表人或其委托代理人:</w:t>
      </w:r>
      <w:r>
        <w:rPr>
          <w:rFonts w:hint="eastAsia" w:hAnsi="宋体"/>
          <w:i w:val="0"/>
          <w:iCs w:val="0"/>
          <w:color w:val="auto"/>
          <w:sz w:val="32"/>
          <w:szCs w:val="32"/>
          <w:highlight w:val="none"/>
          <w:u w:val="single"/>
        </w:rPr>
        <w:t xml:space="preserve">           (签字或盖章)</w:t>
      </w:r>
    </w:p>
    <w:p w14:paraId="3DA22281">
      <w:pPr>
        <w:pStyle w:val="10"/>
        <w:spacing w:after="120" w:afterLines="50" w:line="480" w:lineRule="auto"/>
        <w:rPr>
          <w:rFonts w:hAnsi="宋体"/>
          <w:i w:val="0"/>
          <w:iCs w:val="0"/>
          <w:color w:val="auto"/>
          <w:sz w:val="32"/>
          <w:szCs w:val="32"/>
          <w:highlight w:val="none"/>
        </w:rPr>
      </w:pPr>
    </w:p>
    <w:p w14:paraId="73AFC354">
      <w:pPr>
        <w:pStyle w:val="10"/>
        <w:spacing w:after="120" w:afterLines="50" w:line="480" w:lineRule="auto"/>
        <w:ind w:firstLine="640"/>
        <w:jc w:val="center"/>
        <w:rPr>
          <w:rFonts w:hAnsi="宋体"/>
          <w:i w:val="0"/>
          <w:iCs w:val="0"/>
          <w:color w:val="auto"/>
          <w:sz w:val="32"/>
          <w:szCs w:val="32"/>
          <w:highlight w:val="none"/>
        </w:rPr>
      </w:pPr>
      <w:r>
        <w:rPr>
          <w:rFonts w:hint="eastAsia" w:hAnsi="宋体"/>
          <w:i w:val="0"/>
          <w:iCs w:val="0"/>
          <w:color w:val="auto"/>
          <w:sz w:val="32"/>
          <w:szCs w:val="32"/>
          <w:highlight w:val="none"/>
        </w:rPr>
        <w:t>日期:</w:t>
      </w:r>
      <w:r>
        <w:rPr>
          <w:rFonts w:hint="eastAsia" w:hAnsi="宋体"/>
          <w:i w:val="0"/>
          <w:iCs w:val="0"/>
          <w:color w:val="auto"/>
          <w:sz w:val="32"/>
          <w:szCs w:val="32"/>
          <w:highlight w:val="none"/>
          <w:u w:val="single"/>
        </w:rPr>
        <w:t xml:space="preserve">            </w:t>
      </w:r>
      <w:r>
        <w:rPr>
          <w:rFonts w:hint="eastAsia" w:hAnsi="宋体"/>
          <w:i w:val="0"/>
          <w:iCs w:val="0"/>
          <w:color w:val="auto"/>
          <w:sz w:val="32"/>
          <w:szCs w:val="32"/>
          <w:highlight w:val="none"/>
        </w:rPr>
        <w:t>年_____月______日</w:t>
      </w:r>
    </w:p>
    <w:p w14:paraId="511C3574">
      <w:pPr>
        <w:pStyle w:val="10"/>
        <w:spacing w:line="440" w:lineRule="exact"/>
        <w:jc w:val="center"/>
        <w:rPr>
          <w:i w:val="0"/>
          <w:iCs w:val="0"/>
          <w:color w:val="auto"/>
          <w:sz w:val="24"/>
          <w:szCs w:val="24"/>
          <w:highlight w:val="none"/>
        </w:rPr>
      </w:pPr>
    </w:p>
    <w:p w14:paraId="7AA56CD7">
      <w:pPr>
        <w:pStyle w:val="10"/>
        <w:spacing w:line="440" w:lineRule="exact"/>
        <w:jc w:val="center"/>
        <w:rPr>
          <w:i w:val="0"/>
          <w:iCs w:val="0"/>
          <w:color w:val="auto"/>
          <w:sz w:val="24"/>
          <w:szCs w:val="24"/>
          <w:highlight w:val="none"/>
        </w:rPr>
      </w:pPr>
    </w:p>
    <w:p w14:paraId="46251BEA">
      <w:pPr>
        <w:pStyle w:val="10"/>
        <w:spacing w:line="440" w:lineRule="exact"/>
        <w:jc w:val="center"/>
        <w:rPr>
          <w:i w:val="0"/>
          <w:iCs w:val="0"/>
          <w:color w:val="auto"/>
          <w:sz w:val="24"/>
          <w:szCs w:val="24"/>
          <w:highlight w:val="none"/>
        </w:rPr>
      </w:pPr>
    </w:p>
    <w:p w14:paraId="14E9E7BD">
      <w:pPr>
        <w:pStyle w:val="10"/>
        <w:spacing w:line="440" w:lineRule="exact"/>
        <w:jc w:val="center"/>
        <w:rPr>
          <w:i w:val="0"/>
          <w:iCs w:val="0"/>
          <w:color w:val="auto"/>
          <w:sz w:val="24"/>
          <w:szCs w:val="24"/>
          <w:highlight w:val="none"/>
        </w:rPr>
      </w:pPr>
    </w:p>
    <w:p w14:paraId="4F3C6016">
      <w:pPr>
        <w:pStyle w:val="10"/>
        <w:spacing w:line="440" w:lineRule="exact"/>
        <w:jc w:val="center"/>
        <w:rPr>
          <w:i w:val="0"/>
          <w:iCs w:val="0"/>
          <w:color w:val="auto"/>
          <w:sz w:val="24"/>
          <w:szCs w:val="24"/>
          <w:highlight w:val="none"/>
        </w:rPr>
      </w:pPr>
    </w:p>
    <w:p w14:paraId="6CD86977">
      <w:pPr>
        <w:pStyle w:val="10"/>
        <w:spacing w:line="440" w:lineRule="exact"/>
        <w:jc w:val="center"/>
        <w:rPr>
          <w:i w:val="0"/>
          <w:iCs w:val="0"/>
          <w:color w:val="auto"/>
          <w:sz w:val="24"/>
          <w:szCs w:val="24"/>
          <w:highlight w:val="none"/>
        </w:rPr>
      </w:pPr>
    </w:p>
    <w:p w14:paraId="61F7F71E">
      <w:pPr>
        <w:pStyle w:val="10"/>
        <w:spacing w:line="440" w:lineRule="exact"/>
        <w:jc w:val="center"/>
        <w:rPr>
          <w:i w:val="0"/>
          <w:iCs w:val="0"/>
          <w:color w:val="auto"/>
          <w:sz w:val="24"/>
          <w:szCs w:val="24"/>
          <w:highlight w:val="none"/>
        </w:rPr>
      </w:pPr>
    </w:p>
    <w:p w14:paraId="20B22A45">
      <w:pPr>
        <w:pStyle w:val="10"/>
        <w:spacing w:line="440" w:lineRule="exact"/>
        <w:jc w:val="center"/>
        <w:rPr>
          <w:i w:val="0"/>
          <w:iCs w:val="0"/>
          <w:color w:val="auto"/>
          <w:sz w:val="24"/>
          <w:szCs w:val="24"/>
          <w:highlight w:val="none"/>
        </w:rPr>
      </w:pPr>
    </w:p>
    <w:p w14:paraId="12B46336">
      <w:pPr>
        <w:pStyle w:val="10"/>
        <w:spacing w:line="440" w:lineRule="exact"/>
        <w:jc w:val="center"/>
        <w:rPr>
          <w:i w:val="0"/>
          <w:iCs w:val="0"/>
          <w:color w:val="auto"/>
          <w:sz w:val="24"/>
          <w:szCs w:val="24"/>
          <w:highlight w:val="none"/>
        </w:rPr>
      </w:pPr>
    </w:p>
    <w:p w14:paraId="283BCD25">
      <w:pPr>
        <w:pStyle w:val="10"/>
        <w:spacing w:line="440" w:lineRule="exact"/>
        <w:jc w:val="center"/>
        <w:rPr>
          <w:i w:val="0"/>
          <w:iCs w:val="0"/>
          <w:color w:val="auto"/>
          <w:sz w:val="24"/>
          <w:szCs w:val="24"/>
          <w:highlight w:val="none"/>
        </w:rPr>
      </w:pPr>
    </w:p>
    <w:p w14:paraId="46BD1F2D">
      <w:pPr>
        <w:jc w:val="center"/>
        <w:rPr>
          <w:b/>
          <w:bCs/>
          <w:i w:val="0"/>
          <w:iCs w:val="0"/>
          <w:color w:val="auto"/>
          <w:sz w:val="72"/>
          <w:szCs w:val="72"/>
          <w:highlight w:val="none"/>
        </w:rPr>
      </w:pPr>
      <w:r>
        <w:rPr>
          <w:rFonts w:hint="eastAsia" w:ascii="宋体" w:hAnsi="宋体"/>
          <w:b/>
          <w:bCs/>
          <w:i w:val="0"/>
          <w:iCs w:val="0"/>
          <w:color w:val="auto"/>
          <w:sz w:val="72"/>
          <w:szCs w:val="72"/>
          <w:highlight w:val="none"/>
        </w:rPr>
        <w:t>施工投标文件</w:t>
      </w:r>
    </w:p>
    <w:p w14:paraId="1704C8C8">
      <w:pPr>
        <w:jc w:val="center"/>
        <w:rPr>
          <w:i w:val="0"/>
          <w:iCs w:val="0"/>
          <w:color w:val="auto"/>
          <w:sz w:val="36"/>
          <w:szCs w:val="36"/>
          <w:highlight w:val="none"/>
        </w:rPr>
      </w:pPr>
      <w:r>
        <w:rPr>
          <w:rFonts w:hint="eastAsia" w:ascii="宋体" w:hAnsi="宋体"/>
          <w:i w:val="0"/>
          <w:iCs w:val="0"/>
          <w:color w:val="auto"/>
          <w:sz w:val="36"/>
          <w:szCs w:val="36"/>
          <w:highlight w:val="none"/>
        </w:rPr>
        <w:t>（封面）</w:t>
      </w:r>
    </w:p>
    <w:p w14:paraId="3CB08768">
      <w:pPr>
        <w:rPr>
          <w:i w:val="0"/>
          <w:iCs w:val="0"/>
          <w:color w:val="auto"/>
          <w:highlight w:val="none"/>
        </w:rPr>
      </w:pPr>
    </w:p>
    <w:p w14:paraId="3B930A19">
      <w:pPr>
        <w:rPr>
          <w:i w:val="0"/>
          <w:iCs w:val="0"/>
          <w:color w:val="auto"/>
          <w:sz w:val="32"/>
          <w:szCs w:val="32"/>
          <w:highlight w:val="none"/>
        </w:rPr>
      </w:pPr>
    </w:p>
    <w:p w14:paraId="159EB2DC">
      <w:pPr>
        <w:rPr>
          <w:i w:val="0"/>
          <w:iCs w:val="0"/>
          <w:color w:val="auto"/>
          <w:sz w:val="32"/>
          <w:szCs w:val="32"/>
          <w:highlight w:val="none"/>
        </w:rPr>
      </w:pPr>
    </w:p>
    <w:p w14:paraId="4964AC08">
      <w:pPr>
        <w:spacing w:after="360" w:afterLines="150" w:line="480" w:lineRule="auto"/>
        <w:ind w:firstLine="627" w:firstLineChars="196"/>
        <w:rPr>
          <w:rFonts w:ascii="宋体" w:hAnsi="宋体"/>
          <w:i w:val="0"/>
          <w:iCs w:val="0"/>
          <w:color w:val="auto"/>
          <w:sz w:val="32"/>
          <w:szCs w:val="32"/>
          <w:highlight w:val="none"/>
          <w:u w:val="single"/>
        </w:rPr>
      </w:pPr>
      <w:r>
        <w:rPr>
          <w:rFonts w:hint="eastAsia" w:ascii="宋体" w:hAnsi="宋体"/>
          <w:i w:val="0"/>
          <w:iCs w:val="0"/>
          <w:color w:val="auto"/>
          <w:sz w:val="32"/>
          <w:szCs w:val="32"/>
          <w:highlight w:val="none"/>
        </w:rPr>
        <w:t>工程名称：</w:t>
      </w:r>
    </w:p>
    <w:p w14:paraId="57D63EC8">
      <w:pPr>
        <w:spacing w:after="360"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投标文件内容：</w:t>
      </w:r>
      <w:r>
        <w:rPr>
          <w:rFonts w:hint="eastAsia" w:ascii="宋体" w:hAnsi="宋体"/>
          <w:i w:val="0"/>
          <w:iCs w:val="0"/>
          <w:color w:val="auto"/>
          <w:sz w:val="32"/>
          <w:szCs w:val="32"/>
          <w:highlight w:val="none"/>
          <w:u w:val="single"/>
        </w:rPr>
        <w:t xml:space="preserve">      投标文件商务标          </w:t>
      </w:r>
    </w:p>
    <w:p w14:paraId="2992F535">
      <w:pPr>
        <w:spacing w:after="360"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投标人：</w:t>
      </w:r>
      <w:r>
        <w:rPr>
          <w:rFonts w:hint="eastAsia" w:ascii="宋体" w:hAnsi="宋体"/>
          <w:i w:val="0"/>
          <w:iCs w:val="0"/>
          <w:color w:val="auto"/>
          <w:sz w:val="32"/>
          <w:szCs w:val="32"/>
          <w:highlight w:val="none"/>
          <w:u w:val="single"/>
        </w:rPr>
        <w:t xml:space="preserve">                        （单位盖章）</w:t>
      </w:r>
    </w:p>
    <w:p w14:paraId="1A82F576">
      <w:pPr>
        <w:spacing w:after="360"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法定代表人或委托代理人：</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highlight w:val="none"/>
          <w:u w:val="single"/>
        </w:rPr>
        <w:t>签字或盖章</w:t>
      </w:r>
      <w:r>
        <w:rPr>
          <w:rFonts w:hint="eastAsia" w:ascii="宋体" w:hAnsi="宋体"/>
          <w:i w:val="0"/>
          <w:iCs w:val="0"/>
          <w:color w:val="auto"/>
          <w:sz w:val="32"/>
          <w:szCs w:val="32"/>
          <w:highlight w:val="none"/>
          <w:u w:val="single"/>
        </w:rPr>
        <w:t>）</w:t>
      </w:r>
    </w:p>
    <w:p w14:paraId="43B6EFCE">
      <w:pPr>
        <w:spacing w:after="360" w:afterLines="150" w:line="480" w:lineRule="auto"/>
        <w:ind w:firstLine="627" w:firstLineChars="196"/>
        <w:rPr>
          <w:rFonts w:ascii="宋体" w:hAnsi="宋体"/>
          <w:i w:val="0"/>
          <w:iCs w:val="0"/>
          <w:color w:val="auto"/>
          <w:sz w:val="32"/>
          <w:szCs w:val="32"/>
          <w:highlight w:val="none"/>
        </w:rPr>
      </w:pPr>
    </w:p>
    <w:p w14:paraId="16E1095A">
      <w:pPr>
        <w:spacing w:after="360" w:afterLines="150" w:line="480" w:lineRule="auto"/>
        <w:ind w:firstLine="627" w:firstLineChars="196"/>
        <w:rPr>
          <w:rFonts w:ascii="宋体" w:hAnsi="宋体"/>
          <w:i w:val="0"/>
          <w:iCs w:val="0"/>
          <w:color w:val="auto"/>
          <w:sz w:val="32"/>
          <w:szCs w:val="32"/>
          <w:highlight w:val="none"/>
        </w:rPr>
      </w:pPr>
    </w:p>
    <w:p w14:paraId="700B94ED">
      <w:pPr>
        <w:spacing w:after="360" w:afterLines="150" w:line="480" w:lineRule="auto"/>
        <w:ind w:firstLine="627" w:firstLineChars="196"/>
        <w:jc w:val="center"/>
        <w:rPr>
          <w:i w:val="0"/>
          <w:iCs w:val="0"/>
          <w:color w:val="auto"/>
          <w:sz w:val="32"/>
          <w:szCs w:val="32"/>
          <w:highlight w:val="none"/>
        </w:rPr>
      </w:pPr>
      <w:r>
        <w:rPr>
          <w:rFonts w:hint="eastAsia" w:ascii="宋体" w:hAnsi="宋体"/>
          <w:i w:val="0"/>
          <w:iCs w:val="0"/>
          <w:color w:val="auto"/>
          <w:sz w:val="32"/>
          <w:szCs w:val="32"/>
          <w:highlight w:val="none"/>
        </w:rPr>
        <w:t>日期：</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sz w:val="32"/>
          <w:szCs w:val="32"/>
          <w:highlight w:val="none"/>
        </w:rPr>
        <w:t>年</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sz w:val="32"/>
          <w:szCs w:val="32"/>
          <w:highlight w:val="none"/>
        </w:rPr>
        <w:t>月</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sz w:val="32"/>
          <w:szCs w:val="32"/>
          <w:highlight w:val="none"/>
        </w:rPr>
        <w:t>日</w:t>
      </w:r>
    </w:p>
    <w:p w14:paraId="7CC94570">
      <w:pPr>
        <w:pStyle w:val="10"/>
        <w:spacing w:line="360" w:lineRule="auto"/>
        <w:ind w:firstLine="602"/>
        <w:jc w:val="center"/>
        <w:rPr>
          <w:rFonts w:hAnsi="宋体"/>
          <w:b/>
          <w:bCs/>
          <w:i w:val="0"/>
          <w:iCs w:val="0"/>
          <w:color w:val="auto"/>
          <w:sz w:val="36"/>
          <w:szCs w:val="36"/>
          <w:highlight w:val="none"/>
        </w:rPr>
      </w:pPr>
    </w:p>
    <w:p w14:paraId="7078A875">
      <w:pPr>
        <w:pStyle w:val="10"/>
        <w:spacing w:line="360" w:lineRule="auto"/>
        <w:ind w:firstLine="602"/>
        <w:jc w:val="center"/>
        <w:rPr>
          <w:rFonts w:hAnsi="宋体"/>
          <w:b/>
          <w:bCs/>
          <w:i w:val="0"/>
          <w:iCs w:val="0"/>
          <w:color w:val="auto"/>
          <w:sz w:val="36"/>
          <w:szCs w:val="36"/>
          <w:highlight w:val="none"/>
        </w:rPr>
      </w:pPr>
    </w:p>
    <w:p w14:paraId="2C0EF930">
      <w:pPr>
        <w:pStyle w:val="10"/>
        <w:spacing w:line="360" w:lineRule="auto"/>
        <w:ind w:firstLine="602"/>
        <w:jc w:val="center"/>
        <w:rPr>
          <w:rFonts w:hAnsi="宋体"/>
          <w:b/>
          <w:bCs/>
          <w:i w:val="0"/>
          <w:iCs w:val="0"/>
          <w:color w:val="auto"/>
          <w:sz w:val="36"/>
          <w:szCs w:val="36"/>
          <w:highlight w:val="none"/>
        </w:rPr>
      </w:pPr>
    </w:p>
    <w:p w14:paraId="6F98D199">
      <w:pPr>
        <w:pStyle w:val="10"/>
        <w:spacing w:line="360" w:lineRule="auto"/>
        <w:ind w:firstLine="602"/>
        <w:jc w:val="center"/>
        <w:rPr>
          <w:rFonts w:hAnsi="宋体"/>
          <w:b/>
          <w:bCs/>
          <w:i w:val="0"/>
          <w:iCs w:val="0"/>
          <w:color w:val="auto"/>
          <w:sz w:val="36"/>
          <w:szCs w:val="36"/>
          <w:highlight w:val="none"/>
        </w:rPr>
      </w:pPr>
    </w:p>
    <w:p w14:paraId="1F005E80">
      <w:pPr>
        <w:pStyle w:val="10"/>
        <w:spacing w:line="360" w:lineRule="auto"/>
        <w:ind w:firstLine="602"/>
        <w:jc w:val="center"/>
        <w:rPr>
          <w:rFonts w:hAnsi="宋体"/>
          <w:b/>
          <w:bCs/>
          <w:i w:val="0"/>
          <w:iCs w:val="0"/>
          <w:color w:val="auto"/>
          <w:sz w:val="36"/>
          <w:szCs w:val="36"/>
          <w:highlight w:val="none"/>
        </w:rPr>
      </w:pPr>
    </w:p>
    <w:p w14:paraId="71670443">
      <w:pPr>
        <w:pStyle w:val="10"/>
        <w:spacing w:line="360" w:lineRule="auto"/>
        <w:ind w:firstLine="602"/>
        <w:jc w:val="center"/>
        <w:rPr>
          <w:b/>
          <w:bCs/>
          <w:i w:val="0"/>
          <w:iCs w:val="0"/>
          <w:color w:val="auto"/>
          <w:sz w:val="36"/>
          <w:szCs w:val="36"/>
          <w:highlight w:val="none"/>
        </w:rPr>
      </w:pPr>
      <w:r>
        <w:rPr>
          <w:rFonts w:hint="eastAsia" w:hAnsi="宋体"/>
          <w:b/>
          <w:bCs/>
          <w:i w:val="0"/>
          <w:iCs w:val="0"/>
          <w:color w:val="auto"/>
          <w:sz w:val="36"/>
          <w:szCs w:val="36"/>
          <w:highlight w:val="none"/>
        </w:rPr>
        <w:t>目 录</w:t>
      </w:r>
    </w:p>
    <w:p w14:paraId="59AC3F44">
      <w:pPr>
        <w:autoSpaceDN/>
        <w:spacing w:line="360" w:lineRule="auto"/>
        <w:ind w:left="560"/>
        <w:jc w:val="both"/>
        <w:rPr>
          <w:rFonts w:ascii="宋体" w:hAnsi="宋体"/>
          <w:i w:val="0"/>
          <w:iCs w:val="0"/>
          <w:color w:val="auto"/>
          <w:sz w:val="28"/>
          <w:szCs w:val="28"/>
          <w:highlight w:val="none"/>
        </w:rPr>
      </w:pPr>
    </w:p>
    <w:p w14:paraId="45797873">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1.投标函</w:t>
      </w:r>
    </w:p>
    <w:p w14:paraId="5059F750">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2.投标函附录</w:t>
      </w:r>
    </w:p>
    <w:p w14:paraId="2FC851DB">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3.投标总价封面</w:t>
      </w:r>
    </w:p>
    <w:p w14:paraId="7A9EE35D">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4.工程量清单报价说明</w:t>
      </w:r>
    </w:p>
    <w:p w14:paraId="4BA9B1AE">
      <w:pPr>
        <w:pStyle w:val="46"/>
        <w:spacing w:line="360" w:lineRule="auto"/>
        <w:ind w:firstLine="560" w:firstLineChars="200"/>
        <w:rPr>
          <w:rFonts w:hint="eastAsia"/>
          <w:i w:val="0"/>
          <w:iCs w:val="0"/>
          <w:color w:val="auto"/>
          <w:sz w:val="28"/>
          <w:szCs w:val="28"/>
          <w:highlight w:val="none"/>
        </w:rPr>
      </w:pPr>
      <w:r>
        <w:rPr>
          <w:rFonts w:hint="eastAsia"/>
          <w:i w:val="0"/>
          <w:iCs w:val="0"/>
          <w:color w:val="auto"/>
          <w:sz w:val="28"/>
          <w:szCs w:val="28"/>
          <w:highlight w:val="none"/>
        </w:rPr>
        <w:t>5.已标明价格的工程量清单</w:t>
      </w:r>
    </w:p>
    <w:p w14:paraId="5F39E40F">
      <w:pPr>
        <w:pStyle w:val="46"/>
        <w:spacing w:line="360" w:lineRule="auto"/>
        <w:ind w:left="1117" w:leftChars="232" w:hanging="560" w:hangingChars="200"/>
        <w:rPr>
          <w:rFonts w:hint="eastAsia"/>
          <w:i w:val="0"/>
          <w:iCs w:val="0"/>
          <w:strike/>
          <w:dstrike w:val="0"/>
          <w:color w:val="auto"/>
          <w:sz w:val="28"/>
          <w:szCs w:val="28"/>
          <w:highlight w:val="none"/>
        </w:rPr>
      </w:pPr>
      <w:r>
        <w:rPr>
          <w:rFonts w:hint="eastAsia"/>
          <w:i w:val="0"/>
          <w:iCs w:val="0"/>
          <w:strike/>
          <w:dstrike w:val="0"/>
          <w:color w:val="auto"/>
          <w:sz w:val="28"/>
          <w:szCs w:val="28"/>
          <w:highlight w:val="none"/>
        </w:rPr>
        <w:t>6.招标文件要求投标人提交的其它投标资料（本项无表格，需要时</w:t>
      </w:r>
    </w:p>
    <w:p w14:paraId="5A890B95">
      <w:pPr>
        <w:pStyle w:val="46"/>
        <w:spacing w:line="360" w:lineRule="auto"/>
        <w:ind w:left="1115" w:leftChars="348" w:hanging="280" w:hangingChars="100"/>
        <w:rPr>
          <w:rFonts w:hint="eastAsia"/>
          <w:i w:val="0"/>
          <w:iCs w:val="0"/>
          <w:strike/>
          <w:dstrike w:val="0"/>
          <w:color w:val="auto"/>
          <w:sz w:val="28"/>
          <w:szCs w:val="28"/>
          <w:highlight w:val="none"/>
        </w:rPr>
      </w:pPr>
      <w:r>
        <w:rPr>
          <w:rFonts w:hint="eastAsia"/>
          <w:i w:val="0"/>
          <w:iCs w:val="0"/>
          <w:strike/>
          <w:dstrike w:val="0"/>
          <w:color w:val="auto"/>
          <w:sz w:val="28"/>
          <w:szCs w:val="28"/>
          <w:highlight w:val="none"/>
        </w:rPr>
        <w:t>由招标人用文字提出）</w:t>
      </w:r>
    </w:p>
    <w:p w14:paraId="277AC977">
      <w:pPr>
        <w:pStyle w:val="46"/>
        <w:ind w:left="1115" w:leftChars="348" w:hanging="280" w:hangingChars="100"/>
        <w:rPr>
          <w:rFonts w:hint="eastAsia"/>
          <w:i w:val="0"/>
          <w:iCs w:val="0"/>
          <w:color w:val="auto"/>
          <w:sz w:val="28"/>
          <w:szCs w:val="28"/>
          <w:highlight w:val="none"/>
        </w:rPr>
      </w:pPr>
    </w:p>
    <w:p w14:paraId="686CDD14">
      <w:pPr>
        <w:pStyle w:val="46"/>
        <w:ind w:left="1115" w:leftChars="348" w:hanging="280" w:hangingChars="100"/>
        <w:rPr>
          <w:rFonts w:hint="eastAsia"/>
          <w:i w:val="0"/>
          <w:iCs w:val="0"/>
          <w:color w:val="auto"/>
          <w:sz w:val="28"/>
          <w:szCs w:val="28"/>
          <w:highlight w:val="none"/>
        </w:rPr>
      </w:pPr>
    </w:p>
    <w:p w14:paraId="602BE575">
      <w:pPr>
        <w:pStyle w:val="46"/>
        <w:ind w:left="1115" w:leftChars="348" w:hanging="280" w:hangingChars="100"/>
        <w:rPr>
          <w:rFonts w:hint="eastAsia"/>
          <w:i w:val="0"/>
          <w:iCs w:val="0"/>
          <w:color w:val="auto"/>
          <w:sz w:val="28"/>
          <w:szCs w:val="28"/>
          <w:highlight w:val="none"/>
        </w:rPr>
      </w:pPr>
    </w:p>
    <w:p w14:paraId="4D617A04">
      <w:pPr>
        <w:rPr>
          <w:i w:val="0"/>
          <w:iCs w:val="0"/>
          <w:color w:val="auto"/>
          <w:highlight w:val="none"/>
        </w:rPr>
      </w:pPr>
    </w:p>
    <w:p w14:paraId="210A8CE8">
      <w:pPr>
        <w:rPr>
          <w:i w:val="0"/>
          <w:iCs w:val="0"/>
          <w:color w:val="auto"/>
          <w:highlight w:val="none"/>
        </w:rPr>
      </w:pPr>
    </w:p>
    <w:p w14:paraId="5111A0F6">
      <w:pPr>
        <w:rPr>
          <w:i w:val="0"/>
          <w:iCs w:val="0"/>
          <w:color w:val="auto"/>
          <w:highlight w:val="none"/>
        </w:rPr>
      </w:pPr>
    </w:p>
    <w:p w14:paraId="3EF19635">
      <w:pPr>
        <w:rPr>
          <w:i w:val="0"/>
          <w:iCs w:val="0"/>
          <w:color w:val="auto"/>
          <w:highlight w:val="none"/>
        </w:rPr>
      </w:pPr>
    </w:p>
    <w:p w14:paraId="148EC8B3">
      <w:pPr>
        <w:rPr>
          <w:i w:val="0"/>
          <w:iCs w:val="0"/>
          <w:color w:val="auto"/>
          <w:highlight w:val="none"/>
        </w:rPr>
      </w:pPr>
    </w:p>
    <w:p w14:paraId="522D5CAB">
      <w:pPr>
        <w:rPr>
          <w:i w:val="0"/>
          <w:iCs w:val="0"/>
          <w:color w:val="auto"/>
          <w:highlight w:val="none"/>
        </w:rPr>
      </w:pPr>
    </w:p>
    <w:p w14:paraId="1C6E343C">
      <w:pPr>
        <w:rPr>
          <w:i w:val="0"/>
          <w:iCs w:val="0"/>
          <w:color w:val="auto"/>
          <w:highlight w:val="none"/>
        </w:rPr>
      </w:pPr>
    </w:p>
    <w:p w14:paraId="423338E4">
      <w:pPr>
        <w:rPr>
          <w:i w:val="0"/>
          <w:iCs w:val="0"/>
          <w:color w:val="auto"/>
          <w:highlight w:val="none"/>
        </w:rPr>
      </w:pPr>
    </w:p>
    <w:p w14:paraId="6DB6C1B6">
      <w:pPr>
        <w:rPr>
          <w:i w:val="0"/>
          <w:iCs w:val="0"/>
          <w:color w:val="auto"/>
          <w:highlight w:val="none"/>
        </w:rPr>
      </w:pPr>
    </w:p>
    <w:p w14:paraId="51097B30">
      <w:pPr>
        <w:spacing w:line="400" w:lineRule="exact"/>
        <w:jc w:val="center"/>
        <w:rPr>
          <w:rFonts w:ascii="宋体" w:hAnsi="宋体"/>
          <w:i w:val="0"/>
          <w:iCs w:val="0"/>
          <w:color w:val="auto"/>
          <w:highlight w:val="none"/>
          <w:u w:val="single"/>
        </w:rPr>
      </w:pPr>
      <w:r>
        <w:rPr>
          <w:b/>
          <w:bCs/>
          <w:i w:val="0"/>
          <w:iCs w:val="0"/>
          <w:color w:val="auto"/>
          <w:sz w:val="36"/>
          <w:szCs w:val="36"/>
          <w:highlight w:val="none"/>
        </w:rPr>
        <w:br w:type="page"/>
      </w:r>
      <w:r>
        <w:rPr>
          <w:rFonts w:hint="eastAsia" w:ascii="宋体" w:hAnsi="宋体"/>
          <w:b/>
          <w:bCs/>
          <w:i w:val="0"/>
          <w:iCs w:val="0"/>
          <w:color w:val="auto"/>
          <w:sz w:val="32"/>
          <w:szCs w:val="32"/>
          <w:highlight w:val="none"/>
        </w:rPr>
        <w:t>投标函</w:t>
      </w:r>
    </w:p>
    <w:p w14:paraId="0F6E9A7E">
      <w:pPr>
        <w:snapToGrid w:val="0"/>
        <w:spacing w:line="360" w:lineRule="auto"/>
        <w:rPr>
          <w:rFonts w:ascii="宋体" w:hAnsi="宋体"/>
          <w:i w:val="0"/>
          <w:iCs w:val="0"/>
          <w:color w:val="auto"/>
          <w:highlight w:val="none"/>
        </w:rPr>
      </w:pPr>
      <w:r>
        <w:rPr>
          <w:rFonts w:hint="eastAsia" w:ascii="宋体" w:hAnsi="宋体"/>
          <w:i w:val="0"/>
          <w:iCs w:val="0"/>
          <w:color w:val="auto"/>
          <w:highlight w:val="none"/>
          <w:u w:val="single"/>
        </w:rPr>
        <w:t>（招标人名称）</w:t>
      </w:r>
      <w:r>
        <w:rPr>
          <w:rFonts w:hint="eastAsia" w:ascii="宋体" w:hAnsi="宋体"/>
          <w:i w:val="0"/>
          <w:iCs w:val="0"/>
          <w:color w:val="auto"/>
          <w:highlight w:val="none"/>
        </w:rPr>
        <w:t>:</w:t>
      </w:r>
    </w:p>
    <w:p w14:paraId="39722AA9">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1.我方己仔细研究了贵方的招标编号为</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的</w:t>
      </w:r>
      <w:r>
        <w:rPr>
          <w:rFonts w:hint="eastAsia" w:ascii="宋体" w:hAnsi="宋体"/>
          <w:i w:val="0"/>
          <w:iCs w:val="0"/>
          <w:color w:val="auto"/>
          <w:highlight w:val="none"/>
          <w:u w:val="single"/>
        </w:rPr>
        <w:t xml:space="preserve">    （项目名称）</w:t>
      </w:r>
      <w:r>
        <w:rPr>
          <w:rFonts w:hint="eastAsia" w:ascii="宋体" w:hAnsi="宋体"/>
          <w:i w:val="0"/>
          <w:iCs w:val="0"/>
          <w:color w:val="auto"/>
          <w:highlight w:val="none"/>
        </w:rPr>
        <w:t>标段施工招标文件的全部内容，愿意以人民币（大写）</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）的投标总报价，项目负责人</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 xml:space="preserve"> ，身份证号码</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，工期</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个日历天，按合同约定实施和完成承包工程，履行所有的义务，工程质量达到</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w:t>
      </w:r>
    </w:p>
    <w:p w14:paraId="637B91A4">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2.我方承诺在投标有效期内不修改、撤销投标文件。</w:t>
      </w:r>
    </w:p>
    <w:p w14:paraId="6D10C7D8">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538A1532">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4.</w:t>
      </w:r>
      <w:r>
        <w:rPr>
          <w:rFonts w:hint="eastAsia"/>
          <w:i w:val="0"/>
          <w:iCs w:val="0"/>
          <w:color w:val="auto"/>
          <w:highlight w:val="none"/>
        </w:rPr>
        <w:t>我方已</w:t>
      </w:r>
      <w:r>
        <w:rPr>
          <w:rFonts w:hint="eastAsia" w:hAnsi="宋体"/>
          <w:i w:val="0"/>
          <w:iCs w:val="0"/>
          <w:color w:val="auto"/>
          <w:highlight w:val="none"/>
        </w:rPr>
        <w:t>按招标文件要求提交投标保证金</w:t>
      </w:r>
      <w:r>
        <w:rPr>
          <w:rFonts w:hint="eastAsia" w:ascii="宋体" w:hAnsi="宋体"/>
          <w:i w:val="0"/>
          <w:iCs w:val="0"/>
          <w:color w:val="auto"/>
          <w:highlight w:val="none"/>
        </w:rPr>
        <w:t>。</w:t>
      </w:r>
    </w:p>
    <w:p w14:paraId="5DDAFC75">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5.如我方中标：</w:t>
      </w:r>
    </w:p>
    <w:p w14:paraId="6F6184D9">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(l）我方承诺在收到中标通知书后，在中标通知书规定期限内与你方签订合同。</w:t>
      </w:r>
    </w:p>
    <w:p w14:paraId="38A89B2A">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(2）随同本投标函递交的投标函附录属于合同文件的组成部分。</w:t>
      </w:r>
    </w:p>
    <w:p w14:paraId="04F3ADDE">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(3）我方承诺按照招标文件规定向你方递交履约担保。</w:t>
      </w:r>
    </w:p>
    <w:p w14:paraId="67620FEB">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(4）我方承诺在合同约定的期限内完成并交付全部合同工程。</w:t>
      </w:r>
    </w:p>
    <w:p w14:paraId="11EB9780">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6.我方在此声明，所递交的投标文件及有关资料内容完整、真实和准确，且不存在第二章“投标人须知”第1.4.4 项规定的任何一种情形。</w:t>
      </w:r>
    </w:p>
    <w:p w14:paraId="58536EA1">
      <w:pPr>
        <w:snapToGrid w:val="0"/>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7.</w:t>
      </w:r>
      <w:r>
        <w:rPr>
          <w:rFonts w:hint="eastAsia" w:ascii="宋体" w:hAnsi="宋体"/>
          <w:i w:val="0"/>
          <w:iCs w:val="0"/>
          <w:color w:val="auto"/>
          <w:highlight w:val="none"/>
          <w:u w:val="single"/>
        </w:rPr>
        <w:t>（招标人可补充其他说明）</w:t>
      </w:r>
      <w:r>
        <w:rPr>
          <w:rFonts w:hint="eastAsia" w:ascii="宋体" w:hAnsi="宋体"/>
          <w:i w:val="0"/>
          <w:iCs w:val="0"/>
          <w:color w:val="auto"/>
          <w:highlight w:val="none"/>
        </w:rPr>
        <w:t>。</w:t>
      </w:r>
    </w:p>
    <w:p w14:paraId="5B06079B">
      <w:pPr>
        <w:spacing w:line="360" w:lineRule="auto"/>
        <w:ind w:right="480" w:firstLine="240"/>
        <w:rPr>
          <w:rFonts w:ascii="宋体" w:hAnsi="宋体"/>
          <w:i w:val="0"/>
          <w:iCs w:val="0"/>
          <w:color w:val="auto"/>
          <w:highlight w:val="none"/>
        </w:rPr>
      </w:pPr>
    </w:p>
    <w:p w14:paraId="2CF4B0A0">
      <w:pPr>
        <w:spacing w:line="360" w:lineRule="auto"/>
        <w:ind w:left="3780" w:right="480" w:firstLine="420"/>
        <w:rPr>
          <w:rFonts w:hint="eastAsia" w:ascii="宋体" w:hAnsi="宋体"/>
          <w:i w:val="0"/>
          <w:iCs w:val="0"/>
          <w:color w:val="auto"/>
          <w:highlight w:val="none"/>
        </w:rPr>
      </w:pPr>
      <w:r>
        <w:rPr>
          <w:rFonts w:hint="eastAsia" w:ascii="宋体" w:hAnsi="宋体"/>
          <w:i w:val="0"/>
          <w:iCs w:val="0"/>
          <w:color w:val="auto"/>
          <w:highlight w:val="none"/>
        </w:rPr>
        <w:t>投标人：</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 xml:space="preserve"> （单位盖章）</w:t>
      </w:r>
    </w:p>
    <w:p w14:paraId="5F2BF5BE">
      <w:pPr>
        <w:spacing w:line="360" w:lineRule="auto"/>
        <w:ind w:left="3780" w:right="480" w:firstLine="420"/>
        <w:rPr>
          <w:rFonts w:ascii="宋体"/>
          <w:i w:val="0"/>
          <w:iCs w:val="0"/>
          <w:color w:val="auto"/>
          <w:highlight w:val="none"/>
          <w:u w:val="single"/>
        </w:rPr>
      </w:pPr>
      <w:r>
        <w:rPr>
          <w:rFonts w:hint="eastAsia" w:ascii="宋体" w:hAnsi="宋体"/>
          <w:i w:val="0"/>
          <w:iCs w:val="0"/>
          <w:color w:val="auto"/>
          <w:highlight w:val="none"/>
        </w:rPr>
        <w:t>法定代表或委托代理人：</w:t>
      </w:r>
      <w:r>
        <w:rPr>
          <w:rFonts w:hint="eastAsia" w:ascii="宋体" w:hAnsi="宋体"/>
          <w:i w:val="0"/>
          <w:iCs w:val="0"/>
          <w:color w:val="auto"/>
          <w:highlight w:val="none"/>
          <w:u w:val="single"/>
        </w:rPr>
        <w:t>（签字或盖章）</w:t>
      </w:r>
    </w:p>
    <w:p w14:paraId="2DAEAE57">
      <w:pPr>
        <w:spacing w:line="360" w:lineRule="auto"/>
        <w:ind w:firstLine="240"/>
        <w:rPr>
          <w:rFonts w:ascii="宋体" w:hAnsi="宋体"/>
          <w:i w:val="0"/>
          <w:iCs w:val="0"/>
          <w:color w:val="auto"/>
          <w:highlight w:val="none"/>
          <w:u w:val="single"/>
        </w:rPr>
      </w:pPr>
      <w:r>
        <w:rPr>
          <w:rFonts w:hint="eastAsia" w:ascii="宋体" w:hAnsi="宋体"/>
          <w:i w:val="0"/>
          <w:iCs w:val="0"/>
          <w:color w:val="auto"/>
          <w:highlight w:val="none"/>
        </w:rPr>
        <w:t xml:space="preserve">                                 联系人：</w:t>
      </w:r>
      <w:r>
        <w:rPr>
          <w:rFonts w:hint="eastAsia" w:ascii="宋体" w:hAnsi="宋体"/>
          <w:i w:val="0"/>
          <w:iCs w:val="0"/>
          <w:color w:val="auto"/>
          <w:highlight w:val="none"/>
          <w:u w:val="single"/>
        </w:rPr>
        <w:t xml:space="preserve">                            </w:t>
      </w:r>
    </w:p>
    <w:p w14:paraId="12767107">
      <w:pPr>
        <w:spacing w:line="360" w:lineRule="auto"/>
        <w:ind w:firstLine="4200" w:firstLineChars="1750"/>
        <w:rPr>
          <w:rFonts w:ascii="宋体" w:hAnsi="宋体"/>
          <w:i w:val="0"/>
          <w:iCs w:val="0"/>
          <w:color w:val="auto"/>
          <w:highlight w:val="none"/>
          <w:u w:val="single"/>
        </w:rPr>
      </w:pPr>
      <w:r>
        <w:rPr>
          <w:rFonts w:hint="eastAsia" w:ascii="宋体" w:hAnsi="宋体"/>
          <w:i w:val="0"/>
          <w:iCs w:val="0"/>
          <w:color w:val="auto"/>
          <w:highlight w:val="none"/>
        </w:rPr>
        <w:t>联系地址：</w:t>
      </w:r>
      <w:r>
        <w:rPr>
          <w:rFonts w:hint="eastAsia" w:ascii="宋体" w:hAnsi="宋体"/>
          <w:i w:val="0"/>
          <w:iCs w:val="0"/>
          <w:color w:val="auto"/>
          <w:highlight w:val="none"/>
          <w:u w:val="single"/>
        </w:rPr>
        <w:t xml:space="preserve">                          </w:t>
      </w:r>
    </w:p>
    <w:p w14:paraId="7D918892">
      <w:pPr>
        <w:spacing w:line="360" w:lineRule="auto"/>
        <w:ind w:firstLine="4200" w:firstLineChars="1750"/>
        <w:rPr>
          <w:rFonts w:ascii="宋体" w:hAnsi="宋体"/>
          <w:i w:val="0"/>
          <w:iCs w:val="0"/>
          <w:color w:val="auto"/>
          <w:highlight w:val="none"/>
          <w:u w:val="single"/>
        </w:rPr>
      </w:pPr>
      <w:r>
        <w:rPr>
          <w:rFonts w:hint="eastAsia" w:ascii="宋体" w:hAnsi="宋体"/>
          <w:i w:val="0"/>
          <w:iCs w:val="0"/>
          <w:color w:val="auto"/>
          <w:highlight w:val="none"/>
        </w:rPr>
        <w:t>电话：</w:t>
      </w:r>
      <w:r>
        <w:rPr>
          <w:rFonts w:hint="eastAsia" w:ascii="宋体" w:hAnsi="宋体"/>
          <w:i w:val="0"/>
          <w:iCs w:val="0"/>
          <w:color w:val="auto"/>
          <w:highlight w:val="none"/>
          <w:u w:val="single"/>
        </w:rPr>
        <w:t xml:space="preserve">                              </w:t>
      </w:r>
    </w:p>
    <w:p w14:paraId="58D43C5B">
      <w:pPr>
        <w:spacing w:line="360" w:lineRule="auto"/>
        <w:ind w:firstLine="4200" w:firstLineChars="1750"/>
        <w:rPr>
          <w:rFonts w:ascii="宋体" w:hAnsi="宋体"/>
          <w:i w:val="0"/>
          <w:iCs w:val="0"/>
          <w:color w:val="auto"/>
          <w:highlight w:val="none"/>
          <w:u w:val="single"/>
        </w:rPr>
      </w:pPr>
      <w:r>
        <w:rPr>
          <w:rFonts w:hint="eastAsia" w:ascii="宋体" w:hAnsi="宋体"/>
          <w:i w:val="0"/>
          <w:iCs w:val="0"/>
          <w:color w:val="auto"/>
          <w:highlight w:val="none"/>
        </w:rPr>
        <w:t>邮编：</w:t>
      </w:r>
      <w:r>
        <w:rPr>
          <w:rFonts w:hint="eastAsia" w:ascii="宋体" w:hAnsi="宋体"/>
          <w:i w:val="0"/>
          <w:iCs w:val="0"/>
          <w:color w:val="auto"/>
          <w:highlight w:val="none"/>
          <w:u w:val="single"/>
        </w:rPr>
        <w:t xml:space="preserve">                              </w:t>
      </w:r>
    </w:p>
    <w:p w14:paraId="24E58946">
      <w:pPr>
        <w:spacing w:line="360" w:lineRule="auto"/>
        <w:ind w:firstLine="5760" w:firstLineChars="2400"/>
        <w:rPr>
          <w:rFonts w:ascii="宋体" w:hAnsi="宋体"/>
          <w:i w:val="0"/>
          <w:iCs w:val="0"/>
          <w:color w:val="auto"/>
          <w:highlight w:val="none"/>
        </w:rPr>
      </w:pPr>
      <w:r>
        <w:rPr>
          <w:rFonts w:hint="eastAsia" w:ascii="宋体" w:hAnsi="宋体"/>
          <w:i w:val="0"/>
          <w:iCs w:val="0"/>
          <w:color w:val="auto"/>
          <w:highlight w:val="none"/>
        </w:rPr>
        <w:t>年  月  日</w:t>
      </w:r>
    </w:p>
    <w:p w14:paraId="2901822B">
      <w:pPr>
        <w:widowControl/>
        <w:autoSpaceDN/>
        <w:rPr>
          <w:b/>
          <w:bCs/>
          <w:i w:val="0"/>
          <w:iCs w:val="0"/>
          <w:color w:val="auto"/>
          <w:sz w:val="28"/>
          <w:szCs w:val="28"/>
          <w:highlight w:val="none"/>
        </w:rPr>
      </w:pPr>
      <w:r>
        <w:rPr>
          <w:b/>
          <w:bCs/>
          <w:i w:val="0"/>
          <w:iCs w:val="0"/>
          <w:color w:val="auto"/>
          <w:sz w:val="36"/>
          <w:szCs w:val="36"/>
          <w:highlight w:val="none"/>
        </w:rPr>
        <w:br w:type="page"/>
      </w:r>
    </w:p>
    <w:p w14:paraId="092FFE12">
      <w:pPr>
        <w:spacing w:line="480" w:lineRule="auto"/>
        <w:jc w:val="center"/>
        <w:rPr>
          <w:b/>
          <w:bCs/>
          <w:i w:val="0"/>
          <w:iCs w:val="0"/>
          <w:color w:val="auto"/>
          <w:sz w:val="36"/>
          <w:szCs w:val="36"/>
          <w:highlight w:val="none"/>
        </w:rPr>
      </w:pPr>
      <w:r>
        <w:rPr>
          <w:rFonts w:hint="eastAsia" w:ascii="宋体" w:hAnsi="宋体"/>
          <w:b/>
          <w:bCs/>
          <w:i w:val="0"/>
          <w:iCs w:val="0"/>
          <w:color w:val="auto"/>
          <w:sz w:val="36"/>
          <w:szCs w:val="36"/>
          <w:highlight w:val="none"/>
        </w:rPr>
        <w:t>投标函附录</w:t>
      </w:r>
    </w:p>
    <w:tbl>
      <w:tblPr>
        <w:tblStyle w:val="21"/>
        <w:tblW w:w="925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45031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408FB373">
            <w:pPr>
              <w:keepNext w:val="0"/>
              <w:keepLines w:val="0"/>
              <w:suppressLineNumbers w:val="0"/>
              <w:spacing w:before="0" w:beforeAutospacing="0" w:after="0" w:afterAutospacing="0" w:line="480" w:lineRule="auto"/>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序号</w:t>
            </w:r>
          </w:p>
        </w:tc>
        <w:tc>
          <w:tcPr>
            <w:tcW w:w="3060" w:type="dxa"/>
            <w:tcBorders>
              <w:top w:val="single" w:color="auto" w:sz="4" w:space="0"/>
              <w:left w:val="nil"/>
              <w:bottom w:val="single" w:color="auto" w:sz="4" w:space="0"/>
              <w:right w:val="single" w:color="auto" w:sz="4" w:space="0"/>
            </w:tcBorders>
            <w:noWrap/>
            <w:vAlign w:val="bottom"/>
          </w:tcPr>
          <w:p w14:paraId="1CBB7459">
            <w:pPr>
              <w:keepNext w:val="0"/>
              <w:keepLines w:val="0"/>
              <w:suppressLineNumbers w:val="0"/>
              <w:spacing w:before="0" w:beforeAutospacing="0" w:after="0" w:afterAutospacing="0" w:line="480" w:lineRule="auto"/>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项目内容</w:t>
            </w:r>
          </w:p>
        </w:tc>
        <w:tc>
          <w:tcPr>
            <w:tcW w:w="1704" w:type="dxa"/>
            <w:tcBorders>
              <w:top w:val="single" w:color="auto" w:sz="4" w:space="0"/>
              <w:left w:val="nil"/>
              <w:bottom w:val="single" w:color="auto" w:sz="4" w:space="0"/>
              <w:right w:val="single" w:color="auto" w:sz="4" w:space="0"/>
            </w:tcBorders>
            <w:noWrap/>
            <w:vAlign w:val="bottom"/>
          </w:tcPr>
          <w:p w14:paraId="5BB587E4">
            <w:pPr>
              <w:keepNext w:val="0"/>
              <w:keepLines w:val="0"/>
              <w:suppressLineNumbers w:val="0"/>
              <w:spacing w:before="0" w:beforeAutospacing="0" w:after="0" w:afterAutospacing="0" w:line="480" w:lineRule="auto"/>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合同条款号</w:t>
            </w:r>
          </w:p>
        </w:tc>
        <w:tc>
          <w:tcPr>
            <w:tcW w:w="2306" w:type="dxa"/>
            <w:tcBorders>
              <w:top w:val="single" w:color="auto" w:sz="4" w:space="0"/>
              <w:left w:val="nil"/>
              <w:bottom w:val="single" w:color="auto" w:sz="4" w:space="0"/>
              <w:right w:val="single" w:color="auto" w:sz="4" w:space="0"/>
            </w:tcBorders>
            <w:noWrap/>
            <w:vAlign w:val="bottom"/>
          </w:tcPr>
          <w:p w14:paraId="7AC20A27">
            <w:pPr>
              <w:keepNext w:val="0"/>
              <w:keepLines w:val="0"/>
              <w:suppressLineNumbers w:val="0"/>
              <w:spacing w:before="0" w:beforeAutospacing="0" w:after="0" w:afterAutospacing="0" w:line="480" w:lineRule="auto"/>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约定内容</w:t>
            </w:r>
          </w:p>
        </w:tc>
        <w:tc>
          <w:tcPr>
            <w:tcW w:w="1463" w:type="dxa"/>
            <w:tcBorders>
              <w:top w:val="single" w:color="auto" w:sz="4" w:space="0"/>
              <w:left w:val="nil"/>
              <w:bottom w:val="single" w:color="auto" w:sz="4" w:space="0"/>
              <w:right w:val="single" w:color="auto" w:sz="4" w:space="0"/>
            </w:tcBorders>
            <w:noWrap/>
            <w:vAlign w:val="bottom"/>
          </w:tcPr>
          <w:p w14:paraId="6D205789">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优于招标条件（如有）</w:t>
            </w:r>
          </w:p>
        </w:tc>
      </w:tr>
      <w:tr w14:paraId="2B095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BD495AB">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39E8BF6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履约担保</w:t>
            </w:r>
          </w:p>
          <w:p w14:paraId="3BA4C8C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银行保函金额</w:t>
            </w:r>
          </w:p>
          <w:p w14:paraId="56AD7B3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履约担保书金额</w:t>
            </w:r>
          </w:p>
        </w:tc>
        <w:tc>
          <w:tcPr>
            <w:tcW w:w="1704" w:type="dxa"/>
            <w:tcBorders>
              <w:top w:val="single" w:color="auto" w:sz="4" w:space="0"/>
              <w:left w:val="nil"/>
              <w:bottom w:val="single" w:color="auto" w:sz="4" w:space="0"/>
              <w:right w:val="single" w:color="auto" w:sz="4" w:space="0"/>
            </w:tcBorders>
            <w:noWrap/>
            <w:vAlign w:val="center"/>
          </w:tcPr>
          <w:p w14:paraId="0501D07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CDDF70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BBC6118">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6A8E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B582ABD">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143D2EA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施工准备时间</w:t>
            </w:r>
          </w:p>
        </w:tc>
        <w:tc>
          <w:tcPr>
            <w:tcW w:w="1704" w:type="dxa"/>
            <w:tcBorders>
              <w:top w:val="single" w:color="auto" w:sz="4" w:space="0"/>
              <w:left w:val="nil"/>
              <w:bottom w:val="single" w:color="auto" w:sz="4" w:space="0"/>
              <w:right w:val="single" w:color="auto" w:sz="4" w:space="0"/>
            </w:tcBorders>
            <w:noWrap/>
            <w:vAlign w:val="center"/>
          </w:tcPr>
          <w:p w14:paraId="0F1CC08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1B8FA0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AA9C09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29F2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D3361FF">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083BADE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误期违约金额</w:t>
            </w:r>
          </w:p>
        </w:tc>
        <w:tc>
          <w:tcPr>
            <w:tcW w:w="1704" w:type="dxa"/>
            <w:tcBorders>
              <w:top w:val="single" w:color="auto" w:sz="4" w:space="0"/>
              <w:left w:val="nil"/>
              <w:bottom w:val="single" w:color="auto" w:sz="4" w:space="0"/>
              <w:right w:val="single" w:color="auto" w:sz="4" w:space="0"/>
            </w:tcBorders>
            <w:noWrap/>
            <w:vAlign w:val="center"/>
          </w:tcPr>
          <w:p w14:paraId="2E03913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10B0A89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9337046">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495E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85843F3">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6CCF6A9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误期赔偿费限额</w:t>
            </w:r>
          </w:p>
        </w:tc>
        <w:tc>
          <w:tcPr>
            <w:tcW w:w="1704" w:type="dxa"/>
            <w:tcBorders>
              <w:top w:val="single" w:color="auto" w:sz="4" w:space="0"/>
              <w:left w:val="nil"/>
              <w:bottom w:val="single" w:color="auto" w:sz="4" w:space="0"/>
              <w:right w:val="single" w:color="auto" w:sz="4" w:space="0"/>
            </w:tcBorders>
            <w:noWrap/>
            <w:vAlign w:val="center"/>
          </w:tcPr>
          <w:p w14:paraId="27D0AB2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236006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E2F2EF7">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600A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1721AA7F">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5</w:t>
            </w:r>
          </w:p>
        </w:tc>
        <w:tc>
          <w:tcPr>
            <w:tcW w:w="3060" w:type="dxa"/>
            <w:tcBorders>
              <w:top w:val="single" w:color="auto" w:sz="4" w:space="0"/>
              <w:left w:val="nil"/>
              <w:bottom w:val="single" w:color="auto" w:sz="4" w:space="0"/>
              <w:right w:val="single" w:color="auto" w:sz="4" w:space="0"/>
            </w:tcBorders>
            <w:noWrap/>
            <w:vAlign w:val="center"/>
          </w:tcPr>
          <w:p w14:paraId="287894C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提前工期奖</w:t>
            </w:r>
          </w:p>
        </w:tc>
        <w:tc>
          <w:tcPr>
            <w:tcW w:w="1704" w:type="dxa"/>
            <w:tcBorders>
              <w:top w:val="single" w:color="auto" w:sz="4" w:space="0"/>
              <w:left w:val="nil"/>
              <w:bottom w:val="single" w:color="auto" w:sz="4" w:space="0"/>
              <w:right w:val="single" w:color="auto" w:sz="4" w:space="0"/>
            </w:tcBorders>
            <w:noWrap/>
            <w:vAlign w:val="center"/>
          </w:tcPr>
          <w:p w14:paraId="74F501A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B9C1C8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3A8CCA17">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118D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F60D2FF">
            <w:pPr>
              <w:keepNext w:val="0"/>
              <w:keepLines w:val="0"/>
              <w:suppressLineNumbers w:val="0"/>
              <w:adjustRightInd/>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6</w:t>
            </w:r>
          </w:p>
        </w:tc>
        <w:tc>
          <w:tcPr>
            <w:tcW w:w="3060" w:type="dxa"/>
            <w:tcBorders>
              <w:top w:val="single" w:color="auto" w:sz="4" w:space="0"/>
              <w:left w:val="nil"/>
              <w:bottom w:val="single" w:color="auto" w:sz="4" w:space="0"/>
              <w:right w:val="single" w:color="auto" w:sz="4" w:space="0"/>
            </w:tcBorders>
            <w:noWrap/>
            <w:vAlign w:val="center"/>
          </w:tcPr>
          <w:p w14:paraId="2E7F81F0">
            <w:pPr>
              <w:keepNext w:val="0"/>
              <w:keepLines w:val="0"/>
              <w:suppressLineNumbers w:val="0"/>
              <w:adjustRightInd/>
              <w:spacing w:before="0" w:beforeAutospacing="0" w:after="0" w:afterAutospacing="0"/>
              <w:ind w:left="0" w:right="0"/>
              <w:jc w:val="both"/>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创优质工程（如有）</w:t>
            </w:r>
          </w:p>
        </w:tc>
        <w:tc>
          <w:tcPr>
            <w:tcW w:w="1704" w:type="dxa"/>
            <w:tcBorders>
              <w:top w:val="single" w:color="auto" w:sz="4" w:space="0"/>
              <w:left w:val="nil"/>
              <w:bottom w:val="single" w:color="auto" w:sz="4" w:space="0"/>
              <w:right w:val="single" w:color="auto" w:sz="4" w:space="0"/>
            </w:tcBorders>
            <w:noWrap/>
            <w:vAlign w:val="center"/>
          </w:tcPr>
          <w:p w14:paraId="55141278">
            <w:pPr>
              <w:keepNext w:val="0"/>
              <w:keepLines w:val="0"/>
              <w:suppressLineNumbers w:val="0"/>
              <w:adjustRightInd/>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FA2D2AD">
            <w:pPr>
              <w:keepNext w:val="0"/>
              <w:keepLines w:val="0"/>
              <w:suppressLineNumbers w:val="0"/>
              <w:adjustRightInd/>
              <w:spacing w:before="0" w:beforeAutospacing="0" w:after="0" w:afterAutospacing="0"/>
              <w:ind w:left="0" w:right="0"/>
              <w:jc w:val="both"/>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7A33965E">
            <w:pPr>
              <w:keepNext w:val="0"/>
              <w:keepLines w:val="0"/>
              <w:suppressLineNumbers w:val="0"/>
              <w:adjustRightInd/>
              <w:spacing w:before="0" w:beforeAutospacing="0" w:after="0" w:afterAutospacing="0"/>
              <w:ind w:left="0" w:right="0"/>
              <w:jc w:val="center"/>
              <w:rPr>
                <w:rFonts w:hint="default" w:ascii="Times New Roman" w:hAnsi="Times New Roman" w:cs="Times New Roman"/>
                <w:i w:val="0"/>
                <w:iCs w:val="0"/>
                <w:color w:val="auto"/>
                <w:highlight w:val="none"/>
              </w:rPr>
            </w:pPr>
          </w:p>
        </w:tc>
      </w:tr>
      <w:tr w14:paraId="40763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588E1E3">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7</w:t>
            </w:r>
          </w:p>
        </w:tc>
        <w:tc>
          <w:tcPr>
            <w:tcW w:w="3060" w:type="dxa"/>
            <w:tcBorders>
              <w:top w:val="single" w:color="auto" w:sz="4" w:space="0"/>
              <w:left w:val="nil"/>
              <w:bottom w:val="single" w:color="auto" w:sz="4" w:space="0"/>
              <w:right w:val="single" w:color="auto" w:sz="4" w:space="0"/>
            </w:tcBorders>
            <w:noWrap/>
            <w:vAlign w:val="center"/>
          </w:tcPr>
          <w:p w14:paraId="4C5055E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施工总工期</w:t>
            </w:r>
          </w:p>
        </w:tc>
        <w:tc>
          <w:tcPr>
            <w:tcW w:w="1704" w:type="dxa"/>
            <w:tcBorders>
              <w:top w:val="single" w:color="auto" w:sz="4" w:space="0"/>
              <w:left w:val="nil"/>
              <w:bottom w:val="single" w:color="auto" w:sz="4" w:space="0"/>
              <w:right w:val="single" w:color="auto" w:sz="4" w:space="0"/>
            </w:tcBorders>
            <w:noWrap/>
            <w:vAlign w:val="center"/>
          </w:tcPr>
          <w:p w14:paraId="7FE8081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B3A4A9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2EC2F25">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5F580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3ECEA3D">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8</w:t>
            </w:r>
          </w:p>
        </w:tc>
        <w:tc>
          <w:tcPr>
            <w:tcW w:w="3060" w:type="dxa"/>
            <w:tcBorders>
              <w:top w:val="single" w:color="auto" w:sz="4" w:space="0"/>
              <w:left w:val="nil"/>
              <w:bottom w:val="single" w:color="auto" w:sz="4" w:space="0"/>
              <w:right w:val="single" w:color="auto" w:sz="4" w:space="0"/>
            </w:tcBorders>
            <w:noWrap/>
            <w:vAlign w:val="center"/>
          </w:tcPr>
          <w:p w14:paraId="00887E6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质量标准：</w:t>
            </w:r>
          </w:p>
        </w:tc>
        <w:tc>
          <w:tcPr>
            <w:tcW w:w="1704" w:type="dxa"/>
            <w:tcBorders>
              <w:top w:val="single" w:color="auto" w:sz="4" w:space="0"/>
              <w:left w:val="nil"/>
              <w:bottom w:val="single" w:color="auto" w:sz="4" w:space="0"/>
              <w:right w:val="single" w:color="auto" w:sz="4" w:space="0"/>
            </w:tcBorders>
            <w:noWrap/>
            <w:vAlign w:val="center"/>
          </w:tcPr>
          <w:p w14:paraId="7EDD7B7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55F8E3F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5B816F3">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4770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56A25D4">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9</w:t>
            </w:r>
          </w:p>
        </w:tc>
        <w:tc>
          <w:tcPr>
            <w:tcW w:w="3060" w:type="dxa"/>
            <w:tcBorders>
              <w:top w:val="single" w:color="auto" w:sz="4" w:space="0"/>
              <w:left w:val="nil"/>
              <w:bottom w:val="single" w:color="auto" w:sz="4" w:space="0"/>
              <w:right w:val="single" w:color="auto" w:sz="4" w:space="0"/>
            </w:tcBorders>
            <w:noWrap/>
            <w:vAlign w:val="center"/>
          </w:tcPr>
          <w:p w14:paraId="63AE176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2A5C42A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F8AC5B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37F9D0E8">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38AF1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F4730D8">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10</w:t>
            </w:r>
          </w:p>
        </w:tc>
        <w:tc>
          <w:tcPr>
            <w:tcW w:w="3060" w:type="dxa"/>
            <w:tcBorders>
              <w:top w:val="single" w:color="auto" w:sz="4" w:space="0"/>
              <w:left w:val="nil"/>
              <w:bottom w:val="single" w:color="auto" w:sz="4" w:space="0"/>
              <w:right w:val="single" w:color="auto" w:sz="4" w:space="0"/>
            </w:tcBorders>
            <w:noWrap/>
            <w:vAlign w:val="center"/>
          </w:tcPr>
          <w:p w14:paraId="3FCE54B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预付款金额：</w:t>
            </w:r>
          </w:p>
        </w:tc>
        <w:tc>
          <w:tcPr>
            <w:tcW w:w="1704" w:type="dxa"/>
            <w:tcBorders>
              <w:top w:val="single" w:color="auto" w:sz="4" w:space="0"/>
              <w:left w:val="nil"/>
              <w:bottom w:val="single" w:color="auto" w:sz="4" w:space="0"/>
              <w:right w:val="single" w:color="auto" w:sz="4" w:space="0"/>
            </w:tcBorders>
            <w:noWrap/>
            <w:vAlign w:val="center"/>
          </w:tcPr>
          <w:p w14:paraId="4BB9DC1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7DC819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A39A436">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37D9F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9BCF79D">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403EFA7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预付款保函金额</w:t>
            </w:r>
          </w:p>
        </w:tc>
        <w:tc>
          <w:tcPr>
            <w:tcW w:w="1704" w:type="dxa"/>
            <w:tcBorders>
              <w:top w:val="single" w:color="auto" w:sz="4" w:space="0"/>
              <w:left w:val="nil"/>
              <w:bottom w:val="single" w:color="auto" w:sz="4" w:space="0"/>
              <w:right w:val="single" w:color="auto" w:sz="4" w:space="0"/>
            </w:tcBorders>
            <w:noWrap/>
            <w:vAlign w:val="center"/>
          </w:tcPr>
          <w:p w14:paraId="5547FA2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9F21D5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510BF16">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7CDF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86ED0BD">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393A7A8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进度款付款金额</w:t>
            </w:r>
          </w:p>
        </w:tc>
        <w:tc>
          <w:tcPr>
            <w:tcW w:w="1704" w:type="dxa"/>
            <w:tcBorders>
              <w:top w:val="single" w:color="auto" w:sz="4" w:space="0"/>
              <w:left w:val="nil"/>
              <w:bottom w:val="single" w:color="auto" w:sz="4" w:space="0"/>
              <w:right w:val="single" w:color="auto" w:sz="4" w:space="0"/>
            </w:tcBorders>
            <w:noWrap/>
            <w:vAlign w:val="center"/>
          </w:tcPr>
          <w:p w14:paraId="202D4BA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C42486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D2F7A3A">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484C9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9A48DF8">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0C15976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5AF815B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2514DF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DD45A6F">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r w14:paraId="1F09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3325BF3">
            <w:pPr>
              <w:keepNext w:val="0"/>
              <w:keepLines w:val="0"/>
              <w:suppressLineNumbers w:val="0"/>
              <w:spacing w:before="0" w:beforeAutospacing="0" w:after="0" w:afterAutospacing="0"/>
              <w:ind w:left="0" w:right="0"/>
              <w:jc w:val="center"/>
              <w:rPr>
                <w:rFonts w:hint="eastAsia"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r>
              <w:rPr>
                <w:rFonts w:hint="eastAsia" w:ascii="Times New Roman" w:hAnsi="Times New Roman" w:cs="Times New Roman"/>
                <w:i w:val="0"/>
                <w:iCs w:val="0"/>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4111177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保修期：</w:t>
            </w:r>
          </w:p>
        </w:tc>
        <w:tc>
          <w:tcPr>
            <w:tcW w:w="1704" w:type="dxa"/>
            <w:tcBorders>
              <w:top w:val="single" w:color="auto" w:sz="4" w:space="0"/>
              <w:left w:val="nil"/>
              <w:bottom w:val="single" w:color="auto" w:sz="4" w:space="0"/>
              <w:right w:val="single" w:color="auto" w:sz="4" w:space="0"/>
            </w:tcBorders>
            <w:noWrap/>
            <w:vAlign w:val="center"/>
          </w:tcPr>
          <w:p w14:paraId="097E402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E1F262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D955EDB">
            <w:pPr>
              <w:keepNext w:val="0"/>
              <w:keepLines w:val="0"/>
              <w:suppressLineNumbers w:val="0"/>
              <w:spacing w:before="0" w:beforeAutospacing="0" w:after="0" w:afterAutospacing="0" w:line="480" w:lineRule="auto"/>
              <w:ind w:left="0" w:right="0"/>
              <w:rPr>
                <w:rFonts w:hint="default" w:ascii="Times New Roman" w:hAnsi="Times New Roman" w:cs="Times New Roman"/>
                <w:i w:val="0"/>
                <w:iCs w:val="0"/>
                <w:color w:val="auto"/>
                <w:highlight w:val="none"/>
              </w:rPr>
            </w:pPr>
          </w:p>
        </w:tc>
      </w:tr>
    </w:tbl>
    <w:p w14:paraId="44C13BBD">
      <w:pPr>
        <w:rPr>
          <w:i w:val="0"/>
          <w:iCs w:val="0"/>
          <w:color w:val="auto"/>
          <w:highlight w:val="none"/>
        </w:rPr>
      </w:pPr>
    </w:p>
    <w:p w14:paraId="40C01150">
      <w:pPr>
        <w:spacing w:line="480" w:lineRule="auto"/>
        <w:rPr>
          <w:i w:val="0"/>
          <w:iCs w:val="0"/>
          <w:color w:val="auto"/>
          <w:highlight w:val="none"/>
        </w:rPr>
      </w:pPr>
    </w:p>
    <w:p w14:paraId="7F9D769C">
      <w:pPr>
        <w:spacing w:line="360" w:lineRule="auto"/>
        <w:jc w:val="center"/>
        <w:rPr>
          <w:rFonts w:ascii="宋体" w:hAnsi="宋体"/>
          <w:b/>
          <w:bCs/>
          <w:i w:val="0"/>
          <w:iCs w:val="0"/>
          <w:color w:val="auto"/>
          <w:sz w:val="36"/>
          <w:szCs w:val="36"/>
          <w:highlight w:val="none"/>
        </w:rPr>
      </w:pPr>
      <w:r>
        <w:rPr>
          <w:b/>
          <w:bCs/>
          <w:i w:val="0"/>
          <w:iCs w:val="0"/>
          <w:color w:val="auto"/>
          <w:highlight w:val="none"/>
        </w:rPr>
        <w:br w:type="page"/>
      </w:r>
      <w:r>
        <w:rPr>
          <w:rFonts w:hint="eastAsia" w:ascii="宋体" w:hAnsi="宋体"/>
          <w:b/>
          <w:bCs/>
          <w:i w:val="0"/>
          <w:iCs w:val="0"/>
          <w:color w:val="auto"/>
          <w:sz w:val="36"/>
          <w:szCs w:val="36"/>
          <w:highlight w:val="none"/>
        </w:rPr>
        <w:t>工程量清单报价</w:t>
      </w:r>
    </w:p>
    <w:p w14:paraId="3E50454C">
      <w:pPr>
        <w:snapToGrid w:val="0"/>
        <w:spacing w:line="360" w:lineRule="auto"/>
        <w:ind w:firstLine="480" w:firstLineChars="200"/>
        <w:jc w:val="both"/>
        <w:rPr>
          <w:rFonts w:ascii="宋体" w:hAnsi="宋体" w:cs="仿宋_GB2312"/>
          <w:i w:val="0"/>
          <w:iCs w:val="0"/>
          <w:color w:val="auto"/>
          <w:highlight w:val="none"/>
        </w:rPr>
      </w:pPr>
      <w:r>
        <w:rPr>
          <w:rFonts w:hint="eastAsia" w:ascii="宋体" w:hAnsi="宋体" w:cs="仿宋_GB2312"/>
          <w:i w:val="0"/>
          <w:iCs w:val="0"/>
          <w:color w:val="auto"/>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419B9C2C">
      <w:pPr>
        <w:snapToGrid w:val="0"/>
        <w:spacing w:line="360" w:lineRule="auto"/>
        <w:ind w:firstLine="480" w:firstLineChars="200"/>
        <w:jc w:val="both"/>
        <w:rPr>
          <w:rFonts w:ascii="宋体" w:hAnsi="宋体" w:cs="仿宋_GB2312"/>
          <w:i w:val="0"/>
          <w:iCs w:val="0"/>
          <w:color w:val="auto"/>
          <w:highlight w:val="none"/>
        </w:rPr>
      </w:pPr>
      <w:r>
        <w:rPr>
          <w:rFonts w:hint="eastAsia" w:ascii="宋体" w:hAnsi="宋体" w:cs="仿宋_GB2312"/>
          <w:i w:val="0"/>
          <w:iCs w:val="0"/>
          <w:color w:val="auto"/>
          <w:highlight w:val="none"/>
        </w:rPr>
        <w:t>(二)投标人应当根据本企业的具体经营状况、技术装备水平、管理水平，视工程的实际情况、风险程度，自主报价。投标人不得以低于其企业成本的投标报价竞标。</w:t>
      </w:r>
    </w:p>
    <w:p w14:paraId="4F925E4F">
      <w:pPr>
        <w:snapToGrid w:val="0"/>
        <w:spacing w:line="360" w:lineRule="auto"/>
        <w:ind w:firstLine="480" w:firstLineChars="200"/>
        <w:jc w:val="both"/>
        <w:rPr>
          <w:rFonts w:ascii="宋体" w:hAnsi="宋体" w:cs="仿宋_GB2312"/>
          <w:i w:val="0"/>
          <w:iCs w:val="0"/>
          <w:color w:val="auto"/>
          <w:highlight w:val="none"/>
        </w:rPr>
      </w:pPr>
      <w:r>
        <w:rPr>
          <w:rFonts w:hint="eastAsia" w:ascii="宋体" w:hAnsi="宋体" w:cs="仿宋_GB2312"/>
          <w:i w:val="0"/>
          <w:iCs w:val="0"/>
          <w:color w:val="auto"/>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2956FED0">
      <w:pPr>
        <w:snapToGrid w:val="0"/>
        <w:spacing w:line="360" w:lineRule="auto"/>
        <w:ind w:left="480" w:leftChars="200"/>
        <w:jc w:val="both"/>
        <w:rPr>
          <w:rFonts w:ascii="宋体" w:hAnsi="宋体" w:cs="仿宋_GB2312"/>
          <w:i w:val="0"/>
          <w:iCs w:val="0"/>
          <w:color w:val="auto"/>
          <w:highlight w:val="none"/>
        </w:rPr>
      </w:pPr>
      <w:r>
        <w:rPr>
          <w:rFonts w:hint="eastAsia" w:ascii="宋体" w:hAnsi="宋体" w:cs="仿宋_GB2312"/>
          <w:i w:val="0"/>
          <w:iCs w:val="0"/>
          <w:color w:val="auto"/>
          <w:highlight w:val="none"/>
        </w:rPr>
        <w:t>（三）投标报价应按照以下原则计价：</w:t>
      </w:r>
    </w:p>
    <w:p w14:paraId="5913BC6C">
      <w:pPr>
        <w:snapToGrid w:val="0"/>
        <w:spacing w:line="360" w:lineRule="auto"/>
        <w:ind w:firstLine="480" w:firstLineChars="200"/>
        <w:jc w:val="both"/>
        <w:rPr>
          <w:i w:val="0"/>
          <w:iCs w:val="0"/>
          <w:color w:val="auto"/>
          <w:highlight w:val="none"/>
        </w:rPr>
      </w:pPr>
      <w:r>
        <w:rPr>
          <w:rFonts w:hint="eastAsia"/>
          <w:i w:val="0"/>
          <w:iCs w:val="0"/>
          <w:color w:val="auto"/>
          <w:highlight w:val="none"/>
        </w:rPr>
        <w:t>1.分部分项工程项目清单费用</w:t>
      </w:r>
    </w:p>
    <w:p w14:paraId="7575F0E1">
      <w:pPr>
        <w:snapToGrid w:val="0"/>
        <w:spacing w:line="360" w:lineRule="auto"/>
        <w:ind w:firstLine="480" w:firstLineChars="200"/>
        <w:jc w:val="both"/>
        <w:rPr>
          <w:i w:val="0"/>
          <w:iCs w:val="0"/>
          <w:color w:val="auto"/>
          <w:highlight w:val="none"/>
        </w:rPr>
      </w:pPr>
      <w:r>
        <w:rPr>
          <w:rFonts w:hint="eastAsia"/>
          <w:i w:val="0"/>
          <w:iCs w:val="0"/>
          <w:color w:val="auto"/>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05869EF2">
      <w:pPr>
        <w:snapToGrid w:val="0"/>
        <w:spacing w:line="360" w:lineRule="auto"/>
        <w:ind w:firstLine="480" w:firstLineChars="200"/>
        <w:jc w:val="both"/>
        <w:rPr>
          <w:i w:val="0"/>
          <w:iCs w:val="0"/>
          <w:color w:val="auto"/>
          <w:highlight w:val="none"/>
        </w:rPr>
      </w:pPr>
      <w:r>
        <w:rPr>
          <w:rFonts w:hint="eastAsia"/>
          <w:i w:val="0"/>
          <w:iCs w:val="0"/>
          <w:color w:val="auto"/>
          <w:highlight w:val="none"/>
        </w:rPr>
        <w:t>（2）人工费、材料费、机械使用费、企业管理费和利润的费用所涵盖内容可自主确定或按省级建设主管部门颁发的计价依据确定。</w:t>
      </w:r>
    </w:p>
    <w:p w14:paraId="212F6D58">
      <w:pPr>
        <w:snapToGrid w:val="0"/>
        <w:spacing w:line="360" w:lineRule="auto"/>
        <w:ind w:firstLine="480" w:firstLineChars="200"/>
        <w:jc w:val="both"/>
        <w:rPr>
          <w:i w:val="0"/>
          <w:iCs w:val="0"/>
          <w:color w:val="auto"/>
          <w:highlight w:val="none"/>
        </w:rPr>
      </w:pPr>
      <w:r>
        <w:rPr>
          <w:rFonts w:hint="eastAsia"/>
          <w:i w:val="0"/>
          <w:iCs w:val="0"/>
          <w:color w:val="auto"/>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3842235B">
      <w:pPr>
        <w:snapToGrid w:val="0"/>
        <w:spacing w:line="360" w:lineRule="auto"/>
        <w:ind w:firstLine="480" w:firstLineChars="200"/>
        <w:jc w:val="both"/>
        <w:rPr>
          <w:i w:val="0"/>
          <w:iCs w:val="0"/>
          <w:color w:val="auto"/>
          <w:highlight w:val="none"/>
        </w:rPr>
      </w:pPr>
      <w:r>
        <w:rPr>
          <w:rFonts w:hint="eastAsia"/>
          <w:i w:val="0"/>
          <w:iCs w:val="0"/>
          <w:color w:val="auto"/>
          <w:highlight w:val="none"/>
        </w:rPr>
        <w:t>（4）企业管理费、利润的费用计算由投标人自主确定或参照省建设主管部门颁发的计价依据计算。</w:t>
      </w:r>
    </w:p>
    <w:p w14:paraId="61D9543B">
      <w:pPr>
        <w:snapToGrid w:val="0"/>
        <w:spacing w:line="360" w:lineRule="auto"/>
        <w:ind w:firstLine="480" w:firstLineChars="200"/>
        <w:jc w:val="both"/>
        <w:rPr>
          <w:i w:val="0"/>
          <w:iCs w:val="0"/>
          <w:color w:val="auto"/>
          <w:highlight w:val="none"/>
        </w:rPr>
      </w:pPr>
      <w:r>
        <w:rPr>
          <w:rFonts w:hint="eastAsia"/>
          <w:i w:val="0"/>
          <w:iCs w:val="0"/>
          <w:color w:val="auto"/>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4C999476">
      <w:pPr>
        <w:snapToGrid w:val="0"/>
        <w:spacing w:line="360" w:lineRule="auto"/>
        <w:ind w:firstLine="480" w:firstLineChars="200"/>
        <w:jc w:val="both"/>
        <w:rPr>
          <w:i w:val="0"/>
          <w:iCs w:val="0"/>
          <w:color w:val="auto"/>
          <w:highlight w:val="none"/>
        </w:rPr>
      </w:pPr>
      <w:r>
        <w:rPr>
          <w:rFonts w:hint="eastAsia"/>
          <w:i w:val="0"/>
          <w:iCs w:val="0"/>
          <w:color w:val="auto"/>
          <w:highlight w:val="none"/>
        </w:rPr>
        <w:t>（5）综合单价中的风险费计算应根据招标文件中所明确的投标人应承担的风险范围和幅度由投标人自主确定。</w:t>
      </w:r>
    </w:p>
    <w:p w14:paraId="40E41384">
      <w:pPr>
        <w:snapToGrid w:val="0"/>
        <w:spacing w:line="360" w:lineRule="auto"/>
        <w:ind w:left="480" w:leftChars="200"/>
        <w:jc w:val="both"/>
        <w:rPr>
          <w:i w:val="0"/>
          <w:iCs w:val="0"/>
          <w:color w:val="auto"/>
          <w:highlight w:val="none"/>
        </w:rPr>
      </w:pPr>
      <w:r>
        <w:rPr>
          <w:rFonts w:hint="eastAsia"/>
          <w:i w:val="0"/>
          <w:iCs w:val="0"/>
          <w:color w:val="auto"/>
          <w:highlight w:val="none"/>
        </w:rPr>
        <w:t>2.措施项目清单费用</w:t>
      </w:r>
    </w:p>
    <w:p w14:paraId="178ACE9B">
      <w:pPr>
        <w:snapToGrid w:val="0"/>
        <w:spacing w:line="360" w:lineRule="auto"/>
        <w:ind w:firstLine="480" w:firstLineChars="200"/>
        <w:jc w:val="both"/>
        <w:rPr>
          <w:i w:val="0"/>
          <w:iCs w:val="0"/>
          <w:color w:val="auto"/>
          <w:highlight w:val="none"/>
        </w:rPr>
      </w:pPr>
      <w:r>
        <w:rPr>
          <w:rFonts w:hint="eastAsia"/>
          <w:i w:val="0"/>
          <w:iCs w:val="0"/>
          <w:color w:val="auto"/>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4DD5A5FC">
      <w:pPr>
        <w:snapToGrid w:val="0"/>
        <w:spacing w:line="360" w:lineRule="auto"/>
        <w:ind w:firstLine="480" w:firstLineChars="200"/>
        <w:jc w:val="both"/>
        <w:rPr>
          <w:i w:val="0"/>
          <w:iCs w:val="0"/>
          <w:color w:val="auto"/>
          <w:highlight w:val="none"/>
        </w:rPr>
      </w:pPr>
      <w:r>
        <w:rPr>
          <w:rFonts w:hint="eastAsia"/>
          <w:i w:val="0"/>
          <w:iCs w:val="0"/>
          <w:color w:val="auto"/>
          <w:highlight w:val="none"/>
        </w:rPr>
        <w:t>（2）技术措施项目中的单价项目报价可参照综合单价的组成自主确定或参照省建设主管部门发布的计价依据。</w:t>
      </w:r>
    </w:p>
    <w:p w14:paraId="21DC7DF6">
      <w:pPr>
        <w:snapToGrid w:val="0"/>
        <w:spacing w:line="360" w:lineRule="auto"/>
        <w:ind w:firstLine="480" w:firstLineChars="200"/>
        <w:jc w:val="both"/>
        <w:rPr>
          <w:i w:val="0"/>
          <w:iCs w:val="0"/>
          <w:color w:val="auto"/>
          <w:highlight w:val="none"/>
        </w:rPr>
      </w:pPr>
      <w:r>
        <w:rPr>
          <w:rFonts w:hint="eastAsia"/>
          <w:i w:val="0"/>
          <w:iCs w:val="0"/>
          <w:color w:val="auto"/>
          <w:highlight w:val="none"/>
        </w:rPr>
        <w:t>（3）措施项目中凡属周转使用的设备、材料，均应按单次使用摊销量报价。</w:t>
      </w:r>
    </w:p>
    <w:p w14:paraId="699E564C">
      <w:pPr>
        <w:snapToGrid w:val="0"/>
        <w:spacing w:line="360" w:lineRule="auto"/>
        <w:ind w:firstLine="480" w:firstLineChars="200"/>
        <w:jc w:val="both"/>
        <w:rPr>
          <w:i w:val="0"/>
          <w:iCs w:val="0"/>
          <w:color w:val="auto"/>
          <w:highlight w:val="none"/>
        </w:rPr>
      </w:pPr>
      <w:r>
        <w:rPr>
          <w:rFonts w:hint="eastAsia"/>
          <w:i w:val="0"/>
          <w:iCs w:val="0"/>
          <w:color w:val="auto"/>
          <w:highlight w:val="none"/>
        </w:rPr>
        <w:t>（4）并按招标工程量清单中的相应措施清单提供数量和报价。遇有缺项时，投标人可补充措施项目。</w:t>
      </w:r>
    </w:p>
    <w:p w14:paraId="7239B60D">
      <w:pPr>
        <w:snapToGrid w:val="0"/>
        <w:spacing w:line="360" w:lineRule="auto"/>
        <w:ind w:firstLine="480" w:firstLineChars="200"/>
        <w:jc w:val="both"/>
        <w:rPr>
          <w:i w:val="0"/>
          <w:iCs w:val="0"/>
          <w:color w:val="auto"/>
          <w:highlight w:val="none"/>
        </w:rPr>
      </w:pPr>
      <w:r>
        <w:rPr>
          <w:rFonts w:hint="eastAsia"/>
          <w:i w:val="0"/>
          <w:iCs w:val="0"/>
          <w:color w:val="auto"/>
          <w:highlight w:val="none"/>
        </w:rPr>
        <w:t>（5）施工取费费率依照本省现行计价依据的有关规定执行。</w:t>
      </w:r>
    </w:p>
    <w:p w14:paraId="73ECEA40">
      <w:pPr>
        <w:snapToGrid w:val="0"/>
        <w:spacing w:line="360" w:lineRule="auto"/>
        <w:ind w:firstLine="480" w:firstLineChars="200"/>
        <w:jc w:val="both"/>
        <w:rPr>
          <w:i w:val="0"/>
          <w:iCs w:val="0"/>
          <w:color w:val="auto"/>
          <w:highlight w:val="none"/>
        </w:rPr>
      </w:pPr>
      <w:r>
        <w:rPr>
          <w:rFonts w:hint="eastAsia"/>
          <w:i w:val="0"/>
          <w:iCs w:val="0"/>
          <w:color w:val="auto"/>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5AE22866">
      <w:pPr>
        <w:numPr>
          <w:ilvl w:val="0"/>
          <w:numId w:val="15"/>
        </w:numPr>
        <w:snapToGrid w:val="0"/>
        <w:spacing w:line="360" w:lineRule="auto"/>
        <w:ind w:left="0" w:firstLine="480" w:firstLineChars="200"/>
        <w:jc w:val="both"/>
        <w:rPr>
          <w:i w:val="0"/>
          <w:iCs w:val="0"/>
          <w:color w:val="auto"/>
          <w:highlight w:val="none"/>
        </w:rPr>
      </w:pPr>
      <w:r>
        <w:rPr>
          <w:rFonts w:hint="eastAsia"/>
          <w:i w:val="0"/>
          <w:iCs w:val="0"/>
          <w:color w:val="auto"/>
          <w:highlight w:val="none"/>
        </w:rPr>
        <w:t>投标人措施项目各分项之间不得重复报价。</w:t>
      </w:r>
    </w:p>
    <w:p w14:paraId="654E77BE">
      <w:pPr>
        <w:snapToGrid w:val="0"/>
        <w:spacing w:line="360" w:lineRule="auto"/>
        <w:ind w:left="480"/>
        <w:jc w:val="both"/>
        <w:rPr>
          <w:i w:val="0"/>
          <w:iCs w:val="0"/>
          <w:color w:val="auto"/>
          <w:highlight w:val="none"/>
        </w:rPr>
      </w:pPr>
      <w:r>
        <w:rPr>
          <w:rFonts w:hint="eastAsia"/>
          <w:i w:val="0"/>
          <w:iCs w:val="0"/>
          <w:color w:val="auto"/>
          <w:highlight w:val="none"/>
        </w:rPr>
        <w:t>3.其他项目清单费用</w:t>
      </w:r>
    </w:p>
    <w:p w14:paraId="3A4EFB46">
      <w:pPr>
        <w:numPr>
          <w:ilvl w:val="0"/>
          <w:numId w:val="42"/>
        </w:numPr>
        <w:snapToGrid w:val="0"/>
        <w:spacing w:line="360" w:lineRule="auto"/>
        <w:ind w:firstLine="480" w:firstLineChars="200"/>
        <w:jc w:val="both"/>
        <w:rPr>
          <w:i w:val="0"/>
          <w:iCs w:val="0"/>
          <w:color w:val="auto"/>
          <w:highlight w:val="none"/>
        </w:rPr>
      </w:pPr>
      <w:r>
        <w:rPr>
          <w:rFonts w:hint="eastAsia"/>
          <w:i w:val="0"/>
          <w:iCs w:val="0"/>
          <w:color w:val="auto"/>
          <w:highlight w:val="none"/>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776DDE56">
      <w:pPr>
        <w:numPr>
          <w:ilvl w:val="0"/>
          <w:numId w:val="42"/>
        </w:numPr>
        <w:snapToGrid w:val="0"/>
        <w:spacing w:line="360" w:lineRule="auto"/>
        <w:ind w:firstLine="480" w:firstLineChars="200"/>
        <w:jc w:val="both"/>
        <w:rPr>
          <w:i w:val="0"/>
          <w:iCs w:val="0"/>
          <w:color w:val="auto"/>
          <w:highlight w:val="none"/>
        </w:rPr>
      </w:pPr>
      <w:r>
        <w:rPr>
          <w:rFonts w:hint="eastAsia"/>
          <w:i w:val="0"/>
          <w:iCs w:val="0"/>
          <w:color w:val="auto"/>
          <w:highlight w:val="none"/>
        </w:rPr>
        <w:t>其他项目清单中的暂列金额和计日工，均为招标人估算、预测数量，投标时计入投标人的报价中，竣工结算时应按承包人实际完成的工程内容结算。</w:t>
      </w:r>
    </w:p>
    <w:p w14:paraId="6D01E806">
      <w:pPr>
        <w:snapToGrid w:val="0"/>
        <w:spacing w:line="360" w:lineRule="auto"/>
        <w:ind w:left="480"/>
        <w:jc w:val="both"/>
        <w:rPr>
          <w:i w:val="0"/>
          <w:iCs w:val="0"/>
          <w:color w:val="auto"/>
          <w:highlight w:val="none"/>
        </w:rPr>
      </w:pPr>
      <w:r>
        <w:rPr>
          <w:rFonts w:hint="eastAsia"/>
          <w:i w:val="0"/>
          <w:iCs w:val="0"/>
          <w:color w:val="auto"/>
          <w:highlight w:val="none"/>
        </w:rPr>
        <w:t>4.规费、税金</w:t>
      </w:r>
    </w:p>
    <w:p w14:paraId="1ABF1AD3">
      <w:pPr>
        <w:snapToGrid w:val="0"/>
        <w:spacing w:line="360" w:lineRule="auto"/>
        <w:ind w:firstLine="480" w:firstLineChars="200"/>
        <w:jc w:val="both"/>
        <w:rPr>
          <w:i w:val="0"/>
          <w:iCs w:val="0"/>
          <w:color w:val="auto"/>
          <w:highlight w:val="none"/>
        </w:rPr>
      </w:pPr>
      <w:r>
        <w:rPr>
          <w:rFonts w:hint="eastAsia"/>
          <w:i w:val="0"/>
          <w:iCs w:val="0"/>
          <w:color w:val="auto"/>
          <w:highlight w:val="none"/>
        </w:rPr>
        <w:t>规费、税金按省建设主管部门颁发的计价规则内容和计费标准计算报价。省、市政府及有关权力部门颁发的政策性文件对规费、税金的内容和计费标准有调整的，按其规定执行。</w:t>
      </w:r>
    </w:p>
    <w:p w14:paraId="388E80BB">
      <w:pPr>
        <w:snapToGrid w:val="0"/>
        <w:spacing w:line="360" w:lineRule="auto"/>
        <w:ind w:firstLine="480" w:firstLineChars="200"/>
        <w:jc w:val="both"/>
        <w:rPr>
          <w:i w:val="0"/>
          <w:iCs w:val="0"/>
          <w:color w:val="auto"/>
          <w:highlight w:val="none"/>
        </w:rPr>
      </w:pPr>
      <w:r>
        <w:rPr>
          <w:rFonts w:hint="eastAsia"/>
          <w:i w:val="0"/>
          <w:iCs w:val="0"/>
          <w:color w:val="auto"/>
          <w:highlight w:val="none"/>
        </w:rPr>
        <w:t>规费费率不得低于现行标准费率的30%；</w:t>
      </w:r>
    </w:p>
    <w:p w14:paraId="2ABE8A15">
      <w:pPr>
        <w:snapToGrid w:val="0"/>
        <w:spacing w:line="360" w:lineRule="auto"/>
        <w:ind w:firstLine="480" w:firstLineChars="200"/>
        <w:jc w:val="both"/>
        <w:rPr>
          <w:i w:val="0"/>
          <w:iCs w:val="0"/>
          <w:color w:val="auto"/>
          <w:highlight w:val="none"/>
        </w:rPr>
      </w:pPr>
      <w:r>
        <w:rPr>
          <w:rFonts w:hint="eastAsia"/>
          <w:i w:val="0"/>
          <w:iCs w:val="0"/>
          <w:color w:val="auto"/>
          <w:highlight w:val="none"/>
        </w:rPr>
        <w:t>税金作为不可竞争费用，投标税率必须与现行规定相符；</w:t>
      </w:r>
    </w:p>
    <w:p w14:paraId="6679EA41">
      <w:pPr>
        <w:snapToGrid w:val="0"/>
        <w:spacing w:line="360" w:lineRule="auto"/>
        <w:ind w:left="480" w:leftChars="200"/>
        <w:jc w:val="both"/>
        <w:rPr>
          <w:i w:val="0"/>
          <w:iCs w:val="0"/>
          <w:color w:val="auto"/>
          <w:highlight w:val="none"/>
        </w:rPr>
      </w:pPr>
      <w:r>
        <w:rPr>
          <w:rFonts w:hint="eastAsia"/>
          <w:i w:val="0"/>
          <w:iCs w:val="0"/>
          <w:color w:val="auto"/>
          <w:highlight w:val="none"/>
        </w:rPr>
        <w:t>（四）投标人不得擅自修改招标工程量清单的分部分项工程项目清单内容。</w:t>
      </w:r>
    </w:p>
    <w:p w14:paraId="6B51B45A">
      <w:pPr>
        <w:snapToGrid w:val="0"/>
        <w:spacing w:line="360" w:lineRule="auto"/>
        <w:ind w:firstLine="480" w:firstLineChars="200"/>
        <w:jc w:val="both"/>
        <w:rPr>
          <w:i w:val="0"/>
          <w:iCs w:val="0"/>
          <w:color w:val="auto"/>
          <w:highlight w:val="none"/>
        </w:rPr>
      </w:pPr>
      <w:r>
        <w:rPr>
          <w:rFonts w:hint="eastAsia"/>
          <w:i w:val="0"/>
          <w:iCs w:val="0"/>
          <w:color w:val="auto"/>
          <w:highlight w:val="none"/>
        </w:rPr>
        <w:t>工程量清单报价应与工、料、机报价及对应的报价分析相符，与拟建工程的施工组织设计或施工方案相符。</w:t>
      </w:r>
    </w:p>
    <w:p w14:paraId="5673DEEA">
      <w:pPr>
        <w:snapToGrid w:val="0"/>
        <w:spacing w:line="360" w:lineRule="auto"/>
        <w:ind w:firstLine="480" w:firstLineChars="200"/>
        <w:jc w:val="both"/>
        <w:rPr>
          <w:i w:val="0"/>
          <w:iCs w:val="0"/>
          <w:color w:val="auto"/>
          <w:highlight w:val="none"/>
        </w:rPr>
      </w:pPr>
      <w:r>
        <w:rPr>
          <w:rFonts w:hint="eastAsia"/>
          <w:i w:val="0"/>
          <w:iCs w:val="0"/>
          <w:color w:val="auto"/>
          <w:highlight w:val="none"/>
        </w:rPr>
        <w:t>投标人应根据自己的企业定额或参照省建设主管部门颁发的计价规则向招标人提供具体的报价计算分析，其各项报价分析表与工程量清单计价表之间的金额（价格）应前后对应一致。</w:t>
      </w:r>
    </w:p>
    <w:p w14:paraId="340E33F1">
      <w:pPr>
        <w:snapToGrid w:val="0"/>
        <w:spacing w:line="360" w:lineRule="auto"/>
        <w:ind w:left="480" w:leftChars="200"/>
        <w:jc w:val="both"/>
        <w:rPr>
          <w:i w:val="0"/>
          <w:iCs w:val="0"/>
          <w:color w:val="auto"/>
          <w:highlight w:val="none"/>
        </w:rPr>
      </w:pPr>
      <w:r>
        <w:rPr>
          <w:rFonts w:hint="eastAsia"/>
          <w:i w:val="0"/>
          <w:iCs w:val="0"/>
          <w:color w:val="auto"/>
          <w:highlight w:val="none"/>
        </w:rPr>
        <w:t>（五）清单报价中的任何算术性错误，招标人按下列原则予以调整：</w:t>
      </w:r>
    </w:p>
    <w:p w14:paraId="31329A49">
      <w:pPr>
        <w:snapToGrid w:val="0"/>
        <w:spacing w:line="360" w:lineRule="auto"/>
        <w:ind w:firstLine="480" w:firstLineChars="200"/>
        <w:jc w:val="both"/>
        <w:rPr>
          <w:i w:val="0"/>
          <w:iCs w:val="0"/>
          <w:color w:val="auto"/>
          <w:highlight w:val="none"/>
        </w:rPr>
      </w:pPr>
      <w:r>
        <w:rPr>
          <w:rFonts w:hint="eastAsia"/>
          <w:i w:val="0"/>
          <w:iCs w:val="0"/>
          <w:color w:val="auto"/>
          <w:highlight w:val="none"/>
        </w:rPr>
        <w:t>1.大写金额和小写金额不一致，以大写金额为准；</w:t>
      </w:r>
    </w:p>
    <w:p w14:paraId="4D639A8A">
      <w:pPr>
        <w:snapToGrid w:val="0"/>
        <w:spacing w:line="360" w:lineRule="auto"/>
        <w:ind w:firstLine="480" w:firstLineChars="200"/>
        <w:jc w:val="both"/>
        <w:rPr>
          <w:i w:val="0"/>
          <w:iCs w:val="0"/>
          <w:color w:val="auto"/>
          <w:highlight w:val="none"/>
        </w:rPr>
      </w:pPr>
      <w:r>
        <w:rPr>
          <w:rFonts w:hint="eastAsia"/>
          <w:i w:val="0"/>
          <w:iCs w:val="0"/>
          <w:color w:val="auto"/>
          <w:highlight w:val="none"/>
        </w:rPr>
        <w:t>2.合价金额与单价金额和工程量的乘积不一致的，以单价金额为准，但单价金额有明显错误的除外；</w:t>
      </w:r>
    </w:p>
    <w:p w14:paraId="22A89828">
      <w:pPr>
        <w:snapToGrid w:val="0"/>
        <w:spacing w:line="360" w:lineRule="auto"/>
        <w:ind w:firstLine="480" w:firstLineChars="200"/>
        <w:jc w:val="both"/>
        <w:rPr>
          <w:i w:val="0"/>
          <w:iCs w:val="0"/>
          <w:color w:val="auto"/>
          <w:highlight w:val="none"/>
        </w:rPr>
      </w:pPr>
      <w:r>
        <w:rPr>
          <w:rFonts w:hint="eastAsia"/>
          <w:i w:val="0"/>
          <w:iCs w:val="0"/>
          <w:color w:val="auto"/>
          <w:highlight w:val="none"/>
        </w:rPr>
        <w:t>3.合价累计金额与小计（合计）金额不一致的，以合价累计金额为准，并修改小计（合计）金额。</w:t>
      </w:r>
    </w:p>
    <w:p w14:paraId="4B5CCF5E">
      <w:pPr>
        <w:snapToGrid w:val="0"/>
        <w:spacing w:line="360" w:lineRule="auto"/>
        <w:ind w:firstLine="480" w:firstLineChars="200"/>
        <w:jc w:val="both"/>
        <w:rPr>
          <w:i w:val="0"/>
          <w:iCs w:val="0"/>
          <w:color w:val="auto"/>
          <w:highlight w:val="none"/>
        </w:rPr>
      </w:pPr>
      <w:r>
        <w:rPr>
          <w:rFonts w:hint="eastAsia"/>
          <w:i w:val="0"/>
          <w:iCs w:val="0"/>
          <w:color w:val="auto"/>
          <w:highlight w:val="none"/>
        </w:rPr>
        <w:t>（六）根据住房和城乡建设部、省级造价主管部门对造价从业人员执业管理的相关法律法规规定以及《建设工程工程量清单计价规范》（GB50500-2013）的规定，投标报价的编制必须遵守以下规定：</w:t>
      </w:r>
    </w:p>
    <w:p w14:paraId="18681A15">
      <w:pPr>
        <w:snapToGrid w:val="0"/>
        <w:spacing w:line="360" w:lineRule="auto"/>
        <w:ind w:firstLine="480" w:firstLineChars="200"/>
        <w:jc w:val="both"/>
        <w:rPr>
          <w:i w:val="0"/>
          <w:iCs w:val="0"/>
          <w:color w:val="auto"/>
          <w:highlight w:val="none"/>
        </w:rPr>
      </w:pPr>
      <w:r>
        <w:rPr>
          <w:rFonts w:hint="eastAsia"/>
          <w:i w:val="0"/>
          <w:iCs w:val="0"/>
          <w:color w:val="auto"/>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1B57F08E">
      <w:pPr>
        <w:snapToGrid w:val="0"/>
        <w:spacing w:line="360" w:lineRule="auto"/>
        <w:ind w:firstLine="480" w:firstLineChars="200"/>
        <w:jc w:val="both"/>
        <w:rPr>
          <w:i w:val="0"/>
          <w:iCs w:val="0"/>
          <w:color w:val="auto"/>
          <w:highlight w:val="none"/>
        </w:rPr>
      </w:pPr>
      <w:r>
        <w:rPr>
          <w:rFonts w:hint="eastAsia"/>
          <w:i w:val="0"/>
          <w:iCs w:val="0"/>
          <w:color w:val="auto"/>
          <w:highlight w:val="none"/>
        </w:rPr>
        <w:t>2.投标文件的编制人不得接受同一工程招标人委托编制招标文件（含招标控制价)，并不得接受其他投标人委托编制投标文件。</w:t>
      </w:r>
    </w:p>
    <w:p w14:paraId="2FA7CA41">
      <w:pPr>
        <w:pStyle w:val="14"/>
        <w:ind w:firstLine="480" w:firstLineChars="200"/>
        <w:jc w:val="left"/>
        <w:rPr>
          <w:rFonts w:hint="eastAsia"/>
          <w:b w:val="0"/>
          <w:bCs/>
          <w:i w:val="0"/>
          <w:iCs w:val="0"/>
          <w:color w:val="auto"/>
          <w:highlight w:val="none"/>
        </w:rPr>
      </w:pPr>
      <w:r>
        <w:rPr>
          <w:rFonts w:hint="eastAsia"/>
          <w:b w:val="0"/>
          <w:bCs/>
          <w:i w:val="0"/>
          <w:iCs w:val="0"/>
          <w:color w:val="auto"/>
          <w:highlight w:val="none"/>
        </w:rPr>
        <w:t>附：</w:t>
      </w:r>
    </w:p>
    <w:p w14:paraId="74141710">
      <w:pPr>
        <w:pStyle w:val="14"/>
        <w:ind w:firstLine="480" w:firstLineChars="200"/>
        <w:jc w:val="left"/>
        <w:rPr>
          <w:rFonts w:hint="eastAsia"/>
          <w:b w:val="0"/>
          <w:bCs/>
          <w:i w:val="0"/>
          <w:iCs w:val="0"/>
          <w:color w:val="auto"/>
          <w:highlight w:val="none"/>
        </w:rPr>
      </w:pPr>
      <w:r>
        <w:rPr>
          <w:rFonts w:hint="eastAsia"/>
          <w:b w:val="0"/>
          <w:bCs/>
          <w:i w:val="0"/>
          <w:iCs w:val="0"/>
          <w:color w:val="auto"/>
          <w:highlight w:val="none"/>
        </w:rPr>
        <w:t>工程量清单及计价采用的表格格式如下（具体见附件）：</w:t>
      </w:r>
    </w:p>
    <w:p w14:paraId="533FDB34">
      <w:pPr>
        <w:pStyle w:val="14"/>
        <w:ind w:firstLine="480" w:firstLineChars="200"/>
        <w:jc w:val="left"/>
        <w:rPr>
          <w:rFonts w:hint="eastAsia"/>
          <w:b w:val="0"/>
          <w:bCs/>
          <w:i w:val="0"/>
          <w:iCs w:val="0"/>
          <w:color w:val="auto"/>
          <w:highlight w:val="none"/>
        </w:rPr>
      </w:pPr>
      <w:r>
        <w:rPr>
          <w:rFonts w:hint="eastAsia"/>
          <w:b w:val="0"/>
          <w:bCs/>
          <w:i w:val="0"/>
          <w:iCs w:val="0"/>
          <w:color w:val="auto"/>
          <w:highlight w:val="none"/>
        </w:rPr>
        <w:t>1.工程量清单及计价表：</w:t>
      </w:r>
    </w:p>
    <w:p w14:paraId="3A3337D7">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投标报价封面</w:t>
      </w:r>
    </w:p>
    <w:p w14:paraId="697D32F5">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投标报价扉页</w:t>
      </w:r>
    </w:p>
    <w:p w14:paraId="0ABF103C">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编制说明</w:t>
      </w:r>
    </w:p>
    <w:p w14:paraId="260A4D72">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投标报价费用表</w:t>
      </w:r>
    </w:p>
    <w:p w14:paraId="13679849">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单位（专业）工程投标报价费用表</w:t>
      </w:r>
    </w:p>
    <w:p w14:paraId="043A865B">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分部分项工程和施工技术措施费项目清单与计价表</w:t>
      </w:r>
    </w:p>
    <w:p w14:paraId="46935FD9">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综合单价计算表</w:t>
      </w:r>
    </w:p>
    <w:p w14:paraId="69930003">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综合单价工料机分析表</w:t>
      </w:r>
    </w:p>
    <w:p w14:paraId="3A587379">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施工组织措施项目清单与计价表</w:t>
      </w:r>
    </w:p>
    <w:p w14:paraId="0CBEDBB1">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其他项目清单与计价汇总表</w:t>
      </w:r>
    </w:p>
    <w:p w14:paraId="097025CC">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暂列金额明细表</w:t>
      </w:r>
    </w:p>
    <w:p w14:paraId="2370E2BD">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材料（工程设备）暂估单价及调整表</w:t>
      </w:r>
    </w:p>
    <w:p w14:paraId="67160003">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专业工程暂估价表</w:t>
      </w:r>
    </w:p>
    <w:p w14:paraId="79574F44">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专项技术措施暂估价表</w:t>
      </w:r>
    </w:p>
    <w:p w14:paraId="506E9E1C">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计日工表</w:t>
      </w:r>
    </w:p>
    <w:p w14:paraId="7BEEAD4B">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总承包服务费计价表</w:t>
      </w:r>
    </w:p>
    <w:p w14:paraId="0F3ADA29">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主要工日一览表</w:t>
      </w:r>
    </w:p>
    <w:p w14:paraId="777F8E00">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发包人提供材料和设备一览表</w:t>
      </w:r>
    </w:p>
    <w:p w14:paraId="1076FDA7">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主要材料和工程设备一览表</w:t>
      </w:r>
    </w:p>
    <w:p w14:paraId="312E7748">
      <w:pPr>
        <w:pStyle w:val="42"/>
        <w:numPr>
          <w:ilvl w:val="0"/>
          <w:numId w:val="43"/>
        </w:numPr>
        <w:snapToGrid w:val="0"/>
        <w:spacing w:line="360" w:lineRule="auto"/>
        <w:ind w:left="0" w:firstLine="480" w:firstLineChars="200"/>
        <w:rPr>
          <w:i w:val="0"/>
          <w:iCs w:val="0"/>
          <w:color w:val="auto"/>
          <w:highlight w:val="none"/>
        </w:rPr>
      </w:pPr>
      <w:r>
        <w:rPr>
          <w:rFonts w:hint="eastAsia" w:ascii="宋体" w:hAnsi="宋体"/>
          <w:i w:val="0"/>
          <w:iCs w:val="0"/>
          <w:color w:val="auto"/>
          <w:highlight w:val="none"/>
        </w:rPr>
        <w:t>主要机械台班一览表</w:t>
      </w:r>
    </w:p>
    <w:p w14:paraId="29EEBD48">
      <w:pPr>
        <w:pStyle w:val="14"/>
        <w:jc w:val="both"/>
        <w:rPr>
          <w:rFonts w:ascii="Calibri" w:hAnsi="Calibri"/>
          <w:i w:val="0"/>
          <w:iCs w:val="0"/>
          <w:color w:val="auto"/>
          <w:highlight w:val="none"/>
        </w:rPr>
      </w:pPr>
      <w:r>
        <w:rPr>
          <w:rFonts w:hint="eastAsia" w:ascii="Calibri" w:hAnsi="Calibri"/>
          <w:b w:val="0"/>
          <w:bCs/>
          <w:i w:val="0"/>
          <w:iCs w:val="0"/>
          <w:color w:val="auto"/>
          <w:highlight w:val="none"/>
        </w:rPr>
        <w:t>2.</w:t>
      </w:r>
      <w:r>
        <w:rPr>
          <w:rFonts w:hint="eastAsia"/>
          <w:b w:val="0"/>
          <w:bCs/>
          <w:i w:val="0"/>
          <w:iCs w:val="0"/>
          <w:color w:val="auto"/>
          <w:highlight w:val="none"/>
        </w:rPr>
        <w:t>根据招标人工程量清单编制要求填报具体的表格。</w:t>
      </w:r>
      <w:r>
        <w:rPr>
          <w:rFonts w:ascii="Calibri" w:hAnsi="Calibri"/>
          <w:i w:val="0"/>
          <w:iCs w:val="0"/>
          <w:color w:val="auto"/>
          <w:highlight w:val="none"/>
        </w:rPr>
        <w:br w:type="page"/>
      </w:r>
    </w:p>
    <w:p w14:paraId="03F9E1DD">
      <w:pPr>
        <w:widowControl/>
        <w:spacing w:before="100" w:beforeAutospacing="1" w:after="100" w:afterAutospacing="1"/>
        <w:ind w:firstLine="240" w:firstLineChars="100"/>
        <w:jc w:val="center"/>
        <w:rPr>
          <w:rFonts w:ascii="宋体" w:hAnsi="宋体"/>
          <w:i w:val="0"/>
          <w:iCs w:val="0"/>
          <w:color w:val="auto"/>
          <w:highlight w:val="none"/>
        </w:rPr>
      </w:pPr>
      <w:r>
        <w:rPr>
          <w:rFonts w:hint="eastAsia" w:ascii="宋体" w:hAnsi="宋体"/>
          <w:i w:val="0"/>
          <w:iCs w:val="0"/>
          <w:color w:val="auto"/>
          <w:highlight w:val="none"/>
        </w:rPr>
        <w:t>投标报价封面</w:t>
      </w:r>
    </w:p>
    <w:tbl>
      <w:tblPr>
        <w:tblStyle w:val="21"/>
        <w:tblW w:w="90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5E6B5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vAlign w:val="top"/>
          </w:tcPr>
          <w:p w14:paraId="3335D209">
            <w:pPr>
              <w:keepNext w:val="0"/>
              <w:keepLines w:val="0"/>
              <w:widowControl/>
              <w:suppressLineNumbers w:val="0"/>
              <w:spacing w:before="100" w:beforeAutospacing="1" w:after="100" w:afterAutospacing="1"/>
              <w:ind w:left="0" w:right="0"/>
              <w:rPr>
                <w:rFonts w:hint="default" w:ascii="Times New Roman" w:hAnsi="宋体" w:cs="Times New Roman"/>
                <w:i w:val="0"/>
                <w:iCs w:val="0"/>
                <w:color w:val="auto"/>
                <w:highlight w:val="none"/>
              </w:rPr>
            </w:pPr>
          </w:p>
          <w:p w14:paraId="5DA28B99">
            <w:pPr>
              <w:pStyle w:val="14"/>
              <w:keepNext w:val="0"/>
              <w:keepLines w:val="0"/>
              <w:suppressLineNumbers w:val="0"/>
              <w:spacing w:afterAutospacing="0"/>
              <w:ind w:left="0" w:right="0"/>
              <w:rPr>
                <w:rFonts w:hint="eastAsia" w:cs="Times New Roman"/>
                <w:i w:val="0"/>
                <w:iCs w:val="0"/>
                <w:color w:val="auto"/>
                <w:highlight w:val="none"/>
              </w:rPr>
            </w:pPr>
          </w:p>
          <w:p w14:paraId="6D8585F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10E59463">
            <w:pPr>
              <w:pStyle w:val="14"/>
              <w:keepNext w:val="0"/>
              <w:keepLines w:val="0"/>
              <w:suppressLineNumbers w:val="0"/>
              <w:spacing w:afterAutospacing="0"/>
              <w:ind w:left="0" w:right="0"/>
              <w:rPr>
                <w:rFonts w:hint="eastAsia" w:cs="Times New Roman"/>
                <w:i w:val="0"/>
                <w:iCs w:val="0"/>
                <w:color w:val="auto"/>
                <w:highlight w:val="none"/>
              </w:rPr>
            </w:pPr>
          </w:p>
          <w:p w14:paraId="6DCA9162">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sz w:val="28"/>
                <w:szCs w:val="28"/>
                <w:highlight w:val="none"/>
                <w:u w:val="single"/>
              </w:rPr>
              <w:t xml:space="preserve">                    </w:t>
            </w:r>
            <w:r>
              <w:rPr>
                <w:rFonts w:hint="eastAsia" w:ascii="Times New Roman" w:hAnsi="Times New Roman" w:cs="Times New Roman"/>
                <w:i w:val="0"/>
                <w:iCs w:val="0"/>
                <w:color w:val="auto"/>
                <w:sz w:val="28"/>
                <w:szCs w:val="28"/>
                <w:highlight w:val="none"/>
              </w:rPr>
              <w:t>工程</w:t>
            </w:r>
          </w:p>
          <w:p w14:paraId="07E20ACF">
            <w:pPr>
              <w:pStyle w:val="14"/>
              <w:keepNext w:val="0"/>
              <w:keepLines w:val="0"/>
              <w:suppressLineNumbers w:val="0"/>
              <w:spacing w:afterAutospacing="0"/>
              <w:ind w:left="0" w:right="0"/>
              <w:rPr>
                <w:rFonts w:hint="eastAsia" w:cs="Times New Roman"/>
                <w:i w:val="0"/>
                <w:iCs w:val="0"/>
                <w:color w:val="auto"/>
                <w:highlight w:val="none"/>
              </w:rPr>
            </w:pPr>
          </w:p>
          <w:p w14:paraId="0E4661F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27FCBCC2">
            <w:pPr>
              <w:pStyle w:val="14"/>
              <w:keepNext w:val="0"/>
              <w:keepLines w:val="0"/>
              <w:suppressLineNumbers w:val="0"/>
              <w:spacing w:afterAutospacing="0"/>
              <w:ind w:left="0" w:right="0"/>
              <w:rPr>
                <w:rFonts w:hint="eastAsia" w:cs="Times New Roman"/>
                <w:i w:val="0"/>
                <w:iCs w:val="0"/>
                <w:color w:val="auto"/>
                <w:sz w:val="44"/>
                <w:szCs w:val="44"/>
                <w:highlight w:val="none"/>
              </w:rPr>
            </w:pPr>
            <w:r>
              <w:rPr>
                <w:rFonts w:hint="eastAsia" w:cs="Times New Roman"/>
                <w:i w:val="0"/>
                <w:iCs w:val="0"/>
                <w:color w:val="auto"/>
                <w:sz w:val="44"/>
                <w:szCs w:val="44"/>
                <w:highlight w:val="none"/>
              </w:rPr>
              <w:t>投 标 报 价</w:t>
            </w:r>
          </w:p>
          <w:p w14:paraId="2C28B94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1FC1BD65">
            <w:pPr>
              <w:pStyle w:val="14"/>
              <w:keepNext w:val="0"/>
              <w:keepLines w:val="0"/>
              <w:suppressLineNumbers w:val="0"/>
              <w:spacing w:afterAutospacing="0"/>
              <w:ind w:left="0" w:right="0"/>
              <w:rPr>
                <w:rFonts w:hint="eastAsia" w:cs="Times New Roman"/>
                <w:i w:val="0"/>
                <w:iCs w:val="0"/>
                <w:color w:val="auto"/>
                <w:highlight w:val="none"/>
              </w:rPr>
            </w:pPr>
          </w:p>
          <w:p w14:paraId="6A0D658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6B0CFF31">
            <w:pPr>
              <w:pStyle w:val="14"/>
              <w:keepNext w:val="0"/>
              <w:keepLines w:val="0"/>
              <w:suppressLineNumbers w:val="0"/>
              <w:spacing w:afterAutospacing="0"/>
              <w:ind w:left="0" w:right="0"/>
              <w:rPr>
                <w:rFonts w:hint="eastAsia" w:cs="Times New Roman"/>
                <w:i w:val="0"/>
                <w:iCs w:val="0"/>
                <w:color w:val="auto"/>
                <w:highlight w:val="none"/>
              </w:rPr>
            </w:pPr>
          </w:p>
          <w:p w14:paraId="1E0E9264">
            <w:pPr>
              <w:pStyle w:val="14"/>
              <w:keepNext w:val="0"/>
              <w:keepLines w:val="0"/>
              <w:suppressLineNumbers w:val="0"/>
              <w:spacing w:afterAutospacing="0"/>
              <w:ind w:left="0" w:right="0"/>
              <w:rPr>
                <w:rFonts w:hint="eastAsia" w:cs="Times New Roman"/>
                <w:i w:val="0"/>
                <w:iCs w:val="0"/>
                <w:color w:val="auto"/>
                <w:highlight w:val="none"/>
              </w:rPr>
            </w:pPr>
            <w:r>
              <w:rPr>
                <w:rFonts w:hint="default" w:cs="Times New Roman"/>
                <w:i w:val="0"/>
                <w:iCs w:val="0"/>
                <w:color w:val="auto"/>
                <w:highlight w:val="none"/>
              </w:rPr>
              <w:t>投标人：</w:t>
            </w:r>
            <w:r>
              <w:rPr>
                <w:rFonts w:hint="eastAsia" w:cs="Times New Roman"/>
                <w:i w:val="0"/>
                <w:iCs w:val="0"/>
                <w:color w:val="auto"/>
                <w:highlight w:val="none"/>
                <w:u w:val="single"/>
              </w:rPr>
              <w:t xml:space="preserve">                       </w:t>
            </w:r>
            <w:r>
              <w:rPr>
                <w:rFonts w:hint="eastAsia" w:cs="Times New Roman"/>
                <w:i w:val="0"/>
                <w:iCs w:val="0"/>
                <w:color w:val="auto"/>
                <w:highlight w:val="none"/>
              </w:rPr>
              <w:t>（单位盖章）</w:t>
            </w:r>
          </w:p>
          <w:p w14:paraId="3B58D2A9">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p>
          <w:p w14:paraId="36B81DD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p w14:paraId="18F20A34">
            <w:pPr>
              <w:pStyle w:val="14"/>
              <w:keepNext w:val="0"/>
              <w:keepLines w:val="0"/>
              <w:suppressLineNumbers w:val="0"/>
              <w:spacing w:afterAutospacing="0"/>
              <w:ind w:left="0" w:right="0"/>
              <w:rPr>
                <w:rFonts w:hint="eastAsia" w:cs="Times New Roman"/>
                <w:i w:val="0"/>
                <w:iCs w:val="0"/>
                <w:color w:val="auto"/>
                <w:highlight w:val="none"/>
              </w:rPr>
            </w:pPr>
          </w:p>
          <w:p w14:paraId="5BEFF6EC">
            <w:pPr>
              <w:pStyle w:val="14"/>
              <w:keepNext w:val="0"/>
              <w:keepLines w:val="0"/>
              <w:suppressLineNumbers w:val="0"/>
              <w:spacing w:afterAutospacing="0"/>
              <w:ind w:left="0" w:right="0"/>
              <w:rPr>
                <w:rFonts w:hint="eastAsia" w:cs="Times New Roman"/>
                <w:i w:val="0"/>
                <w:iCs w:val="0"/>
                <w:color w:val="auto"/>
                <w:highlight w:val="none"/>
              </w:rPr>
            </w:pPr>
          </w:p>
          <w:p w14:paraId="5C84F51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06F18CF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31054095">
            <w:pPr>
              <w:pStyle w:val="14"/>
              <w:keepNext w:val="0"/>
              <w:keepLines w:val="0"/>
              <w:suppressLineNumbers w:val="0"/>
              <w:spacing w:afterAutospacing="0"/>
              <w:ind w:left="0" w:right="0"/>
              <w:rPr>
                <w:rFonts w:hint="eastAsia" w:cs="Times New Roman"/>
                <w:i w:val="0"/>
                <w:iCs w:val="0"/>
                <w:color w:val="auto"/>
                <w:highlight w:val="none"/>
              </w:rPr>
            </w:pPr>
          </w:p>
          <w:p w14:paraId="7E34E89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7C4A9D1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62E6688C">
            <w:pPr>
              <w:pStyle w:val="14"/>
              <w:keepNext w:val="0"/>
              <w:keepLines w:val="0"/>
              <w:suppressLineNumbers w:val="0"/>
              <w:spacing w:afterAutospacing="0"/>
              <w:ind w:left="0" w:right="0"/>
              <w:rPr>
                <w:rFonts w:hint="eastAsia" w:cs="Times New Roman"/>
                <w:i w:val="0"/>
                <w:iCs w:val="0"/>
                <w:color w:val="auto"/>
                <w:highlight w:val="none"/>
              </w:rPr>
            </w:pPr>
          </w:p>
          <w:p w14:paraId="1A9DD95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0F889C24">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年   月   日</w:t>
            </w:r>
          </w:p>
          <w:p w14:paraId="3CA045A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03EA020E">
      <w:pPr>
        <w:pStyle w:val="14"/>
        <w:rPr>
          <w:rFonts w:ascii="宋体" w:hAnsi="宋体"/>
          <w:i w:val="0"/>
          <w:iCs w:val="0"/>
          <w:color w:val="auto"/>
          <w:highlight w:val="none"/>
        </w:rPr>
      </w:pPr>
      <w:r>
        <w:rPr>
          <w:i w:val="0"/>
          <w:iCs w:val="0"/>
          <w:color w:val="auto"/>
          <w:highlight w:val="none"/>
        </w:rPr>
        <w:br w:type="page"/>
      </w:r>
      <w:r>
        <w:rPr>
          <w:rFonts w:hint="eastAsia" w:ascii="宋体" w:hAnsi="宋体"/>
          <w:i w:val="0"/>
          <w:iCs w:val="0"/>
          <w:color w:val="auto"/>
          <w:highlight w:val="none"/>
        </w:rPr>
        <w:t>投标报价扉页</w:t>
      </w:r>
    </w:p>
    <w:tbl>
      <w:tblPr>
        <w:tblStyle w:val="21"/>
        <w:tblW w:w="910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050BA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vAlign w:val="top"/>
          </w:tcPr>
          <w:p w14:paraId="7812B543">
            <w:pPr>
              <w:keepNext w:val="0"/>
              <w:keepLines w:val="0"/>
              <w:suppressLineNumbers w:val="0"/>
              <w:spacing w:before="0" w:beforeAutospacing="0" w:after="0" w:afterAutospacing="0"/>
              <w:ind w:left="0" w:right="0"/>
              <w:rPr>
                <w:rFonts w:hint="default" w:ascii="Times New Roman" w:hAnsi="宋体" w:cs="Times New Roman"/>
                <w:i w:val="0"/>
                <w:iCs w:val="0"/>
                <w:color w:val="auto"/>
                <w:highlight w:val="none"/>
              </w:rPr>
            </w:pPr>
          </w:p>
          <w:p w14:paraId="094791B5">
            <w:pPr>
              <w:pStyle w:val="14"/>
              <w:keepNext w:val="0"/>
              <w:keepLines w:val="0"/>
              <w:suppressLineNumbers w:val="0"/>
              <w:spacing w:afterAutospacing="0"/>
              <w:ind w:left="0" w:right="0"/>
              <w:rPr>
                <w:rFonts w:hint="eastAsia" w:cs="Times New Roman"/>
                <w:i w:val="0"/>
                <w:iCs w:val="0"/>
                <w:color w:val="auto"/>
                <w:highlight w:val="none"/>
              </w:rPr>
            </w:pPr>
          </w:p>
          <w:p w14:paraId="05F27FF4">
            <w:pPr>
              <w:pStyle w:val="14"/>
              <w:keepNext w:val="0"/>
              <w:keepLines w:val="0"/>
              <w:suppressLineNumbers w:val="0"/>
              <w:spacing w:afterAutospacing="0"/>
              <w:ind w:left="0" w:right="0"/>
              <w:rPr>
                <w:rFonts w:hint="eastAsia" w:cs="Times New Roman"/>
                <w:i w:val="0"/>
                <w:iCs w:val="0"/>
                <w:color w:val="auto"/>
                <w:highlight w:val="none"/>
              </w:rPr>
            </w:pPr>
          </w:p>
          <w:p w14:paraId="57CDF46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32A7C3A8">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投标报价</w:t>
            </w:r>
          </w:p>
          <w:p w14:paraId="13F3E790">
            <w:pPr>
              <w:pStyle w:val="14"/>
              <w:keepNext w:val="0"/>
              <w:keepLines w:val="0"/>
              <w:suppressLineNumbers w:val="0"/>
              <w:spacing w:afterAutospacing="0"/>
              <w:ind w:left="0" w:right="0"/>
              <w:rPr>
                <w:rFonts w:hint="eastAsia" w:cs="Times New Roman"/>
                <w:i w:val="0"/>
                <w:iCs w:val="0"/>
                <w:color w:val="auto"/>
                <w:highlight w:val="none"/>
              </w:rPr>
            </w:pPr>
          </w:p>
          <w:p w14:paraId="7F637E3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717966BF">
            <w:pPr>
              <w:pStyle w:val="14"/>
              <w:keepNext w:val="0"/>
              <w:keepLines w:val="0"/>
              <w:suppressLineNumbers w:val="0"/>
              <w:spacing w:afterAutospacing="0"/>
              <w:ind w:left="0" w:right="0"/>
              <w:rPr>
                <w:rFonts w:hint="eastAsia" w:cs="Times New Roman"/>
                <w:i w:val="0"/>
                <w:iCs w:val="0"/>
                <w:color w:val="auto"/>
                <w:highlight w:val="none"/>
              </w:rPr>
            </w:pPr>
          </w:p>
          <w:p w14:paraId="50AB5504">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招   标  人：</w:t>
            </w:r>
            <w:r>
              <w:rPr>
                <w:rFonts w:hint="eastAsia" w:ascii="宋体" w:hAnsi="宋体" w:cs="Times New Roman"/>
                <w:i w:val="0"/>
                <w:iCs w:val="0"/>
                <w:color w:val="auto"/>
                <w:highlight w:val="none"/>
                <w:u w:val="single"/>
              </w:rPr>
              <w:t xml:space="preserve">                             </w:t>
            </w:r>
          </w:p>
          <w:p w14:paraId="0FB8CD23">
            <w:pPr>
              <w:pStyle w:val="14"/>
              <w:keepNext w:val="0"/>
              <w:keepLines w:val="0"/>
              <w:suppressLineNumbers w:val="0"/>
              <w:spacing w:afterAutospacing="0"/>
              <w:ind w:left="0" w:right="0"/>
              <w:rPr>
                <w:rFonts w:hint="eastAsia" w:cs="Times New Roman"/>
                <w:i w:val="0"/>
                <w:iCs w:val="0"/>
                <w:color w:val="auto"/>
                <w:highlight w:val="none"/>
              </w:rPr>
            </w:pPr>
          </w:p>
          <w:p w14:paraId="289BE57A">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工 程 名 称：</w:t>
            </w:r>
            <w:r>
              <w:rPr>
                <w:rFonts w:hint="eastAsia" w:ascii="宋体" w:hAnsi="宋体" w:cs="Times New Roman"/>
                <w:i w:val="0"/>
                <w:iCs w:val="0"/>
                <w:color w:val="auto"/>
                <w:highlight w:val="none"/>
                <w:u w:val="single"/>
              </w:rPr>
              <w:t xml:space="preserve">                             </w:t>
            </w:r>
          </w:p>
          <w:p w14:paraId="7158CED5">
            <w:pPr>
              <w:pStyle w:val="14"/>
              <w:keepNext w:val="0"/>
              <w:keepLines w:val="0"/>
              <w:suppressLineNumbers w:val="0"/>
              <w:spacing w:afterAutospacing="0"/>
              <w:ind w:left="0" w:right="0"/>
              <w:rPr>
                <w:rFonts w:hint="eastAsia" w:cs="Times New Roman"/>
                <w:i w:val="0"/>
                <w:iCs w:val="0"/>
                <w:color w:val="auto"/>
                <w:highlight w:val="none"/>
              </w:rPr>
            </w:pPr>
          </w:p>
          <w:p w14:paraId="1E91104B">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投标总价（小写）：</w:t>
            </w:r>
            <w:r>
              <w:rPr>
                <w:rFonts w:hint="eastAsia" w:ascii="宋体" w:hAnsi="宋体" w:cs="Times New Roman"/>
                <w:i w:val="0"/>
                <w:iCs w:val="0"/>
                <w:color w:val="auto"/>
                <w:highlight w:val="none"/>
                <w:u w:val="single"/>
              </w:rPr>
              <w:t xml:space="preserve">                        </w:t>
            </w:r>
          </w:p>
          <w:p w14:paraId="056F59C3">
            <w:pPr>
              <w:pStyle w:val="14"/>
              <w:keepNext w:val="0"/>
              <w:keepLines w:val="0"/>
              <w:suppressLineNumbers w:val="0"/>
              <w:spacing w:afterAutospacing="0"/>
              <w:ind w:left="0" w:right="0"/>
              <w:rPr>
                <w:rFonts w:hint="eastAsia" w:cs="Times New Roman"/>
                <w:i w:val="0"/>
                <w:iCs w:val="0"/>
                <w:color w:val="auto"/>
                <w:highlight w:val="none"/>
              </w:rPr>
            </w:pPr>
          </w:p>
          <w:p w14:paraId="25109407">
            <w:pPr>
              <w:keepNext w:val="0"/>
              <w:keepLines w:val="0"/>
              <w:suppressLineNumbers w:val="0"/>
              <w:spacing w:before="0" w:beforeAutospacing="0" w:after="0" w:afterAutospacing="0"/>
              <w:ind w:left="0" w:right="0" w:firstLine="2760" w:firstLineChars="11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（大写）：</w:t>
            </w:r>
            <w:r>
              <w:rPr>
                <w:rFonts w:hint="eastAsia" w:ascii="宋体" w:hAnsi="宋体" w:cs="Times New Roman"/>
                <w:i w:val="0"/>
                <w:iCs w:val="0"/>
                <w:color w:val="auto"/>
                <w:highlight w:val="none"/>
                <w:u w:val="single"/>
              </w:rPr>
              <w:t xml:space="preserve">                        </w:t>
            </w:r>
          </w:p>
          <w:p w14:paraId="1956064C">
            <w:pPr>
              <w:pStyle w:val="14"/>
              <w:keepNext w:val="0"/>
              <w:keepLines w:val="0"/>
              <w:suppressLineNumbers w:val="0"/>
              <w:spacing w:afterAutospacing="0"/>
              <w:ind w:left="0" w:right="0"/>
              <w:rPr>
                <w:rFonts w:hint="eastAsia" w:cs="Times New Roman"/>
                <w:i w:val="0"/>
                <w:iCs w:val="0"/>
                <w:color w:val="auto"/>
                <w:highlight w:val="none"/>
              </w:rPr>
            </w:pPr>
          </w:p>
          <w:p w14:paraId="5F4F5B64">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r>
              <w:rPr>
                <w:rFonts w:hint="eastAsia" w:ascii="宋体" w:hAnsi="宋体" w:cs="Times New Roman"/>
                <w:i w:val="0"/>
                <w:iCs w:val="0"/>
                <w:color w:val="auto"/>
                <w:highlight w:val="none"/>
              </w:rPr>
              <w:t>投标人：</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（单位盖章）</w:t>
            </w:r>
          </w:p>
          <w:p w14:paraId="32ECC352">
            <w:pPr>
              <w:pStyle w:val="14"/>
              <w:keepNext w:val="0"/>
              <w:keepLines w:val="0"/>
              <w:suppressLineNumbers w:val="0"/>
              <w:spacing w:afterAutospacing="0"/>
              <w:ind w:left="0" w:right="0"/>
              <w:rPr>
                <w:rFonts w:hint="eastAsia" w:cs="Times New Roman"/>
                <w:i w:val="0"/>
                <w:iCs w:val="0"/>
                <w:color w:val="auto"/>
                <w:highlight w:val="none"/>
              </w:rPr>
            </w:pPr>
          </w:p>
          <w:p w14:paraId="1800FF18">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r>
              <w:rPr>
                <w:rFonts w:hint="eastAsia" w:ascii="宋体" w:hAnsi="宋体" w:cs="Times New Roman"/>
                <w:i w:val="0"/>
                <w:iCs w:val="0"/>
                <w:color w:val="auto"/>
                <w:highlight w:val="none"/>
              </w:rPr>
              <w:t>法定代表人</w:t>
            </w:r>
          </w:p>
          <w:p w14:paraId="3F79C7F3">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r>
              <w:rPr>
                <w:rFonts w:hint="eastAsia" w:ascii="宋体" w:hAnsi="宋体" w:cs="Times New Roman"/>
                <w:i w:val="0"/>
                <w:iCs w:val="0"/>
                <w:color w:val="auto"/>
                <w:highlight w:val="none"/>
              </w:rPr>
              <w:t>或其授权人：</w:t>
            </w:r>
            <w:r>
              <w:rPr>
                <w:rFonts w:hint="eastAsia" w:ascii="宋体" w:hAnsi="宋体" w:cs="Times New Roman"/>
                <w:i w:val="0"/>
                <w:iCs w:val="0"/>
                <w:color w:val="auto"/>
                <w:highlight w:val="none"/>
                <w:u w:val="single"/>
              </w:rPr>
              <w:t xml:space="preserve">                  </w:t>
            </w:r>
            <w:r>
              <w:rPr>
                <w:rFonts w:hint="eastAsia" w:ascii="宋体" w:hAnsi="宋体" w:cs="Times New Roman"/>
                <w:i w:val="0"/>
                <w:iCs w:val="0"/>
                <w:color w:val="auto"/>
                <w:highlight w:val="none"/>
              </w:rPr>
              <w:t>（签字或盖章）</w:t>
            </w:r>
          </w:p>
          <w:p w14:paraId="02FACA0E">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rPr>
            </w:pPr>
          </w:p>
          <w:p w14:paraId="076F0BAF">
            <w:pPr>
              <w:keepNext w:val="0"/>
              <w:keepLines w:val="0"/>
              <w:suppressLineNumbers w:val="0"/>
              <w:spacing w:before="0" w:beforeAutospacing="0" w:after="0" w:afterAutospacing="0"/>
              <w:ind w:left="0" w:right="0" w:firstLine="1800" w:firstLineChars="750"/>
              <w:rPr>
                <w:rFonts w:hint="default" w:ascii="宋体" w:hAnsi="宋体" w:cs="Times New Roman"/>
                <w:i w:val="0"/>
                <w:iCs w:val="0"/>
                <w:color w:val="auto"/>
                <w:highlight w:val="none"/>
                <w:u w:val="single"/>
              </w:rPr>
            </w:pPr>
            <w:r>
              <w:rPr>
                <w:rFonts w:hint="eastAsia" w:ascii="宋体" w:hAnsi="宋体" w:cs="Times New Roman"/>
                <w:i w:val="0"/>
                <w:iCs w:val="0"/>
                <w:color w:val="auto"/>
                <w:highlight w:val="none"/>
              </w:rPr>
              <w:t>编  制  人：</w:t>
            </w:r>
            <w:r>
              <w:rPr>
                <w:rFonts w:hint="eastAsia" w:ascii="宋体" w:hAnsi="宋体" w:cs="Times New Roman"/>
                <w:i w:val="0"/>
                <w:iCs w:val="0"/>
                <w:color w:val="auto"/>
                <w:highlight w:val="none"/>
                <w:u w:val="single"/>
              </w:rPr>
              <w:t xml:space="preserve">                               </w:t>
            </w:r>
          </w:p>
          <w:p w14:paraId="2969DE21">
            <w:pPr>
              <w:pStyle w:val="14"/>
              <w:keepNext w:val="0"/>
              <w:keepLines w:val="0"/>
              <w:suppressLineNumbers w:val="0"/>
              <w:spacing w:afterAutospacing="0"/>
              <w:ind w:left="0" w:right="0"/>
              <w:rPr>
                <w:rFonts w:hint="eastAsia" w:cs="Times New Roman"/>
                <w:i w:val="0"/>
                <w:iCs w:val="0"/>
                <w:color w:val="auto"/>
                <w:highlight w:val="none"/>
              </w:rPr>
            </w:pPr>
          </w:p>
          <w:p w14:paraId="4ED47B42">
            <w:pPr>
              <w:pStyle w:val="14"/>
              <w:keepNext w:val="0"/>
              <w:keepLines w:val="0"/>
              <w:suppressLineNumbers w:val="0"/>
              <w:spacing w:afterAutospacing="0"/>
              <w:ind w:left="0" w:right="0"/>
              <w:rPr>
                <w:rFonts w:hint="eastAsia" w:cs="Times New Roman"/>
                <w:i w:val="0"/>
                <w:iCs w:val="0"/>
                <w:color w:val="auto"/>
                <w:highlight w:val="none"/>
              </w:rPr>
            </w:pPr>
          </w:p>
          <w:p w14:paraId="5B83D1A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p w14:paraId="52DA1157">
            <w:pPr>
              <w:pStyle w:val="14"/>
              <w:keepNext w:val="0"/>
              <w:keepLines w:val="0"/>
              <w:suppressLineNumbers w:val="0"/>
              <w:spacing w:afterAutospacing="0"/>
              <w:ind w:left="0" w:right="0"/>
              <w:rPr>
                <w:rFonts w:hint="eastAsia" w:cs="Times New Roman"/>
                <w:i w:val="0"/>
                <w:iCs w:val="0"/>
                <w:color w:val="auto"/>
                <w:highlight w:val="none"/>
              </w:rPr>
            </w:pPr>
            <w:r>
              <w:rPr>
                <w:rFonts w:hint="eastAsia" w:cs="Times New Roman"/>
                <w:i w:val="0"/>
                <w:iCs w:val="0"/>
                <w:color w:val="auto"/>
                <w:highlight w:val="none"/>
              </w:rPr>
              <w:t>年  月  日</w:t>
            </w:r>
          </w:p>
          <w:p w14:paraId="638777A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5101818B">
      <w:pPr>
        <w:pStyle w:val="14"/>
        <w:rPr>
          <w:rFonts w:hint="eastAsia"/>
          <w:i w:val="0"/>
          <w:iCs w:val="0"/>
          <w:color w:val="auto"/>
          <w:highlight w:val="none"/>
        </w:rPr>
      </w:pPr>
      <w:r>
        <w:rPr>
          <w:rFonts w:hint="eastAsia"/>
          <w:i w:val="0"/>
          <w:iCs w:val="0"/>
          <w:color w:val="auto"/>
          <w:highlight w:val="none"/>
        </w:rPr>
        <w:t>编制说明</w:t>
      </w:r>
    </w:p>
    <w:p w14:paraId="54354A43">
      <w:pPr>
        <w:widowControl/>
        <w:snapToGrid w:val="0"/>
        <w:rPr>
          <w:rFonts w:ascii="宋体" w:hAnsi="宋体"/>
          <w:i w:val="0"/>
          <w:iCs w:val="0"/>
          <w:color w:val="auto"/>
          <w:highlight w:val="none"/>
        </w:rPr>
      </w:pPr>
      <w:r>
        <w:rPr>
          <w:rFonts w:hint="eastAsia" w:ascii="宋体" w:hAnsi="宋体"/>
          <w:i w:val="0"/>
          <w:iCs w:val="0"/>
          <w:color w:val="auto"/>
          <w:highlight w:val="none"/>
        </w:rPr>
        <w:t>工程名称：                                            第  页 共  页</w:t>
      </w:r>
    </w:p>
    <w:tbl>
      <w:tblPr>
        <w:tblStyle w:val="21"/>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48D37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66E8B7E3">
            <w:pPr>
              <w:keepNext w:val="0"/>
              <w:keepLines w:val="0"/>
              <w:widowControl/>
              <w:suppressLineNumbers w:val="0"/>
              <w:spacing w:before="100" w:beforeAutospacing="1" w:after="0" w:afterAutospacing="0" w:line="300" w:lineRule="auto"/>
              <w:ind w:left="0" w:right="0" w:firstLine="480" w:firstLineChars="200"/>
              <w:rPr>
                <w:rFonts w:hint="default" w:ascii="宋体" w:hAnsi="宋体" w:cs="Times New Roman"/>
                <w:i w:val="0"/>
                <w:iCs w:val="0"/>
                <w:color w:val="auto"/>
                <w:highlight w:val="none"/>
              </w:rPr>
            </w:pPr>
          </w:p>
          <w:p w14:paraId="53C9B950">
            <w:pPr>
              <w:pStyle w:val="14"/>
              <w:keepNext w:val="0"/>
              <w:keepLines w:val="0"/>
              <w:suppressLineNumbers w:val="0"/>
              <w:spacing w:afterAutospacing="0"/>
              <w:ind w:left="0" w:right="0"/>
              <w:rPr>
                <w:rFonts w:hint="eastAsia" w:cs="Times New Roman"/>
                <w:i w:val="0"/>
                <w:iCs w:val="0"/>
                <w:color w:val="auto"/>
                <w:highlight w:val="none"/>
              </w:rPr>
            </w:pPr>
          </w:p>
          <w:p w14:paraId="19F2CF4C">
            <w:pPr>
              <w:pStyle w:val="14"/>
              <w:keepNext w:val="0"/>
              <w:keepLines w:val="0"/>
              <w:suppressLineNumbers w:val="0"/>
              <w:spacing w:afterAutospacing="0"/>
              <w:ind w:left="0" w:right="0"/>
              <w:rPr>
                <w:rFonts w:hint="eastAsia" w:cs="Times New Roman"/>
                <w:i w:val="0"/>
                <w:iCs w:val="0"/>
                <w:color w:val="auto"/>
                <w:highlight w:val="none"/>
              </w:rPr>
            </w:pPr>
          </w:p>
          <w:p w14:paraId="0DEB366A">
            <w:pPr>
              <w:pStyle w:val="14"/>
              <w:keepNext w:val="0"/>
              <w:keepLines w:val="0"/>
              <w:suppressLineNumbers w:val="0"/>
              <w:spacing w:afterAutospacing="0"/>
              <w:ind w:left="0" w:right="0"/>
              <w:rPr>
                <w:rFonts w:hint="eastAsia" w:cs="Times New Roman"/>
                <w:i w:val="0"/>
                <w:iCs w:val="0"/>
                <w:color w:val="auto"/>
                <w:highlight w:val="none"/>
              </w:rPr>
            </w:pPr>
          </w:p>
          <w:p w14:paraId="39DF4D1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38CD1FFA">
      <w:pPr>
        <w:jc w:val="center"/>
        <w:rPr>
          <w:rFonts w:ascii="宋体" w:hAnsi="宋体"/>
          <w:i w:val="0"/>
          <w:iCs w:val="0"/>
          <w:color w:val="auto"/>
          <w:highlight w:val="none"/>
        </w:rPr>
      </w:pPr>
    </w:p>
    <w:p w14:paraId="6E44DEFC">
      <w:pPr>
        <w:pStyle w:val="14"/>
        <w:rPr>
          <w:rFonts w:hint="eastAsia"/>
          <w:i w:val="0"/>
          <w:iCs w:val="0"/>
          <w:color w:val="auto"/>
          <w:highlight w:val="none"/>
        </w:rPr>
      </w:pPr>
      <w:r>
        <w:rPr>
          <w:i w:val="0"/>
          <w:iCs w:val="0"/>
          <w:color w:val="auto"/>
          <w:highlight w:val="none"/>
        </w:rPr>
        <w:br w:type="page"/>
      </w:r>
    </w:p>
    <w:p w14:paraId="2AC8F6FD">
      <w:pPr>
        <w:jc w:val="center"/>
        <w:rPr>
          <w:rFonts w:ascii="宋体" w:hAnsi="宋体"/>
          <w:b/>
          <w:bCs/>
          <w:i w:val="0"/>
          <w:iCs w:val="0"/>
          <w:color w:val="auto"/>
          <w:highlight w:val="none"/>
        </w:rPr>
      </w:pPr>
      <w:r>
        <w:rPr>
          <w:rFonts w:hint="eastAsia" w:ascii="宋体" w:hAnsi="宋体"/>
          <w:b/>
          <w:bCs/>
          <w:i w:val="0"/>
          <w:iCs w:val="0"/>
          <w:color w:val="auto"/>
          <w:highlight w:val="none"/>
        </w:rPr>
        <w:t>投标报价费用表</w:t>
      </w:r>
    </w:p>
    <w:p w14:paraId="5BF72BEF">
      <w:pPr>
        <w:pStyle w:val="14"/>
        <w:rPr>
          <w:rFonts w:hint="eastAsia"/>
          <w:i w:val="0"/>
          <w:iCs w:val="0"/>
          <w:color w:val="auto"/>
          <w:highlight w:val="none"/>
        </w:rPr>
      </w:pPr>
    </w:p>
    <w:p w14:paraId="2F397513">
      <w:pPr>
        <w:ind w:firstLine="410" w:firstLineChars="171"/>
        <w:rPr>
          <w:rFonts w:ascii="宋体" w:hAnsi="宋体"/>
          <w:i w:val="0"/>
          <w:iCs w:val="0"/>
          <w:color w:val="auto"/>
          <w:highlight w:val="none"/>
        </w:rPr>
      </w:pPr>
      <w:r>
        <w:rPr>
          <w:rFonts w:hint="eastAsia" w:ascii="宋体" w:hAnsi="宋体"/>
          <w:i w:val="0"/>
          <w:iCs w:val="0"/>
          <w:color w:val="auto"/>
          <w:highlight w:val="none"/>
        </w:rPr>
        <w:t>工程名称：                                            第  页 共  页</w:t>
      </w:r>
    </w:p>
    <w:tbl>
      <w:tblPr>
        <w:tblStyle w:val="21"/>
        <w:tblW w:w="882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55F7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1EEDA03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275B8AF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3D088FF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1E09A01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0716DBF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备注</w:t>
            </w:r>
          </w:p>
        </w:tc>
      </w:tr>
      <w:tr w14:paraId="6467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00" w:type="dxa"/>
            <w:vMerge w:val="continue"/>
            <w:tcBorders>
              <w:top w:val="single" w:color="auto" w:sz="4" w:space="0"/>
              <w:left w:val="single" w:color="auto" w:sz="4" w:space="0"/>
              <w:bottom w:val="single" w:color="auto" w:sz="4" w:space="0"/>
              <w:right w:val="single" w:color="auto" w:sz="4" w:space="0"/>
            </w:tcBorders>
            <w:noWrap w:val="0"/>
            <w:vAlign w:val="center"/>
          </w:tcPr>
          <w:p w14:paraId="2054222D">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c>
          <w:tcPr>
            <w:tcW w:w="1800" w:type="dxa"/>
            <w:vMerge w:val="continue"/>
            <w:tcBorders>
              <w:top w:val="single" w:color="auto" w:sz="4" w:space="0"/>
              <w:left w:val="nil"/>
              <w:bottom w:val="single" w:color="auto" w:sz="4" w:space="0"/>
              <w:right w:val="single" w:color="auto" w:sz="4" w:space="0"/>
            </w:tcBorders>
            <w:noWrap w:val="0"/>
            <w:vAlign w:val="center"/>
          </w:tcPr>
          <w:p w14:paraId="57CC51B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7D759C5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34FEDF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暂估价</w:t>
            </w:r>
          </w:p>
        </w:tc>
        <w:tc>
          <w:tcPr>
            <w:tcW w:w="1440" w:type="dxa"/>
            <w:tcBorders>
              <w:top w:val="single" w:color="auto" w:sz="4" w:space="0"/>
              <w:left w:val="nil"/>
              <w:bottom w:val="single" w:color="auto" w:sz="4" w:space="0"/>
              <w:right w:val="single" w:color="auto" w:sz="4" w:space="0"/>
            </w:tcBorders>
            <w:noWrap/>
            <w:vAlign w:val="center"/>
          </w:tcPr>
          <w:p w14:paraId="4F3D10A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安全文明</w:t>
            </w:r>
          </w:p>
          <w:p w14:paraId="6B73600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施工基本费</w:t>
            </w:r>
          </w:p>
        </w:tc>
        <w:tc>
          <w:tcPr>
            <w:tcW w:w="900" w:type="dxa"/>
            <w:tcBorders>
              <w:top w:val="single" w:color="auto" w:sz="4" w:space="0"/>
              <w:left w:val="nil"/>
              <w:bottom w:val="single" w:color="auto" w:sz="4" w:space="0"/>
              <w:right w:val="single" w:color="auto" w:sz="4" w:space="0"/>
            </w:tcBorders>
            <w:noWrap/>
            <w:vAlign w:val="center"/>
          </w:tcPr>
          <w:p w14:paraId="49026AB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规费</w:t>
            </w:r>
          </w:p>
        </w:tc>
        <w:tc>
          <w:tcPr>
            <w:tcW w:w="900" w:type="dxa"/>
            <w:tcBorders>
              <w:top w:val="single" w:color="auto" w:sz="4" w:space="0"/>
              <w:left w:val="nil"/>
              <w:bottom w:val="single" w:color="auto" w:sz="4" w:space="0"/>
              <w:right w:val="single" w:color="auto" w:sz="4" w:space="0"/>
            </w:tcBorders>
            <w:noWrap/>
            <w:vAlign w:val="center"/>
          </w:tcPr>
          <w:p w14:paraId="223679A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14:paraId="02D80E2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r>
      <w:tr w14:paraId="01515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1E810E6">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i w:val="0"/>
                <w:iCs w:val="0"/>
                <w:color w:val="auto"/>
                <w:kern w:val="2"/>
                <w:highlight w:val="none"/>
              </w:rPr>
            </w:pPr>
            <w:r>
              <w:rPr>
                <w:rFonts w:hint="eastAsia" w:ascii="宋体" w:hAnsi="宋体" w:cs="Times New Roman"/>
                <w:b/>
                <w:i w:val="0"/>
                <w:iCs w:val="0"/>
                <w:color w:val="auto"/>
                <w:highlight w:val="none"/>
              </w:rPr>
              <w:t>1</w:t>
            </w:r>
          </w:p>
        </w:tc>
        <w:tc>
          <w:tcPr>
            <w:tcW w:w="1800" w:type="dxa"/>
            <w:tcBorders>
              <w:top w:val="single" w:color="auto" w:sz="4" w:space="0"/>
              <w:left w:val="nil"/>
              <w:bottom w:val="single" w:color="auto" w:sz="4" w:space="0"/>
              <w:right w:val="single" w:color="auto" w:sz="4" w:space="0"/>
            </w:tcBorders>
            <w:noWrap/>
            <w:vAlign w:val="center"/>
          </w:tcPr>
          <w:p w14:paraId="7B2C8031">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i w:val="0"/>
                <w:iCs w:val="0"/>
                <w:color w:val="auto"/>
                <w:highlight w:val="none"/>
              </w:rPr>
            </w:pPr>
            <w:r>
              <w:rPr>
                <w:rFonts w:hint="eastAsia" w:ascii="宋体" w:hAnsi="宋体" w:cs="Times New Roman"/>
                <w:b/>
                <w:i w:val="0"/>
                <w:iCs w:val="0"/>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3C433A92">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F26EE52">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32CCFAD">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08373E">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DF6C623">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0F263D">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r>
      <w:tr w14:paraId="580FA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7942821">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1.1</w:t>
            </w:r>
          </w:p>
        </w:tc>
        <w:tc>
          <w:tcPr>
            <w:tcW w:w="1800" w:type="dxa"/>
            <w:tcBorders>
              <w:top w:val="single" w:color="auto" w:sz="4" w:space="0"/>
              <w:left w:val="nil"/>
              <w:bottom w:val="single" w:color="auto" w:sz="4" w:space="0"/>
              <w:right w:val="single" w:color="auto" w:sz="4" w:space="0"/>
            </w:tcBorders>
            <w:noWrap/>
            <w:vAlign w:val="center"/>
          </w:tcPr>
          <w:p w14:paraId="302E39AB">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15E3687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500E80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C02E6A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DFF90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976BAF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585501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5E49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92DAEA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1.1.1</w:t>
            </w:r>
          </w:p>
        </w:tc>
        <w:tc>
          <w:tcPr>
            <w:tcW w:w="1800" w:type="dxa"/>
            <w:tcBorders>
              <w:top w:val="single" w:color="auto" w:sz="4" w:space="0"/>
              <w:left w:val="nil"/>
              <w:bottom w:val="single" w:color="auto" w:sz="4" w:space="0"/>
              <w:right w:val="single" w:color="auto" w:sz="4" w:space="0"/>
            </w:tcBorders>
            <w:noWrap/>
            <w:vAlign w:val="center"/>
          </w:tcPr>
          <w:p w14:paraId="07892403">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235F6C5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2781CB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ACB824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8BA8A0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5B3201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816656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06C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97DDAD8">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16085E65">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58642BE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DFA76A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41FF26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AF42C6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304B82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03EBA8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312C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276325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1.2</w:t>
            </w:r>
          </w:p>
        </w:tc>
        <w:tc>
          <w:tcPr>
            <w:tcW w:w="1800" w:type="dxa"/>
            <w:tcBorders>
              <w:top w:val="single" w:color="auto" w:sz="4" w:space="0"/>
              <w:left w:val="nil"/>
              <w:bottom w:val="single" w:color="auto" w:sz="4" w:space="0"/>
              <w:right w:val="single" w:color="auto" w:sz="4" w:space="0"/>
            </w:tcBorders>
            <w:noWrap/>
            <w:vAlign w:val="center"/>
          </w:tcPr>
          <w:p w14:paraId="5CFADF95">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18AE2F2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38ADED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568991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08CD37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B4894C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675056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6D61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831EF63">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1.2.1</w:t>
            </w:r>
          </w:p>
        </w:tc>
        <w:tc>
          <w:tcPr>
            <w:tcW w:w="1800" w:type="dxa"/>
            <w:tcBorders>
              <w:top w:val="single" w:color="auto" w:sz="4" w:space="0"/>
              <w:left w:val="nil"/>
              <w:bottom w:val="single" w:color="auto" w:sz="4" w:space="0"/>
              <w:right w:val="single" w:color="auto" w:sz="4" w:space="0"/>
            </w:tcBorders>
            <w:noWrap/>
            <w:vAlign w:val="center"/>
          </w:tcPr>
          <w:p w14:paraId="65594AA0">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5AF4B22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DF885B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C6E44F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4DF54D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F15AD4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5A405B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47CB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3D631E8">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4F8CD77D">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7ED9830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6562E6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86F4CF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D82DFE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3603D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DFC90D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0852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9E86A17">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i w:val="0"/>
                <w:iCs w:val="0"/>
                <w:color w:val="auto"/>
                <w:kern w:val="2"/>
                <w:highlight w:val="none"/>
              </w:rPr>
            </w:pPr>
            <w:r>
              <w:rPr>
                <w:rFonts w:hint="eastAsia" w:ascii="宋体" w:hAnsi="宋体" w:cs="Times New Roman"/>
                <w:b/>
                <w:i w:val="0"/>
                <w:iCs w:val="0"/>
                <w:color w:val="auto"/>
                <w:highlight w:val="none"/>
              </w:rPr>
              <w:t>2</w:t>
            </w:r>
          </w:p>
        </w:tc>
        <w:tc>
          <w:tcPr>
            <w:tcW w:w="1800" w:type="dxa"/>
            <w:tcBorders>
              <w:top w:val="single" w:color="auto" w:sz="4" w:space="0"/>
              <w:left w:val="nil"/>
              <w:bottom w:val="single" w:color="auto" w:sz="4" w:space="0"/>
              <w:right w:val="single" w:color="auto" w:sz="4" w:space="0"/>
            </w:tcBorders>
            <w:noWrap/>
            <w:vAlign w:val="center"/>
          </w:tcPr>
          <w:p w14:paraId="10BC38C5">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i w:val="0"/>
                <w:iCs w:val="0"/>
                <w:color w:val="auto"/>
                <w:highlight w:val="none"/>
              </w:rPr>
            </w:pPr>
            <w:r>
              <w:rPr>
                <w:rFonts w:hint="eastAsia" w:ascii="宋体" w:hAnsi="宋体" w:cs="Times New Roman"/>
                <w:b/>
                <w:i w:val="0"/>
                <w:iCs w:val="0"/>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5BB6405B">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272519B">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21EFFE8">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113E417">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E27E94C">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E44316">
            <w:pPr>
              <w:keepNext w:val="0"/>
              <w:keepLines w:val="0"/>
              <w:suppressLineNumbers w:val="0"/>
              <w:spacing w:before="0" w:beforeAutospacing="0" w:after="0" w:afterAutospacing="0"/>
              <w:ind w:left="0" w:right="0"/>
              <w:jc w:val="center"/>
              <w:rPr>
                <w:rFonts w:hint="default" w:ascii="宋体" w:hAnsi="宋体" w:cs="Times New Roman"/>
                <w:b/>
                <w:i w:val="0"/>
                <w:iCs w:val="0"/>
                <w:color w:val="auto"/>
                <w:highlight w:val="none"/>
              </w:rPr>
            </w:pPr>
          </w:p>
        </w:tc>
      </w:tr>
      <w:tr w14:paraId="54039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0A39A3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2.1</w:t>
            </w:r>
          </w:p>
        </w:tc>
        <w:tc>
          <w:tcPr>
            <w:tcW w:w="1800" w:type="dxa"/>
            <w:tcBorders>
              <w:top w:val="single" w:color="auto" w:sz="4" w:space="0"/>
              <w:left w:val="nil"/>
              <w:bottom w:val="single" w:color="auto" w:sz="4" w:space="0"/>
              <w:right w:val="single" w:color="auto" w:sz="4" w:space="0"/>
            </w:tcBorders>
            <w:noWrap/>
            <w:vAlign w:val="center"/>
          </w:tcPr>
          <w:p w14:paraId="7E9A0F90">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0684AAE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549B45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66EBE6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F05A2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E5221C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8EB45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333AD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D85F615">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2.1.1</w:t>
            </w:r>
          </w:p>
        </w:tc>
        <w:tc>
          <w:tcPr>
            <w:tcW w:w="1800" w:type="dxa"/>
            <w:tcBorders>
              <w:top w:val="single" w:color="auto" w:sz="4" w:space="0"/>
              <w:left w:val="nil"/>
              <w:bottom w:val="single" w:color="auto" w:sz="4" w:space="0"/>
              <w:right w:val="single" w:color="auto" w:sz="4" w:space="0"/>
            </w:tcBorders>
            <w:noWrap/>
            <w:vAlign w:val="center"/>
          </w:tcPr>
          <w:p w14:paraId="700EF80F">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855F86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386D93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082295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D0E58A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9A9DE6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48DAA3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1061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284705B">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47D97697">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7846FE6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2B4930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FE5F47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641EFE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CDC508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634A0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6379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E2C2296">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2.2</w:t>
            </w:r>
          </w:p>
        </w:tc>
        <w:tc>
          <w:tcPr>
            <w:tcW w:w="1800" w:type="dxa"/>
            <w:tcBorders>
              <w:top w:val="single" w:color="auto" w:sz="4" w:space="0"/>
              <w:left w:val="nil"/>
              <w:bottom w:val="single" w:color="auto" w:sz="4" w:space="0"/>
              <w:right w:val="single" w:color="auto" w:sz="4" w:space="0"/>
            </w:tcBorders>
            <w:noWrap/>
            <w:vAlign w:val="center"/>
          </w:tcPr>
          <w:p w14:paraId="51F4242F">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5BBE7FB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139ADF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22BAE1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2AA9CA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530319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6B2A0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1EB0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00B0B7A">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2.2.1</w:t>
            </w:r>
          </w:p>
        </w:tc>
        <w:tc>
          <w:tcPr>
            <w:tcW w:w="1800" w:type="dxa"/>
            <w:tcBorders>
              <w:top w:val="single" w:color="auto" w:sz="4" w:space="0"/>
              <w:left w:val="nil"/>
              <w:bottom w:val="single" w:color="auto" w:sz="4" w:space="0"/>
              <w:right w:val="single" w:color="auto" w:sz="4" w:space="0"/>
            </w:tcBorders>
            <w:noWrap/>
            <w:vAlign w:val="center"/>
          </w:tcPr>
          <w:p w14:paraId="3F743B5E">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6CDE2A8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9F206E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22E708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6F3969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DB5C3B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E68850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7761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6C5C1E3">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1373854D">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08980A1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A1F4A3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0BB013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DB3A5F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DA1C71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FD0223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C0B3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1767D8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800" w:type="dxa"/>
            <w:tcBorders>
              <w:top w:val="single" w:color="auto" w:sz="4" w:space="0"/>
              <w:left w:val="nil"/>
              <w:bottom w:val="single" w:color="auto" w:sz="4" w:space="0"/>
              <w:right w:val="single" w:color="auto" w:sz="4" w:space="0"/>
            </w:tcBorders>
            <w:noWrap/>
            <w:vAlign w:val="center"/>
          </w:tcPr>
          <w:p w14:paraId="4161213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09265D2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44357C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E6B039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63ECC5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8FDFF1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C597F3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5FB04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45EE523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合计</w:t>
            </w:r>
          </w:p>
        </w:tc>
        <w:tc>
          <w:tcPr>
            <w:tcW w:w="1080" w:type="dxa"/>
            <w:tcBorders>
              <w:top w:val="single" w:color="auto" w:sz="4" w:space="0"/>
              <w:left w:val="nil"/>
              <w:bottom w:val="single" w:color="auto" w:sz="4" w:space="0"/>
              <w:right w:val="single" w:color="auto" w:sz="4" w:space="0"/>
            </w:tcBorders>
            <w:noWrap/>
            <w:vAlign w:val="center"/>
          </w:tcPr>
          <w:p w14:paraId="518A6DB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8140C5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8213A4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AAE83D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7BFCE6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7DA57A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bl>
    <w:p w14:paraId="1A527B80">
      <w:pPr>
        <w:ind w:firstLine="180" w:firstLineChars="100"/>
        <w:rPr>
          <w:rFonts w:ascii="宋体" w:hAnsi="宋体"/>
          <w:i w:val="0"/>
          <w:iCs w:val="0"/>
          <w:color w:val="auto"/>
          <w:sz w:val="18"/>
          <w:szCs w:val="18"/>
          <w:highlight w:val="none"/>
        </w:rPr>
      </w:pPr>
    </w:p>
    <w:p w14:paraId="68F4FF45">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70778B94">
      <w:pPr>
        <w:ind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1.本表适用于建设工程项目或单项工程招标控制价或投标报价的汇总。</w:t>
      </w:r>
    </w:p>
    <w:p w14:paraId="0CFEB081">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2.暂估价包括分部分项工程中的暂估价和专业工程暂估价不含发包人单独发包的专业工程暂估价。</w:t>
      </w:r>
    </w:p>
    <w:p w14:paraId="048402A6">
      <w:pPr>
        <w:widowControl/>
        <w:autoSpaceDN/>
        <w:rPr>
          <w:rFonts w:ascii="宋体" w:hAnsi="宋体"/>
          <w:i w:val="0"/>
          <w:iCs w:val="0"/>
          <w:color w:val="auto"/>
          <w:sz w:val="22"/>
          <w:szCs w:val="22"/>
          <w:highlight w:val="none"/>
        </w:rPr>
      </w:pPr>
      <w:r>
        <w:rPr>
          <w:rFonts w:hint="eastAsia" w:ascii="宋体" w:hAnsi="宋体"/>
          <w:i w:val="0"/>
          <w:iCs w:val="0"/>
          <w:color w:val="auto"/>
          <w:highlight w:val="none"/>
        </w:rPr>
        <w:br w:type="page"/>
      </w:r>
    </w:p>
    <w:p w14:paraId="71C8608A">
      <w:pPr>
        <w:jc w:val="center"/>
        <w:rPr>
          <w:rFonts w:ascii="宋体" w:hAnsi="宋体"/>
          <w:b/>
          <w:bCs/>
          <w:i w:val="0"/>
          <w:iCs w:val="0"/>
          <w:color w:val="auto"/>
          <w:sz w:val="21"/>
          <w:szCs w:val="21"/>
          <w:highlight w:val="none"/>
        </w:rPr>
      </w:pPr>
      <w:r>
        <w:rPr>
          <w:rFonts w:hint="eastAsia" w:ascii="宋体" w:hAnsi="宋体"/>
          <w:b/>
          <w:bCs/>
          <w:i w:val="0"/>
          <w:iCs w:val="0"/>
          <w:color w:val="auto"/>
          <w:highlight w:val="none"/>
        </w:rPr>
        <w:t>单位（专业）工程投标报价费用表</w:t>
      </w:r>
    </w:p>
    <w:p w14:paraId="12E54E71">
      <w:pPr>
        <w:snapToGrid w:val="0"/>
        <w:ind w:firstLine="410" w:firstLineChars="171"/>
        <w:rPr>
          <w:rFonts w:ascii="宋体" w:hAnsi="宋体"/>
          <w:i w:val="0"/>
          <w:iCs w:val="0"/>
          <w:color w:val="auto"/>
          <w:highlight w:val="none"/>
        </w:rPr>
      </w:pPr>
      <w:r>
        <w:rPr>
          <w:rFonts w:hint="eastAsia" w:ascii="宋体" w:hAnsi="宋体"/>
          <w:i w:val="0"/>
          <w:iCs w:val="0"/>
          <w:color w:val="auto"/>
          <w:highlight w:val="none"/>
        </w:rPr>
        <w:t>工程名称：                                             第  页 共  页</w:t>
      </w:r>
    </w:p>
    <w:tbl>
      <w:tblPr>
        <w:tblStyle w:val="21"/>
        <w:tblW w:w="904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6C78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A21BFBA">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0FC526E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费用名称</w:t>
            </w:r>
          </w:p>
        </w:tc>
        <w:tc>
          <w:tcPr>
            <w:tcW w:w="3730" w:type="dxa"/>
            <w:tcBorders>
              <w:top w:val="single" w:color="auto" w:sz="4" w:space="0"/>
              <w:left w:val="nil"/>
              <w:bottom w:val="single" w:color="auto" w:sz="4" w:space="0"/>
              <w:right w:val="single" w:color="auto" w:sz="4" w:space="0"/>
            </w:tcBorders>
            <w:noWrap/>
            <w:vAlign w:val="center"/>
          </w:tcPr>
          <w:p w14:paraId="219C095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计算公式</w:t>
            </w:r>
          </w:p>
        </w:tc>
        <w:tc>
          <w:tcPr>
            <w:tcW w:w="857" w:type="dxa"/>
            <w:tcBorders>
              <w:top w:val="single" w:color="auto" w:sz="4" w:space="0"/>
              <w:left w:val="nil"/>
              <w:bottom w:val="single" w:color="auto" w:sz="4" w:space="0"/>
              <w:right w:val="single" w:color="auto" w:sz="4" w:space="0"/>
            </w:tcBorders>
            <w:noWrap/>
            <w:vAlign w:val="center"/>
          </w:tcPr>
          <w:p w14:paraId="29CE89A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金额（元）</w:t>
            </w:r>
          </w:p>
        </w:tc>
        <w:tc>
          <w:tcPr>
            <w:tcW w:w="1136" w:type="dxa"/>
            <w:tcBorders>
              <w:top w:val="single" w:color="auto" w:sz="4" w:space="0"/>
              <w:left w:val="nil"/>
              <w:bottom w:val="single" w:color="auto" w:sz="4" w:space="0"/>
              <w:right w:val="single" w:color="auto" w:sz="4" w:space="0"/>
            </w:tcBorders>
            <w:noWrap/>
            <w:vAlign w:val="center"/>
          </w:tcPr>
          <w:p w14:paraId="2060C04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224C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FB89EA8">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2678" w:type="dxa"/>
            <w:gridSpan w:val="4"/>
            <w:tcBorders>
              <w:top w:val="single" w:color="auto" w:sz="4" w:space="0"/>
              <w:left w:val="nil"/>
              <w:bottom w:val="single" w:color="auto" w:sz="4" w:space="0"/>
              <w:right w:val="single" w:color="auto" w:sz="4" w:space="0"/>
            </w:tcBorders>
            <w:noWrap/>
            <w:vAlign w:val="center"/>
          </w:tcPr>
          <w:p w14:paraId="06E519DF">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分部分项工程费</w:t>
            </w:r>
          </w:p>
        </w:tc>
        <w:tc>
          <w:tcPr>
            <w:tcW w:w="3730" w:type="dxa"/>
            <w:tcBorders>
              <w:top w:val="single" w:color="auto" w:sz="4" w:space="0"/>
              <w:left w:val="nil"/>
              <w:bottom w:val="single" w:color="auto" w:sz="4" w:space="0"/>
              <w:right w:val="single" w:color="auto" w:sz="4" w:space="0"/>
            </w:tcBorders>
            <w:noWrap/>
            <w:vAlign w:val="center"/>
          </w:tcPr>
          <w:p w14:paraId="7FFB7AD3">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3EBBBE9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FD0CB00">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5B45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4CFE5F6">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7E32E4AF">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17685CE5">
            <w:pPr>
              <w:keepNext w:val="0"/>
              <w:keepLines w:val="0"/>
              <w:suppressLineNumbers w:val="0"/>
              <w:spacing w:before="0" w:beforeAutospacing="0" w:after="0" w:afterAutospacing="0" w:line="240" w:lineRule="exact"/>
              <w:ind w:left="-10" w:leftChars="-11" w:right="0" w:hanging="16" w:hangingChars="9"/>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1.1人工费+机械费</w:t>
            </w:r>
          </w:p>
        </w:tc>
        <w:tc>
          <w:tcPr>
            <w:tcW w:w="3730" w:type="dxa"/>
            <w:tcBorders>
              <w:top w:val="single" w:color="auto" w:sz="4" w:space="0"/>
              <w:left w:val="nil"/>
              <w:bottom w:val="single" w:color="auto" w:sz="4" w:space="0"/>
              <w:right w:val="single" w:color="auto" w:sz="4" w:space="0"/>
            </w:tcBorders>
            <w:noWrap/>
            <w:vAlign w:val="center"/>
          </w:tcPr>
          <w:p w14:paraId="6CB85B0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∑分部分项（</w:t>
            </w:r>
            <w:r>
              <w:rPr>
                <w:rFonts w:hint="eastAsia" w:ascii="宋体" w:hAnsi="宋体" w:cs="Times New Roman"/>
                <w:i w:val="0"/>
                <w:iCs w:val="0"/>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5AEFE29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182E446">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p>
        </w:tc>
      </w:tr>
      <w:tr w14:paraId="60A40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494506A">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2678" w:type="dxa"/>
            <w:gridSpan w:val="4"/>
            <w:tcBorders>
              <w:top w:val="single" w:color="auto" w:sz="4" w:space="0"/>
              <w:left w:val="nil"/>
              <w:bottom w:val="single" w:color="auto" w:sz="4" w:space="0"/>
              <w:right w:val="single" w:color="auto" w:sz="4" w:space="0"/>
            </w:tcBorders>
            <w:noWrap/>
            <w:vAlign w:val="center"/>
          </w:tcPr>
          <w:p w14:paraId="54229D63">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措施项目费</w:t>
            </w:r>
          </w:p>
        </w:tc>
        <w:tc>
          <w:tcPr>
            <w:tcW w:w="3730" w:type="dxa"/>
            <w:tcBorders>
              <w:top w:val="single" w:color="auto" w:sz="4" w:space="0"/>
              <w:left w:val="nil"/>
              <w:bottom w:val="single" w:color="auto" w:sz="4" w:space="0"/>
              <w:right w:val="single" w:color="auto" w:sz="4" w:space="0"/>
            </w:tcBorders>
            <w:noWrap/>
            <w:vAlign w:val="center"/>
          </w:tcPr>
          <w:p w14:paraId="2EC52CC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（2.1+2.2）</w:t>
            </w:r>
          </w:p>
        </w:tc>
        <w:tc>
          <w:tcPr>
            <w:tcW w:w="857" w:type="dxa"/>
            <w:tcBorders>
              <w:top w:val="single" w:color="auto" w:sz="4" w:space="0"/>
              <w:left w:val="nil"/>
              <w:bottom w:val="single" w:color="auto" w:sz="4" w:space="0"/>
              <w:right w:val="single" w:color="auto" w:sz="4" w:space="0"/>
            </w:tcBorders>
            <w:noWrap/>
            <w:vAlign w:val="center"/>
          </w:tcPr>
          <w:p w14:paraId="389341F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C5A8E6C">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p>
        </w:tc>
      </w:tr>
      <w:tr w14:paraId="263A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97378E0">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2.1</w:t>
            </w:r>
          </w:p>
        </w:tc>
        <w:tc>
          <w:tcPr>
            <w:tcW w:w="2678" w:type="dxa"/>
            <w:gridSpan w:val="4"/>
            <w:tcBorders>
              <w:top w:val="single" w:color="auto" w:sz="4" w:space="0"/>
              <w:left w:val="nil"/>
              <w:bottom w:val="single" w:color="auto" w:sz="4" w:space="0"/>
              <w:right w:val="single" w:color="auto" w:sz="4" w:space="0"/>
            </w:tcBorders>
            <w:noWrap/>
            <w:vAlign w:val="center"/>
          </w:tcPr>
          <w:p w14:paraId="506DC30E">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681F136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w:t>
            </w:r>
            <w:r>
              <w:rPr>
                <w:rFonts w:hint="eastAsia" w:ascii="宋体" w:hAnsi="宋体" w:cs="Times New Roman"/>
                <w:i w:val="0"/>
                <w:iCs w:val="0"/>
                <w:color w:val="auto"/>
                <w:sz w:val="18"/>
                <w:szCs w:val="18"/>
                <w:highlight w:val="none"/>
              </w:rPr>
              <w:t>技措项目</w:t>
            </w:r>
            <w:r>
              <w:rPr>
                <w:rFonts w:hint="eastAsia" w:ascii="宋体" w:hAnsi="宋体" w:cs="Times New Roman"/>
                <w:bCs/>
                <w:i w:val="0"/>
                <w:iCs w:val="0"/>
                <w:color w:val="auto"/>
                <w:sz w:val="18"/>
                <w:szCs w:val="18"/>
                <w:highlight w:val="none"/>
              </w:rPr>
              <w:t>工程量×综合单价）</w:t>
            </w:r>
          </w:p>
        </w:tc>
        <w:tc>
          <w:tcPr>
            <w:tcW w:w="857" w:type="dxa"/>
            <w:tcBorders>
              <w:top w:val="single" w:color="auto" w:sz="4" w:space="0"/>
              <w:left w:val="nil"/>
              <w:bottom w:val="single" w:color="auto" w:sz="4" w:space="0"/>
              <w:right w:val="single" w:color="auto" w:sz="4" w:space="0"/>
            </w:tcBorders>
            <w:noWrap/>
            <w:vAlign w:val="center"/>
          </w:tcPr>
          <w:p w14:paraId="6B9D21C5">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89B3863">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19BF6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7874D82">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6345B0DD">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5E2EA104">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2.1.1人工费+机械费</w:t>
            </w:r>
          </w:p>
        </w:tc>
        <w:tc>
          <w:tcPr>
            <w:tcW w:w="3730" w:type="dxa"/>
            <w:tcBorders>
              <w:top w:val="single" w:color="auto" w:sz="4" w:space="0"/>
              <w:left w:val="nil"/>
              <w:bottom w:val="single" w:color="auto" w:sz="4" w:space="0"/>
              <w:right w:val="single" w:color="auto" w:sz="4" w:space="0"/>
            </w:tcBorders>
            <w:noWrap/>
            <w:vAlign w:val="center"/>
          </w:tcPr>
          <w:p w14:paraId="2EF0E135">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w:t>
            </w:r>
            <w:r>
              <w:rPr>
                <w:rFonts w:hint="eastAsia" w:ascii="宋体" w:hAnsi="宋体" w:cs="Times New Roman"/>
                <w:i w:val="0"/>
                <w:iCs w:val="0"/>
                <w:color w:val="auto"/>
                <w:sz w:val="18"/>
                <w:szCs w:val="18"/>
                <w:highlight w:val="none"/>
              </w:rPr>
              <w:t>技措项目</w:t>
            </w:r>
            <w:r>
              <w:rPr>
                <w:rFonts w:hint="eastAsia" w:ascii="宋体" w:hAnsi="宋体" w:cs="Times New Roman"/>
                <w:bCs/>
                <w:i w:val="0"/>
                <w:iCs w:val="0"/>
                <w:color w:val="auto"/>
                <w:sz w:val="18"/>
                <w:szCs w:val="18"/>
                <w:highlight w:val="none"/>
              </w:rPr>
              <w:t>（</w:t>
            </w:r>
            <w:r>
              <w:rPr>
                <w:rFonts w:hint="eastAsia" w:ascii="宋体" w:hAnsi="宋体" w:cs="Times New Roman"/>
                <w:i w:val="0"/>
                <w:iCs w:val="0"/>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23C8298D">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D4EC901">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299C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22A7D8B">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2.2</w:t>
            </w:r>
          </w:p>
        </w:tc>
        <w:tc>
          <w:tcPr>
            <w:tcW w:w="2678" w:type="dxa"/>
            <w:gridSpan w:val="4"/>
            <w:tcBorders>
              <w:top w:val="single" w:color="auto" w:sz="4" w:space="0"/>
              <w:left w:val="nil"/>
              <w:bottom w:val="single" w:color="auto" w:sz="4" w:space="0"/>
              <w:right w:val="single" w:color="auto" w:sz="4" w:space="0"/>
            </w:tcBorders>
            <w:noWrap/>
            <w:vAlign w:val="center"/>
          </w:tcPr>
          <w:p w14:paraId="393AEECA">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286BD65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00F1194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5520080">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001D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815D1F8">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p>
        </w:tc>
        <w:tc>
          <w:tcPr>
            <w:tcW w:w="672" w:type="dxa"/>
            <w:gridSpan w:val="2"/>
            <w:tcBorders>
              <w:top w:val="single" w:color="auto" w:sz="4" w:space="0"/>
              <w:left w:val="nil"/>
              <w:bottom w:val="single" w:color="auto" w:sz="4" w:space="0"/>
              <w:right w:val="single" w:color="auto" w:sz="4" w:space="0"/>
            </w:tcBorders>
            <w:noWrap/>
            <w:vAlign w:val="center"/>
          </w:tcPr>
          <w:p w14:paraId="104C77B4">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46CD1A92">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469337D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bCs/>
                <w:i w:val="0"/>
                <w:iCs w:val="0"/>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393BFF4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A1950F4">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0AF26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522FA3B">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kern w:val="2"/>
                <w:sz w:val="18"/>
                <w:szCs w:val="18"/>
                <w:highlight w:val="none"/>
              </w:rPr>
            </w:pPr>
            <w:r>
              <w:rPr>
                <w:rFonts w:hint="eastAsia" w:ascii="宋体" w:hAnsi="宋体" w:cs="Times New Roman"/>
                <w:i w:val="0"/>
                <w:iCs w:val="0"/>
                <w:color w:val="auto"/>
                <w:sz w:val="18"/>
                <w:szCs w:val="18"/>
                <w:highlight w:val="none"/>
              </w:rPr>
              <w:t>3</w:t>
            </w:r>
          </w:p>
        </w:tc>
        <w:tc>
          <w:tcPr>
            <w:tcW w:w="2678" w:type="dxa"/>
            <w:gridSpan w:val="4"/>
            <w:tcBorders>
              <w:top w:val="single" w:color="auto" w:sz="4" w:space="0"/>
              <w:left w:val="nil"/>
              <w:bottom w:val="single" w:color="auto" w:sz="4" w:space="0"/>
              <w:right w:val="single" w:color="auto" w:sz="4" w:space="0"/>
            </w:tcBorders>
            <w:noWrap/>
            <w:vAlign w:val="center"/>
          </w:tcPr>
          <w:p w14:paraId="25354CAF">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其他项目</w:t>
            </w:r>
          </w:p>
        </w:tc>
        <w:tc>
          <w:tcPr>
            <w:tcW w:w="3730" w:type="dxa"/>
            <w:tcBorders>
              <w:top w:val="single" w:color="auto" w:sz="4" w:space="0"/>
              <w:left w:val="nil"/>
              <w:bottom w:val="single" w:color="auto" w:sz="4" w:space="0"/>
              <w:right w:val="single" w:color="auto" w:sz="4" w:space="0"/>
            </w:tcBorders>
            <w:noWrap/>
            <w:vAlign w:val="center"/>
          </w:tcPr>
          <w:p w14:paraId="0FB5D6A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（3.1+3.2+3.3+3.4）</w:t>
            </w:r>
          </w:p>
        </w:tc>
        <w:tc>
          <w:tcPr>
            <w:tcW w:w="857" w:type="dxa"/>
            <w:tcBorders>
              <w:top w:val="single" w:color="auto" w:sz="4" w:space="0"/>
              <w:left w:val="nil"/>
              <w:bottom w:val="single" w:color="auto" w:sz="4" w:space="0"/>
              <w:right w:val="single" w:color="auto" w:sz="4" w:space="0"/>
            </w:tcBorders>
            <w:noWrap/>
            <w:vAlign w:val="center"/>
          </w:tcPr>
          <w:p w14:paraId="66EBE9C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ACB497D">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594C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4D8AC4C">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kern w:val="2"/>
                <w:sz w:val="18"/>
                <w:szCs w:val="18"/>
                <w:highlight w:val="none"/>
              </w:rPr>
            </w:pPr>
            <w:r>
              <w:rPr>
                <w:rFonts w:hint="eastAsia" w:ascii="宋体" w:hAnsi="宋体" w:cs="Times New Roman"/>
                <w:i w:val="0"/>
                <w:iCs w:val="0"/>
                <w:color w:val="auto"/>
                <w:sz w:val="18"/>
                <w:szCs w:val="18"/>
                <w:highlight w:val="none"/>
              </w:rPr>
              <w:t>3.1</w:t>
            </w:r>
          </w:p>
        </w:tc>
        <w:tc>
          <w:tcPr>
            <w:tcW w:w="2678" w:type="dxa"/>
            <w:gridSpan w:val="4"/>
            <w:tcBorders>
              <w:top w:val="single" w:color="auto" w:sz="4" w:space="0"/>
              <w:left w:val="nil"/>
              <w:bottom w:val="single" w:color="auto" w:sz="4" w:space="0"/>
              <w:right w:val="single" w:color="auto" w:sz="4" w:space="0"/>
            </w:tcBorders>
            <w:noWrap/>
            <w:vAlign w:val="center"/>
          </w:tcPr>
          <w:p w14:paraId="4B116EDF">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暂列金额</w:t>
            </w:r>
          </w:p>
        </w:tc>
        <w:tc>
          <w:tcPr>
            <w:tcW w:w="3730" w:type="dxa"/>
            <w:tcBorders>
              <w:top w:val="single" w:color="auto" w:sz="4" w:space="0"/>
              <w:left w:val="nil"/>
              <w:bottom w:val="single" w:color="auto" w:sz="4" w:space="0"/>
              <w:right w:val="single" w:color="auto" w:sz="4" w:space="0"/>
            </w:tcBorders>
            <w:noWrap/>
            <w:vAlign w:val="center"/>
          </w:tcPr>
          <w:p w14:paraId="79A2FF8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3.1.1+3.1.2+3.1.3</w:t>
            </w:r>
          </w:p>
        </w:tc>
        <w:tc>
          <w:tcPr>
            <w:tcW w:w="857" w:type="dxa"/>
            <w:tcBorders>
              <w:top w:val="single" w:color="auto" w:sz="4" w:space="0"/>
              <w:left w:val="nil"/>
              <w:bottom w:val="single" w:color="auto" w:sz="4" w:space="0"/>
              <w:right w:val="single" w:color="auto" w:sz="4" w:space="0"/>
            </w:tcBorders>
            <w:noWrap/>
            <w:vAlign w:val="center"/>
          </w:tcPr>
          <w:p w14:paraId="5E416B8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6F85B51">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185DF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97ED020">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3.1.1</w:t>
            </w:r>
          </w:p>
        </w:tc>
        <w:tc>
          <w:tcPr>
            <w:tcW w:w="448" w:type="dxa"/>
            <w:vMerge w:val="restart"/>
            <w:tcBorders>
              <w:top w:val="nil"/>
              <w:left w:val="nil"/>
              <w:bottom w:val="single" w:color="auto" w:sz="4" w:space="0"/>
              <w:right w:val="single" w:color="auto" w:sz="4" w:space="0"/>
            </w:tcBorders>
            <w:noWrap/>
            <w:vAlign w:val="center"/>
          </w:tcPr>
          <w:p w14:paraId="07FD9E5B">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0C50B17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标化工地增加费</w:t>
            </w:r>
          </w:p>
        </w:tc>
        <w:tc>
          <w:tcPr>
            <w:tcW w:w="3730" w:type="dxa"/>
            <w:tcBorders>
              <w:top w:val="single" w:color="auto" w:sz="4" w:space="0"/>
              <w:left w:val="nil"/>
              <w:bottom w:val="single" w:color="auto" w:sz="4" w:space="0"/>
              <w:right w:val="single" w:color="auto" w:sz="4" w:space="0"/>
            </w:tcBorders>
            <w:noWrap/>
            <w:vAlign w:val="center"/>
          </w:tcPr>
          <w:p w14:paraId="7826FCD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2E9E229D">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4D62B07">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40D9E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822DC1E">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3.1.2</w:t>
            </w:r>
          </w:p>
        </w:tc>
        <w:tc>
          <w:tcPr>
            <w:tcW w:w="448" w:type="dxa"/>
            <w:vMerge w:val="continue"/>
            <w:tcBorders>
              <w:top w:val="nil"/>
              <w:left w:val="nil"/>
              <w:bottom w:val="single" w:color="auto" w:sz="4" w:space="0"/>
              <w:right w:val="single" w:color="auto" w:sz="4" w:space="0"/>
            </w:tcBorders>
            <w:noWrap w:val="0"/>
            <w:vAlign w:val="center"/>
          </w:tcPr>
          <w:p w14:paraId="3A5AD63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5A46C662">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优质工程增加费</w:t>
            </w:r>
          </w:p>
        </w:tc>
        <w:tc>
          <w:tcPr>
            <w:tcW w:w="3730" w:type="dxa"/>
            <w:tcBorders>
              <w:top w:val="single" w:color="auto" w:sz="4" w:space="0"/>
              <w:left w:val="nil"/>
              <w:bottom w:val="single" w:color="auto" w:sz="4" w:space="0"/>
              <w:right w:val="single" w:color="auto" w:sz="4" w:space="0"/>
            </w:tcBorders>
            <w:noWrap/>
            <w:vAlign w:val="center"/>
          </w:tcPr>
          <w:p w14:paraId="41A41963">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4EFA97F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0C8CC9A">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520B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BE6524E">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3.1.3</w:t>
            </w:r>
          </w:p>
        </w:tc>
        <w:tc>
          <w:tcPr>
            <w:tcW w:w="448" w:type="dxa"/>
            <w:vMerge w:val="continue"/>
            <w:tcBorders>
              <w:top w:val="nil"/>
              <w:left w:val="nil"/>
              <w:bottom w:val="single" w:color="auto" w:sz="4" w:space="0"/>
              <w:right w:val="single" w:color="auto" w:sz="4" w:space="0"/>
            </w:tcBorders>
            <w:noWrap w:val="0"/>
            <w:vAlign w:val="center"/>
          </w:tcPr>
          <w:p w14:paraId="18567ED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0CA3661B">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其他暂列金额</w:t>
            </w:r>
          </w:p>
        </w:tc>
        <w:tc>
          <w:tcPr>
            <w:tcW w:w="3730" w:type="dxa"/>
            <w:tcBorders>
              <w:top w:val="single" w:color="auto" w:sz="4" w:space="0"/>
              <w:left w:val="nil"/>
              <w:bottom w:val="single" w:color="auto" w:sz="4" w:space="0"/>
              <w:right w:val="single" w:color="auto" w:sz="4" w:space="0"/>
            </w:tcBorders>
            <w:noWrap/>
            <w:vAlign w:val="center"/>
          </w:tcPr>
          <w:p w14:paraId="4C200073">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6E3949B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6397B9A">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4AB36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CFCADD6">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w:t>
            </w:r>
          </w:p>
        </w:tc>
        <w:tc>
          <w:tcPr>
            <w:tcW w:w="2678" w:type="dxa"/>
            <w:gridSpan w:val="4"/>
            <w:tcBorders>
              <w:top w:val="single" w:color="auto" w:sz="4" w:space="0"/>
              <w:left w:val="nil"/>
              <w:bottom w:val="single" w:color="auto" w:sz="4" w:space="0"/>
              <w:right w:val="single" w:color="auto" w:sz="4" w:space="0"/>
            </w:tcBorders>
            <w:noWrap/>
            <w:vAlign w:val="center"/>
          </w:tcPr>
          <w:p w14:paraId="7FBD582E">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暂估价</w:t>
            </w:r>
          </w:p>
        </w:tc>
        <w:tc>
          <w:tcPr>
            <w:tcW w:w="3730" w:type="dxa"/>
            <w:tcBorders>
              <w:top w:val="single" w:color="auto" w:sz="4" w:space="0"/>
              <w:left w:val="nil"/>
              <w:bottom w:val="single" w:color="auto" w:sz="4" w:space="0"/>
              <w:right w:val="single" w:color="auto" w:sz="4" w:space="0"/>
            </w:tcBorders>
            <w:noWrap/>
            <w:vAlign w:val="center"/>
          </w:tcPr>
          <w:p w14:paraId="2B9F11C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3.2.1+3.2.2+3.2.3</w:t>
            </w:r>
          </w:p>
        </w:tc>
        <w:tc>
          <w:tcPr>
            <w:tcW w:w="857" w:type="dxa"/>
            <w:tcBorders>
              <w:top w:val="single" w:color="auto" w:sz="4" w:space="0"/>
              <w:left w:val="nil"/>
              <w:bottom w:val="single" w:color="auto" w:sz="4" w:space="0"/>
              <w:right w:val="single" w:color="auto" w:sz="4" w:space="0"/>
            </w:tcBorders>
            <w:noWrap/>
            <w:vAlign w:val="center"/>
          </w:tcPr>
          <w:p w14:paraId="3764866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2CDE9D0">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78CB9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CDB0EEF">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3.2.1</w:t>
            </w:r>
          </w:p>
        </w:tc>
        <w:tc>
          <w:tcPr>
            <w:tcW w:w="448" w:type="dxa"/>
            <w:vMerge w:val="restart"/>
            <w:tcBorders>
              <w:top w:val="nil"/>
              <w:left w:val="nil"/>
              <w:bottom w:val="single" w:color="auto" w:sz="4" w:space="0"/>
              <w:right w:val="single" w:color="auto" w:sz="4" w:space="0"/>
            </w:tcBorders>
            <w:noWrap/>
            <w:vAlign w:val="center"/>
          </w:tcPr>
          <w:p w14:paraId="44CE24A6">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747BC007">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63BA204D">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53DA976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D7B7C3B">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7AE1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F438C89">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3.2.2</w:t>
            </w:r>
          </w:p>
        </w:tc>
        <w:tc>
          <w:tcPr>
            <w:tcW w:w="448" w:type="dxa"/>
            <w:vMerge w:val="continue"/>
            <w:tcBorders>
              <w:top w:val="nil"/>
              <w:left w:val="nil"/>
              <w:bottom w:val="single" w:color="auto" w:sz="4" w:space="0"/>
              <w:right w:val="single" w:color="auto" w:sz="4" w:space="0"/>
            </w:tcBorders>
            <w:noWrap w:val="0"/>
            <w:vAlign w:val="center"/>
          </w:tcPr>
          <w:p w14:paraId="5AB4D61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7BD762AD">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专业工程暂估价</w:t>
            </w:r>
          </w:p>
        </w:tc>
        <w:tc>
          <w:tcPr>
            <w:tcW w:w="3730" w:type="dxa"/>
            <w:tcBorders>
              <w:top w:val="single" w:color="auto" w:sz="4" w:space="0"/>
              <w:left w:val="nil"/>
              <w:bottom w:val="single" w:color="auto" w:sz="4" w:space="0"/>
              <w:right w:val="single" w:color="auto" w:sz="4" w:space="0"/>
            </w:tcBorders>
            <w:noWrap/>
            <w:vAlign w:val="center"/>
          </w:tcPr>
          <w:p w14:paraId="1F23007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41A573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E945567">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2A81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7CBAD02">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3.2.3</w:t>
            </w:r>
          </w:p>
        </w:tc>
        <w:tc>
          <w:tcPr>
            <w:tcW w:w="448" w:type="dxa"/>
            <w:vMerge w:val="continue"/>
            <w:tcBorders>
              <w:top w:val="nil"/>
              <w:left w:val="nil"/>
              <w:bottom w:val="single" w:color="auto" w:sz="4" w:space="0"/>
              <w:right w:val="single" w:color="auto" w:sz="4" w:space="0"/>
            </w:tcBorders>
            <w:noWrap w:val="0"/>
            <w:vAlign w:val="center"/>
          </w:tcPr>
          <w:p w14:paraId="3DCD538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07F4CA2B">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3558A99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7B194F5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B546E9D">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7438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DAC78C1">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3.3</w:t>
            </w:r>
          </w:p>
        </w:tc>
        <w:tc>
          <w:tcPr>
            <w:tcW w:w="2678" w:type="dxa"/>
            <w:gridSpan w:val="4"/>
            <w:tcBorders>
              <w:top w:val="single" w:color="auto" w:sz="4" w:space="0"/>
              <w:left w:val="nil"/>
              <w:bottom w:val="single" w:color="auto" w:sz="4" w:space="0"/>
              <w:right w:val="single" w:color="auto" w:sz="4" w:space="0"/>
            </w:tcBorders>
            <w:noWrap/>
            <w:vAlign w:val="center"/>
          </w:tcPr>
          <w:p w14:paraId="3AB9705E">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计日工</w:t>
            </w:r>
          </w:p>
        </w:tc>
        <w:tc>
          <w:tcPr>
            <w:tcW w:w="3730" w:type="dxa"/>
            <w:tcBorders>
              <w:top w:val="single" w:color="auto" w:sz="4" w:space="0"/>
              <w:left w:val="nil"/>
              <w:bottom w:val="single" w:color="auto" w:sz="4" w:space="0"/>
              <w:right w:val="single" w:color="auto" w:sz="4" w:space="0"/>
            </w:tcBorders>
            <w:noWrap/>
            <w:vAlign w:val="center"/>
          </w:tcPr>
          <w:p w14:paraId="4645053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∑计日工（暂估数量</w:t>
            </w:r>
            <w:r>
              <w:rPr>
                <w:rFonts w:hint="eastAsia" w:ascii="宋体" w:hAnsi="宋体" w:cs="Times New Roman"/>
                <w:bCs/>
                <w:i w:val="0"/>
                <w:iCs w:val="0"/>
                <w:color w:val="auto"/>
                <w:sz w:val="18"/>
                <w:szCs w:val="18"/>
                <w:highlight w:val="none"/>
              </w:rPr>
              <w:t>×综合单价）</w:t>
            </w:r>
          </w:p>
        </w:tc>
        <w:tc>
          <w:tcPr>
            <w:tcW w:w="857" w:type="dxa"/>
            <w:tcBorders>
              <w:top w:val="single" w:color="auto" w:sz="4" w:space="0"/>
              <w:left w:val="nil"/>
              <w:bottom w:val="single" w:color="auto" w:sz="4" w:space="0"/>
              <w:right w:val="single" w:color="auto" w:sz="4" w:space="0"/>
            </w:tcBorders>
            <w:noWrap/>
            <w:vAlign w:val="center"/>
          </w:tcPr>
          <w:p w14:paraId="1C3A7D0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A9DEF44">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6E37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3EE46F6">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3.4</w:t>
            </w:r>
          </w:p>
        </w:tc>
        <w:tc>
          <w:tcPr>
            <w:tcW w:w="2678" w:type="dxa"/>
            <w:gridSpan w:val="4"/>
            <w:tcBorders>
              <w:top w:val="single" w:color="auto" w:sz="4" w:space="0"/>
              <w:left w:val="nil"/>
              <w:bottom w:val="single" w:color="auto" w:sz="4" w:space="0"/>
              <w:right w:val="single" w:color="auto" w:sz="4" w:space="0"/>
            </w:tcBorders>
            <w:noWrap/>
            <w:vAlign w:val="center"/>
          </w:tcPr>
          <w:p w14:paraId="37EB25B7">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06B248B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3.4.1+3.4.2</w:t>
            </w:r>
          </w:p>
        </w:tc>
        <w:tc>
          <w:tcPr>
            <w:tcW w:w="857" w:type="dxa"/>
            <w:tcBorders>
              <w:top w:val="single" w:color="auto" w:sz="4" w:space="0"/>
              <w:left w:val="nil"/>
              <w:bottom w:val="single" w:color="auto" w:sz="4" w:space="0"/>
              <w:right w:val="single" w:color="auto" w:sz="4" w:space="0"/>
            </w:tcBorders>
            <w:noWrap/>
            <w:vAlign w:val="center"/>
          </w:tcPr>
          <w:p w14:paraId="11B5B6B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6334F0D">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059E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3D3B1D6">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3.4.1</w:t>
            </w:r>
          </w:p>
        </w:tc>
        <w:tc>
          <w:tcPr>
            <w:tcW w:w="448" w:type="dxa"/>
            <w:vMerge w:val="restart"/>
            <w:tcBorders>
              <w:top w:val="nil"/>
              <w:left w:val="nil"/>
              <w:bottom w:val="single" w:color="auto" w:sz="4" w:space="0"/>
              <w:right w:val="single" w:color="auto" w:sz="4" w:space="0"/>
            </w:tcBorders>
            <w:noWrap/>
            <w:vAlign w:val="center"/>
          </w:tcPr>
          <w:p w14:paraId="7009DCB9">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31D9C42A">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54603D0F">
            <w:pPr>
              <w:keepNext w:val="0"/>
              <w:keepLines w:val="0"/>
              <w:suppressLineNumbers w:val="0"/>
              <w:snapToGrid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∑专业发包工程（暂估金额</w:t>
            </w:r>
            <w:r>
              <w:rPr>
                <w:rFonts w:hint="eastAsia" w:ascii="宋体" w:hAnsi="宋体" w:cs="Times New Roman"/>
                <w:bCs/>
                <w:i w:val="0"/>
                <w:iCs w:val="0"/>
                <w:color w:val="auto"/>
                <w:sz w:val="18"/>
                <w:szCs w:val="18"/>
                <w:highlight w:val="none"/>
              </w:rPr>
              <w:t>×</w:t>
            </w:r>
            <w:r>
              <w:rPr>
                <w:rFonts w:hint="eastAsia" w:ascii="宋体" w:hAnsi="宋体" w:cs="Times New Roman"/>
                <w:i w:val="0"/>
                <w:iCs w:val="0"/>
                <w:color w:val="auto"/>
                <w:sz w:val="18"/>
                <w:szCs w:val="18"/>
                <w:highlight w:val="none"/>
              </w:rPr>
              <w:t>费率）</w:t>
            </w:r>
          </w:p>
        </w:tc>
        <w:tc>
          <w:tcPr>
            <w:tcW w:w="857" w:type="dxa"/>
            <w:tcBorders>
              <w:top w:val="single" w:color="auto" w:sz="4" w:space="0"/>
              <w:left w:val="nil"/>
              <w:bottom w:val="single" w:color="auto" w:sz="4" w:space="0"/>
              <w:right w:val="single" w:color="auto" w:sz="4" w:space="0"/>
            </w:tcBorders>
            <w:noWrap/>
            <w:vAlign w:val="center"/>
          </w:tcPr>
          <w:p w14:paraId="72371FA1">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B476F27">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7390B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FC45AF3">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3.4.2</w:t>
            </w:r>
          </w:p>
        </w:tc>
        <w:tc>
          <w:tcPr>
            <w:tcW w:w="448" w:type="dxa"/>
            <w:vMerge w:val="continue"/>
            <w:tcBorders>
              <w:top w:val="nil"/>
              <w:left w:val="nil"/>
              <w:bottom w:val="single" w:color="auto" w:sz="4" w:space="0"/>
              <w:right w:val="single" w:color="auto" w:sz="4" w:space="0"/>
            </w:tcBorders>
            <w:noWrap w:val="0"/>
            <w:vAlign w:val="center"/>
          </w:tcPr>
          <w:p w14:paraId="7B97750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49FFD763">
            <w:pPr>
              <w:keepNext w:val="0"/>
              <w:keepLines w:val="0"/>
              <w:suppressLineNumbers w:val="0"/>
              <w:spacing w:before="0" w:beforeAutospacing="0" w:after="0" w:afterAutospacing="0" w:line="240" w:lineRule="exact"/>
              <w:ind w:left="91" w:right="0" w:hanging="91"/>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7F1A97AF">
            <w:pPr>
              <w:keepNext w:val="0"/>
              <w:keepLines w:val="0"/>
              <w:suppressLineNumbers w:val="0"/>
              <w:snapToGrid w:val="0"/>
              <w:spacing w:before="0" w:beforeAutospacing="0" w:after="0" w:afterAutospacing="0" w:line="240" w:lineRule="exact"/>
              <w:ind w:left="0" w:right="0"/>
              <w:jc w:val="center"/>
              <w:rPr>
                <w:rFonts w:hint="default" w:ascii="宋体" w:hAnsi="宋体" w:cs="Times New Roman"/>
                <w:i w:val="0"/>
                <w:iCs w:val="0"/>
                <w:color w:val="auto"/>
                <w:spacing w:val="-10"/>
                <w:sz w:val="18"/>
                <w:szCs w:val="18"/>
                <w:highlight w:val="none"/>
              </w:rPr>
            </w:pPr>
            <w:r>
              <w:rPr>
                <w:rFonts w:hint="eastAsia" w:ascii="宋体" w:hAnsi="宋体" w:cs="Times New Roman"/>
                <w:i w:val="0"/>
                <w:iCs w:val="0"/>
                <w:color w:val="auto"/>
                <w:spacing w:val="-10"/>
                <w:sz w:val="18"/>
                <w:szCs w:val="18"/>
                <w:highlight w:val="none"/>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7E5D854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6127D67">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3D74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6F587A5">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4</w:t>
            </w:r>
          </w:p>
        </w:tc>
        <w:tc>
          <w:tcPr>
            <w:tcW w:w="2678" w:type="dxa"/>
            <w:gridSpan w:val="4"/>
            <w:tcBorders>
              <w:top w:val="single" w:color="auto" w:sz="4" w:space="0"/>
              <w:left w:val="nil"/>
              <w:bottom w:val="single" w:color="auto" w:sz="4" w:space="0"/>
              <w:right w:val="single" w:color="auto" w:sz="4" w:space="0"/>
            </w:tcBorders>
            <w:noWrap/>
            <w:vAlign w:val="center"/>
          </w:tcPr>
          <w:p w14:paraId="2864D205">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规费</w:t>
            </w:r>
          </w:p>
        </w:tc>
        <w:tc>
          <w:tcPr>
            <w:tcW w:w="3730" w:type="dxa"/>
            <w:tcBorders>
              <w:top w:val="single" w:color="auto" w:sz="4" w:space="0"/>
              <w:left w:val="nil"/>
              <w:bottom w:val="single" w:color="auto" w:sz="4" w:space="0"/>
              <w:right w:val="single" w:color="auto" w:sz="4" w:space="0"/>
            </w:tcBorders>
            <w:noWrap/>
            <w:vAlign w:val="center"/>
          </w:tcPr>
          <w:p w14:paraId="58F2A10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（计算基数×费率）</w:t>
            </w:r>
          </w:p>
        </w:tc>
        <w:tc>
          <w:tcPr>
            <w:tcW w:w="857" w:type="dxa"/>
            <w:tcBorders>
              <w:top w:val="single" w:color="auto" w:sz="4" w:space="0"/>
              <w:left w:val="nil"/>
              <w:bottom w:val="single" w:color="auto" w:sz="4" w:space="0"/>
              <w:right w:val="single" w:color="auto" w:sz="4" w:space="0"/>
            </w:tcBorders>
            <w:noWrap/>
            <w:vAlign w:val="center"/>
          </w:tcPr>
          <w:p w14:paraId="11F7043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E3F0B2E">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5476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B75F2F4">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5</w:t>
            </w:r>
          </w:p>
        </w:tc>
        <w:tc>
          <w:tcPr>
            <w:tcW w:w="2678" w:type="dxa"/>
            <w:gridSpan w:val="4"/>
            <w:tcBorders>
              <w:top w:val="single" w:color="auto" w:sz="4" w:space="0"/>
              <w:left w:val="nil"/>
              <w:bottom w:val="single" w:color="auto" w:sz="4" w:space="0"/>
              <w:right w:val="single" w:color="auto" w:sz="4" w:space="0"/>
            </w:tcBorders>
            <w:noWrap/>
            <w:vAlign w:val="center"/>
          </w:tcPr>
          <w:p w14:paraId="68C2067A">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增值税</w:t>
            </w:r>
          </w:p>
        </w:tc>
        <w:tc>
          <w:tcPr>
            <w:tcW w:w="3730" w:type="dxa"/>
            <w:tcBorders>
              <w:top w:val="single" w:color="auto" w:sz="4" w:space="0"/>
              <w:left w:val="nil"/>
              <w:bottom w:val="single" w:color="auto" w:sz="4" w:space="0"/>
              <w:right w:val="single" w:color="auto" w:sz="4" w:space="0"/>
            </w:tcBorders>
            <w:noWrap/>
            <w:vAlign w:val="center"/>
          </w:tcPr>
          <w:p w14:paraId="77D5C19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（计算基数×税率）</w:t>
            </w:r>
          </w:p>
        </w:tc>
        <w:tc>
          <w:tcPr>
            <w:tcW w:w="857" w:type="dxa"/>
            <w:tcBorders>
              <w:top w:val="single" w:color="auto" w:sz="4" w:space="0"/>
              <w:left w:val="nil"/>
              <w:bottom w:val="single" w:color="auto" w:sz="4" w:space="0"/>
              <w:right w:val="single" w:color="auto" w:sz="4" w:space="0"/>
            </w:tcBorders>
            <w:noWrap/>
            <w:vAlign w:val="center"/>
          </w:tcPr>
          <w:p w14:paraId="31E7D2A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8AAF494">
            <w:pPr>
              <w:keepNext w:val="0"/>
              <w:keepLines w:val="0"/>
              <w:suppressLineNumbers w:val="0"/>
              <w:spacing w:before="0" w:beforeAutospacing="0" w:after="0" w:afterAutospacing="0" w:line="240" w:lineRule="exact"/>
              <w:ind w:left="0" w:right="-202" w:rightChars="-84" w:firstLine="226"/>
              <w:rPr>
                <w:rFonts w:hint="default" w:ascii="宋体" w:hAnsi="宋体" w:cs="ËÎÌå"/>
                <w:i w:val="0"/>
                <w:iCs w:val="0"/>
                <w:color w:val="auto"/>
                <w:sz w:val="18"/>
                <w:szCs w:val="18"/>
                <w:highlight w:val="none"/>
              </w:rPr>
            </w:pPr>
          </w:p>
        </w:tc>
      </w:tr>
      <w:tr w14:paraId="195D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4142795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投标报价合计</w:t>
            </w:r>
          </w:p>
        </w:tc>
        <w:tc>
          <w:tcPr>
            <w:tcW w:w="3730" w:type="dxa"/>
            <w:tcBorders>
              <w:top w:val="single" w:color="auto" w:sz="4" w:space="0"/>
              <w:left w:val="nil"/>
              <w:bottom w:val="single" w:color="auto" w:sz="4" w:space="0"/>
              <w:right w:val="single" w:color="auto" w:sz="4" w:space="0"/>
            </w:tcBorders>
            <w:noWrap/>
            <w:vAlign w:val="center"/>
          </w:tcPr>
          <w:p w14:paraId="43A5D6E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1+2+3+4+5</w:t>
            </w:r>
          </w:p>
        </w:tc>
        <w:tc>
          <w:tcPr>
            <w:tcW w:w="857" w:type="dxa"/>
            <w:tcBorders>
              <w:top w:val="single" w:color="auto" w:sz="4" w:space="0"/>
              <w:left w:val="nil"/>
              <w:bottom w:val="single" w:color="auto" w:sz="4" w:space="0"/>
              <w:right w:val="single" w:color="auto" w:sz="4" w:space="0"/>
            </w:tcBorders>
            <w:noWrap/>
            <w:vAlign w:val="center"/>
          </w:tcPr>
          <w:p w14:paraId="3550C32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0FC283C">
            <w:pPr>
              <w:keepNext w:val="0"/>
              <w:keepLines w:val="0"/>
              <w:suppressLineNumbers w:val="0"/>
              <w:spacing w:before="0" w:beforeAutospacing="0" w:after="0" w:afterAutospacing="0" w:line="240" w:lineRule="exact"/>
              <w:ind w:left="0" w:right="0"/>
              <w:rPr>
                <w:rFonts w:hint="default" w:ascii="宋体" w:hAnsi="宋体" w:cs="Times New Roman"/>
                <w:i w:val="0"/>
                <w:iCs w:val="0"/>
                <w:color w:val="auto"/>
                <w:sz w:val="18"/>
                <w:szCs w:val="18"/>
                <w:highlight w:val="none"/>
              </w:rPr>
            </w:pPr>
          </w:p>
        </w:tc>
      </w:tr>
    </w:tbl>
    <w:p w14:paraId="056FEA1A">
      <w:pPr>
        <w:ind w:left="811" w:leftChars="68" w:hanging="648" w:hangingChars="360"/>
        <w:rPr>
          <w:rFonts w:ascii="宋体" w:hAnsi="宋体"/>
          <w:i w:val="0"/>
          <w:iCs w:val="0"/>
          <w:color w:val="auto"/>
          <w:sz w:val="18"/>
          <w:szCs w:val="18"/>
          <w:highlight w:val="none"/>
        </w:rPr>
      </w:pPr>
    </w:p>
    <w:p w14:paraId="1709EA6D">
      <w:pPr>
        <w:ind w:left="811" w:leftChars="68" w:hanging="648" w:hangingChars="36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5F0F2B0D">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1.本表适用于单位工程招标控制价或投标报价的汇总，如无单位工程划分，单项工程也使用本表汇总。</w:t>
      </w:r>
    </w:p>
    <w:p w14:paraId="4C4BA5FE">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56ED9FAA">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3.专业工程暂估价内不含发包人单独发包的专业工程暂估价。</w:t>
      </w:r>
    </w:p>
    <w:p w14:paraId="0E63BFA6">
      <w:pPr>
        <w:pStyle w:val="14"/>
        <w:rPr>
          <w:rFonts w:hint="eastAsia"/>
          <w:i w:val="0"/>
          <w:iCs w:val="0"/>
          <w:color w:val="auto"/>
          <w:highlight w:val="none"/>
        </w:rPr>
        <w:sectPr>
          <w:type w:val="continuous"/>
          <w:pgSz w:w="11907" w:h="16839"/>
          <w:pgMar w:top="1400" w:right="1587" w:bottom="1120" w:left="1587" w:header="0" w:footer="921" w:gutter="0"/>
          <w:cols w:space="720" w:num="1"/>
        </w:sectPr>
      </w:pPr>
    </w:p>
    <w:p w14:paraId="5DF6B378">
      <w:pPr>
        <w:widowControl/>
        <w:autoSpaceDE/>
        <w:autoSpaceDN/>
        <w:adjustRightInd/>
        <w:rPr>
          <w:rFonts w:ascii="宋体" w:hAnsi="宋体" w:cs="宋体"/>
          <w:i w:val="0"/>
          <w:iCs w:val="0"/>
          <w:color w:val="auto"/>
          <w:highlight w:val="none"/>
        </w:rPr>
        <w:sectPr>
          <w:type w:val="continuous"/>
          <w:pgSz w:w="11907" w:h="16839"/>
          <w:pgMar w:top="1440" w:right="1800" w:bottom="1440" w:left="1800" w:header="720" w:footer="720" w:gutter="0"/>
          <w:cols w:space="720" w:num="1"/>
        </w:sectPr>
      </w:pPr>
    </w:p>
    <w:p w14:paraId="62E9E595">
      <w:pPr>
        <w:jc w:val="center"/>
        <w:rPr>
          <w:rFonts w:ascii="宋体" w:hAnsi="宋体"/>
          <w:b/>
          <w:i w:val="0"/>
          <w:iCs w:val="0"/>
          <w:color w:val="auto"/>
          <w:highlight w:val="none"/>
        </w:rPr>
      </w:pPr>
      <w:r>
        <w:rPr>
          <w:rFonts w:hint="eastAsia" w:ascii="宋体" w:hAnsi="宋体"/>
          <w:b/>
          <w:i w:val="0"/>
          <w:iCs w:val="0"/>
          <w:color w:val="auto"/>
          <w:highlight w:val="none"/>
        </w:rPr>
        <w:t>分部分项工程和施工技术措施项目清单与计价表</w:t>
      </w:r>
    </w:p>
    <w:p w14:paraId="00C4EC14">
      <w:pPr>
        <w:ind w:firstLine="410" w:firstLineChars="171"/>
        <w:rPr>
          <w:rFonts w:ascii="宋体" w:hAnsi="宋体"/>
          <w:i w:val="0"/>
          <w:iCs w:val="0"/>
          <w:color w:val="auto"/>
          <w:sz w:val="21"/>
          <w:szCs w:val="21"/>
          <w:highlight w:val="none"/>
        </w:rPr>
      </w:pPr>
      <w:r>
        <w:rPr>
          <w:rFonts w:hint="eastAsia" w:ascii="宋体" w:hAnsi="宋体"/>
          <w:i w:val="0"/>
          <w:iCs w:val="0"/>
          <w:color w:val="auto"/>
          <w:highlight w:val="none"/>
        </w:rPr>
        <w:t xml:space="preserve"> 单位（专业）工程名称：                                             标段：                       第   页 共   页</w:t>
      </w:r>
    </w:p>
    <w:tbl>
      <w:tblPr>
        <w:tblStyle w:val="21"/>
        <w:tblW w:w="13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536D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603465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5F69AD3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184C937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553CE59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69528D8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4AE2AB5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4E7225A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7FEA090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1537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2FC4FF7D">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946E25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391B81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459D8B57">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546AC607">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25B355F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restart"/>
            <w:tcBorders>
              <w:top w:val="nil"/>
              <w:left w:val="nil"/>
              <w:bottom w:val="single" w:color="auto" w:sz="4" w:space="0"/>
              <w:right w:val="single" w:color="auto" w:sz="4" w:space="0"/>
            </w:tcBorders>
            <w:noWrap/>
            <w:vAlign w:val="center"/>
          </w:tcPr>
          <w:p w14:paraId="06EDE37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综合单价</w:t>
            </w:r>
          </w:p>
        </w:tc>
        <w:tc>
          <w:tcPr>
            <w:tcW w:w="1260" w:type="dxa"/>
            <w:vMerge w:val="restart"/>
            <w:tcBorders>
              <w:top w:val="nil"/>
              <w:left w:val="nil"/>
              <w:bottom w:val="single" w:color="auto" w:sz="4" w:space="0"/>
              <w:right w:val="single" w:color="auto" w:sz="4" w:space="0"/>
            </w:tcBorders>
            <w:noWrap/>
            <w:vAlign w:val="center"/>
          </w:tcPr>
          <w:p w14:paraId="50ED87A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1CAB938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14:paraId="1D75107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r>
      <w:tr w14:paraId="16F6B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499B18C7">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2A0112B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7685C7C4">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009172D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74DC16A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647C836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940" w:type="dxa"/>
            <w:vMerge w:val="continue"/>
            <w:tcBorders>
              <w:top w:val="nil"/>
              <w:left w:val="nil"/>
              <w:bottom w:val="single" w:color="auto" w:sz="4" w:space="0"/>
              <w:right w:val="single" w:color="auto" w:sz="4" w:space="0"/>
            </w:tcBorders>
            <w:noWrap w:val="0"/>
            <w:vAlign w:val="center"/>
          </w:tcPr>
          <w:p w14:paraId="2639A54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vMerge w:val="continue"/>
            <w:tcBorders>
              <w:top w:val="nil"/>
              <w:left w:val="nil"/>
              <w:bottom w:val="single" w:color="auto" w:sz="4" w:space="0"/>
              <w:right w:val="single" w:color="auto" w:sz="4" w:space="0"/>
            </w:tcBorders>
            <w:noWrap w:val="0"/>
            <w:vAlign w:val="center"/>
          </w:tcPr>
          <w:p w14:paraId="0CFCBAE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BBEB64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人工费</w:t>
            </w:r>
          </w:p>
        </w:tc>
        <w:tc>
          <w:tcPr>
            <w:tcW w:w="1260" w:type="dxa"/>
            <w:tcBorders>
              <w:top w:val="single" w:color="auto" w:sz="4" w:space="0"/>
              <w:left w:val="nil"/>
              <w:bottom w:val="single" w:color="auto" w:sz="4" w:space="0"/>
              <w:right w:val="single" w:color="auto" w:sz="4" w:space="0"/>
            </w:tcBorders>
            <w:noWrap/>
            <w:vAlign w:val="center"/>
          </w:tcPr>
          <w:p w14:paraId="32B18B8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机械费</w:t>
            </w:r>
          </w:p>
        </w:tc>
        <w:tc>
          <w:tcPr>
            <w:tcW w:w="1260" w:type="dxa"/>
            <w:tcBorders>
              <w:top w:val="single" w:color="auto" w:sz="4" w:space="0"/>
              <w:left w:val="nil"/>
              <w:bottom w:val="single" w:color="auto" w:sz="4" w:space="0"/>
              <w:right w:val="single" w:color="auto" w:sz="4" w:space="0"/>
            </w:tcBorders>
            <w:noWrap/>
            <w:vAlign w:val="center"/>
          </w:tcPr>
          <w:p w14:paraId="5623D26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14:paraId="60030AD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r>
      <w:tr w14:paraId="58F5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4DA0B9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214DD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9DBD6D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01E6215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21F02B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3FE6E63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D5DA3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D19602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689A77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FF1E17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5E791B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3BDD6A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0A42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BFC2D1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F8A5F3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7CF74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8BFF5F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9B097B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50A5161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23B1C8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BEDA1B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09D4D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CEC995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B33C2B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A8F9EB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8B8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1143D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2FE47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E1F0CE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402A11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42F0CE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309CE27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E3A80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945693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02EBEC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35F563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45CC27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0AAFBE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83E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0A32D0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BC7FF8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7DABA0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1478B41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A31C7D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3046812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552715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64B44B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5D9CB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FD14EC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7F8416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708A4F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ECA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A47DB4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076450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F0EAE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57D088D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C41474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411E7CF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4A827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274224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B0FF7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3E77B4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38B6B5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3EE14D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614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E8B33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843038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256DCB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58FE1B7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9AC0D0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7BE10C3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F76C8E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3EEAB9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57411E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C41333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6B30A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D56625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F1EC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66BBD9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1BD1B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B97169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49B049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8949FC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3E783D0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9CC30D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07BF0D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054864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D0C996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95C981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1D3A3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04AA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1BB26B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FE509B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A38782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4D56E6B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AAFA59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64F98EE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464F21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394218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68C66A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05ABA2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18474E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B710C4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734F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1EBBD8B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本页小计</w:t>
            </w:r>
          </w:p>
        </w:tc>
        <w:tc>
          <w:tcPr>
            <w:tcW w:w="1260" w:type="dxa"/>
            <w:tcBorders>
              <w:top w:val="single" w:color="auto" w:sz="4" w:space="0"/>
              <w:left w:val="nil"/>
              <w:bottom w:val="single" w:color="auto" w:sz="4" w:space="0"/>
              <w:right w:val="single" w:color="auto" w:sz="4" w:space="0"/>
            </w:tcBorders>
            <w:noWrap/>
            <w:vAlign w:val="center"/>
          </w:tcPr>
          <w:p w14:paraId="33187EF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368D98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B5CA14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F82AF4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D1637D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97C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49E62B2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260" w:type="dxa"/>
            <w:tcBorders>
              <w:top w:val="single" w:color="auto" w:sz="4" w:space="0"/>
              <w:left w:val="nil"/>
              <w:bottom w:val="single" w:color="auto" w:sz="4" w:space="0"/>
              <w:right w:val="single" w:color="auto" w:sz="4" w:space="0"/>
            </w:tcBorders>
            <w:noWrap/>
            <w:vAlign w:val="center"/>
          </w:tcPr>
          <w:p w14:paraId="6BF45E3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4F8F3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63E65E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EC59D3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9B284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4B3C754A">
      <w:pPr>
        <w:ind w:firstLine="42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00C62EDB">
      <w:pPr>
        <w:ind w:firstLine="777" w:firstLineChars="432"/>
        <w:rPr>
          <w:rFonts w:ascii="宋体" w:hAnsi="宋体"/>
          <w:i w:val="0"/>
          <w:iCs w:val="0"/>
          <w:color w:val="auto"/>
          <w:sz w:val="18"/>
          <w:szCs w:val="18"/>
          <w:highlight w:val="none"/>
        </w:rPr>
      </w:pPr>
      <w:r>
        <w:rPr>
          <w:rFonts w:hint="eastAsia" w:ascii="宋体" w:hAnsi="宋体"/>
          <w:i w:val="0"/>
          <w:iCs w:val="0"/>
          <w:color w:val="auto"/>
          <w:sz w:val="18"/>
          <w:szCs w:val="18"/>
          <w:highlight w:val="none"/>
        </w:rPr>
        <w:t>1.本表为分部分项和施工技术措施项目清单及计价表通用表式，使用时表头名称可简化为其中一类的计价表。</w:t>
      </w:r>
    </w:p>
    <w:p w14:paraId="79340623">
      <w:pPr>
        <w:ind w:firstLine="777" w:firstLineChars="432"/>
        <w:rPr>
          <w:rFonts w:ascii="宋体" w:hAnsi="宋体"/>
          <w:i w:val="0"/>
          <w:iCs w:val="0"/>
          <w:color w:val="auto"/>
          <w:sz w:val="18"/>
          <w:szCs w:val="18"/>
          <w:highlight w:val="none"/>
        </w:rPr>
      </w:pPr>
      <w:r>
        <w:rPr>
          <w:rFonts w:hint="eastAsia" w:ascii="宋体" w:hAnsi="宋体"/>
          <w:i w:val="0"/>
          <w:iCs w:val="0"/>
          <w:color w:val="auto"/>
          <w:sz w:val="18"/>
          <w:szCs w:val="18"/>
          <w:highlight w:val="none"/>
        </w:rPr>
        <w:t>2.工程招投标时“暂估价”按招标文件指定价格计入，竣工结算时以合同双方确认价格替换计入综合单价内。</w:t>
      </w:r>
    </w:p>
    <w:p w14:paraId="63457CF9">
      <w:pPr>
        <w:jc w:val="right"/>
        <w:rPr>
          <w:rFonts w:ascii="宋体" w:hAnsi="宋体" w:cs="ËÎÌå"/>
          <w:i w:val="0"/>
          <w:iCs w:val="0"/>
          <w:color w:val="auto"/>
          <w:sz w:val="21"/>
          <w:szCs w:val="21"/>
          <w:highlight w:val="none"/>
        </w:rPr>
      </w:pPr>
    </w:p>
    <w:p w14:paraId="4BD2C219">
      <w:pPr>
        <w:pStyle w:val="14"/>
        <w:rPr>
          <w:rFonts w:hint="eastAsia"/>
          <w:i w:val="0"/>
          <w:iCs w:val="0"/>
          <w:color w:val="auto"/>
          <w:highlight w:val="none"/>
        </w:rPr>
      </w:pPr>
    </w:p>
    <w:p w14:paraId="0BEA1319">
      <w:pPr>
        <w:widowControl/>
        <w:autoSpaceDE/>
        <w:autoSpaceDN/>
        <w:adjustRightInd/>
        <w:rPr>
          <w:rFonts w:ascii="宋体" w:hAnsi="宋体" w:cs="宋体"/>
          <w:b/>
          <w:bCs/>
          <w:i w:val="0"/>
          <w:iCs w:val="0"/>
          <w:color w:val="auto"/>
          <w:highlight w:val="none"/>
        </w:rPr>
        <w:sectPr>
          <w:pgSz w:w="16839" w:h="11907"/>
          <w:pgMar w:top="1440" w:right="1287" w:bottom="1440" w:left="1440" w:header="851" w:footer="992" w:gutter="0"/>
          <w:cols w:space="720" w:num="1"/>
          <w:docGrid w:linePitch="326" w:charSpace="0"/>
        </w:sectPr>
      </w:pPr>
    </w:p>
    <w:p w14:paraId="3F9806D0">
      <w:pPr>
        <w:jc w:val="center"/>
        <w:rPr>
          <w:rFonts w:ascii="宋体" w:hAnsi="宋体"/>
          <w:b/>
          <w:bCs/>
          <w:i w:val="0"/>
          <w:iCs w:val="0"/>
          <w:color w:val="auto"/>
          <w:highlight w:val="none"/>
        </w:rPr>
      </w:pPr>
      <w:r>
        <w:rPr>
          <w:rFonts w:hint="eastAsia" w:ascii="宋体" w:hAnsi="宋体"/>
          <w:b/>
          <w:bCs/>
          <w:i w:val="0"/>
          <w:iCs w:val="0"/>
          <w:color w:val="auto"/>
          <w:highlight w:val="none"/>
        </w:rPr>
        <w:t>综合单价计算表</w:t>
      </w:r>
    </w:p>
    <w:p w14:paraId="0291CF00">
      <w:pPr>
        <w:pStyle w:val="14"/>
        <w:rPr>
          <w:rFonts w:hint="eastAsia"/>
          <w:i w:val="0"/>
          <w:iCs w:val="0"/>
          <w:color w:val="auto"/>
          <w:highlight w:val="none"/>
        </w:rPr>
      </w:pPr>
    </w:p>
    <w:p w14:paraId="75F08618">
      <w:pPr>
        <w:spacing w:line="280" w:lineRule="exact"/>
        <w:rPr>
          <w:i w:val="0"/>
          <w:iCs w:val="0"/>
          <w:color w:val="auto"/>
          <w:highlight w:val="none"/>
        </w:rPr>
      </w:pPr>
      <w:r>
        <w:rPr>
          <w:rFonts w:hint="eastAsia" w:ascii="宋体" w:hAnsi="宋体"/>
          <w:i w:val="0"/>
          <w:iCs w:val="0"/>
          <w:color w:val="auto"/>
          <w:highlight w:val="none"/>
        </w:rPr>
        <w:t>单位（专业）工程名称：                 标段：             第  页 共  页</w:t>
      </w:r>
    </w:p>
    <w:tbl>
      <w:tblPr>
        <w:tblStyle w:val="2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7E5C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6FDDC33A">
            <w:pPr>
              <w:keepNext w:val="0"/>
              <w:keepLines w:val="0"/>
              <w:suppressLineNumbers w:val="0"/>
              <w:spacing w:before="0" w:beforeAutospacing="0" w:after="0" w:afterAutospacing="0" w:line="240" w:lineRule="exact"/>
              <w:ind w:left="-53" w:leftChars="-39" w:right="-79" w:rightChars="-33" w:hanging="41" w:hangingChars="23"/>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w:t>
            </w:r>
          </w:p>
          <w:p w14:paraId="0AAD4D94">
            <w:pPr>
              <w:keepNext w:val="0"/>
              <w:keepLines w:val="0"/>
              <w:suppressLineNumbers w:val="0"/>
              <w:spacing w:before="0" w:beforeAutospacing="0" w:after="0" w:afterAutospacing="0" w:line="240" w:lineRule="exact"/>
              <w:ind w:left="-53" w:leftChars="-39" w:right="-79" w:rightChars="-33" w:hanging="41" w:hangingChars="23"/>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7E0F6EFD">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项目编码</w:t>
            </w:r>
          </w:p>
          <w:p w14:paraId="69BD94F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0A5DC5B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清单（定额）</w:t>
            </w:r>
          </w:p>
          <w:p w14:paraId="0152B92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721856E5">
            <w:pPr>
              <w:keepNext w:val="0"/>
              <w:keepLines w:val="0"/>
              <w:suppressLineNumbers w:val="0"/>
              <w:spacing w:before="0" w:beforeAutospacing="0" w:after="0" w:afterAutospacing="0" w:line="240" w:lineRule="exact"/>
              <w:ind w:left="-43" w:leftChars="-23" w:right="-67" w:rightChars="-28" w:hanging="12" w:hangingChars="7"/>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w:t>
            </w:r>
          </w:p>
          <w:p w14:paraId="75926A8E">
            <w:pPr>
              <w:keepNext w:val="0"/>
              <w:keepLines w:val="0"/>
              <w:suppressLineNumbers w:val="0"/>
              <w:spacing w:before="0" w:beforeAutospacing="0" w:after="0" w:afterAutospacing="0" w:line="240" w:lineRule="exact"/>
              <w:ind w:left="-43" w:leftChars="-23" w:right="-67" w:rightChars="-28" w:hanging="12" w:hangingChars="7"/>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449D5A4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5F1A3DD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15C623A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p w14:paraId="7BDC250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（元）</w:t>
            </w:r>
          </w:p>
        </w:tc>
      </w:tr>
      <w:tr w14:paraId="70C3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218" w:type="dxa"/>
            <w:vMerge w:val="continue"/>
            <w:tcBorders>
              <w:top w:val="single" w:color="auto" w:sz="4" w:space="0"/>
              <w:left w:val="single" w:color="auto" w:sz="4" w:space="0"/>
              <w:bottom w:val="single" w:color="auto" w:sz="4" w:space="0"/>
              <w:right w:val="single" w:color="auto" w:sz="4" w:space="0"/>
            </w:tcBorders>
            <w:noWrap w:val="0"/>
            <w:vAlign w:val="center"/>
          </w:tcPr>
          <w:p w14:paraId="692FA0F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43" w:type="dxa"/>
            <w:vMerge w:val="continue"/>
            <w:tcBorders>
              <w:top w:val="single" w:color="auto" w:sz="4" w:space="0"/>
              <w:left w:val="nil"/>
              <w:bottom w:val="single" w:color="auto" w:sz="4" w:space="0"/>
              <w:right w:val="single" w:color="auto" w:sz="4" w:space="0"/>
            </w:tcBorders>
            <w:noWrap w:val="0"/>
            <w:vAlign w:val="center"/>
          </w:tcPr>
          <w:p w14:paraId="7CD95EB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351" w:type="dxa"/>
            <w:vMerge w:val="continue"/>
            <w:tcBorders>
              <w:top w:val="single" w:color="auto" w:sz="4" w:space="0"/>
              <w:left w:val="nil"/>
              <w:bottom w:val="single" w:color="auto" w:sz="4" w:space="0"/>
              <w:right w:val="single" w:color="auto" w:sz="4" w:space="0"/>
            </w:tcBorders>
            <w:noWrap w:val="0"/>
            <w:vAlign w:val="center"/>
          </w:tcPr>
          <w:p w14:paraId="271E563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55" w:type="dxa"/>
            <w:vMerge w:val="continue"/>
            <w:tcBorders>
              <w:top w:val="single" w:color="auto" w:sz="4" w:space="0"/>
              <w:left w:val="nil"/>
              <w:bottom w:val="single" w:color="auto" w:sz="4" w:space="0"/>
              <w:right w:val="single" w:color="auto" w:sz="4" w:space="0"/>
            </w:tcBorders>
            <w:noWrap w:val="0"/>
            <w:vAlign w:val="center"/>
          </w:tcPr>
          <w:p w14:paraId="0072051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652" w:type="dxa"/>
            <w:vMerge w:val="continue"/>
            <w:tcBorders>
              <w:top w:val="single" w:color="auto" w:sz="4" w:space="0"/>
              <w:left w:val="nil"/>
              <w:bottom w:val="single" w:color="auto" w:sz="4" w:space="0"/>
              <w:right w:val="single" w:color="auto" w:sz="4" w:space="0"/>
            </w:tcBorders>
            <w:noWrap w:val="0"/>
            <w:vAlign w:val="center"/>
          </w:tcPr>
          <w:p w14:paraId="18C9369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2400E3CA">
            <w:pPr>
              <w:keepNext w:val="0"/>
              <w:keepLines w:val="0"/>
              <w:suppressLineNumbers w:val="0"/>
              <w:spacing w:before="0" w:beforeAutospacing="0" w:after="0" w:afterAutospacing="0" w:line="240" w:lineRule="exact"/>
              <w:ind w:left="-211" w:leftChars="-88" w:right="-113" w:rightChars="-47"/>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w:t>
            </w:r>
          </w:p>
          <w:p w14:paraId="3BB4C826">
            <w:pPr>
              <w:keepNext w:val="0"/>
              <w:keepLines w:val="0"/>
              <w:suppressLineNumbers w:val="0"/>
              <w:spacing w:before="0" w:beforeAutospacing="0" w:after="0" w:afterAutospacing="0" w:line="240" w:lineRule="exact"/>
              <w:ind w:left="-211" w:leftChars="-88" w:right="-113" w:rightChars="-47"/>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w:t>
            </w:r>
          </w:p>
        </w:tc>
        <w:tc>
          <w:tcPr>
            <w:tcW w:w="728" w:type="dxa"/>
            <w:tcBorders>
              <w:top w:val="single" w:color="auto" w:sz="4" w:space="0"/>
              <w:left w:val="nil"/>
              <w:bottom w:val="single" w:color="auto" w:sz="4" w:space="0"/>
              <w:right w:val="single" w:color="auto" w:sz="4" w:space="0"/>
            </w:tcBorders>
            <w:noWrap/>
            <w:vAlign w:val="center"/>
          </w:tcPr>
          <w:p w14:paraId="332F80BF">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w:t>
            </w:r>
          </w:p>
          <w:p w14:paraId="6D766E92">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(设备)费</w:t>
            </w:r>
          </w:p>
        </w:tc>
        <w:tc>
          <w:tcPr>
            <w:tcW w:w="587" w:type="dxa"/>
            <w:tcBorders>
              <w:top w:val="single" w:color="auto" w:sz="4" w:space="0"/>
              <w:left w:val="nil"/>
              <w:bottom w:val="single" w:color="auto" w:sz="4" w:space="0"/>
              <w:right w:val="single" w:color="auto" w:sz="4" w:space="0"/>
            </w:tcBorders>
            <w:noWrap/>
            <w:vAlign w:val="center"/>
          </w:tcPr>
          <w:p w14:paraId="035F824E">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机械费</w:t>
            </w:r>
          </w:p>
        </w:tc>
        <w:tc>
          <w:tcPr>
            <w:tcW w:w="658" w:type="dxa"/>
            <w:tcBorders>
              <w:top w:val="single" w:color="auto" w:sz="4" w:space="0"/>
              <w:left w:val="nil"/>
              <w:bottom w:val="single" w:color="auto" w:sz="4" w:space="0"/>
              <w:right w:val="single" w:color="auto" w:sz="4" w:space="0"/>
            </w:tcBorders>
            <w:noWrap/>
            <w:vAlign w:val="center"/>
          </w:tcPr>
          <w:p w14:paraId="0BA70E3F">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管理</w:t>
            </w:r>
          </w:p>
          <w:p w14:paraId="336F5B89">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w:t>
            </w:r>
          </w:p>
        </w:tc>
        <w:tc>
          <w:tcPr>
            <w:tcW w:w="644" w:type="dxa"/>
            <w:tcBorders>
              <w:top w:val="single" w:color="auto" w:sz="4" w:space="0"/>
              <w:left w:val="nil"/>
              <w:bottom w:val="single" w:color="auto" w:sz="4" w:space="0"/>
              <w:right w:val="single" w:color="auto" w:sz="4" w:space="0"/>
            </w:tcBorders>
            <w:noWrap/>
            <w:vAlign w:val="center"/>
          </w:tcPr>
          <w:p w14:paraId="36F25640">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利润</w:t>
            </w:r>
          </w:p>
        </w:tc>
        <w:tc>
          <w:tcPr>
            <w:tcW w:w="600" w:type="dxa"/>
            <w:tcBorders>
              <w:top w:val="single" w:color="auto" w:sz="4" w:space="0"/>
              <w:left w:val="nil"/>
              <w:bottom w:val="single" w:color="auto" w:sz="4" w:space="0"/>
              <w:right w:val="single" w:color="auto" w:sz="4" w:space="0"/>
            </w:tcBorders>
            <w:noWrap/>
            <w:vAlign w:val="center"/>
          </w:tcPr>
          <w:p w14:paraId="5E3AD09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14:paraId="5B4DF31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r>
      <w:tr w14:paraId="08DDB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3A8A63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1443" w:type="dxa"/>
            <w:tcBorders>
              <w:top w:val="single" w:color="auto" w:sz="4" w:space="0"/>
              <w:left w:val="nil"/>
              <w:bottom w:val="single" w:color="auto" w:sz="4" w:space="0"/>
              <w:right w:val="single" w:color="auto" w:sz="4" w:space="0"/>
            </w:tcBorders>
            <w:noWrap/>
            <w:vAlign w:val="center"/>
          </w:tcPr>
          <w:p w14:paraId="4C571AC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（清单编码）</w:t>
            </w:r>
          </w:p>
        </w:tc>
        <w:tc>
          <w:tcPr>
            <w:tcW w:w="1351" w:type="dxa"/>
            <w:tcBorders>
              <w:top w:val="single" w:color="auto" w:sz="4" w:space="0"/>
              <w:left w:val="nil"/>
              <w:bottom w:val="single" w:color="auto" w:sz="4" w:space="0"/>
              <w:right w:val="single" w:color="auto" w:sz="4" w:space="0"/>
            </w:tcBorders>
            <w:noWrap/>
            <w:vAlign w:val="center"/>
          </w:tcPr>
          <w:p w14:paraId="65BF581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（清单名称）</w:t>
            </w:r>
          </w:p>
        </w:tc>
        <w:tc>
          <w:tcPr>
            <w:tcW w:w="555" w:type="dxa"/>
            <w:tcBorders>
              <w:top w:val="single" w:color="auto" w:sz="4" w:space="0"/>
              <w:left w:val="nil"/>
              <w:bottom w:val="single" w:color="auto" w:sz="4" w:space="0"/>
              <w:right w:val="single" w:color="auto" w:sz="4" w:space="0"/>
            </w:tcBorders>
            <w:noWrap/>
            <w:vAlign w:val="top"/>
          </w:tcPr>
          <w:p w14:paraId="346D10FD">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top"/>
          </w:tcPr>
          <w:p w14:paraId="25DEF20D">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top"/>
          </w:tcPr>
          <w:p w14:paraId="62C0ECF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top"/>
          </w:tcPr>
          <w:p w14:paraId="712AC680">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top"/>
          </w:tcPr>
          <w:p w14:paraId="6D13B111">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top"/>
          </w:tcPr>
          <w:p w14:paraId="3DE9120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top"/>
          </w:tcPr>
          <w:p w14:paraId="3274C8F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1B29BBE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9446BC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6F550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EF9DAE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08DB49B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（定额编号）</w:t>
            </w:r>
          </w:p>
        </w:tc>
        <w:tc>
          <w:tcPr>
            <w:tcW w:w="1351" w:type="dxa"/>
            <w:tcBorders>
              <w:top w:val="single" w:color="auto" w:sz="4" w:space="0"/>
              <w:left w:val="nil"/>
              <w:bottom w:val="single" w:color="auto" w:sz="4" w:space="0"/>
              <w:right w:val="single" w:color="auto" w:sz="4" w:space="0"/>
            </w:tcBorders>
            <w:noWrap/>
            <w:vAlign w:val="center"/>
          </w:tcPr>
          <w:p w14:paraId="63FD1FD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（定额名称）</w:t>
            </w:r>
          </w:p>
        </w:tc>
        <w:tc>
          <w:tcPr>
            <w:tcW w:w="555" w:type="dxa"/>
            <w:tcBorders>
              <w:top w:val="single" w:color="auto" w:sz="4" w:space="0"/>
              <w:left w:val="nil"/>
              <w:bottom w:val="single" w:color="auto" w:sz="4" w:space="0"/>
              <w:right w:val="single" w:color="auto" w:sz="4" w:space="0"/>
            </w:tcBorders>
            <w:noWrap/>
            <w:vAlign w:val="center"/>
          </w:tcPr>
          <w:p w14:paraId="348A48B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5930571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46DCEC0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014B513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23837A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1C285C5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6A87619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2E70F0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14F72D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3D486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C5E068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54FC9D1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04E3E6A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0784D05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51B773B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25D5580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7643664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56718AE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013C42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36E848A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26E1473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45B438D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3256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D1D16E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3C1183F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351" w:type="dxa"/>
            <w:tcBorders>
              <w:top w:val="single" w:color="auto" w:sz="4" w:space="0"/>
              <w:left w:val="nil"/>
              <w:bottom w:val="single" w:color="auto" w:sz="4" w:space="0"/>
              <w:right w:val="single" w:color="auto" w:sz="4" w:space="0"/>
            </w:tcBorders>
            <w:noWrap/>
            <w:vAlign w:val="center"/>
          </w:tcPr>
          <w:p w14:paraId="2D4BCEF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555" w:type="dxa"/>
            <w:tcBorders>
              <w:top w:val="single" w:color="auto" w:sz="4" w:space="0"/>
              <w:left w:val="nil"/>
              <w:bottom w:val="single" w:color="auto" w:sz="4" w:space="0"/>
              <w:right w:val="single" w:color="auto" w:sz="4" w:space="0"/>
            </w:tcBorders>
            <w:noWrap/>
            <w:vAlign w:val="center"/>
          </w:tcPr>
          <w:p w14:paraId="3305F57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D1D2D1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21FD9FE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1967D70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134BE8C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7643B2B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4E133B0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048844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4CCCC63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1046E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43052D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571D692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7C6CBAA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3526B56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53FE68A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7FE96D7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6D93781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75B5CF4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2904140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7BF9419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20A9252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7BEE07A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01364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580859D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784" w:type="dxa"/>
            <w:tcBorders>
              <w:top w:val="single" w:color="auto" w:sz="4" w:space="0"/>
              <w:left w:val="nil"/>
              <w:bottom w:val="single" w:color="auto" w:sz="4" w:space="0"/>
              <w:right w:val="single" w:color="auto" w:sz="4" w:space="0"/>
            </w:tcBorders>
            <w:noWrap/>
            <w:vAlign w:val="center"/>
          </w:tcPr>
          <w:p w14:paraId="29565D8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bl>
    <w:p w14:paraId="7AD63113">
      <w:pPr>
        <w:spacing w:line="240" w:lineRule="exact"/>
        <w:ind w:left="-23" w:leftChars="-38" w:right="-113" w:rightChars="-47" w:hanging="68" w:hangingChars="38"/>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0A17FF25">
      <w:pPr>
        <w:spacing w:line="240" w:lineRule="exact"/>
        <w:ind w:left="-14" w:leftChars="-6" w:right="-113" w:rightChars="-47"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本表中涉及的计费标准请填入以下公式括号内：</w:t>
      </w:r>
    </w:p>
    <w:p w14:paraId="513653BE">
      <w:pPr>
        <w:spacing w:line="240" w:lineRule="exact"/>
        <w:ind w:left="-23" w:leftChars="-38" w:right="-113" w:rightChars="-47" w:hanging="68" w:hangingChars="38"/>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管理费=（计算基数名称）×（费率）、利润=（计算基数名称）×（费率）</w:t>
      </w:r>
    </w:p>
    <w:p w14:paraId="7B1EBCE6">
      <w:pPr>
        <w:rPr>
          <w:i w:val="0"/>
          <w:iCs w:val="0"/>
          <w:color w:val="auto"/>
          <w:highlight w:val="none"/>
        </w:rPr>
      </w:pPr>
    </w:p>
    <w:p w14:paraId="68565FFB">
      <w:pPr>
        <w:jc w:val="center"/>
        <w:rPr>
          <w:rFonts w:ascii="宋体" w:hAnsi="宋体"/>
          <w:b/>
          <w:bCs/>
          <w:i w:val="0"/>
          <w:iCs w:val="0"/>
          <w:color w:val="auto"/>
          <w:highlight w:val="none"/>
        </w:rPr>
      </w:pPr>
      <w:r>
        <w:rPr>
          <w:rFonts w:hint="eastAsia" w:ascii="宋体" w:hAnsi="宋体"/>
          <w:b/>
          <w:bCs/>
          <w:i w:val="0"/>
          <w:iCs w:val="0"/>
          <w:color w:val="auto"/>
          <w:highlight w:val="none"/>
        </w:rPr>
        <w:t>综合单价工料机分析表</w:t>
      </w:r>
    </w:p>
    <w:p w14:paraId="68BE5555">
      <w:pPr>
        <w:pStyle w:val="14"/>
        <w:rPr>
          <w:rFonts w:hint="eastAsia"/>
          <w:i w:val="0"/>
          <w:iCs w:val="0"/>
          <w:color w:val="auto"/>
          <w:highlight w:val="none"/>
        </w:rPr>
      </w:pPr>
    </w:p>
    <w:p w14:paraId="3AA846AD">
      <w:pPr>
        <w:spacing w:line="240" w:lineRule="exact"/>
        <w:ind w:leftChars="-38" w:right="-113" w:rightChars="-47" w:hanging="91" w:hangingChars="38"/>
        <w:rPr>
          <w:rFonts w:ascii="宋体" w:hAnsi="宋体"/>
          <w:i w:val="0"/>
          <w:iCs w:val="0"/>
          <w:color w:val="auto"/>
          <w:sz w:val="18"/>
          <w:szCs w:val="18"/>
          <w:highlight w:val="none"/>
        </w:rPr>
      </w:pPr>
      <w:r>
        <w:rPr>
          <w:rFonts w:hint="eastAsia" w:ascii="宋体" w:hAnsi="宋体"/>
          <w:i w:val="0"/>
          <w:iCs w:val="0"/>
          <w:color w:val="auto"/>
          <w:highlight w:val="none"/>
        </w:rPr>
        <w:t>单位（专业）工程名称：              标段：                第  页 共 页</w:t>
      </w:r>
    </w:p>
    <w:tbl>
      <w:tblPr>
        <w:tblStyle w:val="2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73DCF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3604595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1142C0D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948" w:type="dxa"/>
            <w:gridSpan w:val="2"/>
            <w:tcBorders>
              <w:top w:val="single" w:color="auto" w:sz="4" w:space="0"/>
              <w:left w:val="nil"/>
              <w:bottom w:val="single" w:color="auto" w:sz="4" w:space="0"/>
              <w:right w:val="single" w:color="auto" w:sz="4" w:space="0"/>
            </w:tcBorders>
            <w:noWrap/>
            <w:vAlign w:val="center"/>
          </w:tcPr>
          <w:p w14:paraId="3013D06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1ED285F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080" w:type="dxa"/>
            <w:gridSpan w:val="2"/>
            <w:tcBorders>
              <w:top w:val="single" w:color="auto" w:sz="4" w:space="0"/>
              <w:left w:val="nil"/>
              <w:bottom w:val="single" w:color="auto" w:sz="4" w:space="0"/>
              <w:right w:val="single" w:color="auto" w:sz="4" w:space="0"/>
            </w:tcBorders>
            <w:noWrap/>
            <w:vAlign w:val="center"/>
          </w:tcPr>
          <w:p w14:paraId="6F8591C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计量单位</w:t>
            </w:r>
          </w:p>
        </w:tc>
        <w:tc>
          <w:tcPr>
            <w:tcW w:w="990" w:type="dxa"/>
            <w:tcBorders>
              <w:top w:val="single" w:color="auto" w:sz="4" w:space="0"/>
              <w:left w:val="nil"/>
              <w:bottom w:val="single" w:color="auto" w:sz="4" w:space="0"/>
              <w:right w:val="single" w:color="auto" w:sz="4" w:space="0"/>
            </w:tcBorders>
            <w:noWrap/>
            <w:vAlign w:val="center"/>
          </w:tcPr>
          <w:p w14:paraId="3B5D957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0459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5FFB860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清单综合单价组成明细</w:t>
            </w:r>
          </w:p>
        </w:tc>
      </w:tr>
      <w:tr w14:paraId="24492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5785C74E">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155C9199">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2FA25F36">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487642A3">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40FC8292">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p w14:paraId="32B96D8E">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（元）</w:t>
            </w:r>
          </w:p>
        </w:tc>
        <w:tc>
          <w:tcPr>
            <w:tcW w:w="1440" w:type="dxa"/>
            <w:tcBorders>
              <w:top w:val="single" w:color="auto" w:sz="4" w:space="0"/>
              <w:left w:val="nil"/>
              <w:bottom w:val="single" w:color="auto" w:sz="4" w:space="0"/>
              <w:right w:val="single" w:color="auto" w:sz="4" w:space="0"/>
            </w:tcBorders>
            <w:noWrap/>
            <w:vAlign w:val="center"/>
          </w:tcPr>
          <w:p w14:paraId="4B2E6090">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76B7E1C0">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0F9E8F23">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其中</w:t>
            </w:r>
          </w:p>
        </w:tc>
      </w:tr>
      <w:tr w14:paraId="52FC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4C6E24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9169" w:type="dxa"/>
            <w:gridSpan w:val="3"/>
            <w:vMerge w:val="continue"/>
            <w:tcBorders>
              <w:top w:val="single" w:color="auto" w:sz="4" w:space="0"/>
              <w:left w:val="nil"/>
              <w:bottom w:val="single" w:color="auto" w:sz="4" w:space="0"/>
              <w:right w:val="single" w:color="auto" w:sz="4" w:space="0"/>
            </w:tcBorders>
            <w:noWrap w:val="0"/>
            <w:vAlign w:val="center"/>
          </w:tcPr>
          <w:p w14:paraId="47BB582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40" w:type="dxa"/>
            <w:vMerge w:val="continue"/>
            <w:tcBorders>
              <w:top w:val="single" w:color="auto" w:sz="4" w:space="0"/>
              <w:left w:val="nil"/>
              <w:bottom w:val="single" w:color="auto" w:sz="4" w:space="0"/>
              <w:right w:val="single" w:color="auto" w:sz="4" w:space="0"/>
            </w:tcBorders>
            <w:noWrap w:val="0"/>
            <w:vAlign w:val="center"/>
          </w:tcPr>
          <w:p w14:paraId="75A753A4">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739" w:type="dxa"/>
            <w:gridSpan w:val="2"/>
            <w:vMerge w:val="continue"/>
            <w:tcBorders>
              <w:top w:val="single" w:color="auto" w:sz="4" w:space="0"/>
              <w:left w:val="nil"/>
              <w:bottom w:val="single" w:color="auto" w:sz="4" w:space="0"/>
              <w:right w:val="single" w:color="auto" w:sz="4" w:space="0"/>
            </w:tcBorders>
            <w:noWrap w:val="0"/>
            <w:vAlign w:val="center"/>
          </w:tcPr>
          <w:p w14:paraId="4ADFA7A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3837" w:type="dxa"/>
            <w:gridSpan w:val="2"/>
            <w:vMerge w:val="continue"/>
            <w:tcBorders>
              <w:top w:val="single" w:color="auto" w:sz="4" w:space="0"/>
              <w:left w:val="nil"/>
              <w:bottom w:val="single" w:color="auto" w:sz="4" w:space="0"/>
              <w:right w:val="single" w:color="auto" w:sz="4" w:space="0"/>
            </w:tcBorders>
            <w:noWrap w:val="0"/>
            <w:vAlign w:val="center"/>
          </w:tcPr>
          <w:p w14:paraId="7886D3B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D17949F">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暂估单价(元)</w:t>
            </w:r>
          </w:p>
        </w:tc>
        <w:tc>
          <w:tcPr>
            <w:tcW w:w="2369" w:type="dxa"/>
            <w:gridSpan w:val="2"/>
            <w:vMerge w:val="continue"/>
            <w:tcBorders>
              <w:top w:val="single" w:color="auto" w:sz="4" w:space="0"/>
              <w:left w:val="nil"/>
              <w:bottom w:val="single" w:color="auto" w:sz="4" w:space="0"/>
              <w:right w:val="single" w:color="auto" w:sz="4" w:space="0"/>
            </w:tcBorders>
            <w:noWrap w:val="0"/>
            <w:vAlign w:val="center"/>
          </w:tcPr>
          <w:p w14:paraId="19EBE3B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C40D86D">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暂估合价（元）</w:t>
            </w:r>
          </w:p>
        </w:tc>
      </w:tr>
      <w:tr w14:paraId="4D3D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0579BD5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585" w:type="dxa"/>
            <w:vMerge w:val="restart"/>
            <w:tcBorders>
              <w:top w:val="nil"/>
              <w:left w:val="nil"/>
              <w:bottom w:val="single" w:color="auto" w:sz="4" w:space="0"/>
              <w:right w:val="single" w:color="auto" w:sz="4" w:space="0"/>
            </w:tcBorders>
            <w:noWrap/>
            <w:vAlign w:val="center"/>
          </w:tcPr>
          <w:p w14:paraId="1FD380A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w:t>
            </w:r>
          </w:p>
          <w:p w14:paraId="6B1F18B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w:t>
            </w:r>
          </w:p>
        </w:tc>
        <w:tc>
          <w:tcPr>
            <w:tcW w:w="1462" w:type="dxa"/>
            <w:gridSpan w:val="2"/>
            <w:tcBorders>
              <w:top w:val="single" w:color="auto" w:sz="4" w:space="0"/>
              <w:left w:val="nil"/>
              <w:bottom w:val="single" w:color="auto" w:sz="4" w:space="0"/>
              <w:right w:val="single" w:color="auto" w:sz="4" w:space="0"/>
            </w:tcBorders>
            <w:noWrap/>
            <w:vAlign w:val="center"/>
          </w:tcPr>
          <w:p w14:paraId="39713E76">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一类人工</w:t>
            </w:r>
          </w:p>
        </w:tc>
        <w:tc>
          <w:tcPr>
            <w:tcW w:w="540" w:type="dxa"/>
            <w:tcBorders>
              <w:top w:val="single" w:color="auto" w:sz="4" w:space="0"/>
              <w:left w:val="nil"/>
              <w:bottom w:val="single" w:color="auto" w:sz="4" w:space="0"/>
              <w:right w:val="single" w:color="auto" w:sz="4" w:space="0"/>
            </w:tcBorders>
            <w:noWrap/>
            <w:vAlign w:val="top"/>
          </w:tcPr>
          <w:p w14:paraId="45D4B48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F62304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93BDB5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D9DD4D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7095CFF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1789CF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r>
      <w:tr w14:paraId="6902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E5A71B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3B4EF4A4">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4D212D6">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二类人工</w:t>
            </w:r>
          </w:p>
        </w:tc>
        <w:tc>
          <w:tcPr>
            <w:tcW w:w="540" w:type="dxa"/>
            <w:tcBorders>
              <w:top w:val="single" w:color="auto" w:sz="4" w:space="0"/>
              <w:left w:val="nil"/>
              <w:bottom w:val="single" w:color="auto" w:sz="4" w:space="0"/>
              <w:right w:val="single" w:color="auto" w:sz="4" w:space="0"/>
            </w:tcBorders>
            <w:noWrap/>
            <w:vAlign w:val="top"/>
          </w:tcPr>
          <w:p w14:paraId="6076C949">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A4694B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2F39EB0">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4518D2E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68B540B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061C4B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r>
      <w:tr w14:paraId="6366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66DD8F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CD2821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10784EB5">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三类人工</w:t>
            </w:r>
          </w:p>
        </w:tc>
        <w:tc>
          <w:tcPr>
            <w:tcW w:w="540" w:type="dxa"/>
            <w:tcBorders>
              <w:top w:val="single" w:color="auto" w:sz="4" w:space="0"/>
              <w:left w:val="nil"/>
              <w:bottom w:val="single" w:color="auto" w:sz="4" w:space="0"/>
              <w:right w:val="single" w:color="auto" w:sz="4" w:space="0"/>
            </w:tcBorders>
            <w:noWrap/>
            <w:vAlign w:val="top"/>
          </w:tcPr>
          <w:p w14:paraId="4006C35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2940533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469DFF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D6845B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76950C5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316FC7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r>
      <w:tr w14:paraId="6D5B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45BEF7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470A6B2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人工费小计</w:t>
            </w:r>
          </w:p>
        </w:tc>
        <w:tc>
          <w:tcPr>
            <w:tcW w:w="1289" w:type="dxa"/>
            <w:gridSpan w:val="2"/>
            <w:tcBorders>
              <w:top w:val="single" w:color="auto" w:sz="4" w:space="0"/>
              <w:left w:val="nil"/>
              <w:bottom w:val="single" w:color="auto" w:sz="4" w:space="0"/>
              <w:right w:val="single" w:color="auto" w:sz="4" w:space="0"/>
            </w:tcBorders>
            <w:noWrap/>
            <w:vAlign w:val="top"/>
          </w:tcPr>
          <w:p w14:paraId="6406F20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C92E19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5D428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4D7F5B0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585" w:type="dxa"/>
            <w:vMerge w:val="restart"/>
            <w:tcBorders>
              <w:top w:val="nil"/>
              <w:left w:val="nil"/>
              <w:bottom w:val="single" w:color="auto" w:sz="4" w:space="0"/>
              <w:right w:val="single" w:color="auto" w:sz="4" w:space="0"/>
            </w:tcBorders>
            <w:noWrap/>
            <w:vAlign w:val="center"/>
          </w:tcPr>
          <w:p w14:paraId="1D336823">
            <w:pPr>
              <w:keepNext w:val="0"/>
              <w:keepLines w:val="0"/>
              <w:suppressLineNumbers w:val="0"/>
              <w:spacing w:before="0" w:beforeAutospacing="0" w:after="0" w:afterAutospacing="0" w:line="240" w:lineRule="exact"/>
              <w:ind w:left="-86" w:leftChars="-38" w:right="-113" w:rightChars="-47" w:hanging="5" w:hangingChars="3"/>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w:t>
            </w:r>
          </w:p>
          <w:p w14:paraId="38F50871">
            <w:pPr>
              <w:keepNext w:val="0"/>
              <w:keepLines w:val="0"/>
              <w:suppressLineNumbers w:val="0"/>
              <w:spacing w:before="0" w:beforeAutospacing="0" w:after="0" w:afterAutospacing="0" w:line="240" w:lineRule="exact"/>
              <w:ind w:left="-86" w:leftChars="-38" w:right="-113" w:rightChars="-47" w:hanging="5" w:hangingChars="3"/>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17287B7F">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1CDED3C1">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03B86352">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3E3DB46">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4609F9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2EF863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8DA074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5E75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55F38D7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9D6E20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120A752">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6B5AA28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5DFAE2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2D0074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49FF0DA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5B0170F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993730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44EB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7ADD4AF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57AAC6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BDF4B59">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3818135B">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26BF554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2B2A25E">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434FC13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7811DFC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FD1AB1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6B13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7C0F008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2EFB577">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5C748D8">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其他材料费</w:t>
            </w:r>
          </w:p>
        </w:tc>
        <w:tc>
          <w:tcPr>
            <w:tcW w:w="540" w:type="dxa"/>
            <w:tcBorders>
              <w:top w:val="single" w:color="auto" w:sz="4" w:space="0"/>
              <w:left w:val="nil"/>
              <w:bottom w:val="single" w:color="auto" w:sz="4" w:space="0"/>
              <w:right w:val="single" w:color="auto" w:sz="4" w:space="0"/>
            </w:tcBorders>
            <w:noWrap/>
            <w:vAlign w:val="top"/>
          </w:tcPr>
          <w:p w14:paraId="2B88C1EA">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60EDEF7">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33235658">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7B05675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134E26C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F84608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504F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8DD1F9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08FE402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14:paraId="0E35653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69BCBB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5A2C6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4B32E22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w:t>
            </w:r>
          </w:p>
        </w:tc>
        <w:tc>
          <w:tcPr>
            <w:tcW w:w="585" w:type="dxa"/>
            <w:vMerge w:val="restart"/>
            <w:tcBorders>
              <w:top w:val="nil"/>
              <w:left w:val="nil"/>
              <w:bottom w:val="single" w:color="auto" w:sz="4" w:space="0"/>
              <w:right w:val="single" w:color="auto" w:sz="4" w:space="0"/>
            </w:tcBorders>
            <w:noWrap/>
            <w:vAlign w:val="center"/>
          </w:tcPr>
          <w:p w14:paraId="23FECFD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w:t>
            </w:r>
          </w:p>
          <w:p w14:paraId="43F2BDF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械</w:t>
            </w:r>
          </w:p>
        </w:tc>
        <w:tc>
          <w:tcPr>
            <w:tcW w:w="1462" w:type="dxa"/>
            <w:gridSpan w:val="2"/>
            <w:tcBorders>
              <w:top w:val="single" w:color="auto" w:sz="4" w:space="0"/>
              <w:left w:val="nil"/>
              <w:bottom w:val="single" w:color="auto" w:sz="4" w:space="0"/>
              <w:right w:val="single" w:color="auto" w:sz="4" w:space="0"/>
            </w:tcBorders>
            <w:noWrap/>
            <w:vAlign w:val="center"/>
          </w:tcPr>
          <w:p w14:paraId="492EAD5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7545BBAC">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F4F6D6F">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3EE04624">
            <w:pPr>
              <w:keepNext w:val="0"/>
              <w:keepLines w:val="0"/>
              <w:suppressLineNumbers w:val="0"/>
              <w:spacing w:before="0" w:beforeAutospacing="0" w:after="0" w:afterAutospacing="0" w:line="240" w:lineRule="exact"/>
              <w:ind w:left="0" w:right="0"/>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0D74075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448E2CC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74C34E3F">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3E8AA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F471ED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5186C38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16B5C67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1FC31D9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63ACD5B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28887BF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A36DB3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537979E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04009A0">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7CDB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F0149D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056627B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2F105B4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1CCEBB8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159F789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65BF5F3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FA659A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6EB907F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5578FC7">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4DF4B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7CD9597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001A30C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6502987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4E0151F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5D4A8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F08712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4</w:t>
            </w:r>
          </w:p>
        </w:tc>
        <w:tc>
          <w:tcPr>
            <w:tcW w:w="5775" w:type="dxa"/>
            <w:gridSpan w:val="9"/>
            <w:tcBorders>
              <w:top w:val="single" w:color="auto" w:sz="4" w:space="0"/>
              <w:left w:val="nil"/>
              <w:bottom w:val="single" w:color="auto" w:sz="4" w:space="0"/>
              <w:right w:val="single" w:color="auto" w:sz="4" w:space="0"/>
            </w:tcBorders>
            <w:noWrap/>
            <w:vAlign w:val="center"/>
          </w:tcPr>
          <w:p w14:paraId="16989B17">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547B4E6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6B2A01C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r>
      <w:tr w14:paraId="77C75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1142974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5</w:t>
            </w:r>
          </w:p>
        </w:tc>
        <w:tc>
          <w:tcPr>
            <w:tcW w:w="5775" w:type="dxa"/>
            <w:gridSpan w:val="9"/>
            <w:tcBorders>
              <w:top w:val="single" w:color="auto" w:sz="4" w:space="0"/>
              <w:left w:val="nil"/>
              <w:bottom w:val="single" w:color="auto" w:sz="4" w:space="0"/>
              <w:right w:val="single" w:color="auto" w:sz="4" w:space="0"/>
            </w:tcBorders>
            <w:noWrap/>
            <w:vAlign w:val="center"/>
          </w:tcPr>
          <w:p w14:paraId="7F440A8F">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152F684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286CB63">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626E8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BDDC6F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6</w:t>
            </w:r>
          </w:p>
        </w:tc>
        <w:tc>
          <w:tcPr>
            <w:tcW w:w="5775" w:type="dxa"/>
            <w:gridSpan w:val="9"/>
            <w:tcBorders>
              <w:top w:val="single" w:color="auto" w:sz="4" w:space="0"/>
              <w:left w:val="nil"/>
              <w:bottom w:val="single" w:color="auto" w:sz="4" w:space="0"/>
              <w:right w:val="single" w:color="auto" w:sz="4" w:space="0"/>
            </w:tcBorders>
            <w:noWrap/>
            <w:vAlign w:val="center"/>
          </w:tcPr>
          <w:p w14:paraId="031160B7">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70D2915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4210D61">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r w14:paraId="58FAC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FF889C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7</w:t>
            </w:r>
          </w:p>
        </w:tc>
        <w:tc>
          <w:tcPr>
            <w:tcW w:w="5775" w:type="dxa"/>
            <w:gridSpan w:val="9"/>
            <w:tcBorders>
              <w:top w:val="single" w:color="auto" w:sz="4" w:space="0"/>
              <w:left w:val="nil"/>
              <w:bottom w:val="single" w:color="auto" w:sz="4" w:space="0"/>
              <w:right w:val="single" w:color="auto" w:sz="4" w:space="0"/>
            </w:tcBorders>
            <w:noWrap/>
            <w:vAlign w:val="center"/>
          </w:tcPr>
          <w:p w14:paraId="643AB19D">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7BFFF26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i w:val="0"/>
                <w:iCs w:val="0"/>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601E437">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宋体" w:hAnsi="宋体" w:cs="Times New Roman"/>
                <w:i w:val="0"/>
                <w:iCs w:val="0"/>
                <w:color w:val="auto"/>
                <w:sz w:val="18"/>
                <w:szCs w:val="18"/>
                <w:highlight w:val="none"/>
              </w:rPr>
              <w:t>—</w:t>
            </w:r>
          </w:p>
        </w:tc>
      </w:tr>
    </w:tbl>
    <w:p w14:paraId="66F803CD">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03BDA9FA">
      <w:pPr>
        <w:ind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1.本表为分部分项及施工技术措施综合单价分析通用表。</w:t>
      </w:r>
    </w:p>
    <w:p w14:paraId="4CF3E743">
      <w:pPr>
        <w:rPr>
          <w:rFonts w:ascii="宋体" w:hAnsi="宋体" w:cs="ËÎÌå"/>
          <w:i w:val="0"/>
          <w:iCs w:val="0"/>
          <w:color w:val="auto"/>
          <w:highlight w:val="none"/>
        </w:rPr>
      </w:pPr>
      <w:r>
        <w:rPr>
          <w:rFonts w:hint="eastAsia" w:ascii="宋体" w:hAnsi="宋体"/>
          <w:i w:val="0"/>
          <w:iCs w:val="0"/>
          <w:color w:val="auto"/>
          <w:sz w:val="18"/>
          <w:szCs w:val="18"/>
          <w:highlight w:val="none"/>
        </w:rPr>
        <w:t xml:space="preserve">      2.招标文件提供了暂估单价的材料，按暂估的单价填入表内“暂估单价”栏并计算对应的“暂估合价”。</w:t>
      </w:r>
    </w:p>
    <w:p w14:paraId="3C1C7661">
      <w:pPr>
        <w:jc w:val="center"/>
        <w:rPr>
          <w:rFonts w:ascii="宋体" w:hAnsi="宋体"/>
          <w:b/>
          <w:bCs/>
          <w:i w:val="0"/>
          <w:iCs w:val="0"/>
          <w:color w:val="auto"/>
          <w:highlight w:val="none"/>
        </w:rPr>
      </w:pPr>
    </w:p>
    <w:p w14:paraId="4D2997D0">
      <w:pPr>
        <w:jc w:val="center"/>
        <w:rPr>
          <w:rFonts w:ascii="宋体" w:hAnsi="宋体"/>
          <w:b/>
          <w:bCs/>
          <w:i w:val="0"/>
          <w:iCs w:val="0"/>
          <w:color w:val="auto"/>
          <w:highlight w:val="none"/>
        </w:rPr>
      </w:pPr>
    </w:p>
    <w:p w14:paraId="2EF0C19F">
      <w:pPr>
        <w:jc w:val="center"/>
        <w:rPr>
          <w:rFonts w:ascii="宋体" w:hAnsi="宋体"/>
          <w:b/>
          <w:bCs/>
          <w:i w:val="0"/>
          <w:iCs w:val="0"/>
          <w:color w:val="auto"/>
          <w:highlight w:val="none"/>
        </w:rPr>
      </w:pPr>
      <w:r>
        <w:rPr>
          <w:rFonts w:hint="eastAsia" w:ascii="宋体" w:hAnsi="宋体"/>
          <w:b/>
          <w:bCs/>
          <w:i w:val="0"/>
          <w:iCs w:val="0"/>
          <w:color w:val="auto"/>
          <w:highlight w:val="none"/>
        </w:rPr>
        <w:t>施工组织措施项目清单与计价表</w:t>
      </w:r>
    </w:p>
    <w:p w14:paraId="10E3CC6B">
      <w:pPr>
        <w:pStyle w:val="14"/>
        <w:spacing w:after="0" w:line="257" w:lineRule="auto"/>
        <w:rPr>
          <w:rFonts w:hint="eastAsia"/>
          <w:b w:val="0"/>
          <w:bCs/>
          <w:i w:val="0"/>
          <w:iCs w:val="0"/>
          <w:color w:val="auto"/>
          <w:highlight w:val="none"/>
        </w:rPr>
      </w:pPr>
      <w:r>
        <w:rPr>
          <w:rFonts w:hint="eastAsia"/>
          <w:b w:val="0"/>
          <w:bCs/>
          <w:i w:val="0"/>
          <w:iCs w:val="0"/>
          <w:color w:val="auto"/>
          <w:highlight w:val="none"/>
        </w:rPr>
        <w:t>工程名称：                  标段：                     第  页 共  页</w:t>
      </w:r>
    </w:p>
    <w:tbl>
      <w:tblPr>
        <w:tblStyle w:val="21"/>
        <w:tblW w:w="8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73CE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0DB0AA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004" w:type="dxa"/>
            <w:tcBorders>
              <w:top w:val="single" w:color="auto" w:sz="4" w:space="0"/>
              <w:left w:val="nil"/>
              <w:bottom w:val="single" w:color="auto" w:sz="4" w:space="0"/>
              <w:right w:val="single" w:color="auto" w:sz="4" w:space="0"/>
            </w:tcBorders>
            <w:noWrap/>
            <w:vAlign w:val="center"/>
          </w:tcPr>
          <w:p w14:paraId="1C00043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项目编号</w:t>
            </w:r>
          </w:p>
        </w:tc>
        <w:tc>
          <w:tcPr>
            <w:tcW w:w="2160" w:type="dxa"/>
            <w:tcBorders>
              <w:top w:val="single" w:color="auto" w:sz="4" w:space="0"/>
              <w:left w:val="nil"/>
              <w:bottom w:val="single" w:color="auto" w:sz="4" w:space="0"/>
              <w:right w:val="single" w:color="auto" w:sz="4" w:space="0"/>
            </w:tcBorders>
            <w:noWrap/>
            <w:vAlign w:val="center"/>
          </w:tcPr>
          <w:p w14:paraId="76A4E7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994" w:type="dxa"/>
            <w:tcBorders>
              <w:top w:val="single" w:color="auto" w:sz="4" w:space="0"/>
              <w:left w:val="nil"/>
              <w:bottom w:val="single" w:color="auto" w:sz="4" w:space="0"/>
              <w:right w:val="single" w:color="auto" w:sz="4" w:space="0"/>
            </w:tcBorders>
            <w:noWrap/>
            <w:vAlign w:val="center"/>
          </w:tcPr>
          <w:p w14:paraId="677649B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计算基础</w:t>
            </w:r>
          </w:p>
        </w:tc>
        <w:tc>
          <w:tcPr>
            <w:tcW w:w="666" w:type="dxa"/>
            <w:tcBorders>
              <w:top w:val="single" w:color="auto" w:sz="4" w:space="0"/>
              <w:left w:val="nil"/>
              <w:bottom w:val="single" w:color="auto" w:sz="4" w:space="0"/>
              <w:right w:val="single" w:color="auto" w:sz="4" w:space="0"/>
            </w:tcBorders>
            <w:noWrap/>
            <w:vAlign w:val="center"/>
          </w:tcPr>
          <w:p w14:paraId="436CD5B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费率</w:t>
            </w:r>
          </w:p>
          <w:p w14:paraId="0FB9BA2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40" w:type="dxa"/>
            <w:tcBorders>
              <w:top w:val="single" w:color="auto" w:sz="4" w:space="0"/>
              <w:left w:val="nil"/>
              <w:bottom w:val="single" w:color="auto" w:sz="4" w:space="0"/>
              <w:right w:val="single" w:color="auto" w:sz="4" w:space="0"/>
            </w:tcBorders>
            <w:noWrap/>
            <w:vAlign w:val="center"/>
          </w:tcPr>
          <w:p w14:paraId="0F63C78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w:t>
            </w:r>
          </w:p>
          <w:p w14:paraId="1E8E7E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（元）</w:t>
            </w:r>
          </w:p>
        </w:tc>
        <w:tc>
          <w:tcPr>
            <w:tcW w:w="720" w:type="dxa"/>
            <w:tcBorders>
              <w:top w:val="single" w:color="auto" w:sz="4" w:space="0"/>
              <w:left w:val="nil"/>
              <w:bottom w:val="single" w:color="auto" w:sz="4" w:space="0"/>
              <w:right w:val="single" w:color="auto" w:sz="4" w:space="0"/>
            </w:tcBorders>
            <w:noWrap/>
            <w:vAlign w:val="center"/>
          </w:tcPr>
          <w:p w14:paraId="53632B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调整</w:t>
            </w:r>
          </w:p>
          <w:p w14:paraId="5516C43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费率</w:t>
            </w:r>
          </w:p>
          <w:p w14:paraId="290F67E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80" w:type="dxa"/>
            <w:tcBorders>
              <w:top w:val="single" w:color="auto" w:sz="4" w:space="0"/>
              <w:left w:val="nil"/>
              <w:bottom w:val="single" w:color="auto" w:sz="4" w:space="0"/>
              <w:right w:val="single" w:color="auto" w:sz="4" w:space="0"/>
            </w:tcBorders>
            <w:noWrap/>
            <w:vAlign w:val="center"/>
          </w:tcPr>
          <w:p w14:paraId="2EA432C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调整后</w:t>
            </w:r>
          </w:p>
          <w:p w14:paraId="2BD3238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金额（元）</w:t>
            </w:r>
          </w:p>
        </w:tc>
        <w:tc>
          <w:tcPr>
            <w:tcW w:w="705" w:type="dxa"/>
            <w:tcBorders>
              <w:top w:val="single" w:color="auto" w:sz="4" w:space="0"/>
              <w:left w:val="nil"/>
              <w:bottom w:val="single" w:color="auto" w:sz="4" w:space="0"/>
              <w:right w:val="single" w:color="auto" w:sz="4" w:space="0"/>
            </w:tcBorders>
            <w:noWrap/>
            <w:vAlign w:val="center"/>
          </w:tcPr>
          <w:p w14:paraId="42C1B0E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492D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1C0AF05">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r>
              <w:rPr>
                <w:rFonts w:hint="eastAsia" w:ascii="宋体" w:hAnsi="宋体" w:cs="Times New Roman"/>
                <w:b/>
                <w:i w:val="0"/>
                <w:iCs w:val="0"/>
                <w:color w:val="auto"/>
                <w:sz w:val="18"/>
                <w:szCs w:val="18"/>
                <w:highlight w:val="none"/>
              </w:rPr>
              <w:t>1</w:t>
            </w:r>
          </w:p>
        </w:tc>
        <w:tc>
          <w:tcPr>
            <w:tcW w:w="1004" w:type="dxa"/>
            <w:tcBorders>
              <w:top w:val="single" w:color="auto" w:sz="4" w:space="0"/>
              <w:left w:val="nil"/>
              <w:bottom w:val="single" w:color="auto" w:sz="4" w:space="0"/>
              <w:right w:val="single" w:color="auto" w:sz="4" w:space="0"/>
            </w:tcBorders>
            <w:noWrap/>
            <w:vAlign w:val="center"/>
          </w:tcPr>
          <w:p w14:paraId="0A081511">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7B8E6132">
            <w:pPr>
              <w:keepNext w:val="0"/>
              <w:keepLines w:val="0"/>
              <w:suppressLineNumbers w:val="0"/>
              <w:spacing w:before="0" w:beforeAutospacing="0" w:after="0" w:afterAutospacing="0"/>
              <w:ind w:left="0" w:right="0"/>
              <w:rPr>
                <w:rFonts w:hint="default" w:ascii="宋体" w:hAnsi="宋体" w:cs="Times New Roman"/>
                <w:b/>
                <w:i w:val="0"/>
                <w:iCs w:val="0"/>
                <w:color w:val="auto"/>
                <w:sz w:val="18"/>
                <w:szCs w:val="18"/>
                <w:highlight w:val="none"/>
              </w:rPr>
            </w:pPr>
            <w:r>
              <w:rPr>
                <w:rFonts w:hint="eastAsia" w:ascii="宋体" w:hAnsi="宋体" w:cs="Times New Roman"/>
                <w:b/>
                <w:i w:val="0"/>
                <w:iCs w:val="0"/>
                <w:color w:val="auto"/>
                <w:sz w:val="18"/>
                <w:szCs w:val="18"/>
                <w:highlight w:val="none"/>
              </w:rPr>
              <w:t>安全文明施工费</w:t>
            </w:r>
          </w:p>
        </w:tc>
        <w:tc>
          <w:tcPr>
            <w:tcW w:w="994" w:type="dxa"/>
            <w:tcBorders>
              <w:top w:val="single" w:color="auto" w:sz="4" w:space="0"/>
              <w:left w:val="nil"/>
              <w:bottom w:val="single" w:color="auto" w:sz="4" w:space="0"/>
              <w:right w:val="single" w:color="auto" w:sz="4" w:space="0"/>
            </w:tcBorders>
            <w:noWrap/>
            <w:vAlign w:val="center"/>
          </w:tcPr>
          <w:p w14:paraId="53A04FC4">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C0065B2">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04759BBC">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4A5C300">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E9E0EE3">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0221BB68">
            <w:pPr>
              <w:keepNext w:val="0"/>
              <w:keepLines w:val="0"/>
              <w:suppressLineNumbers w:val="0"/>
              <w:spacing w:before="0" w:beforeAutospacing="0" w:after="0" w:afterAutospacing="0"/>
              <w:ind w:left="0" w:right="0"/>
              <w:jc w:val="center"/>
              <w:rPr>
                <w:rFonts w:hint="default" w:ascii="宋体" w:hAnsi="宋体" w:cs="Times New Roman"/>
                <w:b/>
                <w:i w:val="0"/>
                <w:iCs w:val="0"/>
                <w:color w:val="auto"/>
                <w:sz w:val="18"/>
                <w:szCs w:val="18"/>
                <w:highlight w:val="none"/>
              </w:rPr>
            </w:pPr>
          </w:p>
        </w:tc>
      </w:tr>
      <w:tr w14:paraId="6034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88683D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1.1</w:t>
            </w:r>
          </w:p>
        </w:tc>
        <w:tc>
          <w:tcPr>
            <w:tcW w:w="1004" w:type="dxa"/>
            <w:tcBorders>
              <w:top w:val="single" w:color="auto" w:sz="4" w:space="0"/>
              <w:left w:val="nil"/>
              <w:bottom w:val="single" w:color="auto" w:sz="4" w:space="0"/>
              <w:right w:val="single" w:color="auto" w:sz="4" w:space="0"/>
            </w:tcBorders>
            <w:noWrap/>
            <w:vAlign w:val="center"/>
          </w:tcPr>
          <w:p w14:paraId="7984A9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AB9B33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7600F9C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242A045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17A3CA5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4E3270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19E133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6B530D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FA35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E0C62A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1.2</w:t>
            </w:r>
          </w:p>
        </w:tc>
        <w:tc>
          <w:tcPr>
            <w:tcW w:w="1004" w:type="dxa"/>
            <w:tcBorders>
              <w:top w:val="single" w:color="auto" w:sz="4" w:space="0"/>
              <w:left w:val="nil"/>
              <w:bottom w:val="single" w:color="auto" w:sz="4" w:space="0"/>
              <w:right w:val="single" w:color="auto" w:sz="4" w:space="0"/>
            </w:tcBorders>
            <w:noWrap/>
            <w:vAlign w:val="center"/>
          </w:tcPr>
          <w:p w14:paraId="5EE67B1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30FC5E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标化工地增加费</w:t>
            </w:r>
          </w:p>
        </w:tc>
        <w:tc>
          <w:tcPr>
            <w:tcW w:w="994" w:type="dxa"/>
            <w:tcBorders>
              <w:top w:val="single" w:color="auto" w:sz="4" w:space="0"/>
              <w:left w:val="nil"/>
              <w:bottom w:val="single" w:color="auto" w:sz="4" w:space="0"/>
              <w:right w:val="single" w:color="auto" w:sz="4" w:space="0"/>
            </w:tcBorders>
            <w:noWrap/>
            <w:vAlign w:val="center"/>
          </w:tcPr>
          <w:p w14:paraId="070171C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461598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5C3C57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E1813A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8EBAF1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6B21F74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8B9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C90FC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1004" w:type="dxa"/>
            <w:tcBorders>
              <w:top w:val="single" w:color="auto" w:sz="4" w:space="0"/>
              <w:left w:val="nil"/>
              <w:bottom w:val="single" w:color="auto" w:sz="4" w:space="0"/>
              <w:right w:val="single" w:color="auto" w:sz="4" w:space="0"/>
            </w:tcBorders>
            <w:noWrap/>
            <w:vAlign w:val="center"/>
          </w:tcPr>
          <w:p w14:paraId="4775699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D0A5B1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提前竣工增加费</w:t>
            </w:r>
          </w:p>
        </w:tc>
        <w:tc>
          <w:tcPr>
            <w:tcW w:w="994" w:type="dxa"/>
            <w:tcBorders>
              <w:top w:val="single" w:color="auto" w:sz="4" w:space="0"/>
              <w:left w:val="nil"/>
              <w:bottom w:val="single" w:color="auto" w:sz="4" w:space="0"/>
              <w:right w:val="single" w:color="auto" w:sz="4" w:space="0"/>
            </w:tcBorders>
            <w:noWrap/>
            <w:vAlign w:val="center"/>
          </w:tcPr>
          <w:p w14:paraId="4F1B15E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02FCF4E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0CEA3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9142D7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47C09A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26F6807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19AF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A91686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w:t>
            </w:r>
          </w:p>
        </w:tc>
        <w:tc>
          <w:tcPr>
            <w:tcW w:w="1004" w:type="dxa"/>
            <w:tcBorders>
              <w:top w:val="single" w:color="auto" w:sz="4" w:space="0"/>
              <w:left w:val="nil"/>
              <w:bottom w:val="single" w:color="auto" w:sz="4" w:space="0"/>
              <w:right w:val="single" w:color="auto" w:sz="4" w:space="0"/>
            </w:tcBorders>
            <w:noWrap/>
            <w:vAlign w:val="center"/>
          </w:tcPr>
          <w:p w14:paraId="65CCE90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09A00A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二次搬运费</w:t>
            </w:r>
          </w:p>
        </w:tc>
        <w:tc>
          <w:tcPr>
            <w:tcW w:w="994" w:type="dxa"/>
            <w:tcBorders>
              <w:top w:val="single" w:color="auto" w:sz="4" w:space="0"/>
              <w:left w:val="nil"/>
              <w:bottom w:val="single" w:color="auto" w:sz="4" w:space="0"/>
              <w:right w:val="single" w:color="auto" w:sz="4" w:space="0"/>
            </w:tcBorders>
            <w:noWrap/>
            <w:vAlign w:val="center"/>
          </w:tcPr>
          <w:p w14:paraId="1B6BBAE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678BD9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5166B5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C722BB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1D11CF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4CD5C4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338E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30336A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4</w:t>
            </w:r>
          </w:p>
        </w:tc>
        <w:tc>
          <w:tcPr>
            <w:tcW w:w="1004" w:type="dxa"/>
            <w:tcBorders>
              <w:top w:val="single" w:color="auto" w:sz="4" w:space="0"/>
              <w:left w:val="nil"/>
              <w:bottom w:val="single" w:color="auto" w:sz="4" w:space="0"/>
              <w:right w:val="single" w:color="auto" w:sz="4" w:space="0"/>
            </w:tcBorders>
            <w:noWrap/>
            <w:vAlign w:val="center"/>
          </w:tcPr>
          <w:p w14:paraId="1E06A1D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E98CFD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2039521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910101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051705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2FE321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6B133E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4C37A7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59C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DA301F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5</w:t>
            </w:r>
          </w:p>
        </w:tc>
        <w:tc>
          <w:tcPr>
            <w:tcW w:w="1004" w:type="dxa"/>
            <w:tcBorders>
              <w:top w:val="single" w:color="auto" w:sz="4" w:space="0"/>
              <w:left w:val="nil"/>
              <w:bottom w:val="single" w:color="auto" w:sz="4" w:space="0"/>
              <w:right w:val="single" w:color="auto" w:sz="4" w:space="0"/>
            </w:tcBorders>
            <w:noWrap/>
            <w:vAlign w:val="center"/>
          </w:tcPr>
          <w:p w14:paraId="5E0541C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3C83A25">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740B05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68E24D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1771D9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CA93E2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39D80A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040FB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4B3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ECD24F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6</w:t>
            </w:r>
          </w:p>
        </w:tc>
        <w:tc>
          <w:tcPr>
            <w:tcW w:w="1004" w:type="dxa"/>
            <w:tcBorders>
              <w:top w:val="single" w:color="auto" w:sz="4" w:space="0"/>
              <w:left w:val="nil"/>
              <w:bottom w:val="single" w:color="auto" w:sz="4" w:space="0"/>
              <w:right w:val="single" w:color="auto" w:sz="4" w:space="0"/>
            </w:tcBorders>
            <w:noWrap/>
            <w:vAlign w:val="center"/>
          </w:tcPr>
          <w:p w14:paraId="7774B4B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4CDA7E5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645186D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353B2F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EF787C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1E5489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61A007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6B2A8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0F5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A67B2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04" w:type="dxa"/>
            <w:tcBorders>
              <w:top w:val="single" w:color="auto" w:sz="4" w:space="0"/>
              <w:left w:val="nil"/>
              <w:bottom w:val="single" w:color="auto" w:sz="4" w:space="0"/>
              <w:right w:val="single" w:color="auto" w:sz="4" w:space="0"/>
            </w:tcBorders>
            <w:noWrap/>
            <w:vAlign w:val="center"/>
          </w:tcPr>
          <w:p w14:paraId="3D71952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C93AD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94" w:type="dxa"/>
            <w:tcBorders>
              <w:top w:val="single" w:color="auto" w:sz="4" w:space="0"/>
              <w:left w:val="nil"/>
              <w:bottom w:val="single" w:color="auto" w:sz="4" w:space="0"/>
              <w:right w:val="single" w:color="auto" w:sz="4" w:space="0"/>
            </w:tcBorders>
            <w:noWrap/>
            <w:vAlign w:val="center"/>
          </w:tcPr>
          <w:p w14:paraId="4793C8B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49F5662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0DD478E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342135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ED0FE5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2CDB8DA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AA5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779F08C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040" w:type="dxa"/>
            <w:tcBorders>
              <w:top w:val="single" w:color="auto" w:sz="4" w:space="0"/>
              <w:left w:val="nil"/>
              <w:bottom w:val="single" w:color="auto" w:sz="4" w:space="0"/>
              <w:right w:val="single" w:color="auto" w:sz="4" w:space="0"/>
            </w:tcBorders>
            <w:noWrap/>
            <w:vAlign w:val="center"/>
          </w:tcPr>
          <w:p w14:paraId="1AD81AA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3E7DC7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4BC01D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C9F6F1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045FC736">
      <w:pPr>
        <w:ind w:firstLine="360" w:firstLineChars="200"/>
        <w:rPr>
          <w:rFonts w:ascii="宋体" w:hAnsi="宋体"/>
          <w:i w:val="0"/>
          <w:iCs w:val="0"/>
          <w:color w:val="auto"/>
          <w:sz w:val="18"/>
          <w:szCs w:val="18"/>
          <w:highlight w:val="none"/>
        </w:rPr>
      </w:pPr>
    </w:p>
    <w:p w14:paraId="4D4BC06F">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注：1.第1.2项工程招投标阶段在其他项目暂列金内计列，竣工结算时按合同约定计算。</w:t>
      </w:r>
    </w:p>
    <w:p w14:paraId="43CA2866">
      <w:pPr>
        <w:ind w:left="1186" w:leftChars="344" w:hanging="360" w:hanging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2.“其他施工组织措施费”在计价时须列出具体费用名称。</w:t>
      </w:r>
    </w:p>
    <w:p w14:paraId="515BE9E4">
      <w:pPr>
        <w:ind w:left="1186" w:leftChars="344" w:hanging="360" w:hanging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3.工程结算时按合同约定调整费率和金额。</w:t>
      </w:r>
    </w:p>
    <w:p w14:paraId="7FD4D6EF">
      <w:pPr>
        <w:jc w:val="right"/>
        <w:rPr>
          <w:rFonts w:ascii="宋体" w:hAnsi="宋体" w:cs="ËÎÌå"/>
          <w:i w:val="0"/>
          <w:iCs w:val="0"/>
          <w:color w:val="auto"/>
          <w:sz w:val="21"/>
          <w:szCs w:val="21"/>
          <w:highlight w:val="none"/>
        </w:rPr>
      </w:pPr>
    </w:p>
    <w:p w14:paraId="22441B85">
      <w:pPr>
        <w:widowControl/>
        <w:autoSpaceDN/>
        <w:jc w:val="center"/>
        <w:rPr>
          <w:rFonts w:ascii="宋体" w:hAnsi="宋体"/>
          <w:b/>
          <w:bCs/>
          <w:i w:val="0"/>
          <w:iCs w:val="0"/>
          <w:color w:val="auto"/>
          <w:highlight w:val="none"/>
        </w:rPr>
      </w:pPr>
      <w:r>
        <w:rPr>
          <w:rFonts w:hint="eastAsia" w:ascii="宋体" w:hAnsi="宋体"/>
          <w:b/>
          <w:bCs/>
          <w:i w:val="0"/>
          <w:iCs w:val="0"/>
          <w:color w:val="auto"/>
          <w:highlight w:val="none"/>
        </w:rPr>
        <w:t>其他项目清单与计价汇总表</w:t>
      </w:r>
    </w:p>
    <w:p w14:paraId="102A41B0">
      <w:pPr>
        <w:pStyle w:val="14"/>
        <w:spacing w:after="0" w:line="257" w:lineRule="auto"/>
        <w:rPr>
          <w:rFonts w:hint="eastAsia"/>
          <w:b w:val="0"/>
          <w:bCs/>
          <w:i w:val="0"/>
          <w:iCs w:val="0"/>
          <w:color w:val="auto"/>
          <w:sz w:val="21"/>
          <w:szCs w:val="21"/>
          <w:highlight w:val="none"/>
        </w:rPr>
      </w:pPr>
      <w:r>
        <w:rPr>
          <w:rFonts w:hint="eastAsia"/>
          <w:b w:val="0"/>
          <w:bCs/>
          <w:i w:val="0"/>
          <w:iCs w:val="0"/>
          <w:color w:val="auto"/>
          <w:highlight w:val="none"/>
        </w:rPr>
        <w:t>工程名称：                      标段：                     第  页 共  页</w:t>
      </w:r>
    </w:p>
    <w:tbl>
      <w:tblPr>
        <w:tblStyle w:val="21"/>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0971C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97FFCD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序号</w:t>
            </w:r>
          </w:p>
        </w:tc>
        <w:tc>
          <w:tcPr>
            <w:tcW w:w="3304" w:type="dxa"/>
            <w:tcBorders>
              <w:top w:val="single" w:color="auto" w:sz="4" w:space="0"/>
              <w:left w:val="nil"/>
              <w:bottom w:val="single" w:color="auto" w:sz="4" w:space="0"/>
              <w:right w:val="single" w:color="auto" w:sz="4" w:space="0"/>
            </w:tcBorders>
            <w:noWrap/>
            <w:vAlign w:val="center"/>
          </w:tcPr>
          <w:p w14:paraId="69D7A3B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项目名称</w:t>
            </w:r>
          </w:p>
        </w:tc>
        <w:tc>
          <w:tcPr>
            <w:tcW w:w="1244" w:type="dxa"/>
            <w:tcBorders>
              <w:top w:val="single" w:color="auto" w:sz="4" w:space="0"/>
              <w:left w:val="nil"/>
              <w:bottom w:val="single" w:color="auto" w:sz="4" w:space="0"/>
              <w:right w:val="single" w:color="auto" w:sz="4" w:space="0"/>
            </w:tcBorders>
            <w:noWrap/>
            <w:vAlign w:val="center"/>
          </w:tcPr>
          <w:p w14:paraId="7A31A17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金额（元）</w:t>
            </w:r>
          </w:p>
        </w:tc>
        <w:tc>
          <w:tcPr>
            <w:tcW w:w="1620" w:type="dxa"/>
            <w:tcBorders>
              <w:top w:val="single" w:color="auto" w:sz="4" w:space="0"/>
              <w:left w:val="nil"/>
              <w:bottom w:val="single" w:color="auto" w:sz="4" w:space="0"/>
              <w:right w:val="single" w:color="auto" w:sz="4" w:space="0"/>
            </w:tcBorders>
            <w:noWrap/>
            <w:vAlign w:val="center"/>
          </w:tcPr>
          <w:p w14:paraId="343381B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结算金额（元）</w:t>
            </w:r>
          </w:p>
        </w:tc>
        <w:tc>
          <w:tcPr>
            <w:tcW w:w="2160" w:type="dxa"/>
            <w:tcBorders>
              <w:top w:val="single" w:color="auto" w:sz="4" w:space="0"/>
              <w:left w:val="nil"/>
              <w:bottom w:val="single" w:color="auto" w:sz="4" w:space="0"/>
              <w:right w:val="single" w:color="auto" w:sz="4" w:space="0"/>
            </w:tcBorders>
            <w:noWrap/>
            <w:vAlign w:val="center"/>
          </w:tcPr>
          <w:p w14:paraId="237D9EA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备注</w:t>
            </w:r>
          </w:p>
        </w:tc>
      </w:tr>
      <w:tr w14:paraId="14BAF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2CB496A">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w:t>
            </w:r>
          </w:p>
        </w:tc>
        <w:tc>
          <w:tcPr>
            <w:tcW w:w="3304" w:type="dxa"/>
            <w:tcBorders>
              <w:top w:val="single" w:color="auto" w:sz="4" w:space="0"/>
              <w:left w:val="nil"/>
              <w:bottom w:val="single" w:color="auto" w:sz="4" w:space="0"/>
              <w:right w:val="single" w:color="auto" w:sz="4" w:space="0"/>
            </w:tcBorders>
            <w:noWrap/>
            <w:vAlign w:val="center"/>
          </w:tcPr>
          <w:p w14:paraId="0F956EE0">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暂列金额</w:t>
            </w:r>
          </w:p>
        </w:tc>
        <w:tc>
          <w:tcPr>
            <w:tcW w:w="1244" w:type="dxa"/>
            <w:tcBorders>
              <w:top w:val="single" w:color="auto" w:sz="4" w:space="0"/>
              <w:left w:val="nil"/>
              <w:bottom w:val="single" w:color="auto" w:sz="4" w:space="0"/>
              <w:right w:val="single" w:color="auto" w:sz="4" w:space="0"/>
            </w:tcBorders>
            <w:noWrap/>
            <w:vAlign w:val="center"/>
          </w:tcPr>
          <w:p w14:paraId="07657B0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59D2968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vMerge w:val="restart"/>
            <w:tcBorders>
              <w:top w:val="nil"/>
              <w:left w:val="nil"/>
              <w:bottom w:val="single" w:color="auto" w:sz="4" w:space="0"/>
              <w:right w:val="single" w:color="auto" w:sz="4" w:space="0"/>
            </w:tcBorders>
            <w:noWrap/>
            <w:vAlign w:val="center"/>
          </w:tcPr>
          <w:p w14:paraId="18BC5601">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170C7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DBAD26C">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1.1</w:t>
            </w:r>
          </w:p>
        </w:tc>
        <w:tc>
          <w:tcPr>
            <w:tcW w:w="3304" w:type="dxa"/>
            <w:tcBorders>
              <w:top w:val="single" w:color="auto" w:sz="4" w:space="0"/>
              <w:left w:val="nil"/>
              <w:bottom w:val="single" w:color="auto" w:sz="4" w:space="0"/>
              <w:right w:val="single" w:color="auto" w:sz="4" w:space="0"/>
            </w:tcBorders>
            <w:noWrap/>
            <w:vAlign w:val="center"/>
          </w:tcPr>
          <w:p w14:paraId="1CDE5E3A">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标化工地增加费</w:t>
            </w:r>
          </w:p>
        </w:tc>
        <w:tc>
          <w:tcPr>
            <w:tcW w:w="1244" w:type="dxa"/>
            <w:tcBorders>
              <w:top w:val="single" w:color="auto" w:sz="4" w:space="0"/>
              <w:left w:val="nil"/>
              <w:bottom w:val="single" w:color="auto" w:sz="4" w:space="0"/>
              <w:right w:val="single" w:color="auto" w:sz="4" w:space="0"/>
            </w:tcBorders>
            <w:noWrap/>
            <w:vAlign w:val="center"/>
          </w:tcPr>
          <w:p w14:paraId="5CB3D0B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318504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39E5065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r>
      <w:tr w14:paraId="153A1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15C0519">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1.2</w:t>
            </w:r>
          </w:p>
        </w:tc>
        <w:tc>
          <w:tcPr>
            <w:tcW w:w="3304" w:type="dxa"/>
            <w:tcBorders>
              <w:top w:val="single" w:color="auto" w:sz="4" w:space="0"/>
              <w:left w:val="nil"/>
              <w:bottom w:val="single" w:color="auto" w:sz="4" w:space="0"/>
              <w:right w:val="single" w:color="auto" w:sz="4" w:space="0"/>
            </w:tcBorders>
            <w:noWrap/>
            <w:vAlign w:val="center"/>
          </w:tcPr>
          <w:p w14:paraId="4336F78A">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优质工程增加费</w:t>
            </w:r>
          </w:p>
        </w:tc>
        <w:tc>
          <w:tcPr>
            <w:tcW w:w="1244" w:type="dxa"/>
            <w:tcBorders>
              <w:top w:val="single" w:color="auto" w:sz="4" w:space="0"/>
              <w:left w:val="nil"/>
              <w:bottom w:val="single" w:color="auto" w:sz="4" w:space="0"/>
              <w:right w:val="single" w:color="auto" w:sz="4" w:space="0"/>
            </w:tcBorders>
            <w:noWrap/>
            <w:vAlign w:val="center"/>
          </w:tcPr>
          <w:p w14:paraId="26C91C5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4AB91D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49940BE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r>
      <w:tr w14:paraId="0EF02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8502D22">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1.3</w:t>
            </w:r>
          </w:p>
        </w:tc>
        <w:tc>
          <w:tcPr>
            <w:tcW w:w="3304" w:type="dxa"/>
            <w:tcBorders>
              <w:top w:val="single" w:color="auto" w:sz="4" w:space="0"/>
              <w:left w:val="nil"/>
              <w:bottom w:val="single" w:color="auto" w:sz="4" w:space="0"/>
              <w:right w:val="single" w:color="auto" w:sz="4" w:space="0"/>
            </w:tcBorders>
            <w:noWrap/>
            <w:vAlign w:val="center"/>
          </w:tcPr>
          <w:p w14:paraId="32B6BDFD">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其他暂列金额</w:t>
            </w:r>
          </w:p>
        </w:tc>
        <w:tc>
          <w:tcPr>
            <w:tcW w:w="1244" w:type="dxa"/>
            <w:tcBorders>
              <w:top w:val="single" w:color="auto" w:sz="4" w:space="0"/>
              <w:left w:val="nil"/>
              <w:bottom w:val="single" w:color="auto" w:sz="4" w:space="0"/>
              <w:right w:val="single" w:color="auto" w:sz="4" w:space="0"/>
            </w:tcBorders>
            <w:noWrap/>
            <w:vAlign w:val="center"/>
          </w:tcPr>
          <w:p w14:paraId="2701681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FC8D59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vMerge w:val="continue"/>
            <w:tcBorders>
              <w:top w:val="nil"/>
              <w:left w:val="nil"/>
              <w:bottom w:val="single" w:color="auto" w:sz="4" w:space="0"/>
              <w:right w:val="single" w:color="auto" w:sz="4" w:space="0"/>
            </w:tcBorders>
            <w:noWrap w:val="0"/>
            <w:vAlign w:val="center"/>
          </w:tcPr>
          <w:p w14:paraId="3777212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highlight w:val="none"/>
              </w:rPr>
            </w:pPr>
          </w:p>
        </w:tc>
      </w:tr>
      <w:tr w14:paraId="607F3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48C26D7">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p>
        </w:tc>
        <w:tc>
          <w:tcPr>
            <w:tcW w:w="3304" w:type="dxa"/>
            <w:tcBorders>
              <w:top w:val="single" w:color="auto" w:sz="4" w:space="0"/>
              <w:left w:val="nil"/>
              <w:bottom w:val="single" w:color="auto" w:sz="4" w:space="0"/>
              <w:right w:val="single" w:color="auto" w:sz="4" w:space="0"/>
            </w:tcBorders>
            <w:noWrap/>
            <w:vAlign w:val="center"/>
          </w:tcPr>
          <w:p w14:paraId="09596857">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暂估价</w:t>
            </w:r>
          </w:p>
        </w:tc>
        <w:tc>
          <w:tcPr>
            <w:tcW w:w="1244" w:type="dxa"/>
            <w:tcBorders>
              <w:top w:val="single" w:color="auto" w:sz="4" w:space="0"/>
              <w:left w:val="nil"/>
              <w:bottom w:val="single" w:color="auto" w:sz="4" w:space="0"/>
              <w:right w:val="single" w:color="auto" w:sz="4" w:space="0"/>
            </w:tcBorders>
            <w:noWrap/>
            <w:vAlign w:val="center"/>
          </w:tcPr>
          <w:p w14:paraId="70821B0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7BF0D1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5A2FD9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3CF0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DDC58C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2.1</w:t>
            </w:r>
          </w:p>
        </w:tc>
        <w:tc>
          <w:tcPr>
            <w:tcW w:w="3304" w:type="dxa"/>
            <w:tcBorders>
              <w:top w:val="single" w:color="auto" w:sz="4" w:space="0"/>
              <w:left w:val="nil"/>
              <w:bottom w:val="single" w:color="auto" w:sz="4" w:space="0"/>
              <w:right w:val="single" w:color="auto" w:sz="4" w:space="0"/>
            </w:tcBorders>
            <w:noWrap/>
            <w:vAlign w:val="center"/>
          </w:tcPr>
          <w:p w14:paraId="579970BA">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材料（设备）暂估价</w:t>
            </w:r>
          </w:p>
        </w:tc>
        <w:tc>
          <w:tcPr>
            <w:tcW w:w="1244" w:type="dxa"/>
            <w:tcBorders>
              <w:top w:val="single" w:color="auto" w:sz="4" w:space="0"/>
              <w:left w:val="nil"/>
              <w:bottom w:val="single" w:color="auto" w:sz="4" w:space="0"/>
              <w:right w:val="single" w:color="auto" w:sz="4" w:space="0"/>
            </w:tcBorders>
            <w:noWrap/>
            <w:vAlign w:val="center"/>
          </w:tcPr>
          <w:p w14:paraId="6BFB2EE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52DC09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33E46C3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0D4E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419830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2.2</w:t>
            </w:r>
          </w:p>
        </w:tc>
        <w:tc>
          <w:tcPr>
            <w:tcW w:w="3304" w:type="dxa"/>
            <w:tcBorders>
              <w:top w:val="single" w:color="auto" w:sz="4" w:space="0"/>
              <w:left w:val="nil"/>
              <w:bottom w:val="single" w:color="auto" w:sz="4" w:space="0"/>
              <w:right w:val="single" w:color="auto" w:sz="4" w:space="0"/>
            </w:tcBorders>
            <w:noWrap/>
            <w:vAlign w:val="center"/>
          </w:tcPr>
          <w:p w14:paraId="5B40EAE0">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专业工程暂估价</w:t>
            </w:r>
          </w:p>
        </w:tc>
        <w:tc>
          <w:tcPr>
            <w:tcW w:w="1244" w:type="dxa"/>
            <w:tcBorders>
              <w:top w:val="single" w:color="auto" w:sz="4" w:space="0"/>
              <w:left w:val="nil"/>
              <w:bottom w:val="single" w:color="auto" w:sz="4" w:space="0"/>
              <w:right w:val="single" w:color="auto" w:sz="4" w:space="0"/>
            </w:tcBorders>
            <w:noWrap/>
            <w:vAlign w:val="center"/>
          </w:tcPr>
          <w:p w14:paraId="4E58B1E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668BF2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1EF8670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4627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E92F20C">
            <w:pPr>
              <w:keepNext w:val="0"/>
              <w:keepLines w:val="0"/>
              <w:suppressLineNumbers w:val="0"/>
              <w:spacing w:before="0" w:beforeAutospacing="0" w:after="0" w:afterAutospacing="0"/>
              <w:ind w:left="0" w:right="0"/>
              <w:jc w:val="center"/>
              <w:rPr>
                <w:rFonts w:hint="default" w:ascii="宋体" w:hAnsi="宋体" w:cs="Times New Roman"/>
                <w:i w:val="0"/>
                <w:iCs w:val="0"/>
                <w:color w:val="auto"/>
                <w:kern w:val="2"/>
                <w:highlight w:val="none"/>
              </w:rPr>
            </w:pPr>
            <w:r>
              <w:rPr>
                <w:rFonts w:hint="eastAsia" w:ascii="宋体" w:hAnsi="宋体" w:cs="Times New Roman"/>
                <w:i w:val="0"/>
                <w:iCs w:val="0"/>
                <w:color w:val="auto"/>
                <w:highlight w:val="none"/>
              </w:rPr>
              <w:t>2.3</w:t>
            </w:r>
          </w:p>
        </w:tc>
        <w:tc>
          <w:tcPr>
            <w:tcW w:w="3304" w:type="dxa"/>
            <w:tcBorders>
              <w:top w:val="single" w:color="auto" w:sz="4" w:space="0"/>
              <w:left w:val="nil"/>
              <w:bottom w:val="single" w:color="auto" w:sz="4" w:space="0"/>
              <w:right w:val="single" w:color="auto" w:sz="4" w:space="0"/>
            </w:tcBorders>
            <w:noWrap/>
            <w:vAlign w:val="center"/>
          </w:tcPr>
          <w:p w14:paraId="256B1387">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63170F6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A3BF59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2160" w:type="dxa"/>
            <w:tcBorders>
              <w:top w:val="single" w:color="auto" w:sz="4" w:space="0"/>
              <w:left w:val="nil"/>
              <w:bottom w:val="single" w:color="auto" w:sz="4" w:space="0"/>
              <w:right w:val="single" w:color="auto" w:sz="4" w:space="0"/>
            </w:tcBorders>
            <w:noWrap/>
            <w:vAlign w:val="center"/>
          </w:tcPr>
          <w:p w14:paraId="219AC92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69AD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8A55ED4">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3</w:t>
            </w:r>
          </w:p>
        </w:tc>
        <w:tc>
          <w:tcPr>
            <w:tcW w:w="3304" w:type="dxa"/>
            <w:tcBorders>
              <w:top w:val="single" w:color="auto" w:sz="4" w:space="0"/>
              <w:left w:val="nil"/>
              <w:bottom w:val="single" w:color="auto" w:sz="4" w:space="0"/>
              <w:right w:val="single" w:color="auto" w:sz="4" w:space="0"/>
            </w:tcBorders>
            <w:noWrap/>
            <w:vAlign w:val="center"/>
          </w:tcPr>
          <w:p w14:paraId="65FE5B5B">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计日工</w:t>
            </w:r>
          </w:p>
        </w:tc>
        <w:tc>
          <w:tcPr>
            <w:tcW w:w="1244" w:type="dxa"/>
            <w:tcBorders>
              <w:top w:val="single" w:color="auto" w:sz="4" w:space="0"/>
              <w:left w:val="nil"/>
              <w:bottom w:val="single" w:color="auto" w:sz="4" w:space="0"/>
              <w:right w:val="single" w:color="auto" w:sz="4" w:space="0"/>
            </w:tcBorders>
            <w:noWrap/>
            <w:vAlign w:val="center"/>
          </w:tcPr>
          <w:p w14:paraId="5B5A879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35DAF6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7FE9C2E">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6371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8868BC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4</w:t>
            </w:r>
          </w:p>
        </w:tc>
        <w:tc>
          <w:tcPr>
            <w:tcW w:w="3304" w:type="dxa"/>
            <w:tcBorders>
              <w:top w:val="single" w:color="auto" w:sz="4" w:space="0"/>
              <w:left w:val="nil"/>
              <w:bottom w:val="single" w:color="auto" w:sz="4" w:space="0"/>
              <w:right w:val="single" w:color="auto" w:sz="4" w:space="0"/>
            </w:tcBorders>
            <w:noWrap/>
            <w:vAlign w:val="center"/>
          </w:tcPr>
          <w:p w14:paraId="6E2544F3">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总承包服务费</w:t>
            </w:r>
          </w:p>
        </w:tc>
        <w:tc>
          <w:tcPr>
            <w:tcW w:w="1244" w:type="dxa"/>
            <w:tcBorders>
              <w:top w:val="single" w:color="auto" w:sz="4" w:space="0"/>
              <w:left w:val="nil"/>
              <w:bottom w:val="single" w:color="auto" w:sz="4" w:space="0"/>
              <w:right w:val="single" w:color="auto" w:sz="4" w:space="0"/>
            </w:tcBorders>
            <w:noWrap/>
            <w:vAlign w:val="center"/>
          </w:tcPr>
          <w:p w14:paraId="6B05107F">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683112D">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4E38EB75">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26802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F45A129">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5</w:t>
            </w:r>
          </w:p>
        </w:tc>
        <w:tc>
          <w:tcPr>
            <w:tcW w:w="3304" w:type="dxa"/>
            <w:tcBorders>
              <w:top w:val="single" w:color="auto" w:sz="4" w:space="0"/>
              <w:left w:val="nil"/>
              <w:bottom w:val="single" w:color="auto" w:sz="4" w:space="0"/>
              <w:right w:val="single" w:color="auto" w:sz="4" w:space="0"/>
            </w:tcBorders>
            <w:noWrap/>
            <w:vAlign w:val="center"/>
          </w:tcPr>
          <w:p w14:paraId="22498F7D">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r>
              <w:rPr>
                <w:rFonts w:hint="eastAsia" w:ascii="宋体" w:hAnsi="宋体" w:cs="Times New Roman"/>
                <w:i w:val="0"/>
                <w:iCs w:val="0"/>
                <w:color w:val="auto"/>
                <w:highlight w:val="none"/>
              </w:rPr>
              <w:t>（索赔与现场签证）</w:t>
            </w:r>
          </w:p>
        </w:tc>
        <w:tc>
          <w:tcPr>
            <w:tcW w:w="1244" w:type="dxa"/>
            <w:tcBorders>
              <w:top w:val="single" w:color="auto" w:sz="4" w:space="0"/>
              <w:left w:val="nil"/>
              <w:bottom w:val="single" w:color="auto" w:sz="4" w:space="0"/>
              <w:right w:val="single" w:color="auto" w:sz="4" w:space="0"/>
            </w:tcBorders>
            <w:noWrap/>
            <w:vAlign w:val="center"/>
          </w:tcPr>
          <w:p w14:paraId="554276D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1620" w:type="dxa"/>
            <w:tcBorders>
              <w:top w:val="single" w:color="auto" w:sz="4" w:space="0"/>
              <w:left w:val="nil"/>
              <w:bottom w:val="single" w:color="auto" w:sz="4" w:space="0"/>
              <w:right w:val="single" w:color="auto" w:sz="4" w:space="0"/>
            </w:tcBorders>
            <w:noWrap/>
            <w:vAlign w:val="center"/>
          </w:tcPr>
          <w:p w14:paraId="1E7059E0">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1AC4272">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48F4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E2B9693">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3304" w:type="dxa"/>
            <w:tcBorders>
              <w:top w:val="single" w:color="auto" w:sz="4" w:space="0"/>
              <w:left w:val="nil"/>
              <w:bottom w:val="single" w:color="auto" w:sz="4" w:space="0"/>
              <w:right w:val="single" w:color="auto" w:sz="4" w:space="0"/>
            </w:tcBorders>
            <w:noWrap/>
            <w:vAlign w:val="center"/>
          </w:tcPr>
          <w:p w14:paraId="6AA8DCD6">
            <w:pPr>
              <w:keepNext w:val="0"/>
              <w:keepLines w:val="0"/>
              <w:suppressLineNumbers w:val="0"/>
              <w:spacing w:before="0" w:beforeAutospacing="0" w:after="0" w:afterAutospacing="0"/>
              <w:ind w:left="0" w:right="0"/>
              <w:rPr>
                <w:rFonts w:hint="default" w:ascii="宋体" w:hAnsi="宋体" w:cs="Times New Roman"/>
                <w:i w:val="0"/>
                <w:iCs w:val="0"/>
                <w:color w:val="auto"/>
                <w:highlight w:val="none"/>
              </w:rPr>
            </w:pPr>
          </w:p>
        </w:tc>
        <w:tc>
          <w:tcPr>
            <w:tcW w:w="1244" w:type="dxa"/>
            <w:tcBorders>
              <w:top w:val="single" w:color="auto" w:sz="4" w:space="0"/>
              <w:left w:val="nil"/>
              <w:bottom w:val="single" w:color="auto" w:sz="4" w:space="0"/>
              <w:right w:val="single" w:color="auto" w:sz="4" w:space="0"/>
            </w:tcBorders>
            <w:noWrap/>
            <w:vAlign w:val="center"/>
          </w:tcPr>
          <w:p w14:paraId="2455ACEB">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3253DE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1D9B72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r>
      <w:tr w14:paraId="6AB38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2B1DD056">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合计</w:t>
            </w:r>
          </w:p>
        </w:tc>
        <w:tc>
          <w:tcPr>
            <w:tcW w:w="1244" w:type="dxa"/>
            <w:tcBorders>
              <w:top w:val="single" w:color="auto" w:sz="4" w:space="0"/>
              <w:left w:val="nil"/>
              <w:bottom w:val="single" w:color="auto" w:sz="4" w:space="0"/>
              <w:right w:val="single" w:color="auto" w:sz="4" w:space="0"/>
            </w:tcBorders>
            <w:noWrap/>
            <w:vAlign w:val="center"/>
          </w:tcPr>
          <w:p w14:paraId="159D8A4A">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86B5A0C">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48B22A08">
            <w:pPr>
              <w:keepNext w:val="0"/>
              <w:keepLines w:val="0"/>
              <w:suppressLineNumbers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r>
    </w:tbl>
    <w:p w14:paraId="4E89E6D9">
      <w:pPr>
        <w:ind w:firstLine="180" w:firstLineChars="100"/>
        <w:rPr>
          <w:rFonts w:ascii="宋体" w:hAnsi="宋体"/>
          <w:i w:val="0"/>
          <w:iCs w:val="0"/>
          <w:color w:val="auto"/>
          <w:sz w:val="18"/>
          <w:szCs w:val="18"/>
          <w:highlight w:val="none"/>
        </w:rPr>
      </w:pPr>
    </w:p>
    <w:p w14:paraId="39C80217">
      <w:pPr>
        <w:ind w:firstLine="180" w:firstLineChars="100"/>
        <w:rPr>
          <w:rFonts w:ascii="宋体" w:hAnsi="宋体" w:cs="ËÎÌå"/>
          <w:i w:val="0"/>
          <w:iCs w:val="0"/>
          <w:color w:val="auto"/>
          <w:sz w:val="18"/>
          <w:szCs w:val="18"/>
          <w:highlight w:val="none"/>
        </w:rPr>
      </w:pPr>
      <w:r>
        <w:rPr>
          <w:rFonts w:hint="eastAsia" w:ascii="宋体" w:hAnsi="宋体"/>
          <w:i w:val="0"/>
          <w:iCs w:val="0"/>
          <w:color w:val="auto"/>
          <w:sz w:val="18"/>
          <w:szCs w:val="18"/>
          <w:highlight w:val="none"/>
        </w:rPr>
        <w:t>注：</w:t>
      </w:r>
      <w:r>
        <w:rPr>
          <w:rFonts w:hint="eastAsia" w:ascii="宋体" w:hAnsi="宋体" w:cs="ËÎÌå"/>
          <w:i w:val="0"/>
          <w:iCs w:val="0"/>
          <w:color w:val="auto"/>
          <w:sz w:val="18"/>
          <w:szCs w:val="18"/>
          <w:highlight w:val="none"/>
        </w:rPr>
        <w:t>1.工程结算时第1.1项、第1.2项分别在施工组织措施项目和其他项目计价表内计列。</w:t>
      </w:r>
    </w:p>
    <w:p w14:paraId="35AA2BC5">
      <w:pPr>
        <w:ind w:firstLine="540" w:firstLineChars="300"/>
        <w:rPr>
          <w:rFonts w:ascii="宋体" w:hAnsi="宋体" w:cs="ËÎÌå"/>
          <w:i w:val="0"/>
          <w:iCs w:val="0"/>
          <w:color w:val="auto"/>
          <w:sz w:val="18"/>
          <w:szCs w:val="18"/>
          <w:highlight w:val="none"/>
        </w:rPr>
      </w:pPr>
      <w:r>
        <w:rPr>
          <w:rFonts w:hint="eastAsia" w:ascii="宋体" w:hAnsi="宋体" w:cs="ËÎÌå"/>
          <w:i w:val="0"/>
          <w:iCs w:val="0"/>
          <w:color w:val="auto"/>
          <w:sz w:val="18"/>
          <w:szCs w:val="18"/>
          <w:highlight w:val="none"/>
        </w:rPr>
        <w:t>2.工程结算时第2.3项在施工技术措施项目计价表内计列。</w:t>
      </w:r>
    </w:p>
    <w:p w14:paraId="629428C6">
      <w:pPr>
        <w:ind w:firstLine="540" w:firstLineChars="300"/>
        <w:rPr>
          <w:rFonts w:ascii="宋体" w:hAnsi="宋体"/>
          <w:i w:val="0"/>
          <w:iCs w:val="0"/>
          <w:color w:val="auto"/>
          <w:sz w:val="18"/>
          <w:szCs w:val="18"/>
          <w:highlight w:val="none"/>
        </w:rPr>
      </w:pPr>
      <w:r>
        <w:rPr>
          <w:rFonts w:hint="eastAsia" w:ascii="宋体" w:hAnsi="宋体" w:cs="ËÎÌå"/>
          <w:i w:val="0"/>
          <w:iCs w:val="0"/>
          <w:color w:val="auto"/>
          <w:sz w:val="18"/>
          <w:szCs w:val="18"/>
          <w:highlight w:val="none"/>
        </w:rPr>
        <w:t>3.</w:t>
      </w:r>
      <w:r>
        <w:rPr>
          <w:rFonts w:hint="eastAsia" w:ascii="宋体" w:hAnsi="宋体"/>
          <w:i w:val="0"/>
          <w:iCs w:val="0"/>
          <w:color w:val="auto"/>
          <w:sz w:val="18"/>
          <w:szCs w:val="18"/>
          <w:highlight w:val="none"/>
        </w:rPr>
        <w:t>材料（设备）暂估单价进入清单项目综合单价。</w:t>
      </w:r>
    </w:p>
    <w:p w14:paraId="734B688B">
      <w:pPr>
        <w:ind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4.索赔与现场签证在工程结算期计列。</w:t>
      </w:r>
    </w:p>
    <w:p w14:paraId="375EB346">
      <w:pPr>
        <w:ind w:firstLine="420" w:firstLineChars="200"/>
        <w:jc w:val="right"/>
        <w:rPr>
          <w:rFonts w:ascii="宋体" w:hAnsi="宋体" w:cs="ËÎÌå"/>
          <w:i w:val="0"/>
          <w:iCs w:val="0"/>
          <w:color w:val="auto"/>
          <w:sz w:val="21"/>
          <w:szCs w:val="21"/>
          <w:highlight w:val="none"/>
        </w:rPr>
      </w:pPr>
    </w:p>
    <w:p w14:paraId="71BD531F">
      <w:pPr>
        <w:jc w:val="center"/>
        <w:rPr>
          <w:rFonts w:ascii="宋体" w:hAnsi="宋体"/>
          <w:b/>
          <w:bCs/>
          <w:i w:val="0"/>
          <w:iCs w:val="0"/>
          <w:color w:val="auto"/>
          <w:highlight w:val="none"/>
        </w:rPr>
      </w:pPr>
      <w:r>
        <w:rPr>
          <w:rFonts w:hint="eastAsia" w:ascii="宋体" w:hAnsi="宋体"/>
          <w:b/>
          <w:bCs/>
          <w:i w:val="0"/>
          <w:iCs w:val="0"/>
          <w:color w:val="auto"/>
          <w:highlight w:val="none"/>
        </w:rPr>
        <w:t>暂列金额明细表</w:t>
      </w:r>
    </w:p>
    <w:p w14:paraId="47951DE4">
      <w:pPr>
        <w:pStyle w:val="14"/>
        <w:rPr>
          <w:rFonts w:hint="eastAsia"/>
          <w:i w:val="0"/>
          <w:iCs w:val="0"/>
          <w:color w:val="auto"/>
          <w:highlight w:val="none"/>
        </w:rPr>
      </w:pPr>
    </w:p>
    <w:p w14:paraId="60982FEE">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1070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14F244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3420" w:type="dxa"/>
            <w:tcBorders>
              <w:top w:val="single" w:color="auto" w:sz="4" w:space="0"/>
              <w:left w:val="nil"/>
              <w:bottom w:val="single" w:color="auto" w:sz="4" w:space="0"/>
              <w:right w:val="single" w:color="auto" w:sz="4" w:space="0"/>
            </w:tcBorders>
            <w:noWrap/>
            <w:vAlign w:val="center"/>
          </w:tcPr>
          <w:p w14:paraId="0FD857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1440" w:type="dxa"/>
            <w:tcBorders>
              <w:top w:val="single" w:color="auto" w:sz="4" w:space="0"/>
              <w:left w:val="nil"/>
              <w:bottom w:val="single" w:color="auto" w:sz="4" w:space="0"/>
              <w:right w:val="single" w:color="auto" w:sz="4" w:space="0"/>
            </w:tcBorders>
            <w:noWrap/>
            <w:vAlign w:val="center"/>
          </w:tcPr>
          <w:p w14:paraId="33AD597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计量单位</w:t>
            </w:r>
          </w:p>
        </w:tc>
        <w:tc>
          <w:tcPr>
            <w:tcW w:w="1620" w:type="dxa"/>
            <w:tcBorders>
              <w:top w:val="single" w:color="auto" w:sz="4" w:space="0"/>
              <w:left w:val="nil"/>
              <w:bottom w:val="single" w:color="auto" w:sz="4" w:space="0"/>
              <w:right w:val="single" w:color="auto" w:sz="4" w:space="0"/>
            </w:tcBorders>
            <w:noWrap/>
            <w:vAlign w:val="center"/>
          </w:tcPr>
          <w:p w14:paraId="32A7A87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暂定金额（元）</w:t>
            </w:r>
          </w:p>
        </w:tc>
        <w:tc>
          <w:tcPr>
            <w:tcW w:w="1620" w:type="dxa"/>
            <w:tcBorders>
              <w:top w:val="single" w:color="auto" w:sz="4" w:space="0"/>
              <w:left w:val="nil"/>
              <w:bottom w:val="single" w:color="auto" w:sz="4" w:space="0"/>
              <w:right w:val="single" w:color="auto" w:sz="4" w:space="0"/>
            </w:tcBorders>
            <w:noWrap/>
            <w:vAlign w:val="center"/>
          </w:tcPr>
          <w:p w14:paraId="05191ED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1D84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20054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3420" w:type="dxa"/>
            <w:tcBorders>
              <w:top w:val="single" w:color="auto" w:sz="4" w:space="0"/>
              <w:left w:val="nil"/>
              <w:bottom w:val="single" w:color="auto" w:sz="4" w:space="0"/>
              <w:right w:val="single" w:color="auto" w:sz="4" w:space="0"/>
            </w:tcBorders>
            <w:noWrap/>
            <w:vAlign w:val="center"/>
          </w:tcPr>
          <w:p w14:paraId="00776FF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highlight w:val="none"/>
              </w:rPr>
              <w:t>标化工地增加费</w:t>
            </w:r>
          </w:p>
        </w:tc>
        <w:tc>
          <w:tcPr>
            <w:tcW w:w="1440" w:type="dxa"/>
            <w:tcBorders>
              <w:top w:val="single" w:color="auto" w:sz="4" w:space="0"/>
              <w:left w:val="nil"/>
              <w:bottom w:val="single" w:color="auto" w:sz="4" w:space="0"/>
              <w:right w:val="single" w:color="auto" w:sz="4" w:space="0"/>
            </w:tcBorders>
            <w:noWrap/>
            <w:vAlign w:val="center"/>
          </w:tcPr>
          <w:p w14:paraId="3166C79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092A82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6F02AE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FF3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2A71A7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3420" w:type="dxa"/>
            <w:tcBorders>
              <w:top w:val="single" w:color="auto" w:sz="4" w:space="0"/>
              <w:left w:val="nil"/>
              <w:bottom w:val="single" w:color="auto" w:sz="4" w:space="0"/>
              <w:right w:val="single" w:color="auto" w:sz="4" w:space="0"/>
            </w:tcBorders>
            <w:noWrap/>
            <w:vAlign w:val="center"/>
          </w:tcPr>
          <w:p w14:paraId="3FBE175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highlight w:val="none"/>
              </w:rPr>
              <w:t>优质工程增加费</w:t>
            </w:r>
          </w:p>
        </w:tc>
        <w:tc>
          <w:tcPr>
            <w:tcW w:w="1440" w:type="dxa"/>
            <w:tcBorders>
              <w:top w:val="single" w:color="auto" w:sz="4" w:space="0"/>
              <w:left w:val="nil"/>
              <w:bottom w:val="single" w:color="auto" w:sz="4" w:space="0"/>
              <w:right w:val="single" w:color="auto" w:sz="4" w:space="0"/>
            </w:tcBorders>
            <w:noWrap/>
            <w:vAlign w:val="center"/>
          </w:tcPr>
          <w:p w14:paraId="15E6C57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D1F327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C3BE0C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63C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AADFC6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w:t>
            </w:r>
          </w:p>
        </w:tc>
        <w:tc>
          <w:tcPr>
            <w:tcW w:w="3420" w:type="dxa"/>
            <w:tcBorders>
              <w:top w:val="single" w:color="auto" w:sz="4" w:space="0"/>
              <w:left w:val="nil"/>
              <w:bottom w:val="single" w:color="auto" w:sz="4" w:space="0"/>
              <w:right w:val="single" w:color="auto" w:sz="4" w:space="0"/>
            </w:tcBorders>
            <w:noWrap/>
            <w:vAlign w:val="center"/>
          </w:tcPr>
          <w:p w14:paraId="0C81E25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highlight w:val="none"/>
              </w:rPr>
              <w:t>其他暂列金额</w:t>
            </w:r>
          </w:p>
        </w:tc>
        <w:tc>
          <w:tcPr>
            <w:tcW w:w="1440" w:type="dxa"/>
            <w:tcBorders>
              <w:top w:val="single" w:color="auto" w:sz="4" w:space="0"/>
              <w:left w:val="nil"/>
              <w:bottom w:val="single" w:color="auto" w:sz="4" w:space="0"/>
              <w:right w:val="single" w:color="auto" w:sz="4" w:space="0"/>
            </w:tcBorders>
            <w:noWrap/>
            <w:vAlign w:val="center"/>
          </w:tcPr>
          <w:p w14:paraId="323C5DB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E980FE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1D55F5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B271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0FE9B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3.1</w:t>
            </w:r>
          </w:p>
        </w:tc>
        <w:tc>
          <w:tcPr>
            <w:tcW w:w="3420" w:type="dxa"/>
            <w:tcBorders>
              <w:top w:val="single" w:color="auto" w:sz="4" w:space="0"/>
              <w:left w:val="nil"/>
              <w:bottom w:val="single" w:color="auto" w:sz="4" w:space="0"/>
              <w:right w:val="single" w:color="auto" w:sz="4" w:space="0"/>
            </w:tcBorders>
            <w:noWrap/>
            <w:vAlign w:val="center"/>
          </w:tcPr>
          <w:p w14:paraId="13A645B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828AE0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6AD903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29AEA7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F97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FDA9BC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3.2</w:t>
            </w:r>
          </w:p>
        </w:tc>
        <w:tc>
          <w:tcPr>
            <w:tcW w:w="3420" w:type="dxa"/>
            <w:tcBorders>
              <w:top w:val="single" w:color="auto" w:sz="4" w:space="0"/>
              <w:left w:val="nil"/>
              <w:bottom w:val="single" w:color="auto" w:sz="4" w:space="0"/>
              <w:right w:val="single" w:color="auto" w:sz="4" w:space="0"/>
            </w:tcBorders>
            <w:noWrap/>
            <w:vAlign w:val="center"/>
          </w:tcPr>
          <w:p w14:paraId="2C447D9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F529D9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810A3E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B49AF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3D2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A63FF5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3.3</w:t>
            </w:r>
          </w:p>
        </w:tc>
        <w:tc>
          <w:tcPr>
            <w:tcW w:w="3420" w:type="dxa"/>
            <w:tcBorders>
              <w:top w:val="single" w:color="auto" w:sz="4" w:space="0"/>
              <w:left w:val="nil"/>
              <w:bottom w:val="single" w:color="auto" w:sz="4" w:space="0"/>
              <w:right w:val="single" w:color="auto" w:sz="4" w:space="0"/>
            </w:tcBorders>
            <w:noWrap/>
            <w:vAlign w:val="center"/>
          </w:tcPr>
          <w:p w14:paraId="0770B8C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1A5EFB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72DE93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9C4361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66C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00FC882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440" w:type="dxa"/>
            <w:tcBorders>
              <w:top w:val="single" w:color="auto" w:sz="4" w:space="0"/>
              <w:left w:val="nil"/>
              <w:bottom w:val="single" w:color="auto" w:sz="4" w:space="0"/>
              <w:right w:val="single" w:color="auto" w:sz="4" w:space="0"/>
            </w:tcBorders>
            <w:noWrap/>
            <w:vAlign w:val="center"/>
          </w:tcPr>
          <w:p w14:paraId="01DD3AF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634E6A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B4DADC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r>
    </w:tbl>
    <w:p w14:paraId="5EFA326A">
      <w:pPr>
        <w:ind w:firstLine="180" w:firstLineChars="100"/>
        <w:rPr>
          <w:rFonts w:ascii="宋体" w:hAnsi="宋体"/>
          <w:i w:val="0"/>
          <w:iCs w:val="0"/>
          <w:color w:val="auto"/>
          <w:sz w:val="18"/>
          <w:szCs w:val="18"/>
          <w:highlight w:val="none"/>
        </w:rPr>
      </w:pPr>
    </w:p>
    <w:p w14:paraId="35355455">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7FBC122E">
      <w:pPr>
        <w:ind w:firstLine="540" w:firstLineChars="300"/>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1.此表由招标人填写，如不能详列，也可只列暂定金额总额，投标人应将上述暂列金额计入投标总价中。</w:t>
      </w:r>
    </w:p>
    <w:p w14:paraId="23AA38C4">
      <w:pPr>
        <w:ind w:firstLine="540" w:firstLineChars="300"/>
        <w:rPr>
          <w:rFonts w:ascii="宋体" w:hAnsi="宋体" w:cs="ËÎÌå"/>
          <w:i w:val="0"/>
          <w:iCs w:val="0"/>
          <w:color w:val="auto"/>
          <w:sz w:val="18"/>
          <w:szCs w:val="18"/>
          <w:highlight w:val="none"/>
        </w:rPr>
      </w:pPr>
      <w:r>
        <w:rPr>
          <w:rFonts w:hint="eastAsia" w:ascii="宋体" w:hAnsi="宋体" w:cs="ËÎÌå"/>
          <w:i w:val="0"/>
          <w:iCs w:val="0"/>
          <w:color w:val="auto"/>
          <w:sz w:val="18"/>
          <w:szCs w:val="18"/>
          <w:highlight w:val="none"/>
        </w:rPr>
        <w:t>2.工程结算时序号第1、第2项分别在施工组织措施项目和其他项目计价表内计列。</w:t>
      </w:r>
    </w:p>
    <w:p w14:paraId="0A93418B">
      <w:pPr>
        <w:pStyle w:val="14"/>
        <w:rPr>
          <w:rFonts w:hint="eastAsia"/>
          <w:i w:val="0"/>
          <w:iCs w:val="0"/>
          <w:color w:val="auto"/>
          <w:highlight w:val="none"/>
        </w:rPr>
      </w:pPr>
    </w:p>
    <w:p w14:paraId="2E1A4AEF">
      <w:pPr>
        <w:widowControl/>
        <w:autoSpaceDN/>
        <w:jc w:val="center"/>
        <w:rPr>
          <w:rFonts w:ascii="宋体" w:hAnsi="宋体"/>
          <w:b/>
          <w:bCs/>
          <w:i w:val="0"/>
          <w:iCs w:val="0"/>
          <w:color w:val="auto"/>
          <w:highlight w:val="none"/>
        </w:rPr>
      </w:pPr>
      <w:r>
        <w:rPr>
          <w:rFonts w:hint="eastAsia" w:ascii="宋体" w:hAnsi="宋体"/>
          <w:b/>
          <w:bCs/>
          <w:i w:val="0"/>
          <w:iCs w:val="0"/>
          <w:color w:val="auto"/>
          <w:highlight w:val="none"/>
        </w:rPr>
        <w:t>材料（设备）暂估单价及调整表</w:t>
      </w:r>
    </w:p>
    <w:p w14:paraId="0841FA01">
      <w:pPr>
        <w:pStyle w:val="14"/>
        <w:rPr>
          <w:rFonts w:hint="eastAsia"/>
          <w:i w:val="0"/>
          <w:iCs w:val="0"/>
          <w:color w:val="auto"/>
          <w:highlight w:val="none"/>
        </w:rPr>
      </w:pPr>
    </w:p>
    <w:p w14:paraId="54C4BF96">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单位（专业）工程名称：               标段：          第  页 共  页</w:t>
      </w:r>
    </w:p>
    <w:tbl>
      <w:tblPr>
        <w:tblStyle w:val="21"/>
        <w:tblW w:w="9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5908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6E1A0CB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548AB93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材料（工程设备）</w:t>
            </w:r>
          </w:p>
          <w:p w14:paraId="63D10BE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392C04B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3426EB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5172025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73B438A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0FCAAF1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6577421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752D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156AF23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620" w:type="dxa"/>
            <w:vMerge w:val="continue"/>
            <w:tcBorders>
              <w:top w:val="single" w:color="auto" w:sz="4" w:space="0"/>
              <w:left w:val="nil"/>
              <w:bottom w:val="single" w:color="auto" w:sz="4" w:space="0"/>
              <w:right w:val="single" w:color="auto" w:sz="4" w:space="0"/>
            </w:tcBorders>
            <w:noWrap w:val="0"/>
            <w:vAlign w:val="center"/>
          </w:tcPr>
          <w:p w14:paraId="198A8B8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vMerge w:val="continue"/>
            <w:tcBorders>
              <w:top w:val="single" w:color="auto" w:sz="4" w:space="0"/>
              <w:left w:val="nil"/>
              <w:bottom w:val="single" w:color="auto" w:sz="4" w:space="0"/>
              <w:right w:val="single" w:color="auto" w:sz="4" w:space="0"/>
            </w:tcBorders>
            <w:noWrap w:val="0"/>
            <w:vAlign w:val="center"/>
          </w:tcPr>
          <w:p w14:paraId="0E2D1CE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1EA39D3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w:t>
            </w:r>
          </w:p>
        </w:tc>
        <w:tc>
          <w:tcPr>
            <w:tcW w:w="720" w:type="dxa"/>
            <w:tcBorders>
              <w:top w:val="single" w:color="auto" w:sz="4" w:space="0"/>
              <w:left w:val="nil"/>
              <w:bottom w:val="single" w:color="auto" w:sz="4" w:space="0"/>
              <w:right w:val="single" w:color="auto" w:sz="4" w:space="0"/>
            </w:tcBorders>
            <w:noWrap/>
            <w:vAlign w:val="center"/>
          </w:tcPr>
          <w:p w14:paraId="5F4418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确认</w:t>
            </w:r>
          </w:p>
        </w:tc>
        <w:tc>
          <w:tcPr>
            <w:tcW w:w="720" w:type="dxa"/>
            <w:tcBorders>
              <w:top w:val="single" w:color="auto" w:sz="4" w:space="0"/>
              <w:left w:val="nil"/>
              <w:bottom w:val="single" w:color="auto" w:sz="4" w:space="0"/>
              <w:right w:val="single" w:color="auto" w:sz="4" w:space="0"/>
            </w:tcBorders>
            <w:noWrap/>
            <w:vAlign w:val="center"/>
          </w:tcPr>
          <w:p w14:paraId="30F1913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22DE1BC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0141DEF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7CE2EE7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4B21916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tc>
        <w:tc>
          <w:tcPr>
            <w:tcW w:w="720" w:type="dxa"/>
            <w:tcBorders>
              <w:top w:val="single" w:color="auto" w:sz="4" w:space="0"/>
              <w:left w:val="nil"/>
              <w:bottom w:val="single" w:color="auto" w:sz="4" w:space="0"/>
              <w:right w:val="single" w:color="auto" w:sz="4" w:space="0"/>
            </w:tcBorders>
            <w:noWrap/>
            <w:vAlign w:val="center"/>
          </w:tcPr>
          <w:p w14:paraId="3D96640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w:t>
            </w:r>
          </w:p>
        </w:tc>
        <w:tc>
          <w:tcPr>
            <w:tcW w:w="550" w:type="dxa"/>
            <w:vMerge w:val="continue"/>
            <w:tcBorders>
              <w:top w:val="single" w:color="auto" w:sz="4" w:space="0"/>
              <w:left w:val="nil"/>
              <w:bottom w:val="single" w:color="auto" w:sz="4" w:space="0"/>
              <w:right w:val="single" w:color="auto" w:sz="4" w:space="0"/>
            </w:tcBorders>
            <w:noWrap w:val="0"/>
            <w:vAlign w:val="center"/>
          </w:tcPr>
          <w:p w14:paraId="412DF0F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r>
      <w:tr w14:paraId="55D5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5204DD4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CCC5F1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075708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15563FB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C116C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0247D2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1C3FD66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1ABE54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A4B9D8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A4C6FB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B4B12F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1BD9CB1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C25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470D1CE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D95BE3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6AAB07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7940A87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CA6105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F412FE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787DFE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4112B0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D70AA8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FE7143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8932E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121C389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6444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46B3A8A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523AAA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4140D36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7CC3A86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EFAA9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C2CA7C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FF97BB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22094E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1CF8FEE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679282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9049D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76F6037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997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588DA70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F4A359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11EDC7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14311EE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71F7DB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CA2F73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4E761C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D3E18B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58F649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BAC23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E96A81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641220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E65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1088DE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648" w:type="dxa"/>
            <w:tcBorders>
              <w:top w:val="single" w:color="auto" w:sz="4" w:space="0"/>
              <w:left w:val="nil"/>
              <w:bottom w:val="single" w:color="auto" w:sz="4" w:space="0"/>
              <w:right w:val="single" w:color="auto" w:sz="4" w:space="0"/>
            </w:tcBorders>
            <w:noWrap/>
            <w:vAlign w:val="center"/>
          </w:tcPr>
          <w:p w14:paraId="3C42DCF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E2FF96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5C93FA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24AFAAC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4B789AA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D95FFC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49CF7E6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1820D2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1ED4A67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69F4F407">
      <w:pPr>
        <w:ind w:left="1" w:firstLine="361" w:firstLineChars="201"/>
        <w:rPr>
          <w:rFonts w:ascii="宋体" w:hAnsi="宋体"/>
          <w:i w:val="0"/>
          <w:iCs w:val="0"/>
          <w:color w:val="auto"/>
          <w:sz w:val="18"/>
          <w:szCs w:val="18"/>
          <w:highlight w:val="none"/>
        </w:rPr>
      </w:pPr>
    </w:p>
    <w:p w14:paraId="6ACFA104">
      <w:pPr>
        <w:ind w:left="1" w:firstLine="361" w:firstLineChars="201"/>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1C45B7EA">
      <w:pPr>
        <w:ind w:left="1" w:firstLine="721" w:firstLineChars="401"/>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1.此表“暂估单价”由招标人填写，并在备注栏说明暂估价的材料、设备拟用在哪些清单项目上，投标人应将上述材料、设备计入相应的工程量清单综合单价报价中。</w:t>
      </w:r>
    </w:p>
    <w:p w14:paraId="757C9DBD">
      <w:pPr>
        <w:ind w:left="826" w:leftChars="344"/>
        <w:rPr>
          <w:rFonts w:ascii="宋体" w:hAnsi="宋体"/>
          <w:i w:val="0"/>
          <w:iCs w:val="0"/>
          <w:color w:val="auto"/>
          <w:sz w:val="18"/>
          <w:szCs w:val="18"/>
          <w:highlight w:val="none"/>
        </w:rPr>
      </w:pPr>
      <w:r>
        <w:rPr>
          <w:rFonts w:hint="eastAsia" w:ascii="宋体" w:hAnsi="宋体"/>
          <w:i w:val="0"/>
          <w:iCs w:val="0"/>
          <w:color w:val="auto"/>
          <w:sz w:val="18"/>
          <w:szCs w:val="18"/>
          <w:highlight w:val="none"/>
        </w:rPr>
        <w:t>2.本表中“确认”栏在工程各结算期内按合同双方确认值计列。</w:t>
      </w:r>
    </w:p>
    <w:p w14:paraId="74107688">
      <w:pPr>
        <w:widowControl/>
        <w:autoSpaceDN/>
        <w:jc w:val="center"/>
        <w:rPr>
          <w:rFonts w:ascii="宋体" w:hAnsi="宋体"/>
          <w:b/>
          <w:bCs/>
          <w:i w:val="0"/>
          <w:iCs w:val="0"/>
          <w:color w:val="auto"/>
          <w:highlight w:val="none"/>
        </w:rPr>
      </w:pPr>
      <w:r>
        <w:rPr>
          <w:rFonts w:hint="eastAsia" w:ascii="宋体" w:hAnsi="宋体"/>
          <w:i w:val="0"/>
          <w:iCs w:val="0"/>
          <w:color w:val="auto"/>
          <w:sz w:val="30"/>
          <w:szCs w:val="30"/>
          <w:highlight w:val="none"/>
        </w:rPr>
        <w:br w:type="page"/>
      </w:r>
      <w:r>
        <w:rPr>
          <w:rFonts w:hint="eastAsia" w:ascii="宋体" w:hAnsi="宋体"/>
          <w:b/>
          <w:bCs/>
          <w:i w:val="0"/>
          <w:iCs w:val="0"/>
          <w:color w:val="auto"/>
          <w:highlight w:val="none"/>
        </w:rPr>
        <w:t>专业工程暂估价表</w:t>
      </w:r>
    </w:p>
    <w:p w14:paraId="4C7AB9B3">
      <w:pPr>
        <w:pStyle w:val="14"/>
        <w:rPr>
          <w:rFonts w:hint="eastAsia"/>
          <w:i w:val="0"/>
          <w:iCs w:val="0"/>
          <w:color w:val="auto"/>
          <w:highlight w:val="none"/>
        </w:rPr>
      </w:pPr>
    </w:p>
    <w:p w14:paraId="45CA5832">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单位（专业）工程名称：                      标段：    第   页 共   页</w:t>
      </w:r>
    </w:p>
    <w:tbl>
      <w:tblPr>
        <w:tblStyle w:val="21"/>
        <w:tblW w:w="876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59914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BC99A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048" w:type="dxa"/>
            <w:tcBorders>
              <w:top w:val="single" w:color="auto" w:sz="4" w:space="0"/>
              <w:left w:val="nil"/>
              <w:bottom w:val="single" w:color="auto" w:sz="4" w:space="0"/>
              <w:right w:val="single" w:color="auto" w:sz="4" w:space="0"/>
            </w:tcBorders>
            <w:noWrap/>
            <w:vAlign w:val="center"/>
          </w:tcPr>
          <w:p w14:paraId="2BCCFA0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工程名称</w:t>
            </w:r>
          </w:p>
        </w:tc>
        <w:tc>
          <w:tcPr>
            <w:tcW w:w="1786" w:type="dxa"/>
            <w:tcBorders>
              <w:top w:val="single" w:color="auto" w:sz="4" w:space="0"/>
              <w:left w:val="nil"/>
              <w:bottom w:val="single" w:color="auto" w:sz="4" w:space="0"/>
              <w:right w:val="single" w:color="auto" w:sz="4" w:space="0"/>
            </w:tcBorders>
            <w:noWrap/>
            <w:vAlign w:val="center"/>
          </w:tcPr>
          <w:p w14:paraId="5A9338F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工程内容</w:t>
            </w:r>
          </w:p>
        </w:tc>
        <w:tc>
          <w:tcPr>
            <w:tcW w:w="2484" w:type="dxa"/>
            <w:tcBorders>
              <w:top w:val="single" w:color="auto" w:sz="4" w:space="0"/>
              <w:left w:val="nil"/>
              <w:bottom w:val="single" w:color="auto" w:sz="4" w:space="0"/>
              <w:right w:val="single" w:color="auto" w:sz="4" w:space="0"/>
            </w:tcBorders>
            <w:noWrap/>
            <w:vAlign w:val="center"/>
          </w:tcPr>
          <w:p w14:paraId="032918C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暂估金额（元）</w:t>
            </w:r>
          </w:p>
        </w:tc>
        <w:tc>
          <w:tcPr>
            <w:tcW w:w="1723" w:type="dxa"/>
            <w:tcBorders>
              <w:top w:val="single" w:color="auto" w:sz="4" w:space="0"/>
              <w:left w:val="nil"/>
              <w:bottom w:val="single" w:color="auto" w:sz="4" w:space="0"/>
              <w:right w:val="single" w:color="auto" w:sz="4" w:space="0"/>
            </w:tcBorders>
            <w:noWrap/>
            <w:vAlign w:val="center"/>
          </w:tcPr>
          <w:p w14:paraId="2D2817D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1815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AEAADD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73169B8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6C0DA51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70C8690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6F0EC84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3574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60979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12BF563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40310DF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6DA8CC7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1000C97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509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14CB3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4991D4A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23E8381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7FE8C5E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5031E7E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3B9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61B26C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2484" w:type="dxa"/>
            <w:tcBorders>
              <w:top w:val="single" w:color="auto" w:sz="4" w:space="0"/>
              <w:left w:val="nil"/>
              <w:bottom w:val="single" w:color="auto" w:sz="4" w:space="0"/>
              <w:right w:val="single" w:color="auto" w:sz="4" w:space="0"/>
            </w:tcBorders>
            <w:noWrap/>
            <w:vAlign w:val="center"/>
          </w:tcPr>
          <w:p w14:paraId="2746C3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0445A56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2C17059E">
      <w:pPr>
        <w:ind w:firstLine="360" w:firstLineChars="200"/>
        <w:rPr>
          <w:rFonts w:ascii="宋体" w:hAnsi="宋体"/>
          <w:i w:val="0"/>
          <w:iCs w:val="0"/>
          <w:color w:val="auto"/>
          <w:sz w:val="18"/>
          <w:szCs w:val="18"/>
          <w:highlight w:val="none"/>
        </w:rPr>
      </w:pPr>
    </w:p>
    <w:p w14:paraId="714929D1">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623C9930">
      <w:pPr>
        <w:ind w:firstLine="720" w:firstLineChars="400"/>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1.此表“暂估金额”由招标人填写，投标人应将“暂估金额”计入投标总价中。</w:t>
      </w:r>
    </w:p>
    <w:p w14:paraId="28867464">
      <w:pPr>
        <w:ind w:firstLine="720" w:firstLineChars="400"/>
        <w:rPr>
          <w:rFonts w:ascii="宋体" w:hAnsi="宋体"/>
          <w:i w:val="0"/>
          <w:iCs w:val="0"/>
          <w:color w:val="auto"/>
          <w:sz w:val="18"/>
          <w:szCs w:val="18"/>
          <w:highlight w:val="none"/>
        </w:rPr>
      </w:pPr>
      <w:r>
        <w:rPr>
          <w:rFonts w:hint="eastAsia" w:ascii="宋体" w:hAnsi="宋体"/>
          <w:i w:val="0"/>
          <w:iCs w:val="0"/>
          <w:color w:val="auto"/>
          <w:sz w:val="18"/>
          <w:szCs w:val="18"/>
          <w:highlight w:val="none"/>
        </w:rPr>
        <w:t>2.结算时按合同约定结算金额填写，如合同约定按具体计价子目计价时，也可在项目相应计价表内列计。</w:t>
      </w:r>
    </w:p>
    <w:p w14:paraId="178D3B39">
      <w:pPr>
        <w:widowControl/>
        <w:autoSpaceDN/>
        <w:rPr>
          <w:rFonts w:ascii="宋体" w:hAnsi="宋体"/>
          <w:i w:val="0"/>
          <w:iCs w:val="0"/>
          <w:color w:val="auto"/>
          <w:highlight w:val="none"/>
        </w:rPr>
      </w:pPr>
    </w:p>
    <w:p w14:paraId="43A7B617">
      <w:pPr>
        <w:pStyle w:val="14"/>
        <w:rPr>
          <w:rFonts w:hint="eastAsia"/>
          <w:i w:val="0"/>
          <w:iCs w:val="0"/>
          <w:color w:val="auto"/>
          <w:highlight w:val="none"/>
        </w:rPr>
      </w:pPr>
    </w:p>
    <w:p w14:paraId="782D5969">
      <w:pPr>
        <w:rPr>
          <w:i w:val="0"/>
          <w:iCs w:val="0"/>
          <w:color w:val="auto"/>
          <w:highlight w:val="none"/>
        </w:rPr>
      </w:pPr>
    </w:p>
    <w:p w14:paraId="050F5291">
      <w:pPr>
        <w:pStyle w:val="14"/>
        <w:rPr>
          <w:rFonts w:hint="eastAsia"/>
          <w:i w:val="0"/>
          <w:iCs w:val="0"/>
          <w:color w:val="auto"/>
          <w:highlight w:val="none"/>
        </w:rPr>
      </w:pPr>
    </w:p>
    <w:p w14:paraId="253C8F4E">
      <w:pPr>
        <w:jc w:val="center"/>
        <w:rPr>
          <w:rFonts w:ascii="宋体" w:hAnsi="宋体"/>
          <w:b/>
          <w:bCs/>
          <w:i w:val="0"/>
          <w:iCs w:val="0"/>
          <w:color w:val="auto"/>
          <w:highlight w:val="none"/>
        </w:rPr>
      </w:pPr>
      <w:r>
        <w:rPr>
          <w:rFonts w:hint="eastAsia" w:ascii="宋体" w:hAnsi="宋体"/>
          <w:b/>
          <w:bCs/>
          <w:i w:val="0"/>
          <w:iCs w:val="0"/>
          <w:color w:val="auto"/>
          <w:highlight w:val="none"/>
        </w:rPr>
        <w:t>专项技术措施暂估价表</w:t>
      </w:r>
    </w:p>
    <w:p w14:paraId="78B50BB1">
      <w:pPr>
        <w:pStyle w:val="14"/>
        <w:rPr>
          <w:rFonts w:hint="eastAsia"/>
          <w:i w:val="0"/>
          <w:iCs w:val="0"/>
          <w:color w:val="auto"/>
          <w:highlight w:val="none"/>
        </w:rPr>
      </w:pPr>
    </w:p>
    <w:p w14:paraId="41165C1C">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单位（专业）工程名称：           标段：              第  页 共  页</w:t>
      </w:r>
    </w:p>
    <w:tbl>
      <w:tblPr>
        <w:tblStyle w:val="21"/>
        <w:tblW w:w="86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132B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D78812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133" w:type="dxa"/>
            <w:tcBorders>
              <w:top w:val="single" w:color="auto" w:sz="4" w:space="0"/>
              <w:left w:val="nil"/>
              <w:bottom w:val="single" w:color="auto" w:sz="4" w:space="0"/>
              <w:right w:val="single" w:color="auto" w:sz="4" w:space="0"/>
            </w:tcBorders>
            <w:noWrap/>
            <w:vAlign w:val="center"/>
          </w:tcPr>
          <w:p w14:paraId="3747987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工程名称</w:t>
            </w:r>
          </w:p>
        </w:tc>
        <w:tc>
          <w:tcPr>
            <w:tcW w:w="2421" w:type="dxa"/>
            <w:tcBorders>
              <w:top w:val="single" w:color="auto" w:sz="4" w:space="0"/>
              <w:left w:val="nil"/>
              <w:bottom w:val="single" w:color="auto" w:sz="4" w:space="0"/>
              <w:right w:val="single" w:color="auto" w:sz="4" w:space="0"/>
            </w:tcBorders>
            <w:noWrap/>
            <w:vAlign w:val="center"/>
          </w:tcPr>
          <w:p w14:paraId="3B61B59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工程内容</w:t>
            </w:r>
          </w:p>
        </w:tc>
        <w:tc>
          <w:tcPr>
            <w:tcW w:w="1652" w:type="dxa"/>
            <w:tcBorders>
              <w:top w:val="single" w:color="auto" w:sz="4" w:space="0"/>
              <w:left w:val="nil"/>
              <w:bottom w:val="single" w:color="auto" w:sz="4" w:space="0"/>
              <w:right w:val="single" w:color="auto" w:sz="4" w:space="0"/>
            </w:tcBorders>
            <w:noWrap/>
            <w:vAlign w:val="center"/>
          </w:tcPr>
          <w:p w14:paraId="5951A75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暂估金额（元）</w:t>
            </w:r>
          </w:p>
        </w:tc>
        <w:tc>
          <w:tcPr>
            <w:tcW w:w="1680" w:type="dxa"/>
            <w:tcBorders>
              <w:top w:val="single" w:color="auto" w:sz="4" w:space="0"/>
              <w:left w:val="nil"/>
              <w:bottom w:val="single" w:color="auto" w:sz="4" w:space="0"/>
              <w:right w:val="single" w:color="auto" w:sz="4" w:space="0"/>
            </w:tcBorders>
            <w:noWrap/>
            <w:vAlign w:val="center"/>
          </w:tcPr>
          <w:p w14:paraId="1126947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49F74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310DC7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75AEE80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06224F4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20CFDF3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0F6F09F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973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0AF1C9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57C2138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3AE54C4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612CB7D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08614CC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7070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8B8AA1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48467AE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3B168BC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04AF877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A9E006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EDB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38DBFA0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652" w:type="dxa"/>
            <w:tcBorders>
              <w:top w:val="single" w:color="auto" w:sz="4" w:space="0"/>
              <w:left w:val="nil"/>
              <w:bottom w:val="single" w:color="auto" w:sz="4" w:space="0"/>
              <w:right w:val="single" w:color="auto" w:sz="4" w:space="0"/>
            </w:tcBorders>
            <w:noWrap/>
            <w:vAlign w:val="center"/>
          </w:tcPr>
          <w:p w14:paraId="4D0F0BA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65839E8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399A6CBC">
      <w:pPr>
        <w:ind w:firstLine="360" w:firstLineChars="200"/>
        <w:rPr>
          <w:rFonts w:ascii="宋体" w:hAnsi="宋体"/>
          <w:i w:val="0"/>
          <w:iCs w:val="0"/>
          <w:color w:val="auto"/>
          <w:sz w:val="18"/>
          <w:szCs w:val="18"/>
          <w:highlight w:val="none"/>
        </w:rPr>
      </w:pPr>
    </w:p>
    <w:p w14:paraId="27BE66D5">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3C3B0701">
      <w:pPr>
        <w:ind w:firstLine="720" w:firstLineChars="400"/>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1.此表“暂估金额”由招标人填写，投标人应将“暂估金额”计入投标总价中。</w:t>
      </w:r>
    </w:p>
    <w:p w14:paraId="1ACAFFA5">
      <w:pPr>
        <w:ind w:firstLine="720" w:firstLineChars="400"/>
        <w:rPr>
          <w:rFonts w:ascii="宋体" w:hAnsi="宋体"/>
          <w:i w:val="0"/>
          <w:iCs w:val="0"/>
          <w:color w:val="auto"/>
          <w:sz w:val="18"/>
          <w:szCs w:val="18"/>
          <w:highlight w:val="none"/>
        </w:rPr>
      </w:pPr>
      <w:r>
        <w:rPr>
          <w:rFonts w:hint="eastAsia" w:ascii="宋体" w:hAnsi="宋体"/>
          <w:i w:val="0"/>
          <w:iCs w:val="0"/>
          <w:color w:val="auto"/>
          <w:sz w:val="18"/>
          <w:szCs w:val="18"/>
          <w:highlight w:val="none"/>
        </w:rPr>
        <w:t>2.结算时按合同约定结算金额填写，如合同约定按具体计价子目计价时，也可在项目相应计价表内计列。</w:t>
      </w:r>
    </w:p>
    <w:p w14:paraId="1796FD22">
      <w:pPr>
        <w:widowControl/>
        <w:autoSpaceDN/>
        <w:rPr>
          <w:rFonts w:ascii="宋体" w:hAnsi="宋体"/>
          <w:i w:val="0"/>
          <w:iCs w:val="0"/>
          <w:color w:val="auto"/>
          <w:highlight w:val="none"/>
        </w:rPr>
      </w:pPr>
      <w:r>
        <w:rPr>
          <w:rFonts w:hint="eastAsia" w:ascii="宋体" w:hAnsi="宋体"/>
          <w:i w:val="0"/>
          <w:iCs w:val="0"/>
          <w:color w:val="auto"/>
          <w:highlight w:val="none"/>
        </w:rPr>
        <w:br w:type="page"/>
      </w:r>
    </w:p>
    <w:p w14:paraId="79EABAAB">
      <w:pPr>
        <w:jc w:val="center"/>
        <w:rPr>
          <w:rFonts w:ascii="宋体" w:hAnsi="宋体"/>
          <w:b/>
          <w:bCs/>
          <w:i w:val="0"/>
          <w:iCs w:val="0"/>
          <w:color w:val="auto"/>
          <w:highlight w:val="none"/>
        </w:rPr>
      </w:pPr>
      <w:r>
        <w:rPr>
          <w:rFonts w:hint="eastAsia" w:ascii="宋体" w:hAnsi="宋体"/>
          <w:b/>
          <w:bCs/>
          <w:i w:val="0"/>
          <w:iCs w:val="0"/>
          <w:color w:val="auto"/>
          <w:highlight w:val="none"/>
        </w:rPr>
        <w:t>计日工表</w:t>
      </w:r>
    </w:p>
    <w:p w14:paraId="485AD9EC">
      <w:pPr>
        <w:ind w:firstLine="480" w:firstLineChars="200"/>
        <w:rPr>
          <w:rFonts w:ascii="宋体" w:hAnsi="宋体"/>
          <w:i w:val="0"/>
          <w:iCs w:val="0"/>
          <w:color w:val="auto"/>
          <w:sz w:val="21"/>
          <w:szCs w:val="21"/>
          <w:highlight w:val="none"/>
        </w:rPr>
      </w:pPr>
      <w:r>
        <w:rPr>
          <w:rFonts w:hint="eastAsia" w:ascii="宋体" w:hAnsi="宋体"/>
          <w:i w:val="0"/>
          <w:iCs w:val="0"/>
          <w:color w:val="auto"/>
          <w:highlight w:val="none"/>
        </w:rPr>
        <w:t>单位（专业）工程名称：            标段：            第  页 共  页</w:t>
      </w:r>
    </w:p>
    <w:tbl>
      <w:tblPr>
        <w:tblStyle w:val="21"/>
        <w:tblW w:w="89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3D49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072F26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05845D7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53675E2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73A640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暂定</w:t>
            </w:r>
          </w:p>
          <w:p w14:paraId="42EE4F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71C3103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597BAC5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0083D07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r>
      <w:tr w14:paraId="47CA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14:paraId="797F01D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3096" w:type="dxa"/>
            <w:vMerge w:val="continue"/>
            <w:tcBorders>
              <w:top w:val="single" w:color="auto" w:sz="4" w:space="0"/>
              <w:left w:val="nil"/>
              <w:bottom w:val="single" w:color="auto" w:sz="4" w:space="0"/>
              <w:right w:val="single" w:color="auto" w:sz="4" w:space="0"/>
            </w:tcBorders>
            <w:noWrap w:val="0"/>
            <w:vAlign w:val="center"/>
          </w:tcPr>
          <w:p w14:paraId="222F1B6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686" w:type="dxa"/>
            <w:vMerge w:val="continue"/>
            <w:tcBorders>
              <w:top w:val="single" w:color="auto" w:sz="4" w:space="0"/>
              <w:left w:val="nil"/>
              <w:bottom w:val="single" w:color="auto" w:sz="4" w:space="0"/>
              <w:right w:val="single" w:color="auto" w:sz="4" w:space="0"/>
            </w:tcBorders>
            <w:noWrap w:val="0"/>
            <w:vAlign w:val="center"/>
          </w:tcPr>
          <w:p w14:paraId="17119304">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882" w:type="dxa"/>
            <w:vMerge w:val="continue"/>
            <w:tcBorders>
              <w:top w:val="single" w:color="auto" w:sz="4" w:space="0"/>
              <w:left w:val="nil"/>
              <w:bottom w:val="single" w:color="auto" w:sz="4" w:space="0"/>
              <w:right w:val="single" w:color="auto" w:sz="4" w:space="0"/>
            </w:tcBorders>
            <w:noWrap w:val="0"/>
            <w:vAlign w:val="center"/>
          </w:tcPr>
          <w:p w14:paraId="7CA04FE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16" w:type="dxa"/>
            <w:vMerge w:val="continue"/>
            <w:tcBorders>
              <w:top w:val="single" w:color="auto" w:sz="4" w:space="0"/>
              <w:left w:val="nil"/>
              <w:bottom w:val="single" w:color="auto" w:sz="4" w:space="0"/>
              <w:right w:val="single" w:color="auto" w:sz="4" w:space="0"/>
            </w:tcBorders>
            <w:noWrap w:val="0"/>
            <w:vAlign w:val="center"/>
          </w:tcPr>
          <w:p w14:paraId="1467A5C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1099" w:type="dxa"/>
            <w:vMerge w:val="continue"/>
            <w:tcBorders>
              <w:top w:val="single" w:color="auto" w:sz="4" w:space="0"/>
              <w:left w:val="nil"/>
              <w:bottom w:val="single" w:color="auto" w:sz="4" w:space="0"/>
              <w:right w:val="single" w:color="auto" w:sz="4" w:space="0"/>
            </w:tcBorders>
            <w:noWrap w:val="0"/>
            <w:vAlign w:val="center"/>
          </w:tcPr>
          <w:p w14:paraId="6266464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BBE1AC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暂定</w:t>
            </w:r>
          </w:p>
        </w:tc>
        <w:tc>
          <w:tcPr>
            <w:tcW w:w="692" w:type="dxa"/>
            <w:tcBorders>
              <w:top w:val="single" w:color="auto" w:sz="4" w:space="0"/>
              <w:left w:val="nil"/>
              <w:bottom w:val="single" w:color="auto" w:sz="4" w:space="0"/>
              <w:right w:val="single" w:color="auto" w:sz="4" w:space="0"/>
            </w:tcBorders>
            <w:noWrap/>
            <w:vAlign w:val="center"/>
          </w:tcPr>
          <w:p w14:paraId="30386DA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实际</w:t>
            </w:r>
          </w:p>
        </w:tc>
      </w:tr>
      <w:tr w14:paraId="3EE6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15305F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一</w:t>
            </w:r>
          </w:p>
        </w:tc>
        <w:tc>
          <w:tcPr>
            <w:tcW w:w="3096" w:type="dxa"/>
            <w:tcBorders>
              <w:top w:val="single" w:color="auto" w:sz="4" w:space="0"/>
              <w:left w:val="nil"/>
              <w:bottom w:val="single" w:color="auto" w:sz="4" w:space="0"/>
              <w:right w:val="single" w:color="auto" w:sz="4" w:space="0"/>
            </w:tcBorders>
            <w:noWrap/>
            <w:vAlign w:val="center"/>
          </w:tcPr>
          <w:p w14:paraId="2D84B1D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w:t>
            </w:r>
          </w:p>
        </w:tc>
        <w:tc>
          <w:tcPr>
            <w:tcW w:w="686" w:type="dxa"/>
            <w:tcBorders>
              <w:top w:val="single" w:color="auto" w:sz="4" w:space="0"/>
              <w:left w:val="nil"/>
              <w:bottom w:val="single" w:color="auto" w:sz="4" w:space="0"/>
              <w:right w:val="single" w:color="auto" w:sz="4" w:space="0"/>
            </w:tcBorders>
            <w:noWrap/>
            <w:vAlign w:val="center"/>
          </w:tcPr>
          <w:p w14:paraId="14D43F7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4A199BF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9D279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2DE9858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9727B2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63F317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1B01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16C54F1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13B1715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352370F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179133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3348462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4F088C7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0FC6729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3E60401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69FA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1D0FDAD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634FE3E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441CFF9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9F526A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5CFA7D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9D2200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43CDB26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A3A378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6F3D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B53C9B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人工小计</w:t>
            </w:r>
          </w:p>
        </w:tc>
        <w:tc>
          <w:tcPr>
            <w:tcW w:w="762" w:type="dxa"/>
            <w:tcBorders>
              <w:top w:val="single" w:color="auto" w:sz="4" w:space="0"/>
              <w:left w:val="nil"/>
              <w:bottom w:val="single" w:color="auto" w:sz="4" w:space="0"/>
              <w:right w:val="single" w:color="auto" w:sz="4" w:space="0"/>
            </w:tcBorders>
            <w:noWrap/>
            <w:vAlign w:val="center"/>
          </w:tcPr>
          <w:p w14:paraId="493B9E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B43B31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7A34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029EEA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二</w:t>
            </w:r>
          </w:p>
        </w:tc>
        <w:tc>
          <w:tcPr>
            <w:tcW w:w="3096" w:type="dxa"/>
            <w:tcBorders>
              <w:top w:val="single" w:color="auto" w:sz="4" w:space="0"/>
              <w:left w:val="nil"/>
              <w:bottom w:val="single" w:color="auto" w:sz="4" w:space="0"/>
              <w:right w:val="single" w:color="auto" w:sz="4" w:space="0"/>
            </w:tcBorders>
            <w:noWrap/>
            <w:vAlign w:val="center"/>
          </w:tcPr>
          <w:p w14:paraId="6520A58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w:t>
            </w:r>
          </w:p>
        </w:tc>
        <w:tc>
          <w:tcPr>
            <w:tcW w:w="686" w:type="dxa"/>
            <w:tcBorders>
              <w:top w:val="single" w:color="auto" w:sz="4" w:space="0"/>
              <w:left w:val="nil"/>
              <w:bottom w:val="single" w:color="auto" w:sz="4" w:space="0"/>
              <w:right w:val="single" w:color="auto" w:sz="4" w:space="0"/>
            </w:tcBorders>
            <w:noWrap/>
            <w:vAlign w:val="center"/>
          </w:tcPr>
          <w:p w14:paraId="6A49EA7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143EE96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7E5B24C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421A91A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650B6A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18FDBF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1E9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579B58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15AD51F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61A9EB1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EFFCF7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97A612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57FAC23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E370D7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E3102B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270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18C7B2D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004D238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0DB0F70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719890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561EBF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20EFBD1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4CCE964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4E0FBB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E7D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47ABDDF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材料小计</w:t>
            </w:r>
          </w:p>
        </w:tc>
        <w:tc>
          <w:tcPr>
            <w:tcW w:w="762" w:type="dxa"/>
            <w:tcBorders>
              <w:top w:val="single" w:color="auto" w:sz="4" w:space="0"/>
              <w:left w:val="nil"/>
              <w:bottom w:val="single" w:color="auto" w:sz="4" w:space="0"/>
              <w:right w:val="single" w:color="auto" w:sz="4" w:space="0"/>
            </w:tcBorders>
            <w:noWrap/>
            <w:vAlign w:val="center"/>
          </w:tcPr>
          <w:p w14:paraId="2BCC7FE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B600D3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6570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5418A9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三</w:t>
            </w:r>
          </w:p>
        </w:tc>
        <w:tc>
          <w:tcPr>
            <w:tcW w:w="3096" w:type="dxa"/>
            <w:tcBorders>
              <w:top w:val="single" w:color="auto" w:sz="4" w:space="0"/>
              <w:left w:val="nil"/>
              <w:bottom w:val="single" w:color="auto" w:sz="4" w:space="0"/>
              <w:right w:val="single" w:color="auto" w:sz="4" w:space="0"/>
            </w:tcBorders>
            <w:noWrap/>
            <w:vAlign w:val="center"/>
          </w:tcPr>
          <w:p w14:paraId="081C351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施工机械</w:t>
            </w:r>
          </w:p>
        </w:tc>
        <w:tc>
          <w:tcPr>
            <w:tcW w:w="686" w:type="dxa"/>
            <w:tcBorders>
              <w:top w:val="single" w:color="auto" w:sz="4" w:space="0"/>
              <w:left w:val="nil"/>
              <w:bottom w:val="single" w:color="auto" w:sz="4" w:space="0"/>
              <w:right w:val="single" w:color="auto" w:sz="4" w:space="0"/>
            </w:tcBorders>
            <w:noWrap/>
            <w:vAlign w:val="center"/>
          </w:tcPr>
          <w:p w14:paraId="6BCB244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814C43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69FD9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1E993A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8C209B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36608E5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AF6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5E2E4F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42D5BDB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0F5E457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A657FD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7D17EC9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51AEB7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9B7924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DB3A59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B76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DC7BDD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278D463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0764DE9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1A44B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AC0076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2383C49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059E41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2ED4D7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CCE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073A536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施工机械小计</w:t>
            </w:r>
          </w:p>
        </w:tc>
        <w:tc>
          <w:tcPr>
            <w:tcW w:w="762" w:type="dxa"/>
            <w:tcBorders>
              <w:top w:val="single" w:color="auto" w:sz="4" w:space="0"/>
              <w:left w:val="nil"/>
              <w:bottom w:val="single" w:color="auto" w:sz="4" w:space="0"/>
              <w:right w:val="single" w:color="auto" w:sz="4" w:space="0"/>
            </w:tcBorders>
            <w:noWrap/>
            <w:vAlign w:val="center"/>
          </w:tcPr>
          <w:p w14:paraId="33AB93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6BCA0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65DE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0981FB1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总计</w:t>
            </w:r>
          </w:p>
        </w:tc>
        <w:tc>
          <w:tcPr>
            <w:tcW w:w="762" w:type="dxa"/>
            <w:tcBorders>
              <w:top w:val="single" w:color="auto" w:sz="4" w:space="0"/>
              <w:left w:val="nil"/>
              <w:bottom w:val="single" w:color="auto" w:sz="4" w:space="0"/>
              <w:right w:val="single" w:color="auto" w:sz="4" w:space="0"/>
            </w:tcBorders>
            <w:noWrap/>
            <w:vAlign w:val="center"/>
          </w:tcPr>
          <w:p w14:paraId="5746D4A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5FE5C8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2344F488">
      <w:pPr>
        <w:ind w:left="1" w:firstLine="206" w:firstLineChars="115"/>
        <w:rPr>
          <w:rFonts w:ascii="宋体" w:hAnsi="宋体"/>
          <w:i w:val="0"/>
          <w:iCs w:val="0"/>
          <w:color w:val="auto"/>
          <w:sz w:val="18"/>
          <w:szCs w:val="18"/>
          <w:highlight w:val="none"/>
        </w:rPr>
      </w:pPr>
    </w:p>
    <w:p w14:paraId="07582C82">
      <w:pPr>
        <w:ind w:left="1" w:firstLine="206" w:firstLineChars="115"/>
        <w:rPr>
          <w:rFonts w:ascii="宋体" w:hAnsi="宋体"/>
          <w:i w:val="0"/>
          <w:iCs w:val="0"/>
          <w:color w:val="auto"/>
          <w:sz w:val="18"/>
          <w:szCs w:val="18"/>
          <w:highlight w:val="none"/>
        </w:rPr>
      </w:pPr>
      <w:r>
        <w:rPr>
          <w:rFonts w:hint="eastAsia" w:ascii="宋体" w:hAnsi="宋体"/>
          <w:i w:val="0"/>
          <w:iCs w:val="0"/>
          <w:color w:val="auto"/>
          <w:sz w:val="18"/>
          <w:szCs w:val="18"/>
          <w:highlight w:val="none"/>
        </w:rPr>
        <w:t>注：</w:t>
      </w:r>
    </w:p>
    <w:p w14:paraId="57D8C79F">
      <w:pPr>
        <w:ind w:left="1" w:firstLine="567" w:firstLineChars="315"/>
        <w:rPr>
          <w:rFonts w:ascii="宋体" w:hAnsi="宋体"/>
          <w:i w:val="0"/>
          <w:iCs w:val="0"/>
          <w:color w:val="auto"/>
          <w:sz w:val="18"/>
          <w:szCs w:val="18"/>
          <w:highlight w:val="none"/>
        </w:rPr>
      </w:pPr>
      <w:r>
        <w:rPr>
          <w:rFonts w:hint="eastAsia" w:ascii="宋体" w:hAnsi="宋体"/>
          <w:i w:val="0"/>
          <w:iCs w:val="0"/>
          <w:color w:val="auto"/>
          <w:sz w:val="18"/>
          <w:szCs w:val="18"/>
          <w:highlight w:val="none"/>
        </w:rPr>
        <w:t>1.此表项目名称、暂定数量由招标人填写，编制招标控制价时，单价由招标人按有关计价规定确定；投标报价时，单价由投标人自主报价，按暂定数量计算合价计入投标总价中。</w:t>
      </w:r>
    </w:p>
    <w:p w14:paraId="05E023C7">
      <w:pPr>
        <w:ind w:left="619" w:leftChars="258"/>
        <w:rPr>
          <w:rFonts w:ascii="宋体" w:hAnsi="宋体"/>
          <w:i w:val="0"/>
          <w:iCs w:val="0"/>
          <w:color w:val="auto"/>
          <w:sz w:val="18"/>
          <w:szCs w:val="18"/>
          <w:highlight w:val="none"/>
        </w:rPr>
      </w:pPr>
      <w:r>
        <w:rPr>
          <w:rFonts w:hint="eastAsia" w:ascii="宋体" w:hAnsi="宋体"/>
          <w:i w:val="0"/>
          <w:iCs w:val="0"/>
          <w:color w:val="auto"/>
          <w:sz w:val="18"/>
          <w:szCs w:val="18"/>
          <w:highlight w:val="none"/>
        </w:rPr>
        <w:t>2.工程结算时，按发承包双方确认的实际数量计算合价，计列内容不得重复计价。</w:t>
      </w:r>
    </w:p>
    <w:p w14:paraId="39A213F7">
      <w:pPr>
        <w:widowControl/>
        <w:autoSpaceDN/>
        <w:jc w:val="center"/>
        <w:rPr>
          <w:rFonts w:ascii="宋体" w:hAnsi="宋体"/>
          <w:b/>
          <w:bCs/>
          <w:i w:val="0"/>
          <w:iCs w:val="0"/>
          <w:color w:val="auto"/>
          <w:highlight w:val="none"/>
        </w:rPr>
      </w:pPr>
    </w:p>
    <w:p w14:paraId="09C265D4">
      <w:pPr>
        <w:widowControl/>
        <w:autoSpaceDN/>
        <w:jc w:val="center"/>
        <w:rPr>
          <w:rFonts w:ascii="宋体" w:hAnsi="宋体"/>
          <w:b/>
          <w:bCs/>
          <w:i w:val="0"/>
          <w:iCs w:val="0"/>
          <w:color w:val="auto"/>
          <w:highlight w:val="none"/>
        </w:rPr>
      </w:pPr>
      <w:r>
        <w:rPr>
          <w:rFonts w:hint="eastAsia" w:ascii="宋体" w:hAnsi="宋体"/>
          <w:b/>
          <w:bCs/>
          <w:i w:val="0"/>
          <w:iCs w:val="0"/>
          <w:color w:val="auto"/>
          <w:highlight w:val="none"/>
        </w:rPr>
        <w:t>总承包服务费计价表</w:t>
      </w:r>
    </w:p>
    <w:p w14:paraId="4E2BBB30">
      <w:pPr>
        <w:pStyle w:val="14"/>
        <w:rPr>
          <w:rFonts w:hint="eastAsia"/>
          <w:i w:val="0"/>
          <w:iCs w:val="0"/>
          <w:color w:val="auto"/>
          <w:sz w:val="21"/>
          <w:szCs w:val="21"/>
          <w:highlight w:val="none"/>
        </w:rPr>
      </w:pPr>
      <w:r>
        <w:rPr>
          <w:rFonts w:hint="eastAsia"/>
          <w:i w:val="0"/>
          <w:iCs w:val="0"/>
          <w:color w:val="auto"/>
          <w:highlight w:val="none"/>
        </w:rPr>
        <w:t>单位（专业）工程名称：             标段：              第  页 共  页</w:t>
      </w:r>
    </w:p>
    <w:tbl>
      <w:tblPr>
        <w:tblStyle w:val="21"/>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3AE1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CD22B2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402" w:type="dxa"/>
            <w:tcBorders>
              <w:top w:val="single" w:color="auto" w:sz="4" w:space="0"/>
              <w:left w:val="nil"/>
              <w:bottom w:val="single" w:color="auto" w:sz="4" w:space="0"/>
              <w:right w:val="single" w:color="auto" w:sz="4" w:space="0"/>
            </w:tcBorders>
            <w:noWrap/>
            <w:vAlign w:val="center"/>
          </w:tcPr>
          <w:p w14:paraId="350F81B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项目名称</w:t>
            </w:r>
          </w:p>
        </w:tc>
        <w:tc>
          <w:tcPr>
            <w:tcW w:w="1439" w:type="dxa"/>
            <w:tcBorders>
              <w:top w:val="single" w:color="auto" w:sz="4" w:space="0"/>
              <w:left w:val="nil"/>
              <w:bottom w:val="single" w:color="auto" w:sz="4" w:space="0"/>
              <w:right w:val="single" w:color="auto" w:sz="4" w:space="0"/>
            </w:tcBorders>
            <w:noWrap/>
            <w:vAlign w:val="center"/>
          </w:tcPr>
          <w:p w14:paraId="6251A0D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项目价值（元）</w:t>
            </w:r>
          </w:p>
        </w:tc>
        <w:tc>
          <w:tcPr>
            <w:tcW w:w="1015" w:type="dxa"/>
            <w:tcBorders>
              <w:top w:val="single" w:color="auto" w:sz="4" w:space="0"/>
              <w:left w:val="nil"/>
              <w:bottom w:val="single" w:color="auto" w:sz="4" w:space="0"/>
              <w:right w:val="single" w:color="auto" w:sz="4" w:space="0"/>
            </w:tcBorders>
            <w:noWrap/>
            <w:vAlign w:val="center"/>
          </w:tcPr>
          <w:p w14:paraId="1897A16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服务内容</w:t>
            </w:r>
          </w:p>
        </w:tc>
        <w:tc>
          <w:tcPr>
            <w:tcW w:w="1079" w:type="dxa"/>
            <w:tcBorders>
              <w:top w:val="single" w:color="auto" w:sz="4" w:space="0"/>
              <w:left w:val="nil"/>
              <w:bottom w:val="single" w:color="auto" w:sz="4" w:space="0"/>
              <w:right w:val="single" w:color="auto" w:sz="4" w:space="0"/>
            </w:tcBorders>
            <w:noWrap/>
            <w:vAlign w:val="center"/>
          </w:tcPr>
          <w:p w14:paraId="0125D8C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计算基础</w:t>
            </w:r>
          </w:p>
        </w:tc>
        <w:tc>
          <w:tcPr>
            <w:tcW w:w="1205" w:type="dxa"/>
            <w:tcBorders>
              <w:top w:val="single" w:color="auto" w:sz="4" w:space="0"/>
              <w:left w:val="nil"/>
              <w:bottom w:val="single" w:color="auto" w:sz="4" w:space="0"/>
              <w:right w:val="single" w:color="auto" w:sz="4" w:space="0"/>
            </w:tcBorders>
            <w:noWrap/>
            <w:vAlign w:val="center"/>
          </w:tcPr>
          <w:p w14:paraId="2892E9D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费率（%）</w:t>
            </w:r>
          </w:p>
        </w:tc>
        <w:tc>
          <w:tcPr>
            <w:tcW w:w="1079" w:type="dxa"/>
            <w:tcBorders>
              <w:top w:val="single" w:color="auto" w:sz="4" w:space="0"/>
              <w:left w:val="nil"/>
              <w:bottom w:val="single" w:color="auto" w:sz="4" w:space="0"/>
              <w:right w:val="single" w:color="auto" w:sz="4" w:space="0"/>
            </w:tcBorders>
            <w:noWrap/>
            <w:vAlign w:val="center"/>
          </w:tcPr>
          <w:p w14:paraId="7F27404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金额（元）</w:t>
            </w:r>
          </w:p>
        </w:tc>
      </w:tr>
      <w:tr w14:paraId="6656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E8633F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w:t>
            </w:r>
          </w:p>
        </w:tc>
        <w:tc>
          <w:tcPr>
            <w:tcW w:w="2402" w:type="dxa"/>
            <w:tcBorders>
              <w:top w:val="single" w:color="auto" w:sz="4" w:space="0"/>
              <w:left w:val="nil"/>
              <w:bottom w:val="single" w:color="auto" w:sz="4" w:space="0"/>
              <w:right w:val="single" w:color="auto" w:sz="4" w:space="0"/>
            </w:tcBorders>
            <w:noWrap/>
            <w:vAlign w:val="center"/>
          </w:tcPr>
          <w:p w14:paraId="1849312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55040C2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57EA9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48199A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71027D7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07C81A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FCB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EA0750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1.1</w:t>
            </w:r>
          </w:p>
        </w:tc>
        <w:tc>
          <w:tcPr>
            <w:tcW w:w="2402" w:type="dxa"/>
            <w:tcBorders>
              <w:top w:val="single" w:color="auto" w:sz="4" w:space="0"/>
              <w:left w:val="nil"/>
              <w:bottom w:val="single" w:color="auto" w:sz="4" w:space="0"/>
              <w:right w:val="single" w:color="auto" w:sz="4" w:space="0"/>
            </w:tcBorders>
            <w:noWrap/>
            <w:vAlign w:val="center"/>
          </w:tcPr>
          <w:p w14:paraId="7EFCEFB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357A339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5080C43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67862D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631DE4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C5B20E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215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418827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1.2</w:t>
            </w:r>
          </w:p>
        </w:tc>
        <w:tc>
          <w:tcPr>
            <w:tcW w:w="2402" w:type="dxa"/>
            <w:tcBorders>
              <w:top w:val="single" w:color="auto" w:sz="4" w:space="0"/>
              <w:left w:val="nil"/>
              <w:bottom w:val="single" w:color="auto" w:sz="4" w:space="0"/>
              <w:right w:val="single" w:color="auto" w:sz="4" w:space="0"/>
            </w:tcBorders>
            <w:noWrap/>
            <w:vAlign w:val="center"/>
          </w:tcPr>
          <w:p w14:paraId="619DB23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2F9E2B9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662853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DF6F36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50E32C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5F872A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B6D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63A1C1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w:t>
            </w:r>
          </w:p>
        </w:tc>
        <w:tc>
          <w:tcPr>
            <w:tcW w:w="2402" w:type="dxa"/>
            <w:tcBorders>
              <w:top w:val="single" w:color="auto" w:sz="4" w:space="0"/>
              <w:left w:val="nil"/>
              <w:bottom w:val="single" w:color="auto" w:sz="4" w:space="0"/>
              <w:right w:val="single" w:color="auto" w:sz="4" w:space="0"/>
            </w:tcBorders>
            <w:noWrap/>
            <w:vAlign w:val="center"/>
          </w:tcPr>
          <w:p w14:paraId="5FD40A6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08ADB5C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61598F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1FC862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8BAD0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609CD8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623E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90E7F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2.1</w:t>
            </w:r>
          </w:p>
        </w:tc>
        <w:tc>
          <w:tcPr>
            <w:tcW w:w="2402" w:type="dxa"/>
            <w:tcBorders>
              <w:top w:val="single" w:color="auto" w:sz="4" w:space="0"/>
              <w:left w:val="nil"/>
              <w:bottom w:val="single" w:color="auto" w:sz="4" w:space="0"/>
              <w:right w:val="single" w:color="auto" w:sz="4" w:space="0"/>
            </w:tcBorders>
            <w:noWrap/>
            <w:vAlign w:val="center"/>
          </w:tcPr>
          <w:p w14:paraId="7C90C9D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0C66421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2187A98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6D58026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67515A9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EB7CD0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91CA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840D0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2.2</w:t>
            </w:r>
          </w:p>
        </w:tc>
        <w:tc>
          <w:tcPr>
            <w:tcW w:w="2402" w:type="dxa"/>
            <w:tcBorders>
              <w:top w:val="single" w:color="auto" w:sz="4" w:space="0"/>
              <w:left w:val="nil"/>
              <w:bottom w:val="single" w:color="auto" w:sz="4" w:space="0"/>
              <w:right w:val="single" w:color="auto" w:sz="4" w:space="0"/>
            </w:tcBorders>
            <w:noWrap/>
            <w:vAlign w:val="center"/>
          </w:tcPr>
          <w:p w14:paraId="7B676D2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63328BA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6B39EC3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29C6F7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277CFE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CCC58B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84B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C79FDC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402" w:type="dxa"/>
            <w:tcBorders>
              <w:top w:val="single" w:color="auto" w:sz="4" w:space="0"/>
              <w:left w:val="nil"/>
              <w:bottom w:val="single" w:color="auto" w:sz="4" w:space="0"/>
              <w:right w:val="single" w:color="auto" w:sz="4" w:space="0"/>
            </w:tcBorders>
            <w:noWrap/>
            <w:vAlign w:val="center"/>
          </w:tcPr>
          <w:p w14:paraId="6B2D3DC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合计</w:t>
            </w:r>
          </w:p>
        </w:tc>
        <w:tc>
          <w:tcPr>
            <w:tcW w:w="1439" w:type="dxa"/>
            <w:tcBorders>
              <w:top w:val="single" w:color="auto" w:sz="4" w:space="0"/>
              <w:left w:val="nil"/>
              <w:bottom w:val="single" w:color="auto" w:sz="4" w:space="0"/>
              <w:right w:val="single" w:color="auto" w:sz="4" w:space="0"/>
            </w:tcBorders>
            <w:noWrap/>
            <w:vAlign w:val="center"/>
          </w:tcPr>
          <w:p w14:paraId="0F8C11C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15" w:type="dxa"/>
            <w:tcBorders>
              <w:top w:val="single" w:color="auto" w:sz="4" w:space="0"/>
              <w:left w:val="nil"/>
              <w:bottom w:val="single" w:color="auto" w:sz="4" w:space="0"/>
              <w:right w:val="single" w:color="auto" w:sz="4" w:space="0"/>
            </w:tcBorders>
            <w:noWrap/>
            <w:vAlign w:val="center"/>
          </w:tcPr>
          <w:p w14:paraId="1B952DD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50CBEA8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6FE5E35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39EA9BC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62885618">
      <w:pPr>
        <w:ind w:firstLine="270" w:firstLineChars="150"/>
        <w:rPr>
          <w:rFonts w:ascii="宋体" w:hAnsi="宋体" w:cs="ËÎÌå"/>
          <w:i w:val="0"/>
          <w:iCs w:val="0"/>
          <w:color w:val="auto"/>
          <w:sz w:val="18"/>
          <w:szCs w:val="18"/>
          <w:highlight w:val="none"/>
        </w:rPr>
      </w:pPr>
    </w:p>
    <w:p w14:paraId="10790804">
      <w:pPr>
        <w:ind w:firstLine="270" w:firstLineChars="150"/>
        <w:rPr>
          <w:rFonts w:ascii="宋体" w:hAnsi="宋体"/>
          <w:i w:val="0"/>
          <w:iCs w:val="0"/>
          <w:color w:val="auto"/>
          <w:sz w:val="18"/>
          <w:szCs w:val="18"/>
          <w:highlight w:val="none"/>
        </w:rPr>
      </w:pPr>
      <w:r>
        <w:rPr>
          <w:rFonts w:hint="eastAsia" w:ascii="宋体" w:hAnsi="宋体" w:cs="ËÎÌå"/>
          <w:i w:val="0"/>
          <w:iCs w:val="0"/>
          <w:color w:val="auto"/>
          <w:sz w:val="18"/>
          <w:szCs w:val="18"/>
          <w:highlight w:val="none"/>
        </w:rPr>
        <w:t>注：1.</w:t>
      </w:r>
      <w:r>
        <w:rPr>
          <w:rFonts w:hint="eastAsia" w:ascii="宋体" w:hAnsi="宋体"/>
          <w:i w:val="0"/>
          <w:iCs w:val="0"/>
          <w:color w:val="auto"/>
          <w:sz w:val="18"/>
          <w:szCs w:val="18"/>
          <w:highlight w:val="none"/>
        </w:rPr>
        <w:t>此表项目名称、项目价值、服务内容由招标人填写，编制招标控制价时，费率及金额由招标人按有关计价规定确定；投标报价时，费率及金额由投标人自主报价，计入投标总价中。</w:t>
      </w:r>
    </w:p>
    <w:p w14:paraId="5BD30A0A">
      <w:pPr>
        <w:pStyle w:val="14"/>
        <w:spacing w:before="0" w:beforeAutospacing="0" w:after="0"/>
        <w:ind w:firstLine="540" w:firstLineChars="300"/>
        <w:jc w:val="both"/>
        <w:rPr>
          <w:rFonts w:hint="eastAsia" w:ascii="宋体" w:hAnsi="宋体"/>
          <w:b w:val="0"/>
          <w:i w:val="0"/>
          <w:iCs w:val="0"/>
          <w:color w:val="auto"/>
          <w:sz w:val="18"/>
          <w:szCs w:val="18"/>
          <w:highlight w:val="none"/>
        </w:rPr>
      </w:pPr>
      <w:r>
        <w:rPr>
          <w:rFonts w:hint="eastAsia" w:ascii="宋体" w:hAnsi="宋体"/>
          <w:b w:val="0"/>
          <w:i w:val="0"/>
          <w:iCs w:val="0"/>
          <w:color w:val="auto"/>
          <w:sz w:val="18"/>
          <w:szCs w:val="18"/>
          <w:highlight w:val="none"/>
        </w:rPr>
        <w:t>2.工程结算时本表各项目价值（或计费基础）是否调整由合同双方商定。</w:t>
      </w:r>
    </w:p>
    <w:p w14:paraId="4746ECBE">
      <w:pPr>
        <w:widowControl/>
        <w:autoSpaceDN/>
        <w:jc w:val="center"/>
        <w:rPr>
          <w:i w:val="0"/>
          <w:iCs w:val="0"/>
          <w:color w:val="auto"/>
          <w:highlight w:val="none"/>
        </w:rPr>
      </w:pPr>
      <w:r>
        <w:rPr>
          <w:rFonts w:hint="eastAsia" w:ascii="宋体" w:hAnsi="宋体"/>
          <w:i w:val="0"/>
          <w:iCs w:val="0"/>
          <w:color w:val="auto"/>
          <w:sz w:val="30"/>
          <w:szCs w:val="30"/>
          <w:highlight w:val="none"/>
        </w:rPr>
        <w:br w:type="page"/>
      </w:r>
    </w:p>
    <w:p w14:paraId="33096236">
      <w:pPr>
        <w:jc w:val="center"/>
        <w:rPr>
          <w:rFonts w:ascii="宋体" w:hAnsi="宋体" w:cs="ËÎÌå"/>
          <w:b/>
          <w:bCs/>
          <w:i w:val="0"/>
          <w:iCs w:val="0"/>
          <w:color w:val="auto"/>
          <w:highlight w:val="none"/>
        </w:rPr>
      </w:pPr>
      <w:bookmarkStart w:id="770" w:name="_Toc45696680"/>
      <w:bookmarkEnd w:id="770"/>
      <w:bookmarkStart w:id="771" w:name="_Toc45697248"/>
      <w:r>
        <w:rPr>
          <w:rFonts w:hint="eastAsia" w:ascii="宋体" w:hAnsi="宋体" w:cs="ËÎÌå"/>
          <w:b/>
          <w:bCs/>
          <w:i w:val="0"/>
          <w:iCs w:val="0"/>
          <w:color w:val="auto"/>
          <w:highlight w:val="none"/>
        </w:rPr>
        <w:t>主要工日一览表</w:t>
      </w:r>
      <w:bookmarkEnd w:id="771"/>
    </w:p>
    <w:p w14:paraId="1F7BE6A4">
      <w:pPr>
        <w:pStyle w:val="14"/>
        <w:rPr>
          <w:rFonts w:hint="eastAsia"/>
          <w:i w:val="0"/>
          <w:iCs w:val="0"/>
          <w:color w:val="auto"/>
          <w:highlight w:val="none"/>
        </w:rPr>
      </w:pPr>
    </w:p>
    <w:p w14:paraId="1C46E72A">
      <w:pPr>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2F9A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2CCDE4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69B3C2D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工日名称（类别）</w:t>
            </w:r>
          </w:p>
        </w:tc>
        <w:tc>
          <w:tcPr>
            <w:tcW w:w="720" w:type="dxa"/>
            <w:tcBorders>
              <w:top w:val="single" w:color="auto" w:sz="4" w:space="0"/>
              <w:left w:val="nil"/>
              <w:bottom w:val="single" w:color="auto" w:sz="4" w:space="0"/>
              <w:right w:val="single" w:color="auto" w:sz="4" w:space="0"/>
            </w:tcBorders>
            <w:noWrap/>
            <w:vAlign w:val="center"/>
          </w:tcPr>
          <w:p w14:paraId="72F9738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17BCE25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689BA10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1D689B2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49AA088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035A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3ADF52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5B31460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AD8D41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21A574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C1FC64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E4F894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55B70F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0731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46893D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1167D8A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B92B7E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9B9DA8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EE17C9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237060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7EC81A4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0EBD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F1E300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10AF551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E2B6BE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E87FB8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3ED3CF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CB06CE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647128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C25C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8AE548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DF3FE7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8DED84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0C2AC8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AE7D12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06BE6D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069F60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1784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9EA4B8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774870E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A672DF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8452AB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4604BD6">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445D93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1449CC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2317BC93">
      <w:pPr>
        <w:ind w:firstLine="360" w:firstLineChars="200"/>
        <w:rPr>
          <w:rFonts w:ascii="宋体" w:hAnsi="宋体"/>
          <w:i w:val="0"/>
          <w:iCs w:val="0"/>
          <w:color w:val="auto"/>
          <w:sz w:val="18"/>
          <w:szCs w:val="18"/>
          <w:highlight w:val="none"/>
        </w:rPr>
      </w:pPr>
    </w:p>
    <w:p w14:paraId="3E64F95B">
      <w:pPr>
        <w:ind w:firstLine="360" w:firstLineChars="200"/>
        <w:rPr>
          <w:rFonts w:ascii="宋体" w:hAnsi="宋体"/>
          <w:i w:val="0"/>
          <w:iCs w:val="0"/>
          <w:color w:val="auto"/>
          <w:sz w:val="18"/>
          <w:szCs w:val="18"/>
          <w:highlight w:val="none"/>
        </w:rPr>
      </w:pPr>
      <w:r>
        <w:rPr>
          <w:rFonts w:hint="eastAsia" w:ascii="宋体" w:hAnsi="宋体"/>
          <w:i w:val="0"/>
          <w:iCs w:val="0"/>
          <w:color w:val="auto"/>
          <w:sz w:val="18"/>
          <w:szCs w:val="18"/>
          <w:highlight w:val="none"/>
        </w:rPr>
        <w:t>注：此表按不同计价文件编制阶段要求填写，其中：</w:t>
      </w:r>
    </w:p>
    <w:p w14:paraId="16850F56">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“工日名称（类别）”、“单位”栏内容由招标人在招标工程量清单内填写,各计价阶段可按需要补充或减少内容；</w:t>
      </w:r>
    </w:p>
    <w:p w14:paraId="33733408">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“数量”栏由不同阶段计价人按工程计量分析数量填写；</w:t>
      </w:r>
    </w:p>
    <w:p w14:paraId="77608E81">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 xml:space="preserve">  “单价”栏的填写：招标控制价应优先采用工程造价管理机构发布的单价；投标报价由投标人在投标时自主确定投标单价；工程结算时按合同约定确定单价。</w:t>
      </w:r>
    </w:p>
    <w:p w14:paraId="0A9AABFE">
      <w:pPr>
        <w:rPr>
          <w:rFonts w:ascii="宋体" w:hAnsi="宋体" w:cs="ËÎÌå"/>
          <w:i w:val="0"/>
          <w:iCs w:val="0"/>
          <w:color w:val="auto"/>
          <w:sz w:val="21"/>
          <w:szCs w:val="21"/>
          <w:highlight w:val="none"/>
        </w:rPr>
      </w:pPr>
    </w:p>
    <w:p w14:paraId="739E3A95">
      <w:pPr>
        <w:pStyle w:val="14"/>
        <w:rPr>
          <w:rFonts w:hint="eastAsia"/>
          <w:i w:val="0"/>
          <w:iCs w:val="0"/>
          <w:color w:val="auto"/>
          <w:highlight w:val="none"/>
        </w:rPr>
      </w:pPr>
    </w:p>
    <w:p w14:paraId="10F54809">
      <w:pPr>
        <w:rPr>
          <w:i w:val="0"/>
          <w:iCs w:val="0"/>
          <w:color w:val="auto"/>
          <w:highlight w:val="none"/>
        </w:rPr>
      </w:pPr>
    </w:p>
    <w:p w14:paraId="3DE7FC84">
      <w:pPr>
        <w:pStyle w:val="14"/>
        <w:rPr>
          <w:rFonts w:hint="eastAsia"/>
          <w:i w:val="0"/>
          <w:iCs w:val="0"/>
          <w:color w:val="auto"/>
          <w:highlight w:val="none"/>
        </w:rPr>
      </w:pPr>
    </w:p>
    <w:p w14:paraId="18682236">
      <w:pPr>
        <w:jc w:val="center"/>
        <w:rPr>
          <w:rFonts w:ascii="宋体" w:hAnsi="宋体" w:cs="ËÎÌå"/>
          <w:b/>
          <w:bCs/>
          <w:i w:val="0"/>
          <w:iCs w:val="0"/>
          <w:color w:val="auto"/>
          <w:highlight w:val="none"/>
        </w:rPr>
      </w:pPr>
      <w:bookmarkStart w:id="772" w:name="_Toc45696681"/>
      <w:r>
        <w:rPr>
          <w:rFonts w:hint="eastAsia" w:ascii="宋体" w:hAnsi="宋体" w:cs="ËÎÌå"/>
          <w:b/>
          <w:bCs/>
          <w:i w:val="0"/>
          <w:iCs w:val="0"/>
          <w:color w:val="auto"/>
          <w:highlight w:val="none"/>
        </w:rPr>
        <w:t>发包人提供材料和设备一览表</w:t>
      </w:r>
      <w:bookmarkEnd w:id="772"/>
    </w:p>
    <w:p w14:paraId="27D0F809">
      <w:pPr>
        <w:pStyle w:val="14"/>
        <w:rPr>
          <w:rFonts w:hint="eastAsia"/>
          <w:i w:val="0"/>
          <w:iCs w:val="0"/>
          <w:color w:val="auto"/>
          <w:highlight w:val="none"/>
        </w:rPr>
      </w:pPr>
    </w:p>
    <w:p w14:paraId="76241FE5">
      <w:pPr>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0B16B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3E42E23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955" w:type="dxa"/>
            <w:tcBorders>
              <w:top w:val="single" w:color="auto" w:sz="4" w:space="0"/>
              <w:left w:val="nil"/>
              <w:bottom w:val="single" w:color="auto" w:sz="4" w:space="0"/>
              <w:right w:val="single" w:color="auto" w:sz="4" w:space="0"/>
            </w:tcBorders>
            <w:noWrap/>
            <w:vAlign w:val="center"/>
          </w:tcPr>
          <w:p w14:paraId="3DA6760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15B1CF1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750" w:type="dxa"/>
            <w:tcBorders>
              <w:top w:val="single" w:color="auto" w:sz="4" w:space="0"/>
              <w:left w:val="nil"/>
              <w:bottom w:val="single" w:color="auto" w:sz="4" w:space="0"/>
              <w:right w:val="single" w:color="auto" w:sz="4" w:space="0"/>
            </w:tcBorders>
            <w:noWrap/>
            <w:vAlign w:val="center"/>
          </w:tcPr>
          <w:p w14:paraId="00AB7F0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825" w:type="dxa"/>
            <w:tcBorders>
              <w:top w:val="single" w:color="auto" w:sz="4" w:space="0"/>
              <w:left w:val="nil"/>
              <w:bottom w:val="single" w:color="auto" w:sz="4" w:space="0"/>
              <w:right w:val="single" w:color="auto" w:sz="4" w:space="0"/>
            </w:tcBorders>
            <w:noWrap/>
            <w:vAlign w:val="center"/>
          </w:tcPr>
          <w:p w14:paraId="6684D76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w:t>
            </w:r>
          </w:p>
          <w:p w14:paraId="4CBE13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（元）</w:t>
            </w:r>
          </w:p>
        </w:tc>
        <w:tc>
          <w:tcPr>
            <w:tcW w:w="850" w:type="dxa"/>
            <w:tcBorders>
              <w:top w:val="single" w:color="auto" w:sz="4" w:space="0"/>
              <w:left w:val="nil"/>
              <w:bottom w:val="single" w:color="auto" w:sz="4" w:space="0"/>
              <w:right w:val="single" w:color="auto" w:sz="4" w:space="0"/>
            </w:tcBorders>
            <w:noWrap/>
            <w:vAlign w:val="center"/>
          </w:tcPr>
          <w:p w14:paraId="7EEB885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交货</w:t>
            </w:r>
          </w:p>
          <w:p w14:paraId="72D2DEC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方式</w:t>
            </w:r>
          </w:p>
        </w:tc>
        <w:tc>
          <w:tcPr>
            <w:tcW w:w="863" w:type="dxa"/>
            <w:tcBorders>
              <w:top w:val="single" w:color="auto" w:sz="4" w:space="0"/>
              <w:left w:val="nil"/>
              <w:bottom w:val="single" w:color="auto" w:sz="4" w:space="0"/>
              <w:right w:val="single" w:color="auto" w:sz="4" w:space="0"/>
            </w:tcBorders>
            <w:noWrap/>
            <w:vAlign w:val="center"/>
          </w:tcPr>
          <w:p w14:paraId="0DA75B9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送达</w:t>
            </w:r>
          </w:p>
          <w:p w14:paraId="61FF9F9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地点</w:t>
            </w:r>
          </w:p>
        </w:tc>
        <w:tc>
          <w:tcPr>
            <w:tcW w:w="975" w:type="dxa"/>
            <w:tcBorders>
              <w:top w:val="single" w:color="auto" w:sz="4" w:space="0"/>
              <w:left w:val="nil"/>
              <w:bottom w:val="single" w:color="auto" w:sz="4" w:space="0"/>
              <w:right w:val="single" w:color="auto" w:sz="4" w:space="0"/>
            </w:tcBorders>
            <w:noWrap/>
            <w:vAlign w:val="center"/>
          </w:tcPr>
          <w:p w14:paraId="24A15DB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3ADC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5E876DA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A8C4BF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20AB44F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03FD0D7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3E1B777D">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78DFB21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48AA18F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339E862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5E8A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063AFA1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381B31F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7008B1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1A56218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5DAE6CF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6B5A9BB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235BC63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21BF56B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7286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9ECFBE9">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3CD2198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D2FE09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57296B3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041713F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4C85741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5D7588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53E3D76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225B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C0BE6D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69C1E93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3AE67AF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5F4537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360B7FB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5E3677E1">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7380EF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5F343EE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7F1B200D">
      <w:pPr>
        <w:ind w:firstLine="180" w:firstLineChars="100"/>
        <w:rPr>
          <w:rFonts w:ascii="宋体" w:hAnsi="宋体"/>
          <w:i w:val="0"/>
          <w:iCs w:val="0"/>
          <w:color w:val="auto"/>
          <w:sz w:val="18"/>
          <w:szCs w:val="18"/>
          <w:highlight w:val="none"/>
        </w:rPr>
      </w:pPr>
    </w:p>
    <w:p w14:paraId="64555B84">
      <w:pPr>
        <w:ind w:firstLine="180" w:firstLineChars="100"/>
        <w:rPr>
          <w:rFonts w:ascii="宋体" w:hAnsi="宋体"/>
          <w:i w:val="0"/>
          <w:iCs w:val="0"/>
          <w:color w:val="auto"/>
          <w:sz w:val="18"/>
          <w:szCs w:val="18"/>
          <w:highlight w:val="none"/>
        </w:rPr>
      </w:pPr>
      <w:r>
        <w:rPr>
          <w:rFonts w:hint="eastAsia" w:ascii="宋体" w:hAnsi="宋体"/>
          <w:i w:val="0"/>
          <w:iCs w:val="0"/>
          <w:color w:val="auto"/>
          <w:sz w:val="18"/>
          <w:szCs w:val="18"/>
          <w:highlight w:val="none"/>
        </w:rPr>
        <w:t>注：此表由招标人填写，供投标人在投标报价、确定总承包服务费时参考。</w:t>
      </w:r>
    </w:p>
    <w:p w14:paraId="5A2A6660">
      <w:pPr>
        <w:widowControl/>
        <w:autoSpaceDN/>
        <w:rPr>
          <w:rFonts w:ascii="宋体" w:hAnsi="宋体"/>
          <w:i w:val="0"/>
          <w:iCs w:val="0"/>
          <w:color w:val="auto"/>
          <w:highlight w:val="none"/>
        </w:rPr>
      </w:pPr>
    </w:p>
    <w:p w14:paraId="43819C54">
      <w:pPr>
        <w:widowControl/>
        <w:autoSpaceDN/>
        <w:rPr>
          <w:rFonts w:ascii="宋体" w:hAnsi="宋体"/>
          <w:i w:val="0"/>
          <w:iCs w:val="0"/>
          <w:color w:val="auto"/>
          <w:highlight w:val="none"/>
        </w:rPr>
      </w:pPr>
    </w:p>
    <w:p w14:paraId="12FE6400">
      <w:pPr>
        <w:pStyle w:val="14"/>
        <w:rPr>
          <w:rFonts w:hint="eastAsia"/>
          <w:i w:val="0"/>
          <w:iCs w:val="0"/>
          <w:color w:val="auto"/>
          <w:highlight w:val="none"/>
        </w:rPr>
      </w:pPr>
    </w:p>
    <w:p w14:paraId="368F168F">
      <w:pPr>
        <w:rPr>
          <w:i w:val="0"/>
          <w:iCs w:val="0"/>
          <w:color w:val="auto"/>
          <w:highlight w:val="none"/>
        </w:rPr>
      </w:pPr>
    </w:p>
    <w:p w14:paraId="018E0562">
      <w:pPr>
        <w:pStyle w:val="14"/>
        <w:rPr>
          <w:rFonts w:hint="eastAsia"/>
          <w:i w:val="0"/>
          <w:iCs w:val="0"/>
          <w:color w:val="auto"/>
          <w:highlight w:val="none"/>
        </w:rPr>
      </w:pPr>
    </w:p>
    <w:p w14:paraId="44038E0D">
      <w:pPr>
        <w:rPr>
          <w:i w:val="0"/>
          <w:iCs w:val="0"/>
          <w:color w:val="auto"/>
          <w:highlight w:val="none"/>
        </w:rPr>
      </w:pPr>
    </w:p>
    <w:p w14:paraId="7F5DD445">
      <w:pPr>
        <w:pStyle w:val="14"/>
        <w:rPr>
          <w:rFonts w:hint="eastAsia"/>
          <w:i w:val="0"/>
          <w:iCs w:val="0"/>
          <w:color w:val="auto"/>
          <w:highlight w:val="none"/>
        </w:rPr>
      </w:pPr>
    </w:p>
    <w:p w14:paraId="7EEA9DA4">
      <w:pPr>
        <w:rPr>
          <w:i w:val="0"/>
          <w:iCs w:val="0"/>
          <w:color w:val="auto"/>
          <w:highlight w:val="none"/>
        </w:rPr>
      </w:pPr>
      <w:bookmarkStart w:id="773" w:name="_Toc45697249"/>
      <w:bookmarkEnd w:id="773"/>
    </w:p>
    <w:p w14:paraId="01D22A07">
      <w:pPr>
        <w:jc w:val="center"/>
        <w:rPr>
          <w:rFonts w:ascii="宋体" w:hAnsi="宋体" w:cs="ËÎÌå"/>
          <w:b/>
          <w:bCs/>
          <w:i w:val="0"/>
          <w:iCs w:val="0"/>
          <w:color w:val="auto"/>
          <w:highlight w:val="none"/>
        </w:rPr>
      </w:pPr>
      <w:bookmarkStart w:id="774" w:name="_Toc45696682"/>
      <w:bookmarkEnd w:id="774"/>
      <w:bookmarkStart w:id="775" w:name="_Toc45697250"/>
      <w:r>
        <w:rPr>
          <w:rFonts w:hint="eastAsia" w:ascii="宋体" w:hAnsi="宋体" w:cs="ËÎÌå"/>
          <w:b/>
          <w:bCs/>
          <w:i w:val="0"/>
          <w:iCs w:val="0"/>
          <w:color w:val="auto"/>
          <w:highlight w:val="none"/>
        </w:rPr>
        <w:t>主要材料和设备一览表</w:t>
      </w:r>
      <w:bookmarkEnd w:id="775"/>
    </w:p>
    <w:p w14:paraId="574D4B47">
      <w:pPr>
        <w:pStyle w:val="14"/>
        <w:rPr>
          <w:rFonts w:hint="eastAsia"/>
          <w:i w:val="0"/>
          <w:iCs w:val="0"/>
          <w:color w:val="auto"/>
          <w:highlight w:val="none"/>
        </w:rPr>
      </w:pPr>
    </w:p>
    <w:p w14:paraId="679C1657">
      <w:pPr>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2FDA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63283D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29D30B4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名称、规格、型号</w:t>
            </w:r>
          </w:p>
        </w:tc>
        <w:tc>
          <w:tcPr>
            <w:tcW w:w="720" w:type="dxa"/>
            <w:tcBorders>
              <w:top w:val="single" w:color="auto" w:sz="4" w:space="0"/>
              <w:left w:val="nil"/>
              <w:bottom w:val="single" w:color="auto" w:sz="4" w:space="0"/>
              <w:right w:val="single" w:color="auto" w:sz="4" w:space="0"/>
            </w:tcBorders>
            <w:noWrap/>
            <w:vAlign w:val="center"/>
          </w:tcPr>
          <w:p w14:paraId="25A6389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66D956F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20BFC21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2669F17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c>
          <w:tcPr>
            <w:tcW w:w="1653" w:type="dxa"/>
            <w:tcBorders>
              <w:top w:val="single" w:color="auto" w:sz="4" w:space="0"/>
              <w:left w:val="nil"/>
              <w:bottom w:val="single" w:color="auto" w:sz="4" w:space="0"/>
              <w:right w:val="single" w:color="auto" w:sz="4" w:space="0"/>
            </w:tcBorders>
            <w:noWrap/>
            <w:vAlign w:val="center"/>
          </w:tcPr>
          <w:p w14:paraId="6997807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7395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0E613D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17ED78A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45122F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E61820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99D40A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7B3ABD4">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733EC48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1B9B3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3CA506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28EAE5F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582190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4B7D15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B6B220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7F5DD5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59E0A0C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A17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0D27CC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445BE344">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B311C7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C20478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15F29D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8DDCDB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655863A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02FA67B0">
      <w:pPr>
        <w:ind w:firstLine="282" w:firstLineChars="157"/>
        <w:rPr>
          <w:rFonts w:ascii="宋体" w:hAnsi="宋体"/>
          <w:i w:val="0"/>
          <w:iCs w:val="0"/>
          <w:color w:val="auto"/>
          <w:sz w:val="18"/>
          <w:szCs w:val="18"/>
          <w:highlight w:val="none"/>
        </w:rPr>
      </w:pPr>
    </w:p>
    <w:p w14:paraId="47BB15C9">
      <w:pPr>
        <w:ind w:firstLine="282" w:firstLineChars="157"/>
        <w:rPr>
          <w:rFonts w:ascii="宋体" w:hAnsi="宋体"/>
          <w:i w:val="0"/>
          <w:iCs w:val="0"/>
          <w:color w:val="auto"/>
          <w:sz w:val="18"/>
          <w:szCs w:val="18"/>
          <w:highlight w:val="none"/>
        </w:rPr>
      </w:pPr>
      <w:bookmarkStart w:id="776" w:name="_Toc45697251"/>
      <w:bookmarkEnd w:id="776"/>
      <w:bookmarkStart w:id="777" w:name="_Toc45696683"/>
      <w:r>
        <w:rPr>
          <w:rFonts w:hint="eastAsia" w:ascii="宋体" w:hAnsi="宋体"/>
          <w:i w:val="0"/>
          <w:iCs w:val="0"/>
          <w:color w:val="auto"/>
          <w:sz w:val="18"/>
          <w:szCs w:val="18"/>
          <w:highlight w:val="none"/>
        </w:rPr>
        <w:t>注：此表按不同计价文件编制阶段要求填写，其中：</w:t>
      </w:r>
      <w:bookmarkEnd w:id="777"/>
    </w:p>
    <w:p w14:paraId="68D1C3CE">
      <w:pPr>
        <w:ind w:firstLine="282" w:firstLineChars="157"/>
        <w:rPr>
          <w:rFonts w:ascii="宋体" w:hAnsi="宋体"/>
          <w:i w:val="0"/>
          <w:iCs w:val="0"/>
          <w:color w:val="auto"/>
          <w:sz w:val="18"/>
          <w:szCs w:val="18"/>
          <w:highlight w:val="none"/>
        </w:rPr>
      </w:pPr>
      <w:bookmarkStart w:id="778" w:name="_Toc45696684"/>
      <w:bookmarkEnd w:id="778"/>
      <w:bookmarkStart w:id="779" w:name="_Toc45697252"/>
      <w:r>
        <w:rPr>
          <w:rFonts w:hint="eastAsia" w:ascii="宋体" w:hAnsi="宋体"/>
          <w:i w:val="0"/>
          <w:iCs w:val="0"/>
          <w:color w:val="auto"/>
          <w:sz w:val="18"/>
          <w:szCs w:val="18"/>
          <w:highlight w:val="none"/>
        </w:rPr>
        <w:t>“名称、规格、型号”、“单位”栏内容由招标人在招标工程量清单内填写,各计价阶段可按需要补充和调整；</w:t>
      </w:r>
      <w:bookmarkEnd w:id="779"/>
    </w:p>
    <w:p w14:paraId="6FEB8C73">
      <w:pPr>
        <w:ind w:firstLine="282" w:firstLineChars="157"/>
        <w:rPr>
          <w:rFonts w:ascii="宋体" w:hAnsi="宋体"/>
          <w:i w:val="0"/>
          <w:iCs w:val="0"/>
          <w:color w:val="auto"/>
          <w:sz w:val="18"/>
          <w:szCs w:val="18"/>
          <w:highlight w:val="none"/>
        </w:rPr>
      </w:pPr>
      <w:bookmarkStart w:id="780" w:name="_Toc45697253"/>
      <w:bookmarkEnd w:id="780"/>
      <w:bookmarkStart w:id="781" w:name="_Toc45696685"/>
      <w:r>
        <w:rPr>
          <w:rFonts w:hint="eastAsia" w:ascii="宋体" w:hAnsi="宋体"/>
          <w:i w:val="0"/>
          <w:iCs w:val="0"/>
          <w:color w:val="auto"/>
          <w:sz w:val="18"/>
          <w:szCs w:val="18"/>
          <w:highlight w:val="none"/>
        </w:rPr>
        <w:t>“数量”栏由不同阶段计价人按工程计量分析数量填写；</w:t>
      </w:r>
      <w:bookmarkEnd w:id="781"/>
    </w:p>
    <w:p w14:paraId="58BF52D1">
      <w:pPr>
        <w:ind w:firstLine="282" w:firstLineChars="157"/>
        <w:rPr>
          <w:rFonts w:ascii="宋体" w:hAnsi="宋体"/>
          <w:i w:val="0"/>
          <w:iCs w:val="0"/>
          <w:color w:val="auto"/>
          <w:sz w:val="18"/>
          <w:szCs w:val="18"/>
          <w:highlight w:val="none"/>
        </w:rPr>
      </w:pPr>
      <w:bookmarkStart w:id="782" w:name="_Toc45696686"/>
      <w:bookmarkEnd w:id="782"/>
      <w:bookmarkStart w:id="783" w:name="_Toc45697254"/>
      <w:r>
        <w:rPr>
          <w:rFonts w:hint="eastAsia" w:ascii="宋体" w:hAnsi="宋体"/>
          <w:i w:val="0"/>
          <w:iCs w:val="0"/>
          <w:color w:val="auto"/>
          <w:sz w:val="18"/>
          <w:szCs w:val="18"/>
          <w:highlight w:val="none"/>
        </w:rPr>
        <w:t>“单价”栏的填写：招标控制价应优先采用工程造价管理机构发布的单价；投标报价由投标</w:t>
      </w:r>
      <w:bookmarkEnd w:id="783"/>
      <w:bookmarkStart w:id="784" w:name="_Toc45696687"/>
      <w:bookmarkEnd w:id="784"/>
      <w:bookmarkStart w:id="785" w:name="_Toc45697255"/>
      <w:r>
        <w:rPr>
          <w:rFonts w:hint="eastAsia" w:ascii="宋体" w:hAnsi="宋体"/>
          <w:i w:val="0"/>
          <w:iCs w:val="0"/>
          <w:color w:val="auto"/>
          <w:sz w:val="18"/>
          <w:szCs w:val="18"/>
          <w:highlight w:val="none"/>
        </w:rPr>
        <w:t>人在投标时自主确定投标单价；工程结算时按合同约定确定单价。</w:t>
      </w:r>
      <w:bookmarkEnd w:id="785"/>
    </w:p>
    <w:p w14:paraId="3C40BEC1">
      <w:pPr>
        <w:rPr>
          <w:i w:val="0"/>
          <w:iCs w:val="0"/>
          <w:color w:val="auto"/>
          <w:highlight w:val="none"/>
        </w:rPr>
      </w:pPr>
    </w:p>
    <w:p w14:paraId="179E7FFC">
      <w:pPr>
        <w:pStyle w:val="14"/>
        <w:rPr>
          <w:rFonts w:hint="eastAsia"/>
          <w:i w:val="0"/>
          <w:iCs w:val="0"/>
          <w:color w:val="auto"/>
          <w:highlight w:val="none"/>
        </w:rPr>
      </w:pPr>
    </w:p>
    <w:p w14:paraId="09520934">
      <w:pPr>
        <w:rPr>
          <w:i w:val="0"/>
          <w:iCs w:val="0"/>
          <w:color w:val="auto"/>
          <w:highlight w:val="none"/>
        </w:rPr>
      </w:pPr>
    </w:p>
    <w:p w14:paraId="5D0B5E4E">
      <w:pPr>
        <w:widowControl/>
        <w:autoSpaceDN/>
        <w:jc w:val="center"/>
        <w:rPr>
          <w:rFonts w:ascii="宋体" w:hAnsi="宋体" w:cs="ËÎÌå"/>
          <w:b/>
          <w:bCs/>
          <w:i w:val="0"/>
          <w:iCs w:val="0"/>
          <w:color w:val="auto"/>
          <w:highlight w:val="none"/>
        </w:rPr>
      </w:pPr>
      <w:r>
        <w:rPr>
          <w:rFonts w:hint="eastAsia" w:ascii="宋体" w:hAnsi="宋体" w:cs="ËÎÌå"/>
          <w:b/>
          <w:bCs/>
          <w:i w:val="0"/>
          <w:iCs w:val="0"/>
          <w:color w:val="auto"/>
          <w:highlight w:val="none"/>
        </w:rPr>
        <w:t>主要机械台班一览表</w:t>
      </w:r>
    </w:p>
    <w:p w14:paraId="29565349">
      <w:pPr>
        <w:rPr>
          <w:rFonts w:ascii="宋体" w:hAnsi="宋体"/>
          <w:i w:val="0"/>
          <w:iCs w:val="0"/>
          <w:color w:val="auto"/>
          <w:sz w:val="21"/>
          <w:szCs w:val="21"/>
          <w:highlight w:val="none"/>
        </w:rPr>
      </w:pPr>
      <w:r>
        <w:rPr>
          <w:rFonts w:hint="eastAsia" w:ascii="宋体" w:hAnsi="宋体"/>
          <w:i w:val="0"/>
          <w:iCs w:val="0"/>
          <w:color w:val="auto"/>
          <w:highlight w:val="none"/>
        </w:rPr>
        <w:t>工程名称：                       标段：               第  页 共  页</w:t>
      </w:r>
    </w:p>
    <w:tbl>
      <w:tblPr>
        <w:tblStyle w:val="21"/>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459DC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4ADC7D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序号</w:t>
            </w:r>
          </w:p>
        </w:tc>
        <w:tc>
          <w:tcPr>
            <w:tcW w:w="2033" w:type="dxa"/>
            <w:tcBorders>
              <w:top w:val="single" w:color="auto" w:sz="4" w:space="0"/>
              <w:left w:val="nil"/>
              <w:bottom w:val="single" w:color="auto" w:sz="4" w:space="0"/>
              <w:right w:val="single" w:color="auto" w:sz="4" w:space="0"/>
            </w:tcBorders>
            <w:noWrap/>
            <w:vAlign w:val="center"/>
          </w:tcPr>
          <w:p w14:paraId="2833F7A2">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75BF41B0">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单位</w:t>
            </w:r>
          </w:p>
        </w:tc>
        <w:tc>
          <w:tcPr>
            <w:tcW w:w="957" w:type="dxa"/>
            <w:tcBorders>
              <w:top w:val="single" w:color="auto" w:sz="4" w:space="0"/>
              <w:left w:val="nil"/>
              <w:bottom w:val="single" w:color="auto" w:sz="4" w:space="0"/>
              <w:right w:val="single" w:color="auto" w:sz="4" w:space="0"/>
            </w:tcBorders>
            <w:noWrap/>
            <w:vAlign w:val="center"/>
          </w:tcPr>
          <w:p w14:paraId="5635328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6B8B5B5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0739C36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6646E66B">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r>
              <w:rPr>
                <w:rFonts w:hint="eastAsia" w:ascii="宋体" w:hAnsi="宋体" w:cs="Times New Roman"/>
                <w:i w:val="0"/>
                <w:iCs w:val="0"/>
                <w:color w:val="auto"/>
                <w:sz w:val="18"/>
                <w:szCs w:val="18"/>
                <w:highlight w:val="none"/>
              </w:rPr>
              <w:t>备注</w:t>
            </w:r>
          </w:p>
        </w:tc>
      </w:tr>
      <w:tr w14:paraId="6A9BD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F10174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016DA313">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D5BF80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6BAF04D">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A1D60A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B913360">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76123DFF">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B30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220FC6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2738E185">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99ECCAF">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036DAC08">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74DA0E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81080A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1558A17">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57D87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8EA722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5869266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069939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214185EB">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CD270D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559FE67">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6BF825E8">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4E570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A43DA06">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10937C21">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511459A">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8BB96FE">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A6D8C4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98F1433">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603B470D">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r w14:paraId="33C7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F88326C">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28ECF04E">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2E6EA399">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024C079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B145E6C">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291C492">
            <w:pPr>
              <w:keepNext w:val="0"/>
              <w:keepLines w:val="0"/>
              <w:suppressLineNumbers w:val="0"/>
              <w:spacing w:before="0" w:beforeAutospacing="0" w:after="0" w:afterAutospacing="0"/>
              <w:ind w:left="0" w:right="0"/>
              <w:rPr>
                <w:rFonts w:hint="default" w:ascii="宋体" w:hAnsi="宋体" w:cs="Times New Roman"/>
                <w:i w:val="0"/>
                <w:iCs w:val="0"/>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6F96CC9A">
            <w:pPr>
              <w:keepNext w:val="0"/>
              <w:keepLines w:val="0"/>
              <w:suppressLineNumbers w:val="0"/>
              <w:spacing w:before="0" w:beforeAutospacing="0" w:after="0" w:afterAutospacing="0"/>
              <w:ind w:left="0" w:right="0"/>
              <w:jc w:val="center"/>
              <w:rPr>
                <w:rFonts w:hint="default" w:ascii="宋体" w:hAnsi="宋体" w:cs="Times New Roman"/>
                <w:i w:val="0"/>
                <w:iCs w:val="0"/>
                <w:color w:val="auto"/>
                <w:sz w:val="18"/>
                <w:szCs w:val="18"/>
                <w:highlight w:val="none"/>
              </w:rPr>
            </w:pPr>
          </w:p>
        </w:tc>
      </w:tr>
    </w:tbl>
    <w:p w14:paraId="73920C62">
      <w:pPr>
        <w:ind w:firstLine="282" w:firstLineChars="157"/>
        <w:rPr>
          <w:rFonts w:ascii="宋体" w:hAnsi="宋体"/>
          <w:i w:val="0"/>
          <w:iCs w:val="0"/>
          <w:color w:val="auto"/>
          <w:sz w:val="18"/>
          <w:szCs w:val="18"/>
          <w:highlight w:val="none"/>
        </w:rPr>
      </w:pPr>
    </w:p>
    <w:p w14:paraId="3A2AB4BA">
      <w:pPr>
        <w:ind w:firstLine="282" w:firstLineChars="157"/>
        <w:rPr>
          <w:rFonts w:ascii="宋体" w:hAnsi="宋体"/>
          <w:i w:val="0"/>
          <w:iCs w:val="0"/>
          <w:color w:val="auto"/>
          <w:sz w:val="18"/>
          <w:szCs w:val="18"/>
          <w:highlight w:val="none"/>
        </w:rPr>
      </w:pPr>
      <w:bookmarkStart w:id="786" w:name="_Toc45696688"/>
      <w:bookmarkEnd w:id="786"/>
      <w:bookmarkStart w:id="787" w:name="_Toc45697256"/>
      <w:r>
        <w:rPr>
          <w:rFonts w:hint="eastAsia" w:ascii="宋体" w:hAnsi="宋体"/>
          <w:i w:val="0"/>
          <w:iCs w:val="0"/>
          <w:color w:val="auto"/>
          <w:sz w:val="18"/>
          <w:szCs w:val="18"/>
          <w:highlight w:val="none"/>
        </w:rPr>
        <w:t>注：此表按不同计价文件编制阶段要求填写，其中：</w:t>
      </w:r>
      <w:bookmarkEnd w:id="787"/>
    </w:p>
    <w:p w14:paraId="76DFF30C">
      <w:pPr>
        <w:ind w:firstLine="282" w:firstLineChars="157"/>
        <w:rPr>
          <w:rFonts w:ascii="宋体" w:hAnsi="宋体"/>
          <w:i w:val="0"/>
          <w:iCs w:val="0"/>
          <w:color w:val="auto"/>
          <w:sz w:val="18"/>
          <w:szCs w:val="18"/>
          <w:highlight w:val="none"/>
        </w:rPr>
      </w:pPr>
      <w:bookmarkStart w:id="788" w:name="_Toc45696689"/>
      <w:bookmarkEnd w:id="788"/>
      <w:bookmarkStart w:id="789" w:name="_Toc45697257"/>
      <w:r>
        <w:rPr>
          <w:rFonts w:hint="eastAsia" w:ascii="宋体" w:hAnsi="宋体"/>
          <w:i w:val="0"/>
          <w:iCs w:val="0"/>
          <w:color w:val="auto"/>
          <w:sz w:val="18"/>
          <w:szCs w:val="18"/>
          <w:highlight w:val="none"/>
        </w:rPr>
        <w:t>“机械名称、规格、型号”、“单位”栏内容由招标人在招标工程量清单内填写,各计价阶段可按需要补充；</w:t>
      </w:r>
      <w:bookmarkEnd w:id="789"/>
    </w:p>
    <w:p w14:paraId="51ADC83F">
      <w:pPr>
        <w:ind w:firstLine="282" w:firstLineChars="157"/>
        <w:rPr>
          <w:rFonts w:ascii="宋体" w:hAnsi="宋体"/>
          <w:i w:val="0"/>
          <w:iCs w:val="0"/>
          <w:color w:val="auto"/>
          <w:sz w:val="18"/>
          <w:szCs w:val="18"/>
          <w:highlight w:val="none"/>
        </w:rPr>
      </w:pPr>
      <w:bookmarkStart w:id="790" w:name="_Toc45697258"/>
      <w:bookmarkEnd w:id="790"/>
      <w:bookmarkStart w:id="791" w:name="_Toc45696690"/>
      <w:r>
        <w:rPr>
          <w:rFonts w:hint="eastAsia" w:ascii="宋体" w:hAnsi="宋体"/>
          <w:i w:val="0"/>
          <w:iCs w:val="0"/>
          <w:color w:val="auto"/>
          <w:sz w:val="18"/>
          <w:szCs w:val="18"/>
          <w:highlight w:val="none"/>
        </w:rPr>
        <w:t>“数量”栏由不同阶段计价人按工程计量分析数量填写；</w:t>
      </w:r>
      <w:bookmarkEnd w:id="791"/>
    </w:p>
    <w:p w14:paraId="17517C59">
      <w:pPr>
        <w:ind w:firstLine="282" w:firstLineChars="157"/>
        <w:rPr>
          <w:rFonts w:ascii="宋体" w:hAnsi="宋体"/>
          <w:i w:val="0"/>
          <w:iCs w:val="0"/>
          <w:color w:val="auto"/>
          <w:sz w:val="18"/>
          <w:szCs w:val="18"/>
          <w:highlight w:val="none"/>
        </w:rPr>
      </w:pPr>
      <w:bookmarkStart w:id="792" w:name="_Toc45697259"/>
      <w:bookmarkEnd w:id="792"/>
      <w:bookmarkStart w:id="793" w:name="_Toc45696691"/>
      <w:r>
        <w:rPr>
          <w:rFonts w:hint="eastAsia" w:ascii="宋体" w:hAnsi="宋体"/>
          <w:i w:val="0"/>
          <w:iCs w:val="0"/>
          <w:color w:val="auto"/>
          <w:sz w:val="18"/>
          <w:szCs w:val="18"/>
          <w:highlight w:val="none"/>
        </w:rPr>
        <w:t>“单价”栏的填写：招标控制价应优先采用工程造价管理机构发布的单价；投标报价由投标人在投标时自主确定投标单价；工程结算时按合同约定确定单价。</w:t>
      </w:r>
      <w:bookmarkEnd w:id="793"/>
    </w:p>
    <w:p w14:paraId="37083DCC">
      <w:pPr>
        <w:pStyle w:val="14"/>
        <w:rPr>
          <w:rFonts w:hint="eastAsia"/>
          <w:i w:val="0"/>
          <w:iCs w:val="0"/>
          <w:color w:val="auto"/>
          <w:highlight w:val="none"/>
        </w:rPr>
        <w:sectPr>
          <w:pgSz w:w="11907" w:h="16839"/>
          <w:pgMar w:top="1400" w:right="1718" w:bottom="1123" w:left="1718" w:header="0" w:footer="919" w:gutter="0"/>
          <w:cols w:space="720" w:num="1"/>
        </w:sectPr>
      </w:pPr>
    </w:p>
    <w:p w14:paraId="55B07E20">
      <w:pPr>
        <w:widowControl/>
        <w:autoSpaceDE/>
        <w:autoSpaceDN/>
        <w:adjustRightInd/>
        <w:spacing w:line="360" w:lineRule="auto"/>
        <w:rPr>
          <w:rFonts w:ascii="宋体" w:hAnsi="宋体"/>
          <w:i w:val="0"/>
          <w:iCs w:val="0"/>
          <w:color w:val="auto"/>
          <w:sz w:val="72"/>
          <w:szCs w:val="72"/>
          <w:highlight w:val="none"/>
        </w:rPr>
      </w:pPr>
    </w:p>
    <w:p w14:paraId="066C5FE3">
      <w:pPr>
        <w:pStyle w:val="14"/>
        <w:rPr>
          <w:rFonts w:hint="eastAsia"/>
          <w:i w:val="0"/>
          <w:iCs w:val="0"/>
          <w:color w:val="auto"/>
          <w:highlight w:val="none"/>
        </w:rPr>
      </w:pPr>
    </w:p>
    <w:p w14:paraId="055BC96C">
      <w:pPr>
        <w:rPr>
          <w:i w:val="0"/>
          <w:iCs w:val="0"/>
          <w:color w:val="auto"/>
          <w:highlight w:val="none"/>
        </w:rPr>
      </w:pPr>
    </w:p>
    <w:p w14:paraId="170F955E">
      <w:pPr>
        <w:pStyle w:val="14"/>
        <w:rPr>
          <w:rFonts w:hint="eastAsia"/>
          <w:i w:val="0"/>
          <w:iCs w:val="0"/>
          <w:color w:val="auto"/>
          <w:highlight w:val="none"/>
        </w:rPr>
      </w:pPr>
    </w:p>
    <w:p w14:paraId="0FE7622A">
      <w:pPr>
        <w:rPr>
          <w:i w:val="0"/>
          <w:iCs w:val="0"/>
          <w:color w:val="auto"/>
          <w:highlight w:val="none"/>
        </w:rPr>
        <w:sectPr>
          <w:type w:val="continuous"/>
          <w:pgSz w:w="11907" w:h="16839"/>
          <w:pgMar w:top="1440" w:right="1800" w:bottom="1440" w:left="1800" w:header="720" w:footer="720" w:gutter="0"/>
          <w:cols w:space="720" w:num="1"/>
        </w:sectPr>
      </w:pPr>
    </w:p>
    <w:p w14:paraId="7206A15B">
      <w:pPr>
        <w:jc w:val="center"/>
        <w:rPr>
          <w:b/>
          <w:bCs/>
          <w:i w:val="0"/>
          <w:iCs w:val="0"/>
          <w:color w:val="auto"/>
          <w:sz w:val="72"/>
          <w:szCs w:val="72"/>
          <w:highlight w:val="none"/>
        </w:rPr>
      </w:pPr>
      <w:r>
        <w:rPr>
          <w:rFonts w:hint="eastAsia" w:ascii="宋体" w:hAnsi="宋体"/>
          <w:b/>
          <w:bCs/>
          <w:i w:val="0"/>
          <w:iCs w:val="0"/>
          <w:color w:val="auto"/>
          <w:sz w:val="72"/>
          <w:szCs w:val="72"/>
          <w:highlight w:val="none"/>
        </w:rPr>
        <w:t>施工投标文件</w:t>
      </w:r>
    </w:p>
    <w:p w14:paraId="75693341">
      <w:pPr>
        <w:jc w:val="center"/>
        <w:rPr>
          <w:i w:val="0"/>
          <w:iCs w:val="0"/>
          <w:color w:val="auto"/>
          <w:sz w:val="36"/>
          <w:szCs w:val="36"/>
          <w:highlight w:val="none"/>
        </w:rPr>
      </w:pPr>
      <w:r>
        <w:rPr>
          <w:rFonts w:hint="eastAsia" w:ascii="宋体" w:hAnsi="宋体"/>
          <w:i w:val="0"/>
          <w:iCs w:val="0"/>
          <w:color w:val="auto"/>
          <w:sz w:val="36"/>
          <w:szCs w:val="36"/>
          <w:highlight w:val="none"/>
        </w:rPr>
        <w:t>（封面）</w:t>
      </w:r>
    </w:p>
    <w:p w14:paraId="0620DDA3">
      <w:pPr>
        <w:rPr>
          <w:i w:val="0"/>
          <w:iCs w:val="0"/>
          <w:color w:val="auto"/>
          <w:highlight w:val="none"/>
        </w:rPr>
      </w:pPr>
    </w:p>
    <w:p w14:paraId="0CA9C1D0">
      <w:pPr>
        <w:rPr>
          <w:i w:val="0"/>
          <w:iCs w:val="0"/>
          <w:color w:val="auto"/>
          <w:sz w:val="32"/>
          <w:szCs w:val="32"/>
          <w:highlight w:val="none"/>
        </w:rPr>
      </w:pPr>
    </w:p>
    <w:p w14:paraId="7EFCDC72">
      <w:pPr>
        <w:rPr>
          <w:i w:val="0"/>
          <w:iCs w:val="0"/>
          <w:color w:val="auto"/>
          <w:sz w:val="32"/>
          <w:szCs w:val="32"/>
          <w:highlight w:val="none"/>
        </w:rPr>
      </w:pPr>
    </w:p>
    <w:p w14:paraId="7537A560">
      <w:pPr>
        <w:spacing w:after="468" w:afterLines="150" w:line="480" w:lineRule="auto"/>
        <w:ind w:firstLine="627" w:firstLineChars="196"/>
        <w:rPr>
          <w:rFonts w:ascii="宋体" w:hAnsi="宋体"/>
          <w:i w:val="0"/>
          <w:iCs w:val="0"/>
          <w:color w:val="auto"/>
          <w:sz w:val="32"/>
          <w:szCs w:val="32"/>
          <w:highlight w:val="none"/>
          <w:u w:val="single"/>
        </w:rPr>
      </w:pPr>
      <w:r>
        <w:rPr>
          <w:rFonts w:hint="eastAsia" w:ascii="宋体" w:hAnsi="宋体"/>
          <w:i w:val="0"/>
          <w:iCs w:val="0"/>
          <w:color w:val="auto"/>
          <w:sz w:val="32"/>
          <w:szCs w:val="32"/>
          <w:highlight w:val="none"/>
        </w:rPr>
        <w:t>工程名称：</w:t>
      </w:r>
    </w:p>
    <w:p w14:paraId="6201404D">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投标文件内容：</w:t>
      </w:r>
      <w:r>
        <w:rPr>
          <w:rFonts w:hint="eastAsia" w:ascii="宋体" w:hAnsi="宋体"/>
          <w:i w:val="0"/>
          <w:iCs w:val="0"/>
          <w:color w:val="auto"/>
          <w:sz w:val="32"/>
          <w:szCs w:val="32"/>
          <w:highlight w:val="none"/>
          <w:u w:val="single"/>
        </w:rPr>
        <w:t xml:space="preserve">      投标文件技术标           </w:t>
      </w:r>
    </w:p>
    <w:p w14:paraId="0F7183EE">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投标人：</w:t>
      </w:r>
      <w:r>
        <w:rPr>
          <w:rFonts w:hint="eastAsia" w:ascii="宋体" w:hAnsi="宋体"/>
          <w:i w:val="0"/>
          <w:iCs w:val="0"/>
          <w:color w:val="auto"/>
          <w:sz w:val="32"/>
          <w:szCs w:val="32"/>
          <w:highlight w:val="none"/>
          <w:u w:val="single"/>
        </w:rPr>
        <w:t xml:space="preserve">                         （单位盖章）</w:t>
      </w:r>
    </w:p>
    <w:p w14:paraId="685AE6FC">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法定代表人或委托代理人：</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highlight w:val="none"/>
          <w:u w:val="single"/>
        </w:rPr>
        <w:t>签字或盖章</w:t>
      </w:r>
      <w:r>
        <w:rPr>
          <w:rFonts w:hint="eastAsia" w:ascii="宋体" w:hAnsi="宋体"/>
          <w:i w:val="0"/>
          <w:iCs w:val="0"/>
          <w:color w:val="auto"/>
          <w:sz w:val="32"/>
          <w:szCs w:val="32"/>
          <w:highlight w:val="none"/>
          <w:u w:val="single"/>
        </w:rPr>
        <w:t>）</w:t>
      </w:r>
    </w:p>
    <w:p w14:paraId="60362F4A">
      <w:pPr>
        <w:spacing w:after="468" w:afterLines="150" w:line="480" w:lineRule="auto"/>
        <w:ind w:firstLine="627" w:firstLineChars="196"/>
        <w:jc w:val="center"/>
        <w:rPr>
          <w:rFonts w:ascii="宋体" w:hAnsi="宋体" w:cs="Microsoft JhengHei"/>
          <w:b/>
          <w:bCs/>
          <w:i w:val="0"/>
          <w:iCs w:val="0"/>
          <w:color w:val="auto"/>
          <w:sz w:val="20"/>
          <w:szCs w:val="20"/>
          <w:highlight w:val="none"/>
        </w:rPr>
      </w:pPr>
      <w:r>
        <w:rPr>
          <w:rFonts w:hint="eastAsia" w:ascii="宋体" w:hAnsi="宋体"/>
          <w:i w:val="0"/>
          <w:iCs w:val="0"/>
          <w:color w:val="auto"/>
          <w:sz w:val="32"/>
          <w:szCs w:val="32"/>
          <w:highlight w:val="none"/>
        </w:rPr>
        <w:t>日期：    年  月  日</w:t>
      </w:r>
    </w:p>
    <w:p w14:paraId="4AABD351">
      <w:pPr>
        <w:pStyle w:val="10"/>
        <w:spacing w:line="360" w:lineRule="auto"/>
        <w:ind w:firstLine="602"/>
        <w:jc w:val="center"/>
        <w:rPr>
          <w:b/>
          <w:bCs/>
          <w:i w:val="0"/>
          <w:iCs w:val="0"/>
          <w:color w:val="auto"/>
          <w:sz w:val="36"/>
          <w:szCs w:val="36"/>
          <w:highlight w:val="none"/>
        </w:rPr>
      </w:pPr>
      <w:r>
        <w:rPr>
          <w:i w:val="0"/>
          <w:iCs w:val="0"/>
          <w:color w:val="auto"/>
          <w:highlight w:val="none"/>
        </w:rPr>
        <w:br w:type="page"/>
      </w:r>
      <w:r>
        <w:rPr>
          <w:rFonts w:hint="eastAsia" w:hAnsi="宋体"/>
          <w:b/>
          <w:bCs/>
          <w:i w:val="0"/>
          <w:iCs w:val="0"/>
          <w:color w:val="auto"/>
          <w:sz w:val="36"/>
          <w:szCs w:val="36"/>
          <w:highlight w:val="none"/>
        </w:rPr>
        <w:t>目录</w:t>
      </w:r>
    </w:p>
    <w:p w14:paraId="015BB789">
      <w:pPr>
        <w:pStyle w:val="14"/>
        <w:rPr>
          <w:rFonts w:hint="eastAsia"/>
          <w:i w:val="0"/>
          <w:iCs w:val="0"/>
          <w:color w:val="auto"/>
          <w:highlight w:val="none"/>
        </w:rPr>
      </w:pPr>
    </w:p>
    <w:p w14:paraId="671C1A20">
      <w:pPr>
        <w:autoSpaceDN/>
        <w:spacing w:line="360" w:lineRule="auto"/>
        <w:ind w:firstLine="560" w:firstLineChars="200"/>
        <w:jc w:val="both"/>
        <w:rPr>
          <w:i w:val="0"/>
          <w:iCs w:val="0"/>
          <w:color w:val="auto"/>
          <w:sz w:val="28"/>
          <w:szCs w:val="28"/>
          <w:highlight w:val="none"/>
        </w:rPr>
      </w:pPr>
      <w:r>
        <w:rPr>
          <w:rFonts w:hint="eastAsia" w:ascii="宋体" w:hAnsi="宋体"/>
          <w:i w:val="0"/>
          <w:iCs w:val="0"/>
          <w:color w:val="auto"/>
          <w:sz w:val="28"/>
          <w:szCs w:val="28"/>
          <w:highlight w:val="none"/>
        </w:rPr>
        <w:t>1.施工组织设计</w:t>
      </w:r>
    </w:p>
    <w:p w14:paraId="66020B55">
      <w:pPr>
        <w:autoSpaceDN/>
        <w:spacing w:line="360" w:lineRule="auto"/>
        <w:ind w:firstLine="560" w:firstLineChars="200"/>
        <w:jc w:val="both"/>
        <w:rPr>
          <w:i w:val="0"/>
          <w:iCs w:val="0"/>
          <w:strike/>
          <w:dstrike w:val="0"/>
          <w:color w:val="auto"/>
          <w:sz w:val="28"/>
          <w:szCs w:val="28"/>
          <w:highlight w:val="none"/>
        </w:rPr>
      </w:pPr>
      <w:r>
        <w:rPr>
          <w:rFonts w:hint="eastAsia" w:ascii="宋体" w:hAnsi="宋体"/>
          <w:bCs/>
          <w:i w:val="0"/>
          <w:iCs w:val="0"/>
          <w:strike/>
          <w:dstrike w:val="0"/>
          <w:color w:val="auto"/>
          <w:sz w:val="28"/>
          <w:szCs w:val="28"/>
          <w:highlight w:val="none"/>
        </w:rPr>
        <w:t>2.</w:t>
      </w:r>
      <w:r>
        <w:rPr>
          <w:rFonts w:ascii="宋体" w:hAnsi="宋体" w:cs="宋体"/>
          <w:bCs/>
          <w:i w:val="0"/>
          <w:iCs w:val="0"/>
          <w:strike/>
          <w:dstrike w:val="0"/>
          <w:color w:val="auto"/>
          <w:sz w:val="28"/>
          <w:szCs w:val="28"/>
          <w:highlight w:val="none"/>
        </w:rPr>
        <w:t>针对本工程招标人特殊要求的技术措施</w:t>
      </w:r>
    </w:p>
    <w:p w14:paraId="28F886D0">
      <w:pPr>
        <w:autoSpaceDN/>
        <w:spacing w:line="360" w:lineRule="auto"/>
        <w:ind w:firstLine="560" w:firstLineChars="200"/>
        <w:jc w:val="both"/>
        <w:rPr>
          <w:i w:val="0"/>
          <w:iCs w:val="0"/>
          <w:color w:val="auto"/>
          <w:sz w:val="28"/>
          <w:szCs w:val="28"/>
          <w:highlight w:val="none"/>
        </w:rPr>
      </w:pPr>
      <w:r>
        <w:rPr>
          <w:rFonts w:hint="eastAsia" w:ascii="宋体" w:hAnsi="宋体"/>
          <w:i w:val="0"/>
          <w:iCs w:val="0"/>
          <w:color w:val="auto"/>
          <w:sz w:val="28"/>
          <w:szCs w:val="28"/>
          <w:highlight w:val="none"/>
        </w:rPr>
        <w:t>3.项目管理班子配备情况</w:t>
      </w:r>
    </w:p>
    <w:p w14:paraId="2E835AD2">
      <w:pPr>
        <w:autoSpaceDN/>
        <w:spacing w:line="360" w:lineRule="auto"/>
        <w:ind w:firstLine="560" w:firstLineChars="200"/>
        <w:jc w:val="both"/>
        <w:rPr>
          <w:i w:val="0"/>
          <w:iCs w:val="0"/>
          <w:strike/>
          <w:dstrike w:val="0"/>
          <w:color w:val="auto"/>
          <w:sz w:val="28"/>
          <w:szCs w:val="28"/>
          <w:highlight w:val="none"/>
        </w:rPr>
      </w:pPr>
      <w:r>
        <w:rPr>
          <w:rFonts w:hint="eastAsia" w:ascii="宋体" w:hAnsi="宋体"/>
          <w:i w:val="0"/>
          <w:iCs w:val="0"/>
          <w:strike/>
          <w:dstrike w:val="0"/>
          <w:color w:val="auto"/>
          <w:sz w:val="28"/>
          <w:szCs w:val="28"/>
          <w:highlight w:val="none"/>
        </w:rPr>
        <w:t>4.拟分包项目名称和分包商情况</w:t>
      </w:r>
    </w:p>
    <w:p w14:paraId="6FE48D0C">
      <w:pPr>
        <w:autoSpaceDN/>
        <w:spacing w:line="360" w:lineRule="auto"/>
        <w:ind w:firstLine="560" w:firstLineChars="200"/>
        <w:jc w:val="both"/>
        <w:rPr>
          <w:i w:val="0"/>
          <w:iCs w:val="0"/>
          <w:color w:val="auto"/>
          <w:sz w:val="28"/>
          <w:szCs w:val="28"/>
          <w:highlight w:val="none"/>
        </w:rPr>
      </w:pPr>
      <w:r>
        <w:rPr>
          <w:rFonts w:hint="eastAsia" w:ascii="宋体" w:hAnsi="宋体"/>
          <w:i w:val="0"/>
          <w:iCs w:val="0"/>
          <w:color w:val="auto"/>
          <w:sz w:val="28"/>
          <w:szCs w:val="28"/>
          <w:highlight w:val="none"/>
        </w:rPr>
        <w:t>5.招标人要求提交的其他资料</w:t>
      </w:r>
    </w:p>
    <w:p w14:paraId="058281A3">
      <w:pPr>
        <w:spacing w:after="468" w:afterLines="150"/>
        <w:rPr>
          <w:i w:val="0"/>
          <w:iCs w:val="0"/>
          <w:color w:val="auto"/>
          <w:highlight w:val="none"/>
        </w:rPr>
      </w:pPr>
    </w:p>
    <w:p w14:paraId="4CE58881">
      <w:pPr>
        <w:spacing w:after="468" w:afterLines="150"/>
        <w:rPr>
          <w:i w:val="0"/>
          <w:iCs w:val="0"/>
          <w:color w:val="auto"/>
          <w:highlight w:val="none"/>
        </w:rPr>
      </w:pPr>
    </w:p>
    <w:p w14:paraId="0F0FD521">
      <w:pPr>
        <w:autoSpaceDN/>
        <w:jc w:val="center"/>
        <w:rPr>
          <w:b/>
          <w:bCs/>
          <w:i w:val="0"/>
          <w:iCs w:val="0"/>
          <w:color w:val="auto"/>
          <w:sz w:val="36"/>
          <w:szCs w:val="36"/>
          <w:highlight w:val="none"/>
        </w:rPr>
      </w:pPr>
      <w:r>
        <w:rPr>
          <w:i w:val="0"/>
          <w:iCs w:val="0"/>
          <w:color w:val="auto"/>
          <w:sz w:val="32"/>
          <w:szCs w:val="32"/>
          <w:highlight w:val="none"/>
        </w:rPr>
        <w:br w:type="page"/>
      </w:r>
      <w:r>
        <w:rPr>
          <w:rFonts w:hint="eastAsia" w:ascii="宋体" w:hAnsi="宋体"/>
          <w:i w:val="0"/>
          <w:iCs w:val="0"/>
          <w:color w:val="auto"/>
          <w:sz w:val="32"/>
          <w:szCs w:val="32"/>
          <w:highlight w:val="none"/>
        </w:rPr>
        <w:t>一、</w:t>
      </w:r>
      <w:r>
        <w:rPr>
          <w:rFonts w:hint="eastAsia" w:ascii="宋体" w:hAnsi="宋体"/>
          <w:b/>
          <w:bCs/>
          <w:i w:val="0"/>
          <w:iCs w:val="0"/>
          <w:color w:val="auto"/>
          <w:sz w:val="36"/>
          <w:szCs w:val="36"/>
          <w:highlight w:val="none"/>
        </w:rPr>
        <w:t>施工组织设计</w:t>
      </w:r>
    </w:p>
    <w:p w14:paraId="1D92ACD9">
      <w:pPr>
        <w:pStyle w:val="46"/>
        <w:rPr>
          <w:i w:val="0"/>
          <w:iCs w:val="0"/>
          <w:color w:val="auto"/>
          <w:highlight w:val="none"/>
        </w:rPr>
      </w:pPr>
    </w:p>
    <w:p w14:paraId="3D25C84E">
      <w:pPr>
        <w:numPr>
          <w:ilvl w:val="1"/>
          <w:numId w:val="44"/>
        </w:numPr>
        <w:autoSpaceDN/>
        <w:snapToGrid w:val="0"/>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6920CC4F">
      <w:pPr>
        <w:numPr>
          <w:ilvl w:val="1"/>
          <w:numId w:val="44"/>
        </w:numPr>
        <w:autoSpaceDN/>
        <w:snapToGrid w:val="0"/>
        <w:spacing w:line="360" w:lineRule="auto"/>
        <w:ind w:left="0" w:firstLine="480" w:firstLineChars="200"/>
        <w:rPr>
          <w:rFonts w:ascii="宋体" w:hAnsi="宋体"/>
          <w:i w:val="0"/>
          <w:iCs w:val="0"/>
          <w:color w:val="auto"/>
          <w:highlight w:val="none"/>
        </w:rPr>
      </w:pPr>
      <w:r>
        <w:rPr>
          <w:rFonts w:hint="eastAsia" w:ascii="宋体" w:hAnsi="宋体"/>
          <w:i w:val="0"/>
          <w:iCs w:val="0"/>
          <w:color w:val="auto"/>
          <w:highlight w:val="none"/>
        </w:rPr>
        <w:t>施工组织设计除采用文字表述外应附下列图表，图表及格式要求附后。</w:t>
      </w:r>
    </w:p>
    <w:p w14:paraId="2086656A">
      <w:pPr>
        <w:autoSpaceDN/>
        <w:spacing w:line="360" w:lineRule="auto"/>
        <w:ind w:left="539"/>
        <w:rPr>
          <w:rFonts w:ascii="宋体" w:hAnsi="宋体"/>
          <w:i w:val="0"/>
          <w:iCs w:val="0"/>
          <w:color w:val="auto"/>
          <w:highlight w:val="none"/>
        </w:rPr>
      </w:pPr>
    </w:p>
    <w:p w14:paraId="23300E92">
      <w:pPr>
        <w:autoSpaceDN/>
        <w:spacing w:line="360" w:lineRule="auto"/>
        <w:ind w:left="539"/>
        <w:rPr>
          <w:rFonts w:ascii="宋体" w:hAnsi="宋体"/>
          <w:i w:val="0"/>
          <w:iCs w:val="0"/>
          <w:color w:val="auto"/>
          <w:highlight w:val="none"/>
        </w:rPr>
      </w:pPr>
      <w:r>
        <w:rPr>
          <w:rFonts w:hint="eastAsia" w:ascii="宋体" w:hAnsi="宋体"/>
          <w:i w:val="0"/>
          <w:iCs w:val="0"/>
          <w:color w:val="auto"/>
          <w:highlight w:val="none"/>
        </w:rPr>
        <w:t>表1  拟投入的主要施工机械设备表；</w:t>
      </w:r>
    </w:p>
    <w:p w14:paraId="4714C684">
      <w:pPr>
        <w:autoSpaceDN/>
        <w:spacing w:line="360" w:lineRule="auto"/>
        <w:ind w:left="539"/>
        <w:rPr>
          <w:rFonts w:ascii="宋体" w:hAnsi="宋体"/>
          <w:i w:val="0"/>
          <w:iCs w:val="0"/>
          <w:color w:val="auto"/>
          <w:highlight w:val="none"/>
        </w:rPr>
      </w:pPr>
    </w:p>
    <w:p w14:paraId="26C4FCF6">
      <w:pPr>
        <w:autoSpaceDN/>
        <w:spacing w:line="360" w:lineRule="auto"/>
        <w:ind w:left="539"/>
        <w:rPr>
          <w:rFonts w:ascii="宋体" w:hAnsi="宋体"/>
          <w:i w:val="0"/>
          <w:iCs w:val="0"/>
          <w:color w:val="auto"/>
          <w:highlight w:val="none"/>
        </w:rPr>
      </w:pPr>
      <w:r>
        <w:rPr>
          <w:rFonts w:hint="eastAsia" w:ascii="宋体" w:hAnsi="宋体"/>
          <w:i w:val="0"/>
          <w:iCs w:val="0"/>
          <w:color w:val="auto"/>
          <w:highlight w:val="none"/>
        </w:rPr>
        <w:t>表2  劳动力计划表</w:t>
      </w:r>
    </w:p>
    <w:p w14:paraId="335A0DCE">
      <w:pPr>
        <w:autoSpaceDN/>
        <w:spacing w:line="360" w:lineRule="auto"/>
        <w:ind w:left="539"/>
        <w:rPr>
          <w:rFonts w:ascii="宋体" w:hAnsi="宋体"/>
          <w:i w:val="0"/>
          <w:iCs w:val="0"/>
          <w:color w:val="auto"/>
          <w:highlight w:val="none"/>
        </w:rPr>
      </w:pPr>
    </w:p>
    <w:p w14:paraId="5A215B2E">
      <w:pPr>
        <w:autoSpaceDN/>
        <w:spacing w:line="360" w:lineRule="auto"/>
        <w:ind w:left="539"/>
        <w:rPr>
          <w:rFonts w:ascii="宋体" w:hAnsi="宋体"/>
          <w:i w:val="0"/>
          <w:iCs w:val="0"/>
          <w:color w:val="auto"/>
          <w:highlight w:val="none"/>
        </w:rPr>
      </w:pPr>
      <w:r>
        <w:rPr>
          <w:rFonts w:hint="eastAsia" w:ascii="宋体" w:hAnsi="宋体"/>
          <w:i w:val="0"/>
          <w:iCs w:val="0"/>
          <w:color w:val="auto"/>
          <w:highlight w:val="none"/>
        </w:rPr>
        <w:t>表3  计划开、竣工日期和施工进度网络图；</w:t>
      </w:r>
    </w:p>
    <w:p w14:paraId="2D2C666B">
      <w:pPr>
        <w:autoSpaceDN/>
        <w:spacing w:line="360" w:lineRule="auto"/>
        <w:ind w:left="539"/>
        <w:rPr>
          <w:rFonts w:ascii="宋体" w:hAnsi="宋体"/>
          <w:i w:val="0"/>
          <w:iCs w:val="0"/>
          <w:color w:val="auto"/>
          <w:highlight w:val="none"/>
        </w:rPr>
      </w:pPr>
    </w:p>
    <w:p w14:paraId="7C74E670">
      <w:pPr>
        <w:autoSpaceDN/>
        <w:spacing w:line="360" w:lineRule="auto"/>
        <w:ind w:left="539"/>
        <w:rPr>
          <w:rFonts w:ascii="宋体" w:hAnsi="宋体"/>
          <w:i w:val="0"/>
          <w:iCs w:val="0"/>
          <w:color w:val="auto"/>
          <w:highlight w:val="none"/>
        </w:rPr>
      </w:pPr>
      <w:r>
        <w:rPr>
          <w:rFonts w:hint="eastAsia" w:ascii="宋体" w:hAnsi="宋体"/>
          <w:i w:val="0"/>
          <w:iCs w:val="0"/>
          <w:color w:val="auto"/>
          <w:highlight w:val="none"/>
        </w:rPr>
        <w:t>表4  施工总平面布置图及临时用地表；</w:t>
      </w:r>
    </w:p>
    <w:p w14:paraId="3D7FACAE">
      <w:pPr>
        <w:spacing w:line="360" w:lineRule="auto"/>
        <w:jc w:val="center"/>
        <w:rPr>
          <w:rFonts w:ascii="宋体" w:hAnsi="宋体"/>
          <w:b/>
          <w:bCs/>
          <w:i w:val="0"/>
          <w:iCs w:val="0"/>
          <w:color w:val="auto"/>
          <w:highlight w:val="none"/>
        </w:rPr>
      </w:pPr>
      <w:r>
        <w:rPr>
          <w:rFonts w:hint="eastAsia" w:ascii="宋体" w:hAnsi="宋体"/>
          <w:i w:val="0"/>
          <w:iCs w:val="0"/>
          <w:color w:val="auto"/>
          <w:highlight w:val="none"/>
        </w:rPr>
        <w:br w:type="page"/>
      </w:r>
      <w:r>
        <w:rPr>
          <w:rFonts w:hint="eastAsia" w:ascii="宋体" w:hAnsi="宋体"/>
          <w:b/>
          <w:bCs/>
          <w:i w:val="0"/>
          <w:iCs w:val="0"/>
          <w:color w:val="auto"/>
          <w:highlight w:val="none"/>
        </w:rPr>
        <w:t>表1  拟投入的主要施工机械设备表</w:t>
      </w:r>
    </w:p>
    <w:tbl>
      <w:tblPr>
        <w:tblStyle w:val="21"/>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3B80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049C5576">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序号</w:t>
            </w:r>
          </w:p>
        </w:tc>
        <w:tc>
          <w:tcPr>
            <w:tcW w:w="1182" w:type="dxa"/>
            <w:tcBorders>
              <w:top w:val="single" w:color="auto" w:sz="4" w:space="0"/>
              <w:left w:val="nil"/>
              <w:bottom w:val="single" w:color="auto" w:sz="4" w:space="0"/>
              <w:right w:val="single" w:color="auto" w:sz="4" w:space="0"/>
            </w:tcBorders>
            <w:noWrap/>
            <w:vAlign w:val="center"/>
          </w:tcPr>
          <w:p w14:paraId="5DE1DF60">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机械或</w:t>
            </w:r>
          </w:p>
          <w:p w14:paraId="7A355F04">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设备名称</w:t>
            </w:r>
          </w:p>
        </w:tc>
        <w:tc>
          <w:tcPr>
            <w:tcW w:w="842" w:type="dxa"/>
            <w:tcBorders>
              <w:top w:val="single" w:color="auto" w:sz="4" w:space="0"/>
              <w:left w:val="nil"/>
              <w:bottom w:val="single" w:color="auto" w:sz="4" w:space="0"/>
              <w:right w:val="single" w:color="auto" w:sz="4" w:space="0"/>
            </w:tcBorders>
            <w:noWrap/>
            <w:vAlign w:val="center"/>
          </w:tcPr>
          <w:p w14:paraId="6B85E3FA">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型号</w:t>
            </w:r>
          </w:p>
          <w:p w14:paraId="16C525DE">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规格</w:t>
            </w:r>
          </w:p>
        </w:tc>
        <w:tc>
          <w:tcPr>
            <w:tcW w:w="842" w:type="dxa"/>
            <w:tcBorders>
              <w:top w:val="single" w:color="auto" w:sz="4" w:space="0"/>
              <w:left w:val="nil"/>
              <w:bottom w:val="single" w:color="auto" w:sz="4" w:space="0"/>
              <w:right w:val="single" w:color="auto" w:sz="4" w:space="0"/>
            </w:tcBorders>
            <w:noWrap/>
            <w:vAlign w:val="center"/>
          </w:tcPr>
          <w:p w14:paraId="5002186E">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数量</w:t>
            </w:r>
          </w:p>
        </w:tc>
        <w:tc>
          <w:tcPr>
            <w:tcW w:w="843" w:type="dxa"/>
            <w:tcBorders>
              <w:top w:val="single" w:color="auto" w:sz="4" w:space="0"/>
              <w:left w:val="nil"/>
              <w:bottom w:val="single" w:color="auto" w:sz="4" w:space="0"/>
              <w:right w:val="single" w:color="auto" w:sz="4" w:space="0"/>
            </w:tcBorders>
            <w:noWrap/>
            <w:vAlign w:val="center"/>
          </w:tcPr>
          <w:p w14:paraId="098EB1CB">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国别</w:t>
            </w:r>
          </w:p>
          <w:p w14:paraId="44E301F9">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产地</w:t>
            </w:r>
          </w:p>
        </w:tc>
        <w:tc>
          <w:tcPr>
            <w:tcW w:w="905" w:type="dxa"/>
            <w:tcBorders>
              <w:top w:val="single" w:color="auto" w:sz="4" w:space="0"/>
              <w:left w:val="nil"/>
              <w:bottom w:val="single" w:color="auto" w:sz="4" w:space="0"/>
              <w:right w:val="single" w:color="auto" w:sz="4" w:space="0"/>
            </w:tcBorders>
            <w:noWrap/>
            <w:vAlign w:val="center"/>
          </w:tcPr>
          <w:p w14:paraId="442008ED">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制造</w:t>
            </w:r>
          </w:p>
          <w:p w14:paraId="044137E0">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年份</w:t>
            </w:r>
          </w:p>
        </w:tc>
        <w:tc>
          <w:tcPr>
            <w:tcW w:w="1206" w:type="dxa"/>
            <w:tcBorders>
              <w:top w:val="single" w:color="auto" w:sz="4" w:space="0"/>
              <w:left w:val="nil"/>
              <w:bottom w:val="single" w:color="auto" w:sz="4" w:space="0"/>
              <w:right w:val="single" w:color="auto" w:sz="4" w:space="0"/>
            </w:tcBorders>
            <w:noWrap/>
            <w:vAlign w:val="center"/>
          </w:tcPr>
          <w:p w14:paraId="145A8D1E">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额定功率（</w:t>
            </w:r>
            <w:r>
              <w:rPr>
                <w:rFonts w:hint="default" w:ascii="Times New Roman" w:hAnsi="Times New Roman" w:cs="Times New Roman"/>
                <w:i w:val="0"/>
                <w:iCs w:val="0"/>
                <w:color w:val="auto"/>
                <w:highlight w:val="none"/>
              </w:rPr>
              <w:t>KW</w:t>
            </w:r>
            <w:r>
              <w:rPr>
                <w:rFonts w:hint="eastAsia" w:ascii="Times New Roman" w:hAnsi="Times New Roman" w:cs="Times New Roman"/>
                <w:i w:val="0"/>
                <w:iCs w:val="0"/>
                <w:color w:val="auto"/>
                <w:highlight w:val="none"/>
              </w:rPr>
              <w:t>）</w:t>
            </w:r>
          </w:p>
        </w:tc>
        <w:tc>
          <w:tcPr>
            <w:tcW w:w="843" w:type="dxa"/>
            <w:tcBorders>
              <w:top w:val="single" w:color="auto" w:sz="4" w:space="0"/>
              <w:left w:val="nil"/>
              <w:bottom w:val="single" w:color="auto" w:sz="4" w:space="0"/>
              <w:right w:val="single" w:color="auto" w:sz="4" w:space="0"/>
            </w:tcBorders>
            <w:noWrap/>
            <w:vAlign w:val="center"/>
          </w:tcPr>
          <w:p w14:paraId="422D16EB">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生产</w:t>
            </w:r>
          </w:p>
          <w:p w14:paraId="0B6AFA95">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能力</w:t>
            </w:r>
          </w:p>
        </w:tc>
        <w:tc>
          <w:tcPr>
            <w:tcW w:w="1085" w:type="dxa"/>
            <w:tcBorders>
              <w:top w:val="single" w:color="auto" w:sz="4" w:space="0"/>
              <w:left w:val="nil"/>
              <w:bottom w:val="single" w:color="auto" w:sz="4" w:space="0"/>
              <w:right w:val="single" w:color="auto" w:sz="4" w:space="0"/>
            </w:tcBorders>
            <w:noWrap/>
            <w:vAlign w:val="center"/>
          </w:tcPr>
          <w:p w14:paraId="30080CEC">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用于施工部位备注</w:t>
            </w:r>
          </w:p>
        </w:tc>
      </w:tr>
      <w:tr w14:paraId="5FC70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355C1D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358975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3E76AC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A60F53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6AE279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B66BC3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54D1AF9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6CD2A6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910C6E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5CD0C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038B4B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F9F7B0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3A07888">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70D7D0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9DC37A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664558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15EDD7C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96365A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522D77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0EEA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B161EC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D083558">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52D4AE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70DAC2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43A01E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1B51E5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873F73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965C23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659A09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198DA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9" w:type="dxa"/>
            <w:tcBorders>
              <w:top w:val="single" w:color="auto" w:sz="4" w:space="0"/>
              <w:left w:val="single" w:color="auto" w:sz="4" w:space="0"/>
              <w:bottom w:val="single" w:color="auto" w:sz="4" w:space="0"/>
              <w:right w:val="single" w:color="auto" w:sz="4" w:space="0"/>
            </w:tcBorders>
            <w:noWrap/>
            <w:vAlign w:val="top"/>
          </w:tcPr>
          <w:p w14:paraId="792678A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B6F055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F385F6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0CE788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29134E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DDFD6B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1B0F88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6F29F6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9F36C2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3DCE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A99AA1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639D3B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C5C8188">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D5D83D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166FD7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4A22BC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1296AB44">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FA8B1F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D1912B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3FE8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080AD5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A6A342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093749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C6FC84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7652D3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E23458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D5EDB68">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CDD979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3A562B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7301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DB1FD9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DBC5A4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BDC31E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04BB3E3">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7DBC94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6027824">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32CA8C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723708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ECABE0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08FF7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144F47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E01FF8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23E9D7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423FBB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053B26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05E87D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9DF88C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0529E7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D65E849">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728B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5F5848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0A596CA">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C68C3C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5FBA964">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4D1410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FF7F3B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5F37D31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8DB30AF">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81D592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64BC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AF38066">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7872FE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A99B2E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F1F5C1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F08F28B">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7649E7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139EAD4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2B35C2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D0BC190">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r w14:paraId="60685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71CAD0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147CC75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F857627">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629D645">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D91A81E">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76A86D52">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80C0B9C">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9174CE1">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9F7D02D">
            <w:pPr>
              <w:keepNext w:val="0"/>
              <w:keepLines w:val="0"/>
              <w:suppressLineNumbers w:val="0"/>
              <w:spacing w:before="0" w:beforeAutospacing="0" w:after="468" w:afterLines="150" w:afterAutospacing="0"/>
              <w:ind w:left="0" w:right="0"/>
              <w:rPr>
                <w:rFonts w:hint="default" w:ascii="Times New Roman" w:hAnsi="Times New Roman" w:cs="Times New Roman"/>
                <w:i w:val="0"/>
                <w:iCs w:val="0"/>
                <w:color w:val="auto"/>
                <w:highlight w:val="none"/>
              </w:rPr>
            </w:pPr>
          </w:p>
        </w:tc>
      </w:tr>
    </w:tbl>
    <w:p w14:paraId="04C07C09">
      <w:pPr>
        <w:spacing w:after="468" w:afterLines="150"/>
        <w:ind w:left="627" w:firstLine="842" w:firstLineChars="351"/>
        <w:rPr>
          <w:i w:val="0"/>
          <w:iCs w:val="0"/>
          <w:color w:val="auto"/>
          <w:highlight w:val="none"/>
        </w:rPr>
      </w:pPr>
    </w:p>
    <w:p w14:paraId="06B23EA3">
      <w:pPr>
        <w:spacing w:after="468" w:afterLines="150"/>
        <w:ind w:left="627" w:firstLine="842" w:firstLineChars="351"/>
        <w:rPr>
          <w:i w:val="0"/>
          <w:iCs w:val="0"/>
          <w:color w:val="auto"/>
          <w:highlight w:val="none"/>
        </w:rPr>
      </w:pPr>
    </w:p>
    <w:p w14:paraId="1B329934">
      <w:pPr>
        <w:spacing w:line="360" w:lineRule="auto"/>
        <w:ind w:firstLine="3017" w:firstLineChars="1252"/>
        <w:rPr>
          <w:rFonts w:ascii="宋体" w:hAnsi="宋体"/>
          <w:b/>
          <w:bCs/>
          <w:i w:val="0"/>
          <w:iCs w:val="0"/>
          <w:color w:val="auto"/>
          <w:highlight w:val="none"/>
        </w:rPr>
      </w:pPr>
      <w:r>
        <w:rPr>
          <w:rFonts w:hAnsi="宋体" w:cs="宋体"/>
          <w:b/>
          <w:bCs/>
          <w:i w:val="0"/>
          <w:iCs w:val="0"/>
          <w:color w:val="auto"/>
          <w:highlight w:val="none"/>
        </w:rPr>
        <w:br w:type="page"/>
      </w:r>
      <w:r>
        <w:rPr>
          <w:rFonts w:hint="eastAsia" w:ascii="宋体" w:hAnsi="宋体"/>
          <w:b/>
          <w:bCs/>
          <w:i w:val="0"/>
          <w:iCs w:val="0"/>
          <w:color w:val="auto"/>
          <w:highlight w:val="none"/>
        </w:rPr>
        <w:t>表2  劳动力计划表</w:t>
      </w:r>
    </w:p>
    <w:p w14:paraId="03996C6C">
      <w:pPr>
        <w:spacing w:after="156" w:afterLines="50"/>
        <w:ind w:left="629" w:right="480"/>
        <w:jc w:val="right"/>
        <w:rPr>
          <w:i w:val="0"/>
          <w:iCs w:val="0"/>
          <w:color w:val="auto"/>
          <w:highlight w:val="none"/>
        </w:rPr>
      </w:pPr>
      <w:r>
        <w:rPr>
          <w:rFonts w:hint="eastAsia" w:ascii="宋体" w:hAnsi="宋体"/>
          <w:i w:val="0"/>
          <w:iCs w:val="0"/>
          <w:color w:val="auto"/>
          <w:highlight w:val="none"/>
        </w:rPr>
        <w:t>单位：人</w:t>
      </w:r>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46F26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14:paraId="4319B5B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7345" w:type="dxa"/>
            <w:gridSpan w:val="7"/>
            <w:tcBorders>
              <w:top w:val="single" w:color="auto" w:sz="4" w:space="0"/>
              <w:left w:val="nil"/>
              <w:bottom w:val="single" w:color="auto" w:sz="4" w:space="0"/>
              <w:right w:val="single" w:color="auto" w:sz="4" w:space="0"/>
            </w:tcBorders>
            <w:noWrap/>
            <w:vAlign w:val="center"/>
          </w:tcPr>
          <w:p w14:paraId="7B6E7CA5">
            <w:pPr>
              <w:keepNext w:val="0"/>
              <w:keepLines w:val="0"/>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eastAsia" w:ascii="Times New Roman" w:hAnsi="Times New Roman" w:cs="Times New Roman"/>
                <w:i w:val="0"/>
                <w:iCs w:val="0"/>
                <w:color w:val="auto"/>
                <w:highlight w:val="none"/>
              </w:rPr>
              <w:t>按工程施工阶段投入劳动力情况</w:t>
            </w:r>
          </w:p>
        </w:tc>
      </w:tr>
      <w:tr w14:paraId="511E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441815AF">
            <w:pPr>
              <w:keepNext w:val="0"/>
              <w:keepLines w:val="0"/>
              <w:widowControl/>
              <w:suppressLineNumbers w:val="0"/>
              <w:autoSpaceDE/>
              <w:autoSpaceDN/>
              <w:adjustRightInd/>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E71BF6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D6F71E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7E15BD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F97732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072B82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4F4241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FB999D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677C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39715A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F89B66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34D162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A9465A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910B17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4A2F4B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C8D88A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91BA0C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3622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BB2162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A6FD72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BE1147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D90266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356E12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632DE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069C3A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EFE5F4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1C4B0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C394F8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41F22A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DEB478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E33624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9A780D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DF6B4F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1EC1EF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3E712E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7C0C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E8110B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0FF5DD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A25EA8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647E7B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78D4BA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0E427E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CC0EC1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555078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575D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403821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4E06F0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165B82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FA6BF7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8CBE8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87967A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40BCE0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09AD0A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62B5F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7EF23E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417FBC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A7EAF7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99A264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C962E9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F74B41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AA10E1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2BE206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1B3F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9906F4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B1E5F9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ABEA05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C6B3A4">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D71878B">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588F7D6">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6DD9B0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86AC2A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1531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B8AB1A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74FCD5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9D4341D">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E5DBC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D04520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3CBC6D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ECBD40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0F7BF3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4A69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37389BA">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821278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C18EC5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4AD85E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72F79C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B0413F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75B16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DECB56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2457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7D83EDE">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22846C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5B6FCB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AAC127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4EC30A9">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2FE9A6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EDB370F">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F7E3C88">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r w14:paraId="73C60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7E6D111">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D2548F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BF4C323">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BE78F05">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E325A30">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A93C5F2">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D904837">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A1DD76C">
            <w:pPr>
              <w:keepNext w:val="0"/>
              <w:keepLines w:val="0"/>
              <w:suppressLineNumbers w:val="0"/>
              <w:spacing w:before="0" w:beforeAutospacing="0" w:after="0" w:afterAutospacing="0"/>
              <w:ind w:left="0" w:right="0"/>
              <w:rPr>
                <w:rFonts w:hint="default" w:ascii="Times New Roman" w:hAnsi="Times New Roman" w:cs="Times New Roman"/>
                <w:i w:val="0"/>
                <w:iCs w:val="0"/>
                <w:color w:val="auto"/>
                <w:highlight w:val="none"/>
              </w:rPr>
            </w:pPr>
          </w:p>
        </w:tc>
      </w:tr>
    </w:tbl>
    <w:p w14:paraId="02E87891">
      <w:pPr>
        <w:ind w:left="629"/>
        <w:rPr>
          <w:i w:val="0"/>
          <w:iCs w:val="0"/>
          <w:color w:val="auto"/>
          <w:highlight w:val="none"/>
        </w:rPr>
      </w:pPr>
    </w:p>
    <w:p w14:paraId="6024C340">
      <w:pPr>
        <w:ind w:left="629"/>
        <w:rPr>
          <w:i w:val="0"/>
          <w:iCs w:val="0"/>
          <w:color w:val="auto"/>
          <w:highlight w:val="none"/>
        </w:rPr>
      </w:pPr>
      <w:r>
        <w:rPr>
          <w:rFonts w:hint="eastAsia" w:ascii="宋体" w:hAnsi="宋体"/>
          <w:i w:val="0"/>
          <w:iCs w:val="0"/>
          <w:color w:val="auto"/>
          <w:highlight w:val="none"/>
        </w:rPr>
        <w:t>注：投标人应按所列格式提交包括分包在内的劳动力计划表。</w:t>
      </w:r>
    </w:p>
    <w:p w14:paraId="6AAB82A8">
      <w:pPr>
        <w:ind w:left="629" w:firstLine="525" w:firstLineChars="219"/>
        <w:rPr>
          <w:i w:val="0"/>
          <w:iCs w:val="0"/>
          <w:color w:val="auto"/>
          <w:highlight w:val="none"/>
        </w:rPr>
      </w:pPr>
      <w:r>
        <w:rPr>
          <w:rFonts w:hint="eastAsia" w:ascii="宋体" w:hAnsi="宋体"/>
          <w:i w:val="0"/>
          <w:iCs w:val="0"/>
          <w:color w:val="auto"/>
          <w:highlight w:val="none"/>
        </w:rPr>
        <w:t>本计划表是以每班八小时工作制为基础的。</w:t>
      </w:r>
    </w:p>
    <w:p w14:paraId="06D104D7">
      <w:pPr>
        <w:spacing w:after="468" w:afterLines="150"/>
        <w:rPr>
          <w:i w:val="0"/>
          <w:iCs w:val="0"/>
          <w:color w:val="auto"/>
          <w:highlight w:val="none"/>
        </w:rPr>
      </w:pPr>
    </w:p>
    <w:p w14:paraId="4425C387">
      <w:pPr>
        <w:spacing w:after="468" w:afterLines="150"/>
        <w:rPr>
          <w:i w:val="0"/>
          <w:iCs w:val="0"/>
          <w:color w:val="auto"/>
          <w:highlight w:val="none"/>
        </w:rPr>
      </w:pPr>
    </w:p>
    <w:p w14:paraId="6574553A">
      <w:pPr>
        <w:spacing w:after="468" w:afterLines="150"/>
        <w:ind w:left="538" w:leftChars="224" w:firstLine="1448" w:firstLineChars="601"/>
        <w:rPr>
          <w:rFonts w:ascii="宋体" w:hAnsi="宋体"/>
          <w:b/>
          <w:bCs/>
          <w:i w:val="0"/>
          <w:iCs w:val="0"/>
          <w:color w:val="auto"/>
          <w:highlight w:val="none"/>
        </w:rPr>
      </w:pPr>
      <w:r>
        <w:rPr>
          <w:rFonts w:hint="eastAsia" w:ascii="宋体" w:hAnsi="宋体"/>
          <w:b/>
          <w:bCs/>
          <w:i w:val="0"/>
          <w:iCs w:val="0"/>
          <w:color w:val="auto"/>
          <w:highlight w:val="none"/>
        </w:rPr>
        <w:t>表3 计划开、竣工日期和施工进度网络图</w:t>
      </w:r>
    </w:p>
    <w:p w14:paraId="34378079">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投标人应提交的施工进度网络图或施工进度表，说明按招标文件要求的工期进行施工的各个关键日期。中标的投标人还要按合同条件有关条款的要求提交详细的施工进度计划。</w:t>
      </w:r>
    </w:p>
    <w:p w14:paraId="32975745">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施工进度表可采用关键线路网络图（或横道图）表示，说明计划开工日期和各分项工程各阶段的完工日期和分包合同签订的日期。</w:t>
      </w:r>
    </w:p>
    <w:p w14:paraId="6E85C506">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施工进度计划应与施工组织设计相适应。</w:t>
      </w:r>
    </w:p>
    <w:p w14:paraId="4EC2AAFA">
      <w:pPr>
        <w:spacing w:after="468" w:afterLines="150"/>
        <w:ind w:left="627"/>
        <w:rPr>
          <w:i w:val="0"/>
          <w:iCs w:val="0"/>
          <w:color w:val="auto"/>
          <w:highlight w:val="none"/>
        </w:rPr>
      </w:pPr>
    </w:p>
    <w:p w14:paraId="0D5EDF5B">
      <w:pPr>
        <w:spacing w:after="468" w:afterLines="150"/>
        <w:ind w:left="629"/>
        <w:jc w:val="center"/>
        <w:rPr>
          <w:rFonts w:ascii="宋体" w:hAnsi="宋体"/>
          <w:b/>
          <w:bCs/>
          <w:i w:val="0"/>
          <w:iCs w:val="0"/>
          <w:color w:val="auto"/>
          <w:highlight w:val="none"/>
        </w:rPr>
      </w:pPr>
      <w:r>
        <w:rPr>
          <w:i w:val="0"/>
          <w:iCs w:val="0"/>
          <w:color w:val="auto"/>
          <w:highlight w:val="none"/>
        </w:rPr>
        <w:br w:type="page"/>
      </w:r>
      <w:r>
        <w:rPr>
          <w:rFonts w:hint="eastAsia" w:ascii="宋体" w:hAnsi="宋体"/>
          <w:b/>
          <w:bCs/>
          <w:i w:val="0"/>
          <w:iCs w:val="0"/>
          <w:color w:val="auto"/>
          <w:highlight w:val="none"/>
        </w:rPr>
        <w:t>表4 施工总平面布置图及临时用地表</w:t>
      </w:r>
    </w:p>
    <w:p w14:paraId="572A681A">
      <w:pPr>
        <w:numPr>
          <w:ilvl w:val="1"/>
          <w:numId w:val="45"/>
        </w:numPr>
        <w:autoSpaceDN/>
        <w:spacing w:line="360" w:lineRule="auto"/>
        <w:ind w:left="0" w:firstLine="480" w:firstLineChars="200"/>
        <w:jc w:val="both"/>
        <w:rPr>
          <w:rFonts w:hAnsi="宋体" w:cs="宋体"/>
          <w:i w:val="0"/>
          <w:iCs w:val="0"/>
          <w:color w:val="auto"/>
          <w:highlight w:val="none"/>
        </w:rPr>
      </w:pPr>
      <w:r>
        <w:rPr>
          <w:rFonts w:hint="eastAsia" w:ascii="宋体" w:hAnsi="宋体"/>
          <w:i w:val="0"/>
          <w:iCs w:val="0"/>
          <w:color w:val="auto"/>
          <w:highlight w:val="none"/>
        </w:rPr>
        <w:t>施工总平面布置图</w:t>
      </w:r>
    </w:p>
    <w:p w14:paraId="5B8D967E">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投标人应提交一份施工总平面图，给出现场临时设施布置图表并附文字说明，说明临时设施、加工车间、现场办公、设备及仓储、供电、供水、卫生、生活等设施的情况和布置。</w:t>
      </w:r>
    </w:p>
    <w:p w14:paraId="0A08D831">
      <w:pPr>
        <w:numPr>
          <w:ilvl w:val="1"/>
          <w:numId w:val="45"/>
        </w:numPr>
        <w:autoSpaceDN/>
        <w:spacing w:line="360" w:lineRule="auto"/>
        <w:ind w:left="0" w:firstLine="480" w:firstLineChars="200"/>
        <w:jc w:val="both"/>
        <w:rPr>
          <w:rFonts w:hAnsi="宋体" w:cs="宋体"/>
          <w:i w:val="0"/>
          <w:iCs w:val="0"/>
          <w:color w:val="auto"/>
          <w:highlight w:val="none"/>
        </w:rPr>
      </w:pPr>
      <w:r>
        <w:rPr>
          <w:rFonts w:hint="eastAsia" w:ascii="宋体" w:hAnsi="宋体"/>
          <w:i w:val="0"/>
          <w:iCs w:val="0"/>
          <w:color w:val="auto"/>
          <w:highlight w:val="none"/>
        </w:rPr>
        <w:t>临时用地表</w:t>
      </w:r>
    </w:p>
    <w:tbl>
      <w:tblPr>
        <w:tblStyle w:val="21"/>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0E427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13CB7A1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用途</w:t>
            </w:r>
          </w:p>
        </w:tc>
        <w:tc>
          <w:tcPr>
            <w:tcW w:w="1982" w:type="dxa"/>
            <w:tcBorders>
              <w:top w:val="single" w:color="auto" w:sz="4" w:space="0"/>
              <w:left w:val="nil"/>
              <w:bottom w:val="single" w:color="auto" w:sz="4" w:space="0"/>
              <w:right w:val="single" w:color="auto" w:sz="4" w:space="0"/>
            </w:tcBorders>
            <w:noWrap/>
            <w:vAlign w:val="center"/>
          </w:tcPr>
          <w:p w14:paraId="2A98821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面积（平方米）</w:t>
            </w:r>
          </w:p>
        </w:tc>
        <w:tc>
          <w:tcPr>
            <w:tcW w:w="1951" w:type="dxa"/>
            <w:tcBorders>
              <w:top w:val="single" w:color="auto" w:sz="4" w:space="0"/>
              <w:left w:val="nil"/>
              <w:bottom w:val="single" w:color="auto" w:sz="4" w:space="0"/>
              <w:right w:val="single" w:color="auto" w:sz="4" w:space="0"/>
            </w:tcBorders>
            <w:noWrap/>
            <w:vAlign w:val="center"/>
          </w:tcPr>
          <w:p w14:paraId="1278935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位置</w:t>
            </w:r>
          </w:p>
        </w:tc>
        <w:tc>
          <w:tcPr>
            <w:tcW w:w="1951" w:type="dxa"/>
            <w:tcBorders>
              <w:top w:val="single" w:color="auto" w:sz="4" w:space="0"/>
              <w:left w:val="nil"/>
              <w:bottom w:val="single" w:color="auto" w:sz="4" w:space="0"/>
              <w:right w:val="single" w:color="auto" w:sz="4" w:space="0"/>
            </w:tcBorders>
            <w:noWrap/>
            <w:vAlign w:val="center"/>
          </w:tcPr>
          <w:p w14:paraId="2352A2E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需用时间</w:t>
            </w:r>
          </w:p>
        </w:tc>
      </w:tr>
      <w:tr w14:paraId="49FA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480B125">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1D6C577">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6BC7F58">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606FEAB">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20886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3D04C3F">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B17296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4F79AB6">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BAB0809">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68C1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6031605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C78FC89">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702BBE0">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24B283C">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43FFC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CD18657">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3435E4F3">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D7088BB">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6117395">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41475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955026E">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73E45C83">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A4AC9FF">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B02CF0B">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61BB9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8C470F2">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3D29A9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428C9A8">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9181D1B">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7661C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308B9EA">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7B755A8D">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8838B10">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F97DCB6">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3DA1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75D5402C">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71F8E67">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57278D2">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43AC43C">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27DD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903A94E">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25D0AF98">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D542062">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8B27A38">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1D968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5C5BCE7">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25A872E5">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9488FA6">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6BD8890">
            <w:pPr>
              <w:keepNext w:val="0"/>
              <w:keepLines w:val="0"/>
              <w:suppressLineNumbers w:val="0"/>
              <w:spacing w:before="0" w:beforeAutospacing="0" w:after="0" w:afterAutospacing="0"/>
              <w:ind w:left="0" w:right="0"/>
              <w:rPr>
                <w:rFonts w:hint="default" w:ascii="Times New Roman" w:hAnsi="宋体" w:cs="宋体"/>
                <w:i w:val="0"/>
                <w:iCs w:val="0"/>
                <w:color w:val="auto"/>
                <w:highlight w:val="none"/>
              </w:rPr>
            </w:pPr>
          </w:p>
        </w:tc>
      </w:tr>
      <w:tr w14:paraId="3835B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39824F6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合计</w:t>
            </w:r>
          </w:p>
        </w:tc>
        <w:tc>
          <w:tcPr>
            <w:tcW w:w="1982" w:type="dxa"/>
            <w:tcBorders>
              <w:top w:val="single" w:color="auto" w:sz="4" w:space="0"/>
              <w:left w:val="nil"/>
              <w:bottom w:val="single" w:color="auto" w:sz="4" w:space="0"/>
              <w:right w:val="single" w:color="auto" w:sz="4" w:space="0"/>
            </w:tcBorders>
            <w:noWrap/>
            <w:vAlign w:val="center"/>
          </w:tcPr>
          <w:p w14:paraId="766E963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3C9A49E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59DEB3E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bl>
    <w:p w14:paraId="799B579B">
      <w:pPr>
        <w:ind w:left="1047"/>
        <w:rPr>
          <w:rFonts w:hAnsi="宋体" w:cs="宋体"/>
          <w:i w:val="0"/>
          <w:iCs w:val="0"/>
          <w:color w:val="auto"/>
          <w:highlight w:val="none"/>
        </w:rPr>
      </w:pPr>
    </w:p>
    <w:p w14:paraId="693130A4">
      <w:pPr>
        <w:ind w:left="1498" w:leftChars="224" w:hanging="960" w:hangingChars="400"/>
        <w:rPr>
          <w:rFonts w:hAnsi="宋体" w:cs="宋体"/>
          <w:i w:val="0"/>
          <w:iCs w:val="0"/>
          <w:color w:val="auto"/>
          <w:highlight w:val="none"/>
        </w:rPr>
      </w:pPr>
      <w:r>
        <w:rPr>
          <w:rFonts w:hint="eastAsia" w:ascii="宋体" w:hAnsi="宋体"/>
          <w:i w:val="0"/>
          <w:iCs w:val="0"/>
          <w:color w:val="auto"/>
          <w:highlight w:val="none"/>
        </w:rPr>
        <w:t>注：（</w:t>
      </w:r>
      <w:r>
        <w:rPr>
          <w:rFonts w:hAnsi="宋体" w:cs="宋体"/>
          <w:i w:val="0"/>
          <w:iCs w:val="0"/>
          <w:color w:val="auto"/>
          <w:highlight w:val="none"/>
        </w:rPr>
        <w:t>1</w:t>
      </w:r>
      <w:r>
        <w:rPr>
          <w:rFonts w:hint="eastAsia" w:ascii="宋体" w:hAnsi="宋体"/>
          <w:i w:val="0"/>
          <w:iCs w:val="0"/>
          <w:color w:val="auto"/>
          <w:highlight w:val="none"/>
        </w:rPr>
        <w:t>）投标人应逐项填写本表，指出全部临时设施用地面积以及详细用途。</w:t>
      </w:r>
    </w:p>
    <w:p w14:paraId="12013692">
      <w:pPr>
        <w:ind w:left="1" w:firstLine="1017" w:firstLineChars="424"/>
        <w:rPr>
          <w:rFonts w:hAnsi="宋体" w:cs="宋体"/>
          <w:i w:val="0"/>
          <w:iCs w:val="0"/>
          <w:color w:val="auto"/>
          <w:highlight w:val="none"/>
        </w:rPr>
      </w:pPr>
      <w:r>
        <w:rPr>
          <w:rFonts w:hint="eastAsia" w:ascii="宋体" w:hAnsi="宋体"/>
          <w:i w:val="0"/>
          <w:iCs w:val="0"/>
          <w:color w:val="auto"/>
          <w:highlight w:val="none"/>
        </w:rPr>
        <w:t>（</w:t>
      </w:r>
      <w:r>
        <w:rPr>
          <w:rFonts w:hAnsi="宋体" w:cs="宋体"/>
          <w:i w:val="0"/>
          <w:iCs w:val="0"/>
          <w:color w:val="auto"/>
          <w:highlight w:val="none"/>
        </w:rPr>
        <w:t>2</w:t>
      </w:r>
      <w:r>
        <w:rPr>
          <w:rFonts w:hint="eastAsia" w:ascii="宋体" w:hAnsi="宋体"/>
          <w:i w:val="0"/>
          <w:iCs w:val="0"/>
          <w:color w:val="auto"/>
          <w:highlight w:val="none"/>
        </w:rPr>
        <w:t>）若本表不够，可加附页。</w:t>
      </w:r>
    </w:p>
    <w:p w14:paraId="68095313">
      <w:pPr>
        <w:ind w:left="1" w:firstLine="1017" w:firstLineChars="424"/>
        <w:rPr>
          <w:rFonts w:hAnsi="宋体" w:cs="宋体"/>
          <w:i w:val="0"/>
          <w:iCs w:val="0"/>
          <w:color w:val="auto"/>
          <w:highlight w:val="none"/>
        </w:rPr>
      </w:pPr>
    </w:p>
    <w:p w14:paraId="46608435">
      <w:pPr>
        <w:ind w:left="1" w:firstLine="1017" w:firstLineChars="424"/>
        <w:rPr>
          <w:rFonts w:hAnsi="宋体" w:cs="宋体"/>
          <w:i w:val="0"/>
          <w:iCs w:val="0"/>
          <w:color w:val="auto"/>
          <w:highlight w:val="none"/>
        </w:rPr>
      </w:pPr>
    </w:p>
    <w:p w14:paraId="6618E9A6">
      <w:pPr>
        <w:jc w:val="center"/>
        <w:rPr>
          <w:rFonts w:hAnsi="宋体" w:cs="宋体"/>
          <w:b/>
          <w:bCs/>
          <w:i w:val="0"/>
          <w:iCs w:val="0"/>
          <w:color w:val="auto"/>
          <w:sz w:val="36"/>
          <w:szCs w:val="36"/>
          <w:highlight w:val="none"/>
        </w:rPr>
      </w:pPr>
      <w:r>
        <w:rPr>
          <w:rFonts w:hint="eastAsia" w:ascii="宋体" w:hAnsi="宋体"/>
          <w:b/>
          <w:bCs/>
          <w:i w:val="0"/>
          <w:iCs w:val="0"/>
          <w:color w:val="auto"/>
          <w:sz w:val="36"/>
          <w:szCs w:val="36"/>
          <w:highlight w:val="none"/>
        </w:rPr>
        <w:t>二、项目管理班子配备情况</w:t>
      </w:r>
    </w:p>
    <w:p w14:paraId="6DD3E906">
      <w:pPr>
        <w:ind w:left="1" w:firstLine="1362" w:firstLineChars="424"/>
        <w:jc w:val="center"/>
        <w:rPr>
          <w:rFonts w:hAnsi="宋体" w:cs="宋体"/>
          <w:b/>
          <w:bCs/>
          <w:i w:val="0"/>
          <w:iCs w:val="0"/>
          <w:color w:val="auto"/>
          <w:sz w:val="32"/>
          <w:szCs w:val="32"/>
          <w:highlight w:val="none"/>
        </w:rPr>
      </w:pPr>
    </w:p>
    <w:p w14:paraId="3DE16B0A">
      <w:pPr>
        <w:spacing w:line="360" w:lineRule="auto"/>
        <w:ind w:firstLine="480" w:firstLineChars="200"/>
        <w:rPr>
          <w:rFonts w:hAnsi="宋体" w:cs="宋体"/>
          <w:b/>
          <w:bCs/>
          <w:i w:val="0"/>
          <w:iCs w:val="0"/>
          <w:color w:val="auto"/>
          <w:highlight w:val="none"/>
          <w:u w:val="single"/>
        </w:rPr>
      </w:pPr>
      <w:r>
        <w:rPr>
          <w:rFonts w:hint="eastAsia" w:ascii="宋体" w:hAnsi="宋体"/>
          <w:i w:val="0"/>
          <w:iCs w:val="0"/>
          <w:color w:val="auto"/>
          <w:highlight w:val="none"/>
        </w:rPr>
        <w:t>表</w:t>
      </w:r>
      <w:r>
        <w:rPr>
          <w:rFonts w:hAnsi="宋体" w:cs="宋体"/>
          <w:i w:val="0"/>
          <w:iCs w:val="0"/>
          <w:color w:val="auto"/>
          <w:highlight w:val="none"/>
        </w:rPr>
        <w:t xml:space="preserve">5 </w:t>
      </w:r>
      <w:r>
        <w:rPr>
          <w:rFonts w:hint="eastAsia" w:ascii="宋体" w:hAnsi="宋体"/>
          <w:i w:val="0"/>
          <w:iCs w:val="0"/>
          <w:color w:val="auto"/>
          <w:highlight w:val="none"/>
        </w:rPr>
        <w:t>项目管理班子配套情况表</w:t>
      </w:r>
    </w:p>
    <w:p w14:paraId="130720D9">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表</w:t>
      </w:r>
      <w:r>
        <w:rPr>
          <w:rFonts w:hAnsi="宋体" w:cs="宋体"/>
          <w:i w:val="0"/>
          <w:iCs w:val="0"/>
          <w:color w:val="auto"/>
          <w:highlight w:val="none"/>
        </w:rPr>
        <w:t xml:space="preserve">6 </w:t>
      </w:r>
      <w:r>
        <w:rPr>
          <w:rFonts w:hint="eastAsia" w:ascii="宋体" w:hAnsi="宋体"/>
          <w:i w:val="0"/>
          <w:iCs w:val="0"/>
          <w:color w:val="auto"/>
          <w:highlight w:val="none"/>
        </w:rPr>
        <w:t>项目负责人简历表</w:t>
      </w:r>
    </w:p>
    <w:p w14:paraId="5A5AD7C0">
      <w:pPr>
        <w:spacing w:line="360" w:lineRule="auto"/>
        <w:ind w:firstLine="480" w:firstLineChars="200"/>
        <w:rPr>
          <w:rFonts w:hAnsi="宋体" w:cs="宋体"/>
          <w:i w:val="0"/>
          <w:iCs w:val="0"/>
          <w:color w:val="auto"/>
          <w:highlight w:val="none"/>
        </w:rPr>
      </w:pPr>
      <w:r>
        <w:rPr>
          <w:rFonts w:hint="eastAsia" w:ascii="宋体" w:hAnsi="宋体"/>
          <w:i w:val="0"/>
          <w:iCs w:val="0"/>
          <w:color w:val="auto"/>
          <w:highlight w:val="none"/>
        </w:rPr>
        <w:t>表</w:t>
      </w:r>
      <w:r>
        <w:rPr>
          <w:rFonts w:hAnsi="宋体" w:cs="宋体"/>
          <w:i w:val="0"/>
          <w:iCs w:val="0"/>
          <w:color w:val="auto"/>
          <w:highlight w:val="none"/>
        </w:rPr>
        <w:t xml:space="preserve">7 </w:t>
      </w:r>
      <w:r>
        <w:rPr>
          <w:rFonts w:hint="eastAsia" w:ascii="宋体" w:hAnsi="宋体"/>
          <w:i w:val="0"/>
          <w:iCs w:val="0"/>
          <w:color w:val="auto"/>
          <w:highlight w:val="none"/>
        </w:rPr>
        <w:t>项目技术负责人简历表</w:t>
      </w:r>
    </w:p>
    <w:p w14:paraId="68C9C0DB">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表</w:t>
      </w:r>
      <w:r>
        <w:rPr>
          <w:rFonts w:hAnsi="宋体" w:cs="宋体"/>
          <w:i w:val="0"/>
          <w:iCs w:val="0"/>
          <w:color w:val="auto"/>
          <w:highlight w:val="none"/>
        </w:rPr>
        <w:t xml:space="preserve">8 </w:t>
      </w:r>
      <w:r>
        <w:rPr>
          <w:rFonts w:hint="eastAsia" w:ascii="宋体" w:hAnsi="宋体"/>
          <w:i w:val="0"/>
          <w:iCs w:val="0"/>
          <w:color w:val="auto"/>
          <w:highlight w:val="none"/>
        </w:rPr>
        <w:t>项目管理班子配备情况辅助说明资料</w:t>
      </w:r>
    </w:p>
    <w:p w14:paraId="44665394">
      <w:pPr>
        <w:spacing w:line="360" w:lineRule="auto"/>
        <w:ind w:firstLine="480" w:firstLineChars="200"/>
        <w:rPr>
          <w:rFonts w:hint="eastAsia" w:ascii="宋体" w:hAnsi="宋体"/>
          <w:i w:val="0"/>
          <w:iCs w:val="0"/>
          <w:color w:val="auto"/>
          <w:highlight w:val="none"/>
        </w:rPr>
      </w:pPr>
    </w:p>
    <w:p w14:paraId="2D0C5153">
      <w:pPr>
        <w:spacing w:line="360" w:lineRule="auto"/>
        <w:ind w:firstLine="480" w:firstLineChars="200"/>
        <w:rPr>
          <w:rFonts w:hint="eastAsia" w:ascii="宋体" w:hAnsi="宋体"/>
          <w:i w:val="0"/>
          <w:iCs w:val="0"/>
          <w:color w:val="auto"/>
          <w:highlight w:val="none"/>
        </w:rPr>
      </w:pPr>
    </w:p>
    <w:p w14:paraId="38478043">
      <w:pPr>
        <w:spacing w:line="360" w:lineRule="auto"/>
        <w:ind w:firstLine="480" w:firstLineChars="200"/>
        <w:rPr>
          <w:rFonts w:hint="eastAsia" w:ascii="宋体" w:hAnsi="宋体"/>
          <w:i w:val="0"/>
          <w:iCs w:val="0"/>
          <w:color w:val="auto"/>
          <w:highlight w:val="none"/>
        </w:rPr>
      </w:pPr>
    </w:p>
    <w:p w14:paraId="47F13D2C">
      <w:pPr>
        <w:spacing w:line="360" w:lineRule="auto"/>
        <w:ind w:firstLine="480" w:firstLineChars="200"/>
        <w:rPr>
          <w:rFonts w:hint="eastAsia" w:ascii="宋体" w:hAnsi="宋体"/>
          <w:i w:val="0"/>
          <w:iCs w:val="0"/>
          <w:color w:val="auto"/>
          <w:highlight w:val="none"/>
        </w:rPr>
      </w:pPr>
    </w:p>
    <w:p w14:paraId="4DCF3848">
      <w:pPr>
        <w:spacing w:line="360" w:lineRule="auto"/>
        <w:ind w:firstLine="480" w:firstLineChars="200"/>
        <w:rPr>
          <w:rFonts w:hint="eastAsia" w:ascii="宋体" w:hAnsi="宋体"/>
          <w:i w:val="0"/>
          <w:iCs w:val="0"/>
          <w:color w:val="auto"/>
          <w:highlight w:val="none"/>
        </w:rPr>
      </w:pPr>
    </w:p>
    <w:p w14:paraId="2E61AC4A">
      <w:pPr>
        <w:spacing w:line="360" w:lineRule="auto"/>
        <w:ind w:firstLine="480" w:firstLineChars="200"/>
        <w:rPr>
          <w:rFonts w:hint="eastAsia" w:ascii="宋体" w:hAnsi="宋体"/>
          <w:i w:val="0"/>
          <w:iCs w:val="0"/>
          <w:color w:val="auto"/>
          <w:highlight w:val="none"/>
        </w:rPr>
      </w:pPr>
    </w:p>
    <w:p w14:paraId="6348E772">
      <w:pPr>
        <w:spacing w:line="360" w:lineRule="auto"/>
        <w:ind w:firstLine="480" w:firstLineChars="200"/>
        <w:rPr>
          <w:rFonts w:hint="eastAsia" w:ascii="宋体" w:hAnsi="宋体"/>
          <w:i w:val="0"/>
          <w:iCs w:val="0"/>
          <w:color w:val="auto"/>
          <w:highlight w:val="none"/>
        </w:rPr>
      </w:pPr>
    </w:p>
    <w:p w14:paraId="1D89EB7C">
      <w:pPr>
        <w:spacing w:line="360" w:lineRule="auto"/>
        <w:ind w:firstLine="480" w:firstLineChars="200"/>
        <w:rPr>
          <w:rFonts w:hint="eastAsia" w:ascii="宋体" w:hAnsi="宋体"/>
          <w:i w:val="0"/>
          <w:iCs w:val="0"/>
          <w:color w:val="auto"/>
          <w:highlight w:val="none"/>
        </w:rPr>
      </w:pPr>
    </w:p>
    <w:p w14:paraId="33A2D2BE">
      <w:pPr>
        <w:spacing w:line="360" w:lineRule="auto"/>
        <w:ind w:firstLine="480" w:firstLineChars="200"/>
        <w:rPr>
          <w:rFonts w:hint="eastAsia" w:ascii="宋体" w:hAnsi="宋体"/>
          <w:i w:val="0"/>
          <w:iCs w:val="0"/>
          <w:color w:val="auto"/>
          <w:highlight w:val="none"/>
        </w:rPr>
      </w:pPr>
    </w:p>
    <w:p w14:paraId="56CA061E">
      <w:pPr>
        <w:spacing w:line="360" w:lineRule="auto"/>
        <w:ind w:firstLine="480" w:firstLineChars="200"/>
        <w:rPr>
          <w:rFonts w:hint="eastAsia" w:ascii="宋体" w:hAnsi="宋体"/>
          <w:i w:val="0"/>
          <w:iCs w:val="0"/>
          <w:color w:val="auto"/>
          <w:highlight w:val="none"/>
        </w:rPr>
      </w:pPr>
    </w:p>
    <w:p w14:paraId="7F861D19">
      <w:pPr>
        <w:spacing w:line="360" w:lineRule="auto"/>
        <w:ind w:firstLine="480" w:firstLineChars="200"/>
        <w:rPr>
          <w:rFonts w:hint="eastAsia" w:ascii="宋体" w:hAnsi="宋体"/>
          <w:i w:val="0"/>
          <w:iCs w:val="0"/>
          <w:color w:val="auto"/>
          <w:highlight w:val="none"/>
        </w:rPr>
      </w:pPr>
    </w:p>
    <w:p w14:paraId="45D77468">
      <w:pPr>
        <w:spacing w:line="360" w:lineRule="auto"/>
        <w:ind w:firstLine="480" w:firstLineChars="200"/>
        <w:rPr>
          <w:rFonts w:hint="eastAsia" w:ascii="宋体" w:hAnsi="宋体"/>
          <w:i w:val="0"/>
          <w:iCs w:val="0"/>
          <w:color w:val="auto"/>
          <w:highlight w:val="none"/>
        </w:rPr>
      </w:pPr>
    </w:p>
    <w:p w14:paraId="3AEE1C5D">
      <w:pPr>
        <w:spacing w:line="360" w:lineRule="auto"/>
        <w:ind w:firstLine="480" w:firstLineChars="200"/>
        <w:rPr>
          <w:rFonts w:hint="eastAsia" w:ascii="宋体" w:hAnsi="宋体"/>
          <w:i w:val="0"/>
          <w:iCs w:val="0"/>
          <w:color w:val="auto"/>
          <w:highlight w:val="none"/>
        </w:rPr>
      </w:pPr>
    </w:p>
    <w:p w14:paraId="5DE01E1D">
      <w:pPr>
        <w:spacing w:line="360" w:lineRule="auto"/>
        <w:ind w:firstLine="480" w:firstLineChars="200"/>
        <w:rPr>
          <w:rFonts w:hint="eastAsia" w:ascii="宋体" w:hAnsi="宋体"/>
          <w:i w:val="0"/>
          <w:iCs w:val="0"/>
          <w:color w:val="auto"/>
          <w:highlight w:val="none"/>
        </w:rPr>
      </w:pPr>
    </w:p>
    <w:p w14:paraId="0E56ABEB">
      <w:pPr>
        <w:spacing w:line="360" w:lineRule="auto"/>
        <w:ind w:firstLine="480" w:firstLineChars="200"/>
        <w:rPr>
          <w:rFonts w:hint="eastAsia" w:ascii="宋体" w:hAnsi="宋体"/>
          <w:i w:val="0"/>
          <w:iCs w:val="0"/>
          <w:color w:val="auto"/>
          <w:highlight w:val="none"/>
        </w:rPr>
      </w:pPr>
    </w:p>
    <w:p w14:paraId="6ABFCB2A">
      <w:pPr>
        <w:spacing w:line="360" w:lineRule="auto"/>
        <w:ind w:firstLine="480" w:firstLineChars="200"/>
        <w:rPr>
          <w:rFonts w:hint="eastAsia" w:ascii="宋体" w:hAnsi="宋体"/>
          <w:i w:val="0"/>
          <w:iCs w:val="0"/>
          <w:color w:val="auto"/>
          <w:highlight w:val="none"/>
        </w:rPr>
      </w:pPr>
    </w:p>
    <w:p w14:paraId="72B2BA58">
      <w:pPr>
        <w:spacing w:line="360" w:lineRule="auto"/>
        <w:ind w:firstLine="480" w:firstLineChars="200"/>
        <w:rPr>
          <w:rFonts w:hint="eastAsia" w:ascii="宋体" w:hAnsi="宋体"/>
          <w:i w:val="0"/>
          <w:iCs w:val="0"/>
          <w:color w:val="auto"/>
          <w:highlight w:val="none"/>
        </w:rPr>
      </w:pPr>
    </w:p>
    <w:p w14:paraId="2C7CA102">
      <w:pPr>
        <w:spacing w:line="360" w:lineRule="auto"/>
        <w:ind w:firstLine="480" w:firstLineChars="200"/>
        <w:rPr>
          <w:rFonts w:hint="eastAsia" w:ascii="宋体" w:hAnsi="宋体"/>
          <w:i w:val="0"/>
          <w:iCs w:val="0"/>
          <w:color w:val="auto"/>
          <w:highlight w:val="none"/>
        </w:rPr>
      </w:pPr>
    </w:p>
    <w:p w14:paraId="322CD7F1">
      <w:pPr>
        <w:spacing w:line="360" w:lineRule="auto"/>
        <w:ind w:firstLine="480" w:firstLineChars="200"/>
        <w:rPr>
          <w:rFonts w:hint="eastAsia" w:ascii="宋体" w:hAnsi="宋体"/>
          <w:i w:val="0"/>
          <w:iCs w:val="0"/>
          <w:color w:val="auto"/>
          <w:highlight w:val="none"/>
        </w:rPr>
      </w:pPr>
    </w:p>
    <w:p w14:paraId="1801FEE2">
      <w:pPr>
        <w:numPr>
          <w:ins w:id="0" w:author="交易管理处" w:date=""/>
        </w:numPr>
        <w:adjustRightInd/>
        <w:jc w:val="center"/>
        <w:rPr>
          <w:rFonts w:hint="eastAsia" w:hAnsi="宋体" w:cs="宋体"/>
          <w:i w:val="0"/>
          <w:iCs w:val="0"/>
          <w:strike/>
          <w:dstrike w:val="0"/>
          <w:color w:val="auto"/>
          <w:szCs w:val="28"/>
          <w:highlight w:val="none"/>
        </w:rPr>
      </w:pPr>
      <w:r>
        <w:rPr>
          <w:rFonts w:hint="eastAsia"/>
          <w:b/>
          <w:bCs/>
          <w:i w:val="0"/>
          <w:iCs w:val="0"/>
          <w:strike/>
          <w:dstrike w:val="0"/>
          <w:color w:val="auto"/>
          <w:highlight w:val="none"/>
        </w:rPr>
        <w:t>表</w:t>
      </w:r>
      <w:r>
        <w:rPr>
          <w:b/>
          <w:bCs/>
          <w:i w:val="0"/>
          <w:iCs w:val="0"/>
          <w:strike/>
          <w:dstrike w:val="0"/>
          <w:color w:val="auto"/>
          <w:highlight w:val="none"/>
        </w:rPr>
        <w:t xml:space="preserve">5  </w:t>
      </w:r>
      <w:r>
        <w:rPr>
          <w:rFonts w:hint="eastAsia"/>
          <w:b/>
          <w:bCs/>
          <w:i w:val="0"/>
          <w:iCs w:val="0"/>
          <w:strike/>
          <w:dstrike w:val="0"/>
          <w:color w:val="auto"/>
          <w:highlight w:val="none"/>
        </w:rPr>
        <w:t>项目管理班子配备情况表（明标）</w:t>
      </w:r>
    </w:p>
    <w:p w14:paraId="075DC81B">
      <w:pPr>
        <w:numPr>
          <w:ins w:id="1" w:author="XH" w:date=""/>
        </w:numPr>
        <w:adjustRightInd/>
        <w:rPr>
          <w:rFonts w:hAnsi="宋体" w:cs="宋体"/>
          <w:i w:val="0"/>
          <w:iCs w:val="0"/>
          <w:strike/>
          <w:dstrike w:val="0"/>
          <w:color w:val="auto"/>
          <w:szCs w:val="28"/>
          <w:highlight w:val="none"/>
        </w:rPr>
      </w:pPr>
      <w:r>
        <w:rPr>
          <w:rFonts w:hint="eastAsia" w:hAnsi="宋体" w:cs="宋体"/>
          <w:i w:val="0"/>
          <w:iCs w:val="0"/>
          <w:strike/>
          <w:dstrike w:val="0"/>
          <w:color w:val="auto"/>
          <w:szCs w:val="28"/>
          <w:highlight w:val="none"/>
        </w:rPr>
        <w:t>工程名称：</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41"/>
        <w:gridCol w:w="713"/>
        <w:gridCol w:w="713"/>
        <w:gridCol w:w="880"/>
        <w:gridCol w:w="880"/>
        <w:gridCol w:w="880"/>
        <w:gridCol w:w="880"/>
        <w:gridCol w:w="1474"/>
        <w:gridCol w:w="881"/>
        <w:gridCol w:w="903"/>
      </w:tblGrid>
      <w:tr w14:paraId="6498C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restart"/>
            <w:noWrap w:val="0"/>
            <w:vAlign w:val="center"/>
          </w:tcPr>
          <w:p w14:paraId="7F891054">
            <w:pPr>
              <w:keepNext w:val="0"/>
              <w:keepLines w:val="0"/>
              <w:numPr>
                <w:ins w:id="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职务</w:t>
            </w:r>
          </w:p>
        </w:tc>
        <w:tc>
          <w:tcPr>
            <w:tcW w:w="713" w:type="dxa"/>
            <w:vMerge w:val="restart"/>
            <w:noWrap w:val="0"/>
            <w:vAlign w:val="center"/>
          </w:tcPr>
          <w:p w14:paraId="4698B266">
            <w:pPr>
              <w:keepNext w:val="0"/>
              <w:keepLines w:val="0"/>
              <w:numPr>
                <w:ins w:id="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姓名</w:t>
            </w:r>
          </w:p>
        </w:tc>
        <w:tc>
          <w:tcPr>
            <w:tcW w:w="713" w:type="dxa"/>
            <w:vMerge w:val="restart"/>
            <w:noWrap w:val="0"/>
            <w:vAlign w:val="center"/>
          </w:tcPr>
          <w:p w14:paraId="20E614F2">
            <w:pPr>
              <w:keepNext w:val="0"/>
              <w:keepLines w:val="0"/>
              <w:numPr>
                <w:ins w:id="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职称</w:t>
            </w:r>
          </w:p>
        </w:tc>
        <w:tc>
          <w:tcPr>
            <w:tcW w:w="4994" w:type="dxa"/>
            <w:gridSpan w:val="5"/>
            <w:noWrap w:val="0"/>
            <w:vAlign w:val="center"/>
          </w:tcPr>
          <w:p w14:paraId="78C987AF">
            <w:pPr>
              <w:keepNext w:val="0"/>
              <w:keepLines w:val="0"/>
              <w:numPr>
                <w:ins w:id="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上岗资格证明</w:t>
            </w:r>
          </w:p>
        </w:tc>
        <w:tc>
          <w:tcPr>
            <w:tcW w:w="1784" w:type="dxa"/>
            <w:gridSpan w:val="2"/>
            <w:noWrap w:val="0"/>
            <w:vAlign w:val="center"/>
          </w:tcPr>
          <w:p w14:paraId="22B72156">
            <w:pPr>
              <w:keepNext w:val="0"/>
              <w:keepLines w:val="0"/>
              <w:numPr>
                <w:ins w:id="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已承担在建工程情况</w:t>
            </w:r>
          </w:p>
        </w:tc>
      </w:tr>
      <w:tr w14:paraId="43DE7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continue"/>
            <w:noWrap w:val="0"/>
            <w:vAlign w:val="center"/>
          </w:tcPr>
          <w:p w14:paraId="78624D35">
            <w:pPr>
              <w:keepNext w:val="0"/>
              <w:keepLines w:val="0"/>
              <w:numPr>
                <w:ins w:id="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vMerge w:val="continue"/>
            <w:noWrap w:val="0"/>
            <w:vAlign w:val="center"/>
          </w:tcPr>
          <w:p w14:paraId="3E0A8D53">
            <w:pPr>
              <w:keepNext w:val="0"/>
              <w:keepLines w:val="0"/>
              <w:numPr>
                <w:ins w:id="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vMerge w:val="continue"/>
            <w:noWrap w:val="0"/>
            <w:vAlign w:val="center"/>
          </w:tcPr>
          <w:p w14:paraId="0921D41C">
            <w:pPr>
              <w:keepNext w:val="0"/>
              <w:keepLines w:val="0"/>
              <w:numPr>
                <w:ins w:id="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6089225">
            <w:pPr>
              <w:keepNext w:val="0"/>
              <w:keepLines w:val="0"/>
              <w:numPr>
                <w:ins w:id="1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证书</w:t>
            </w:r>
          </w:p>
          <w:p w14:paraId="43620934">
            <w:pPr>
              <w:keepNext w:val="0"/>
              <w:keepLines w:val="0"/>
              <w:numPr>
                <w:ins w:id="1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名称</w:t>
            </w:r>
          </w:p>
        </w:tc>
        <w:tc>
          <w:tcPr>
            <w:tcW w:w="880" w:type="dxa"/>
            <w:noWrap w:val="0"/>
            <w:vAlign w:val="center"/>
          </w:tcPr>
          <w:p w14:paraId="7610B343">
            <w:pPr>
              <w:keepNext w:val="0"/>
              <w:keepLines w:val="0"/>
              <w:numPr>
                <w:ins w:id="1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级别</w:t>
            </w:r>
          </w:p>
        </w:tc>
        <w:tc>
          <w:tcPr>
            <w:tcW w:w="880" w:type="dxa"/>
            <w:noWrap w:val="0"/>
            <w:vAlign w:val="center"/>
          </w:tcPr>
          <w:p w14:paraId="4055E502">
            <w:pPr>
              <w:keepNext w:val="0"/>
              <w:keepLines w:val="0"/>
              <w:numPr>
                <w:ins w:id="1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证号</w:t>
            </w:r>
          </w:p>
        </w:tc>
        <w:tc>
          <w:tcPr>
            <w:tcW w:w="880" w:type="dxa"/>
            <w:noWrap w:val="0"/>
            <w:vAlign w:val="center"/>
          </w:tcPr>
          <w:p w14:paraId="06939A57">
            <w:pPr>
              <w:keepNext w:val="0"/>
              <w:keepLines w:val="0"/>
              <w:numPr>
                <w:ins w:id="1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专业</w:t>
            </w:r>
          </w:p>
        </w:tc>
        <w:tc>
          <w:tcPr>
            <w:tcW w:w="1474" w:type="dxa"/>
            <w:noWrap w:val="0"/>
            <w:vAlign w:val="center"/>
          </w:tcPr>
          <w:p w14:paraId="11A93B14">
            <w:pPr>
              <w:keepNext w:val="0"/>
              <w:keepLines w:val="0"/>
              <w:numPr>
                <w:ins w:id="1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原服务单位</w:t>
            </w:r>
          </w:p>
        </w:tc>
        <w:tc>
          <w:tcPr>
            <w:tcW w:w="881" w:type="dxa"/>
            <w:noWrap w:val="0"/>
            <w:vAlign w:val="center"/>
          </w:tcPr>
          <w:p w14:paraId="1BA25EC4">
            <w:pPr>
              <w:keepNext w:val="0"/>
              <w:keepLines w:val="0"/>
              <w:numPr>
                <w:ins w:id="1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项目数</w:t>
            </w:r>
          </w:p>
        </w:tc>
        <w:tc>
          <w:tcPr>
            <w:tcW w:w="903" w:type="dxa"/>
            <w:noWrap w:val="0"/>
            <w:vAlign w:val="center"/>
          </w:tcPr>
          <w:p w14:paraId="689D8532">
            <w:pPr>
              <w:keepNext w:val="0"/>
              <w:keepLines w:val="0"/>
              <w:numPr>
                <w:ins w:id="1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主要工程名称</w:t>
            </w:r>
          </w:p>
        </w:tc>
      </w:tr>
      <w:tr w14:paraId="4BB2B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62617E61">
            <w:pPr>
              <w:keepNext w:val="0"/>
              <w:keepLines w:val="0"/>
              <w:numPr>
                <w:ins w:id="1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47BB236E">
            <w:pPr>
              <w:keepNext w:val="0"/>
              <w:keepLines w:val="0"/>
              <w:numPr>
                <w:ins w:id="1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70FD7103">
            <w:pPr>
              <w:keepNext w:val="0"/>
              <w:keepLines w:val="0"/>
              <w:numPr>
                <w:ins w:id="2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774B0631">
            <w:pPr>
              <w:keepNext w:val="0"/>
              <w:keepLines w:val="0"/>
              <w:numPr>
                <w:ins w:id="2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A14C2E6">
            <w:pPr>
              <w:keepNext w:val="0"/>
              <w:keepLines w:val="0"/>
              <w:numPr>
                <w:ins w:id="2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F869BC3">
            <w:pPr>
              <w:keepNext w:val="0"/>
              <w:keepLines w:val="0"/>
              <w:numPr>
                <w:ins w:id="2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E894E00">
            <w:pPr>
              <w:keepNext w:val="0"/>
              <w:keepLines w:val="0"/>
              <w:numPr>
                <w:ins w:id="2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07B349EF">
            <w:pPr>
              <w:keepNext w:val="0"/>
              <w:keepLines w:val="0"/>
              <w:numPr>
                <w:ins w:id="2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0DB45B00">
            <w:pPr>
              <w:keepNext w:val="0"/>
              <w:keepLines w:val="0"/>
              <w:numPr>
                <w:ins w:id="2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574FA0D2">
            <w:pPr>
              <w:keepNext w:val="0"/>
              <w:keepLines w:val="0"/>
              <w:numPr>
                <w:ins w:id="2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4D6F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195D01A3">
            <w:pPr>
              <w:keepNext w:val="0"/>
              <w:keepLines w:val="0"/>
              <w:numPr>
                <w:ins w:id="2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74B10452">
            <w:pPr>
              <w:keepNext w:val="0"/>
              <w:keepLines w:val="0"/>
              <w:numPr>
                <w:ins w:id="2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153223B7">
            <w:pPr>
              <w:keepNext w:val="0"/>
              <w:keepLines w:val="0"/>
              <w:numPr>
                <w:ins w:id="3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1B79FB4A">
            <w:pPr>
              <w:keepNext w:val="0"/>
              <w:keepLines w:val="0"/>
              <w:numPr>
                <w:ins w:id="3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DBA91D7">
            <w:pPr>
              <w:keepNext w:val="0"/>
              <w:keepLines w:val="0"/>
              <w:numPr>
                <w:ins w:id="3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4310F4B9">
            <w:pPr>
              <w:keepNext w:val="0"/>
              <w:keepLines w:val="0"/>
              <w:numPr>
                <w:ins w:id="3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D766F94">
            <w:pPr>
              <w:keepNext w:val="0"/>
              <w:keepLines w:val="0"/>
              <w:numPr>
                <w:ins w:id="3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4057F7A9">
            <w:pPr>
              <w:keepNext w:val="0"/>
              <w:keepLines w:val="0"/>
              <w:numPr>
                <w:ins w:id="3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33402580">
            <w:pPr>
              <w:keepNext w:val="0"/>
              <w:keepLines w:val="0"/>
              <w:numPr>
                <w:ins w:id="3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60D305FA">
            <w:pPr>
              <w:keepNext w:val="0"/>
              <w:keepLines w:val="0"/>
              <w:numPr>
                <w:ins w:id="3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5917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1D63FAB0">
            <w:pPr>
              <w:keepNext w:val="0"/>
              <w:keepLines w:val="0"/>
              <w:numPr>
                <w:ins w:id="3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604A4D69">
            <w:pPr>
              <w:keepNext w:val="0"/>
              <w:keepLines w:val="0"/>
              <w:numPr>
                <w:ins w:id="3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76390906">
            <w:pPr>
              <w:keepNext w:val="0"/>
              <w:keepLines w:val="0"/>
              <w:numPr>
                <w:ins w:id="4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817E25B">
            <w:pPr>
              <w:keepNext w:val="0"/>
              <w:keepLines w:val="0"/>
              <w:numPr>
                <w:ins w:id="4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915BB0D">
            <w:pPr>
              <w:keepNext w:val="0"/>
              <w:keepLines w:val="0"/>
              <w:numPr>
                <w:ins w:id="4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7E0F58EB">
            <w:pPr>
              <w:keepNext w:val="0"/>
              <w:keepLines w:val="0"/>
              <w:numPr>
                <w:ins w:id="4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AA085DC">
            <w:pPr>
              <w:keepNext w:val="0"/>
              <w:keepLines w:val="0"/>
              <w:numPr>
                <w:ins w:id="4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60F7278A">
            <w:pPr>
              <w:keepNext w:val="0"/>
              <w:keepLines w:val="0"/>
              <w:numPr>
                <w:ins w:id="4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04FF8EFE">
            <w:pPr>
              <w:keepNext w:val="0"/>
              <w:keepLines w:val="0"/>
              <w:numPr>
                <w:ins w:id="4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237B5760">
            <w:pPr>
              <w:keepNext w:val="0"/>
              <w:keepLines w:val="0"/>
              <w:numPr>
                <w:ins w:id="4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5638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55DC3926">
            <w:pPr>
              <w:keepNext w:val="0"/>
              <w:keepLines w:val="0"/>
              <w:numPr>
                <w:ins w:id="4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75C55F4D">
            <w:pPr>
              <w:keepNext w:val="0"/>
              <w:keepLines w:val="0"/>
              <w:numPr>
                <w:ins w:id="4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18744FCE">
            <w:pPr>
              <w:keepNext w:val="0"/>
              <w:keepLines w:val="0"/>
              <w:numPr>
                <w:ins w:id="5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BDA6C52">
            <w:pPr>
              <w:keepNext w:val="0"/>
              <w:keepLines w:val="0"/>
              <w:numPr>
                <w:ins w:id="5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743E5166">
            <w:pPr>
              <w:keepNext w:val="0"/>
              <w:keepLines w:val="0"/>
              <w:numPr>
                <w:ins w:id="5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6FF5095">
            <w:pPr>
              <w:keepNext w:val="0"/>
              <w:keepLines w:val="0"/>
              <w:numPr>
                <w:ins w:id="5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7EE0AA2">
            <w:pPr>
              <w:keepNext w:val="0"/>
              <w:keepLines w:val="0"/>
              <w:numPr>
                <w:ins w:id="5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453926F3">
            <w:pPr>
              <w:keepNext w:val="0"/>
              <w:keepLines w:val="0"/>
              <w:numPr>
                <w:ins w:id="5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46904CB3">
            <w:pPr>
              <w:keepNext w:val="0"/>
              <w:keepLines w:val="0"/>
              <w:numPr>
                <w:ins w:id="5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6EF442F8">
            <w:pPr>
              <w:keepNext w:val="0"/>
              <w:keepLines w:val="0"/>
              <w:numPr>
                <w:ins w:id="5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4DA04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39C98817">
            <w:pPr>
              <w:keepNext w:val="0"/>
              <w:keepLines w:val="0"/>
              <w:numPr>
                <w:ins w:id="5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4F6D14ED">
            <w:pPr>
              <w:keepNext w:val="0"/>
              <w:keepLines w:val="0"/>
              <w:numPr>
                <w:ins w:id="5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7DC9F570">
            <w:pPr>
              <w:keepNext w:val="0"/>
              <w:keepLines w:val="0"/>
              <w:numPr>
                <w:ins w:id="6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897B4D2">
            <w:pPr>
              <w:keepNext w:val="0"/>
              <w:keepLines w:val="0"/>
              <w:numPr>
                <w:ins w:id="6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41CB97F">
            <w:pPr>
              <w:keepNext w:val="0"/>
              <w:keepLines w:val="0"/>
              <w:numPr>
                <w:ins w:id="6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AD4E27B">
            <w:pPr>
              <w:keepNext w:val="0"/>
              <w:keepLines w:val="0"/>
              <w:numPr>
                <w:ins w:id="6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7A304BE">
            <w:pPr>
              <w:keepNext w:val="0"/>
              <w:keepLines w:val="0"/>
              <w:numPr>
                <w:ins w:id="6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3EC35F44">
            <w:pPr>
              <w:keepNext w:val="0"/>
              <w:keepLines w:val="0"/>
              <w:numPr>
                <w:ins w:id="6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0B3AD18F">
            <w:pPr>
              <w:keepNext w:val="0"/>
              <w:keepLines w:val="0"/>
              <w:numPr>
                <w:ins w:id="6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4EBE1DE4">
            <w:pPr>
              <w:keepNext w:val="0"/>
              <w:keepLines w:val="0"/>
              <w:numPr>
                <w:ins w:id="6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67D6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7" w:hRule="atLeast"/>
          <w:jc w:val="center"/>
        </w:trPr>
        <w:tc>
          <w:tcPr>
            <w:tcW w:w="641" w:type="dxa"/>
            <w:noWrap w:val="0"/>
            <w:vAlign w:val="center"/>
          </w:tcPr>
          <w:p w14:paraId="252E9205">
            <w:pPr>
              <w:keepNext w:val="0"/>
              <w:keepLines w:val="0"/>
              <w:numPr>
                <w:ins w:id="6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1FEBD593">
            <w:pPr>
              <w:keepNext w:val="0"/>
              <w:keepLines w:val="0"/>
              <w:numPr>
                <w:ins w:id="6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5ACD61FD">
            <w:pPr>
              <w:keepNext w:val="0"/>
              <w:keepLines w:val="0"/>
              <w:numPr>
                <w:ins w:id="7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0380436">
            <w:pPr>
              <w:keepNext w:val="0"/>
              <w:keepLines w:val="0"/>
              <w:numPr>
                <w:ins w:id="7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563890A">
            <w:pPr>
              <w:keepNext w:val="0"/>
              <w:keepLines w:val="0"/>
              <w:numPr>
                <w:ins w:id="7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5FC9E5B1">
            <w:pPr>
              <w:keepNext w:val="0"/>
              <w:keepLines w:val="0"/>
              <w:numPr>
                <w:ins w:id="7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4A91216">
            <w:pPr>
              <w:keepNext w:val="0"/>
              <w:keepLines w:val="0"/>
              <w:numPr>
                <w:ins w:id="7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35037865">
            <w:pPr>
              <w:keepNext w:val="0"/>
              <w:keepLines w:val="0"/>
              <w:numPr>
                <w:ins w:id="7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71AE3829">
            <w:pPr>
              <w:keepNext w:val="0"/>
              <w:keepLines w:val="0"/>
              <w:numPr>
                <w:ins w:id="7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57F41ABD">
            <w:pPr>
              <w:keepNext w:val="0"/>
              <w:keepLines w:val="0"/>
              <w:numPr>
                <w:ins w:id="7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4CCC4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52139F73">
            <w:pPr>
              <w:keepNext w:val="0"/>
              <w:keepLines w:val="0"/>
              <w:numPr>
                <w:ins w:id="7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13D123CE">
            <w:pPr>
              <w:keepNext w:val="0"/>
              <w:keepLines w:val="0"/>
              <w:numPr>
                <w:ins w:id="7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637A85CA">
            <w:pPr>
              <w:keepNext w:val="0"/>
              <w:keepLines w:val="0"/>
              <w:numPr>
                <w:ins w:id="8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397EB63A">
            <w:pPr>
              <w:keepNext w:val="0"/>
              <w:keepLines w:val="0"/>
              <w:numPr>
                <w:ins w:id="8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71BC1948">
            <w:pPr>
              <w:keepNext w:val="0"/>
              <w:keepLines w:val="0"/>
              <w:numPr>
                <w:ins w:id="8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24A3A366">
            <w:pPr>
              <w:keepNext w:val="0"/>
              <w:keepLines w:val="0"/>
              <w:numPr>
                <w:ins w:id="8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4050C92">
            <w:pPr>
              <w:keepNext w:val="0"/>
              <w:keepLines w:val="0"/>
              <w:numPr>
                <w:ins w:id="8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672DA931">
            <w:pPr>
              <w:keepNext w:val="0"/>
              <w:keepLines w:val="0"/>
              <w:numPr>
                <w:ins w:id="8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3B89D7BB">
            <w:pPr>
              <w:keepNext w:val="0"/>
              <w:keepLines w:val="0"/>
              <w:numPr>
                <w:ins w:id="8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26C3B3CE">
            <w:pPr>
              <w:keepNext w:val="0"/>
              <w:keepLines w:val="0"/>
              <w:numPr>
                <w:ins w:id="8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13BD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45F5E4A5">
            <w:pPr>
              <w:keepNext w:val="0"/>
              <w:keepLines w:val="0"/>
              <w:numPr>
                <w:ins w:id="8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4DA2DA9E">
            <w:pPr>
              <w:keepNext w:val="0"/>
              <w:keepLines w:val="0"/>
              <w:numPr>
                <w:ins w:id="8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60A1DCB3">
            <w:pPr>
              <w:keepNext w:val="0"/>
              <w:keepLines w:val="0"/>
              <w:numPr>
                <w:ins w:id="9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5D357AB6">
            <w:pPr>
              <w:keepNext w:val="0"/>
              <w:keepLines w:val="0"/>
              <w:numPr>
                <w:ins w:id="9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87AC82F">
            <w:pPr>
              <w:keepNext w:val="0"/>
              <w:keepLines w:val="0"/>
              <w:numPr>
                <w:ins w:id="9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5AA5CA10">
            <w:pPr>
              <w:keepNext w:val="0"/>
              <w:keepLines w:val="0"/>
              <w:numPr>
                <w:ins w:id="9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717EB63E">
            <w:pPr>
              <w:keepNext w:val="0"/>
              <w:keepLines w:val="0"/>
              <w:numPr>
                <w:ins w:id="9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304D299E">
            <w:pPr>
              <w:keepNext w:val="0"/>
              <w:keepLines w:val="0"/>
              <w:numPr>
                <w:ins w:id="9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102632C8">
            <w:pPr>
              <w:keepNext w:val="0"/>
              <w:keepLines w:val="0"/>
              <w:numPr>
                <w:ins w:id="9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0365ED95">
            <w:pPr>
              <w:keepNext w:val="0"/>
              <w:keepLines w:val="0"/>
              <w:numPr>
                <w:ins w:id="9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023F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35C19BF3">
            <w:pPr>
              <w:keepNext w:val="0"/>
              <w:keepLines w:val="0"/>
              <w:numPr>
                <w:ins w:id="98"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485DCB46">
            <w:pPr>
              <w:keepNext w:val="0"/>
              <w:keepLines w:val="0"/>
              <w:numPr>
                <w:ins w:id="99"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713" w:type="dxa"/>
            <w:noWrap w:val="0"/>
            <w:vAlign w:val="center"/>
          </w:tcPr>
          <w:p w14:paraId="3075CEB3">
            <w:pPr>
              <w:keepNext w:val="0"/>
              <w:keepLines w:val="0"/>
              <w:numPr>
                <w:ins w:id="100"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671C6B30">
            <w:pPr>
              <w:keepNext w:val="0"/>
              <w:keepLines w:val="0"/>
              <w:numPr>
                <w:ins w:id="101"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76D1871">
            <w:pPr>
              <w:keepNext w:val="0"/>
              <w:keepLines w:val="0"/>
              <w:numPr>
                <w:ins w:id="102"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0B92FC87">
            <w:pPr>
              <w:keepNext w:val="0"/>
              <w:keepLines w:val="0"/>
              <w:numPr>
                <w:ins w:id="103"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0" w:type="dxa"/>
            <w:noWrap w:val="0"/>
            <w:vAlign w:val="center"/>
          </w:tcPr>
          <w:p w14:paraId="1557DA82">
            <w:pPr>
              <w:keepNext w:val="0"/>
              <w:keepLines w:val="0"/>
              <w:numPr>
                <w:ins w:id="104"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1474" w:type="dxa"/>
            <w:noWrap w:val="0"/>
            <w:vAlign w:val="center"/>
          </w:tcPr>
          <w:p w14:paraId="67914067">
            <w:pPr>
              <w:keepNext w:val="0"/>
              <w:keepLines w:val="0"/>
              <w:numPr>
                <w:ins w:id="105"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881" w:type="dxa"/>
            <w:noWrap w:val="0"/>
            <w:vAlign w:val="center"/>
          </w:tcPr>
          <w:p w14:paraId="2746886E">
            <w:pPr>
              <w:keepNext w:val="0"/>
              <w:keepLines w:val="0"/>
              <w:numPr>
                <w:ins w:id="106"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c>
          <w:tcPr>
            <w:tcW w:w="903" w:type="dxa"/>
            <w:noWrap w:val="0"/>
            <w:vAlign w:val="center"/>
          </w:tcPr>
          <w:p w14:paraId="614C33E1">
            <w:pPr>
              <w:keepNext w:val="0"/>
              <w:keepLines w:val="0"/>
              <w:numPr>
                <w:ins w:id="107" w:author="XH" w:date=""/>
              </w:numPr>
              <w:suppressLineNumbers w:val="0"/>
              <w:snapToGrid w:val="0"/>
              <w:spacing w:before="0" w:beforeAutospacing="0" w:after="0" w:afterAutospacing="0"/>
              <w:ind w:left="0" w:right="0"/>
              <w:jc w:val="center"/>
              <w:rPr>
                <w:rFonts w:hint="default" w:ascii="Times New Roman" w:hAnsi="宋体" w:cs="宋体"/>
                <w:i w:val="0"/>
                <w:iCs w:val="0"/>
                <w:strike/>
                <w:dstrike w:val="0"/>
                <w:color w:val="auto"/>
                <w:szCs w:val="28"/>
                <w:highlight w:val="none"/>
              </w:rPr>
            </w:pPr>
          </w:p>
        </w:tc>
      </w:tr>
      <w:tr w14:paraId="65DD9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01" w:hRule="atLeast"/>
          <w:jc w:val="center"/>
        </w:trPr>
        <w:tc>
          <w:tcPr>
            <w:tcW w:w="8845" w:type="dxa"/>
            <w:gridSpan w:val="10"/>
            <w:noWrap w:val="0"/>
            <w:vAlign w:val="center"/>
          </w:tcPr>
          <w:p w14:paraId="1D003288">
            <w:pPr>
              <w:keepNext w:val="0"/>
              <w:keepLines w:val="0"/>
              <w:numPr>
                <w:ins w:id="108" w:author="XH" w:date=""/>
              </w:numPr>
              <w:suppressLineNumbers w:val="0"/>
              <w:adjustRightInd/>
              <w:spacing w:before="0" w:beforeAutospacing="0" w:after="0" w:afterAutospacing="0"/>
              <w:ind w:left="0" w:right="0" w:firstLine="480" w:firstLineChars="200"/>
              <w:jc w:val="both"/>
              <w:rPr>
                <w:rFonts w:hint="default" w:ascii="Times New Roman" w:hAnsi="宋体" w:cs="宋体"/>
                <w:i w:val="0"/>
                <w:iCs w:val="0"/>
                <w:strike/>
                <w:dstrike w:val="0"/>
                <w:color w:val="auto"/>
                <w:szCs w:val="28"/>
                <w:highlight w:val="none"/>
              </w:rPr>
            </w:pPr>
            <w:r>
              <w:rPr>
                <w:rFonts w:hint="eastAsia" w:ascii="Times New Roman" w:hAnsi="宋体" w:cs="宋体"/>
                <w:i w:val="0"/>
                <w:iCs w:val="0"/>
                <w:strike/>
                <w:dstrike w:val="0"/>
                <w:color w:val="auto"/>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2B82A299">
      <w:pPr>
        <w:spacing w:line="360" w:lineRule="auto"/>
        <w:jc w:val="center"/>
        <w:rPr>
          <w:rFonts w:ascii="宋体" w:hAnsi="宋体"/>
          <w:b/>
          <w:bCs/>
          <w:i w:val="0"/>
          <w:iCs w:val="0"/>
          <w:color w:val="auto"/>
          <w:highlight w:val="none"/>
        </w:rPr>
      </w:pPr>
      <w:r>
        <w:rPr>
          <w:rFonts w:hint="eastAsia" w:ascii="宋体" w:hAnsi="宋体"/>
          <w:b/>
          <w:bCs/>
          <w:i w:val="0"/>
          <w:iCs w:val="0"/>
          <w:color w:val="auto"/>
          <w:highlight w:val="none"/>
        </w:rPr>
        <w:t>表5  项目管理班子配备情况表</w:t>
      </w:r>
    </w:p>
    <w:p w14:paraId="279405AD">
      <w:pPr>
        <w:spacing w:line="360" w:lineRule="auto"/>
        <w:ind w:firstLine="717" w:firstLineChars="299"/>
        <w:rPr>
          <w:rFonts w:hAnsi="宋体" w:cs="宋体"/>
          <w:i w:val="0"/>
          <w:iCs w:val="0"/>
          <w:color w:val="auto"/>
          <w:highlight w:val="none"/>
        </w:rPr>
      </w:pPr>
      <w:r>
        <w:rPr>
          <w:rFonts w:hint="eastAsia" w:ascii="宋体" w:hAnsi="宋体"/>
          <w:i w:val="0"/>
          <w:iCs w:val="0"/>
          <w:color w:val="auto"/>
          <w:highlight w:val="none"/>
        </w:rPr>
        <w:t>工程名称：</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08DD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018E828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39C8F3E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3530C2D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1B5A117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5137169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已承担在建工程情况</w:t>
            </w:r>
          </w:p>
        </w:tc>
      </w:tr>
      <w:tr w14:paraId="0EF5C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928" w:type="dxa"/>
            <w:vMerge w:val="continue"/>
            <w:tcBorders>
              <w:top w:val="single" w:color="auto" w:sz="4" w:space="0"/>
              <w:left w:val="single" w:color="auto" w:sz="4" w:space="0"/>
              <w:bottom w:val="single" w:color="auto" w:sz="4" w:space="0"/>
              <w:right w:val="single" w:color="auto" w:sz="4" w:space="0"/>
            </w:tcBorders>
            <w:noWrap w:val="0"/>
            <w:vAlign w:val="center"/>
          </w:tcPr>
          <w:p w14:paraId="14611642">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21B6AB57">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67139E3F">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FD3BC8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证书</w:t>
            </w:r>
          </w:p>
          <w:p w14:paraId="6353993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名称</w:t>
            </w:r>
          </w:p>
        </w:tc>
        <w:tc>
          <w:tcPr>
            <w:tcW w:w="888" w:type="dxa"/>
            <w:tcBorders>
              <w:top w:val="single" w:color="auto" w:sz="4" w:space="0"/>
              <w:left w:val="nil"/>
              <w:bottom w:val="single" w:color="auto" w:sz="4" w:space="0"/>
              <w:right w:val="single" w:color="auto" w:sz="4" w:space="0"/>
            </w:tcBorders>
            <w:noWrap/>
            <w:vAlign w:val="center"/>
          </w:tcPr>
          <w:p w14:paraId="6513FA7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级别</w:t>
            </w:r>
          </w:p>
        </w:tc>
        <w:tc>
          <w:tcPr>
            <w:tcW w:w="888" w:type="dxa"/>
            <w:tcBorders>
              <w:top w:val="single" w:color="auto" w:sz="4" w:space="0"/>
              <w:left w:val="nil"/>
              <w:bottom w:val="single" w:color="auto" w:sz="4" w:space="0"/>
              <w:right w:val="single" w:color="auto" w:sz="4" w:space="0"/>
            </w:tcBorders>
            <w:noWrap/>
            <w:vAlign w:val="center"/>
          </w:tcPr>
          <w:p w14:paraId="7FEB084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证号</w:t>
            </w:r>
          </w:p>
        </w:tc>
        <w:tc>
          <w:tcPr>
            <w:tcW w:w="888" w:type="dxa"/>
            <w:tcBorders>
              <w:top w:val="single" w:color="auto" w:sz="4" w:space="0"/>
              <w:left w:val="nil"/>
              <w:bottom w:val="single" w:color="auto" w:sz="4" w:space="0"/>
              <w:right w:val="single" w:color="auto" w:sz="4" w:space="0"/>
            </w:tcBorders>
            <w:noWrap/>
            <w:vAlign w:val="center"/>
          </w:tcPr>
          <w:p w14:paraId="7707D27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专业</w:t>
            </w:r>
          </w:p>
        </w:tc>
        <w:tc>
          <w:tcPr>
            <w:tcW w:w="1488" w:type="dxa"/>
            <w:tcBorders>
              <w:top w:val="single" w:color="auto" w:sz="4" w:space="0"/>
              <w:left w:val="nil"/>
              <w:bottom w:val="single" w:color="auto" w:sz="4" w:space="0"/>
              <w:right w:val="single" w:color="auto" w:sz="4" w:space="0"/>
            </w:tcBorders>
            <w:noWrap/>
            <w:vAlign w:val="center"/>
          </w:tcPr>
          <w:p w14:paraId="48957AE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原服务单位</w:t>
            </w:r>
          </w:p>
        </w:tc>
        <w:tc>
          <w:tcPr>
            <w:tcW w:w="889" w:type="dxa"/>
            <w:tcBorders>
              <w:top w:val="single" w:color="auto" w:sz="4" w:space="0"/>
              <w:left w:val="nil"/>
              <w:bottom w:val="single" w:color="auto" w:sz="4" w:space="0"/>
              <w:right w:val="single" w:color="auto" w:sz="4" w:space="0"/>
            </w:tcBorders>
            <w:noWrap/>
            <w:vAlign w:val="center"/>
          </w:tcPr>
          <w:p w14:paraId="4BA16AA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项目数</w:t>
            </w:r>
          </w:p>
        </w:tc>
        <w:tc>
          <w:tcPr>
            <w:tcW w:w="911" w:type="dxa"/>
            <w:tcBorders>
              <w:top w:val="single" w:color="auto" w:sz="4" w:space="0"/>
              <w:left w:val="nil"/>
              <w:bottom w:val="single" w:color="auto" w:sz="4" w:space="0"/>
              <w:right w:val="single" w:color="auto" w:sz="4" w:space="0"/>
            </w:tcBorders>
            <w:noWrap/>
            <w:vAlign w:val="center"/>
          </w:tcPr>
          <w:p w14:paraId="387034C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主要工程名称</w:t>
            </w:r>
          </w:p>
        </w:tc>
      </w:tr>
      <w:tr w14:paraId="41E47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44A2A9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B779FE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8E6932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2CE8E9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6305B3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368295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256AB4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A2FBC3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0D9E4C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008D1E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0573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B476DD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3B1840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0386B4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EC5F54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628B80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B76F28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CE785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4E5A13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CA5258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191404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0C3A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715E26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ABBD5D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A98704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FF0883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65AA2E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3A15AA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B7A0D1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84D677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B16B32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806C44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9BD6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B7942D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AF2A47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091220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148487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B51DDE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3A977A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89DC3A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3DB09E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091B3D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AB843A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16BD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3A7883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233E5C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C4F07F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31F578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042213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B51770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A8F65D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08E7BC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D99A86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E2016C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35F2F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AF9187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6B478C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665D5B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4A69A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665CC1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2A38F8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F93559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DF483D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4B0AA2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6CD3B3E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6E9B1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2F9C36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2F0CA1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A16C8E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A06E81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DBFD02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45B69D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B098A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3140B2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56937D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3E80A4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2E5F7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4A0942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ADAD14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9DEF15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793C47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E029C0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9857E7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F8663F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2F2559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A5D05E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5B009A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26F8C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B228F6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186C9C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018294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94D5E2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1BB976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6E073F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5D0178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C33FB0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201435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937856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3E39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1E0766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FA69F3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255ECE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73D3E3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7858AE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FC80B0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9DEA83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5BB6F1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F9F447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2B8F8A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4F3CD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00E77B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DF526A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630DFA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A0AB80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3EAFCE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11BAA6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BEFDC3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C0D7BB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5480D6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04B279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311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957619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F5EE37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1670CE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BAA55F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52FA9C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65DC9C">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BE0AEE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892501E">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B75F9E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865FF4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EDB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C4BC02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55C71D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94A430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173D67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5C6BA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0AD651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221300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FC31F5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BA6F8A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35D139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5C2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BA472B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2D4C6E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094654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3E2C3C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7E8F9B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7F6B36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0D10C1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F92260A">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E22D6B5">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06C791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72D5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1F0121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9C799D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652602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9A729D9">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E7817AD">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7B6896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D046A34">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542034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C7C5CE0">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622677C1">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2F520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EC2DC1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DAFAF5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288515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B9B73F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DFC145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168E4E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5D9ACCF">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F74A34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E652DC2">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4CD811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283F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48CF9B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BD1819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95D786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0EB9D3B">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7CF44F3">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5A61F3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E4B72F7">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D2275F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18B4688">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F6BAFB6">
            <w:pPr>
              <w:keepNext w:val="0"/>
              <w:keepLines w:val="0"/>
              <w:suppressLineNumbers w:val="0"/>
              <w:spacing w:before="0" w:beforeAutospacing="0" w:after="0" w:afterAutospacing="0"/>
              <w:ind w:left="0" w:right="0"/>
              <w:jc w:val="center"/>
              <w:rPr>
                <w:rFonts w:hint="default" w:ascii="Times New Roman" w:hAnsi="宋体" w:cs="宋体"/>
                <w:i w:val="0"/>
                <w:iCs w:val="0"/>
                <w:color w:val="auto"/>
                <w:highlight w:val="none"/>
              </w:rPr>
            </w:pPr>
          </w:p>
        </w:tc>
      </w:tr>
      <w:tr w14:paraId="31B1A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14:paraId="165652C7">
            <w:pPr>
              <w:keepNext w:val="0"/>
              <w:keepLines w:val="0"/>
              <w:suppressLineNumbers w:val="0"/>
              <w:spacing w:before="0" w:beforeAutospacing="0" w:after="0" w:afterAutospacing="0" w:line="360" w:lineRule="auto"/>
              <w:ind w:left="0" w:right="0" w:firstLine="540" w:firstLineChars="225"/>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43CAD1B0">
      <w:pPr>
        <w:spacing w:line="360" w:lineRule="auto"/>
        <w:jc w:val="center"/>
        <w:rPr>
          <w:rFonts w:ascii="宋体" w:hAnsi="宋体"/>
          <w:b/>
          <w:bCs/>
          <w:i w:val="0"/>
          <w:iCs w:val="0"/>
          <w:color w:val="auto"/>
          <w:highlight w:val="none"/>
        </w:rPr>
      </w:pPr>
      <w:r>
        <w:rPr>
          <w:rFonts w:hAnsi="宋体" w:cs="宋体"/>
          <w:b/>
          <w:bCs/>
          <w:i w:val="0"/>
          <w:iCs w:val="0"/>
          <w:color w:val="auto"/>
          <w:highlight w:val="none"/>
        </w:rPr>
        <w:br w:type="page"/>
      </w:r>
      <w:r>
        <w:rPr>
          <w:rFonts w:hint="eastAsia" w:ascii="宋体" w:hAnsi="宋体"/>
          <w:b/>
          <w:bCs/>
          <w:i w:val="0"/>
          <w:iCs w:val="0"/>
          <w:color w:val="auto"/>
          <w:highlight w:val="none"/>
        </w:rPr>
        <w:t>表6 项目负责人简历表</w:t>
      </w:r>
    </w:p>
    <w:tbl>
      <w:tblPr>
        <w:tblStyle w:val="21"/>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0D0A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5558829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姓名</w:t>
            </w:r>
          </w:p>
        </w:tc>
        <w:tc>
          <w:tcPr>
            <w:tcW w:w="1480" w:type="dxa"/>
            <w:tcBorders>
              <w:top w:val="single" w:color="auto" w:sz="4" w:space="0"/>
              <w:left w:val="nil"/>
              <w:bottom w:val="single" w:color="auto" w:sz="4" w:space="0"/>
              <w:right w:val="single" w:color="auto" w:sz="4" w:space="0"/>
            </w:tcBorders>
            <w:noWrap/>
            <w:vAlign w:val="center"/>
          </w:tcPr>
          <w:p w14:paraId="083FB29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E2C4EA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性别</w:t>
            </w:r>
          </w:p>
        </w:tc>
        <w:tc>
          <w:tcPr>
            <w:tcW w:w="1608" w:type="dxa"/>
            <w:tcBorders>
              <w:top w:val="single" w:color="auto" w:sz="4" w:space="0"/>
              <w:left w:val="nil"/>
              <w:bottom w:val="single" w:color="auto" w:sz="4" w:space="0"/>
              <w:right w:val="single" w:color="auto" w:sz="4" w:space="0"/>
            </w:tcBorders>
            <w:noWrap/>
            <w:vAlign w:val="center"/>
          </w:tcPr>
          <w:p w14:paraId="5F9EDEC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B7CD7D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年龄</w:t>
            </w:r>
          </w:p>
        </w:tc>
        <w:tc>
          <w:tcPr>
            <w:tcW w:w="1341" w:type="dxa"/>
            <w:tcBorders>
              <w:top w:val="single" w:color="auto" w:sz="4" w:space="0"/>
              <w:left w:val="nil"/>
              <w:bottom w:val="single" w:color="auto" w:sz="4" w:space="0"/>
              <w:right w:val="single" w:color="auto" w:sz="4" w:space="0"/>
            </w:tcBorders>
            <w:noWrap/>
            <w:vAlign w:val="center"/>
          </w:tcPr>
          <w:p w14:paraId="1498B28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2FF0F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1C6AFAC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职务</w:t>
            </w:r>
          </w:p>
        </w:tc>
        <w:tc>
          <w:tcPr>
            <w:tcW w:w="1480" w:type="dxa"/>
            <w:tcBorders>
              <w:top w:val="single" w:color="auto" w:sz="4" w:space="0"/>
              <w:left w:val="nil"/>
              <w:bottom w:val="single" w:color="auto" w:sz="4" w:space="0"/>
              <w:right w:val="single" w:color="auto" w:sz="4" w:space="0"/>
            </w:tcBorders>
            <w:noWrap/>
            <w:vAlign w:val="center"/>
          </w:tcPr>
          <w:p w14:paraId="6D7B576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42A927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职称</w:t>
            </w:r>
          </w:p>
        </w:tc>
        <w:tc>
          <w:tcPr>
            <w:tcW w:w="1608" w:type="dxa"/>
            <w:tcBorders>
              <w:top w:val="single" w:color="auto" w:sz="4" w:space="0"/>
              <w:left w:val="nil"/>
              <w:bottom w:val="single" w:color="auto" w:sz="4" w:space="0"/>
              <w:right w:val="single" w:color="auto" w:sz="4" w:space="0"/>
            </w:tcBorders>
            <w:noWrap/>
            <w:vAlign w:val="center"/>
          </w:tcPr>
          <w:p w14:paraId="33F6218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09B67D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学历</w:t>
            </w:r>
          </w:p>
        </w:tc>
        <w:tc>
          <w:tcPr>
            <w:tcW w:w="1341" w:type="dxa"/>
            <w:tcBorders>
              <w:top w:val="single" w:color="auto" w:sz="4" w:space="0"/>
              <w:left w:val="nil"/>
              <w:bottom w:val="single" w:color="auto" w:sz="4" w:space="0"/>
              <w:right w:val="single" w:color="auto" w:sz="4" w:space="0"/>
            </w:tcBorders>
            <w:noWrap/>
            <w:vAlign w:val="center"/>
          </w:tcPr>
          <w:p w14:paraId="7E9506D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27088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2FAF7EA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center"/>
          </w:tcPr>
          <w:p w14:paraId="3091CF3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center"/>
          </w:tcPr>
          <w:p w14:paraId="2AA6C95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4F2E18C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0BF5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379E542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0E28310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20B82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2875641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在建和已完工程项目情况</w:t>
            </w:r>
          </w:p>
        </w:tc>
      </w:tr>
      <w:tr w14:paraId="7077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17E602E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center"/>
          </w:tcPr>
          <w:p w14:paraId="485B175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center"/>
          </w:tcPr>
          <w:p w14:paraId="3BD4F68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center"/>
          </w:tcPr>
          <w:p w14:paraId="179B378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center"/>
          </w:tcPr>
          <w:p w14:paraId="280A6CA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在建或已完</w:t>
            </w:r>
          </w:p>
        </w:tc>
        <w:tc>
          <w:tcPr>
            <w:tcW w:w="1341" w:type="dxa"/>
            <w:tcBorders>
              <w:top w:val="single" w:color="auto" w:sz="4" w:space="0"/>
              <w:left w:val="nil"/>
              <w:bottom w:val="single" w:color="auto" w:sz="4" w:space="0"/>
              <w:right w:val="single" w:color="auto" w:sz="4" w:space="0"/>
            </w:tcBorders>
            <w:noWrap/>
            <w:vAlign w:val="center"/>
          </w:tcPr>
          <w:p w14:paraId="41073E9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工程质量</w:t>
            </w:r>
          </w:p>
        </w:tc>
      </w:tr>
      <w:tr w14:paraId="7828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EBABF7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792446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0552A4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738621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7D53C91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11A5B5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61006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A52164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8C0137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2C7D80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AC3D64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3248B7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1C6113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6B222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A6D897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CB6E91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83D57B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1789E58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689192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5D8671B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3BA9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7EBA2A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D1880D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7B105A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FCA4A5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BEC3C4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84BB68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2A01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6CA274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04296D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F77424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1DA1553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82341A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5117586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0C50F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E11746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0A87AF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AB9CD1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345A2F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18B7E1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6310D6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256AA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6281142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E15F98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6E7536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754382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399679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41365F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3BE04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669EB8D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ABE803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B0F22E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10D128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610A50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AEE9CD6">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4F285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E08A84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47B3F5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AD35F3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619F616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6F4612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2FB5C6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33E6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AAB817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E8D7BD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4146AC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3EB078F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BA4494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6D5CD70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bl>
    <w:p w14:paraId="27927FD2">
      <w:pPr>
        <w:spacing w:line="360" w:lineRule="auto"/>
        <w:rPr>
          <w:rFonts w:hAnsi="宋体" w:cs="宋体"/>
          <w:i w:val="0"/>
          <w:iCs w:val="0"/>
          <w:color w:val="auto"/>
          <w:highlight w:val="none"/>
        </w:rPr>
      </w:pPr>
    </w:p>
    <w:p w14:paraId="728DFBC6">
      <w:pPr>
        <w:spacing w:line="360" w:lineRule="auto"/>
        <w:jc w:val="center"/>
        <w:rPr>
          <w:rFonts w:ascii="宋体" w:hAnsi="宋体"/>
          <w:b/>
          <w:bCs/>
          <w:i w:val="0"/>
          <w:iCs w:val="0"/>
          <w:color w:val="auto"/>
          <w:highlight w:val="none"/>
        </w:rPr>
      </w:pPr>
    </w:p>
    <w:p w14:paraId="0400BECD">
      <w:pPr>
        <w:spacing w:line="360" w:lineRule="auto"/>
        <w:jc w:val="center"/>
        <w:rPr>
          <w:rFonts w:ascii="宋体" w:hAnsi="宋体"/>
          <w:b/>
          <w:bCs/>
          <w:i w:val="0"/>
          <w:iCs w:val="0"/>
          <w:color w:val="auto"/>
          <w:highlight w:val="none"/>
        </w:rPr>
      </w:pPr>
      <w:r>
        <w:rPr>
          <w:rFonts w:hint="eastAsia" w:ascii="宋体" w:hAnsi="宋体"/>
          <w:b/>
          <w:bCs/>
          <w:i w:val="0"/>
          <w:iCs w:val="0"/>
          <w:color w:val="auto"/>
          <w:highlight w:val="none"/>
        </w:rPr>
        <w:t>表7  项目技术负责人简历表</w:t>
      </w:r>
    </w:p>
    <w:tbl>
      <w:tblPr>
        <w:tblStyle w:val="21"/>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4105E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43644EA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姓名</w:t>
            </w:r>
          </w:p>
        </w:tc>
        <w:tc>
          <w:tcPr>
            <w:tcW w:w="1480" w:type="dxa"/>
            <w:tcBorders>
              <w:top w:val="single" w:color="auto" w:sz="4" w:space="0"/>
              <w:left w:val="nil"/>
              <w:bottom w:val="single" w:color="auto" w:sz="4" w:space="0"/>
              <w:right w:val="single" w:color="auto" w:sz="4" w:space="0"/>
            </w:tcBorders>
            <w:noWrap/>
            <w:vAlign w:val="top"/>
          </w:tcPr>
          <w:p w14:paraId="5601803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CD0253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性别</w:t>
            </w:r>
          </w:p>
        </w:tc>
        <w:tc>
          <w:tcPr>
            <w:tcW w:w="1608" w:type="dxa"/>
            <w:tcBorders>
              <w:top w:val="single" w:color="auto" w:sz="4" w:space="0"/>
              <w:left w:val="nil"/>
              <w:bottom w:val="single" w:color="auto" w:sz="4" w:space="0"/>
              <w:right w:val="single" w:color="auto" w:sz="4" w:space="0"/>
            </w:tcBorders>
            <w:noWrap/>
            <w:vAlign w:val="top"/>
          </w:tcPr>
          <w:p w14:paraId="48AB794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594B0A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年龄</w:t>
            </w:r>
          </w:p>
        </w:tc>
        <w:tc>
          <w:tcPr>
            <w:tcW w:w="1304" w:type="dxa"/>
            <w:tcBorders>
              <w:top w:val="single" w:color="auto" w:sz="4" w:space="0"/>
              <w:left w:val="nil"/>
              <w:bottom w:val="single" w:color="auto" w:sz="4" w:space="0"/>
              <w:right w:val="single" w:color="auto" w:sz="4" w:space="0"/>
            </w:tcBorders>
            <w:noWrap/>
            <w:vAlign w:val="top"/>
          </w:tcPr>
          <w:p w14:paraId="53EA481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7EF98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1C43866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职务</w:t>
            </w:r>
          </w:p>
        </w:tc>
        <w:tc>
          <w:tcPr>
            <w:tcW w:w="1480" w:type="dxa"/>
            <w:tcBorders>
              <w:top w:val="single" w:color="auto" w:sz="4" w:space="0"/>
              <w:left w:val="nil"/>
              <w:bottom w:val="single" w:color="auto" w:sz="4" w:space="0"/>
              <w:right w:val="single" w:color="auto" w:sz="4" w:space="0"/>
            </w:tcBorders>
            <w:noWrap/>
            <w:vAlign w:val="top"/>
          </w:tcPr>
          <w:p w14:paraId="7EF52D6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08028B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职称</w:t>
            </w:r>
          </w:p>
        </w:tc>
        <w:tc>
          <w:tcPr>
            <w:tcW w:w="1608" w:type="dxa"/>
            <w:tcBorders>
              <w:top w:val="single" w:color="auto" w:sz="4" w:space="0"/>
              <w:left w:val="nil"/>
              <w:bottom w:val="single" w:color="auto" w:sz="4" w:space="0"/>
              <w:right w:val="single" w:color="auto" w:sz="4" w:space="0"/>
            </w:tcBorders>
            <w:noWrap/>
            <w:vAlign w:val="top"/>
          </w:tcPr>
          <w:p w14:paraId="58C02FA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417E4EA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学历</w:t>
            </w:r>
          </w:p>
        </w:tc>
        <w:tc>
          <w:tcPr>
            <w:tcW w:w="1304" w:type="dxa"/>
            <w:tcBorders>
              <w:top w:val="single" w:color="auto" w:sz="4" w:space="0"/>
              <w:left w:val="nil"/>
              <w:bottom w:val="single" w:color="auto" w:sz="4" w:space="0"/>
              <w:right w:val="single" w:color="auto" w:sz="4" w:space="0"/>
            </w:tcBorders>
            <w:noWrap/>
            <w:vAlign w:val="top"/>
          </w:tcPr>
          <w:p w14:paraId="0DBC215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1C02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296577D1">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top"/>
          </w:tcPr>
          <w:p w14:paraId="3B997968">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top"/>
          </w:tcPr>
          <w:p w14:paraId="3445852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从事技术负责人年限</w:t>
            </w:r>
          </w:p>
        </w:tc>
        <w:tc>
          <w:tcPr>
            <w:tcW w:w="1304" w:type="dxa"/>
            <w:tcBorders>
              <w:top w:val="single" w:color="auto" w:sz="4" w:space="0"/>
              <w:left w:val="nil"/>
              <w:bottom w:val="single" w:color="auto" w:sz="4" w:space="0"/>
              <w:right w:val="single" w:color="auto" w:sz="4" w:space="0"/>
            </w:tcBorders>
            <w:noWrap/>
            <w:vAlign w:val="top"/>
          </w:tcPr>
          <w:p w14:paraId="573071B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50B2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7314AD1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资格证书名称及编号</w:t>
            </w:r>
          </w:p>
        </w:tc>
        <w:tc>
          <w:tcPr>
            <w:tcW w:w="5873" w:type="dxa"/>
            <w:gridSpan w:val="4"/>
            <w:tcBorders>
              <w:top w:val="single" w:color="auto" w:sz="4" w:space="0"/>
              <w:left w:val="nil"/>
              <w:bottom w:val="single" w:color="auto" w:sz="4" w:space="0"/>
              <w:right w:val="single" w:color="auto" w:sz="4" w:space="0"/>
            </w:tcBorders>
            <w:noWrap/>
            <w:vAlign w:val="top"/>
          </w:tcPr>
          <w:p w14:paraId="2A42726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p>
        </w:tc>
      </w:tr>
      <w:tr w14:paraId="199C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vAlign w:val="top"/>
          </w:tcPr>
          <w:p w14:paraId="5F37EB9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在建和已完工程项目情况</w:t>
            </w:r>
          </w:p>
        </w:tc>
      </w:tr>
      <w:tr w14:paraId="7F9C2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6CC9B0C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top"/>
          </w:tcPr>
          <w:p w14:paraId="1433AC8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top"/>
          </w:tcPr>
          <w:p w14:paraId="063FA45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top"/>
          </w:tcPr>
          <w:p w14:paraId="14C85A5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top"/>
          </w:tcPr>
          <w:p w14:paraId="7AA1A31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在建或已完</w:t>
            </w:r>
          </w:p>
        </w:tc>
        <w:tc>
          <w:tcPr>
            <w:tcW w:w="1304" w:type="dxa"/>
            <w:tcBorders>
              <w:top w:val="single" w:color="auto" w:sz="4" w:space="0"/>
              <w:left w:val="nil"/>
              <w:bottom w:val="single" w:color="auto" w:sz="4" w:space="0"/>
              <w:right w:val="single" w:color="auto" w:sz="4" w:space="0"/>
            </w:tcBorders>
            <w:noWrap/>
            <w:vAlign w:val="top"/>
          </w:tcPr>
          <w:p w14:paraId="7E00DE0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color w:val="auto"/>
                <w:highlight w:val="none"/>
              </w:rPr>
            </w:pPr>
            <w:r>
              <w:rPr>
                <w:rFonts w:hint="eastAsia" w:ascii="Times New Roman" w:hAnsi="宋体" w:cs="Times New Roman"/>
                <w:i w:val="0"/>
                <w:iCs w:val="0"/>
                <w:color w:val="auto"/>
                <w:highlight w:val="none"/>
              </w:rPr>
              <w:t>工程质量</w:t>
            </w:r>
          </w:p>
        </w:tc>
      </w:tr>
      <w:tr w14:paraId="4B46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36DF4B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6509FA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BBA193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6F38C1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0BF0E5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17178B3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2F1F9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52AA45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90347B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1F234B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215D637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C86BDD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9C0CF9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31D1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622493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931CF0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ECD048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BE2A00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611C2E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2459086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277B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0E9A987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F90E4B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B921DD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211F91C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8F2FD0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85EE9C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4CD1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5865E3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8F62FA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C437AA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423C09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E586C2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C5445E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5187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63F93B0">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CA0754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C86EC9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2AC8A12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5D9327A">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1F3F3EC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4227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BB7963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8A1549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9A9374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6ED45B6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70B3679">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5ADD61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74EB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03F1C80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AF266D4">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90E101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1322968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C13370E">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1DA8725B">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6EA0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1DF4E1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5C521E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30606E5">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83F0533">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147917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01D4627D">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r w14:paraId="7DA80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855A38C">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922E1BF">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2F58AD1">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6DB26B2">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AECAE4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06478E98">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p>
        </w:tc>
      </w:tr>
    </w:tbl>
    <w:p w14:paraId="1EBDEA81">
      <w:pPr>
        <w:spacing w:line="360" w:lineRule="auto"/>
        <w:jc w:val="center"/>
        <w:rPr>
          <w:rFonts w:ascii="宋体" w:hAnsi="宋体"/>
          <w:b/>
          <w:bCs/>
          <w:i w:val="0"/>
          <w:iCs w:val="0"/>
          <w:color w:val="auto"/>
          <w:highlight w:val="none"/>
        </w:rPr>
      </w:pPr>
      <w:r>
        <w:rPr>
          <w:rFonts w:hint="eastAsia" w:ascii="宋体" w:hAnsi="宋体"/>
          <w:b/>
          <w:bCs/>
          <w:i w:val="0"/>
          <w:iCs w:val="0"/>
          <w:color w:val="auto"/>
          <w:highlight w:val="none"/>
        </w:rPr>
        <w:t>表8    项目管理班子配备情况辅助说明资料</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7E2E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14:paraId="0556E867">
            <w:pPr>
              <w:keepNext w:val="0"/>
              <w:keepLines w:val="0"/>
              <w:suppressLineNumbers w:val="0"/>
              <w:spacing w:before="0" w:beforeAutospacing="0" w:after="0" w:afterAutospacing="0" w:line="360" w:lineRule="auto"/>
              <w:ind w:left="0" w:right="0"/>
              <w:rPr>
                <w:rFonts w:hint="default" w:ascii="Times New Roman" w:hAnsi="宋体" w:cs="宋体"/>
                <w:i w:val="0"/>
                <w:iCs w:val="0"/>
                <w:color w:val="auto"/>
                <w:highlight w:val="none"/>
              </w:rPr>
            </w:pPr>
            <w:bookmarkStart w:id="794" w:name="_Hlk24150653"/>
            <w:bookmarkEnd w:id="794"/>
          </w:p>
        </w:tc>
      </w:tr>
    </w:tbl>
    <w:p w14:paraId="484A2150">
      <w:pPr>
        <w:spacing w:line="360" w:lineRule="auto"/>
        <w:rPr>
          <w:rFonts w:hAnsi="宋体" w:cs="宋体"/>
          <w:i w:val="0"/>
          <w:iCs w:val="0"/>
          <w:color w:val="auto"/>
          <w:highlight w:val="none"/>
        </w:rPr>
      </w:pPr>
      <w:r>
        <w:rPr>
          <w:rFonts w:hint="eastAsia" w:ascii="宋体" w:hAnsi="宋体"/>
          <w:i w:val="0"/>
          <w:iCs w:val="0"/>
          <w:color w:val="auto"/>
          <w:highlight w:val="none"/>
        </w:rPr>
        <w:t>注：</w:t>
      </w:r>
      <w:r>
        <w:rPr>
          <w:rFonts w:hAnsi="宋体" w:cs="宋体"/>
          <w:i w:val="0"/>
          <w:iCs w:val="0"/>
          <w:color w:val="auto"/>
          <w:highlight w:val="none"/>
        </w:rPr>
        <w:t>1</w:t>
      </w:r>
      <w:r>
        <w:rPr>
          <w:rFonts w:hint="eastAsia" w:ascii="宋体" w:hAnsi="宋体"/>
          <w:i w:val="0"/>
          <w:iCs w:val="0"/>
          <w:color w:val="auto"/>
          <w:highlight w:val="none"/>
        </w:rPr>
        <w:t>、辅助说明资料主要包括管理班子机构设置、职责分工、有关复印证明资料以及投标人认为有必要提供的资料。辅助说明资料格式不做统一规定，由投标人自行设计。</w:t>
      </w:r>
    </w:p>
    <w:p w14:paraId="79C5A622">
      <w:pPr>
        <w:spacing w:line="360" w:lineRule="auto"/>
        <w:ind w:firstLine="360" w:firstLineChars="150"/>
        <w:rPr>
          <w:rFonts w:hAnsi="宋体" w:cs="宋体"/>
          <w:i w:val="0"/>
          <w:iCs w:val="0"/>
          <w:color w:val="auto"/>
          <w:highlight w:val="none"/>
        </w:rPr>
      </w:pPr>
      <w:r>
        <w:rPr>
          <w:rFonts w:hAnsi="宋体" w:cs="宋体"/>
          <w:i w:val="0"/>
          <w:iCs w:val="0"/>
          <w:color w:val="auto"/>
          <w:highlight w:val="none"/>
        </w:rPr>
        <w:t>2</w:t>
      </w:r>
      <w:r>
        <w:rPr>
          <w:rFonts w:hint="eastAsia" w:ascii="宋体" w:hAnsi="宋体"/>
          <w:i w:val="0"/>
          <w:iCs w:val="0"/>
          <w:color w:val="auto"/>
          <w:highlight w:val="none"/>
        </w:rPr>
        <w:t>、项目管理班子配备情况辅助说明资料另附（与本投标文件一起装订）</w:t>
      </w:r>
    </w:p>
    <w:p w14:paraId="76A8CA9A">
      <w:pPr>
        <w:spacing w:line="360" w:lineRule="auto"/>
        <w:ind w:firstLine="360" w:firstLineChars="150"/>
        <w:jc w:val="center"/>
        <w:rPr>
          <w:rFonts w:hAnsi="宋体" w:cs="宋体"/>
          <w:b/>
          <w:bCs/>
          <w:i w:val="0"/>
          <w:iCs w:val="0"/>
          <w:strike w:val="0"/>
          <w:dstrike w:val="0"/>
          <w:color w:val="auto"/>
          <w:sz w:val="36"/>
          <w:szCs w:val="36"/>
          <w:highlight w:val="none"/>
        </w:rPr>
      </w:pPr>
      <w:r>
        <w:rPr>
          <w:rFonts w:hAnsi="宋体" w:cs="宋体"/>
          <w:i w:val="0"/>
          <w:iCs w:val="0"/>
          <w:color w:val="auto"/>
          <w:highlight w:val="none"/>
        </w:rPr>
        <w:br w:type="page"/>
      </w:r>
      <w:r>
        <w:rPr>
          <w:rFonts w:hint="eastAsia" w:ascii="宋体" w:hAnsi="宋体"/>
          <w:b/>
          <w:bCs/>
          <w:i w:val="0"/>
          <w:iCs w:val="0"/>
          <w:strike w:val="0"/>
          <w:dstrike w:val="0"/>
          <w:color w:val="auto"/>
          <w:sz w:val="36"/>
          <w:szCs w:val="36"/>
          <w:highlight w:val="none"/>
        </w:rPr>
        <w:t>三、项目拟分包情况</w:t>
      </w:r>
    </w:p>
    <w:p w14:paraId="61070222">
      <w:pPr>
        <w:spacing w:line="360" w:lineRule="auto"/>
        <w:jc w:val="center"/>
        <w:rPr>
          <w:rFonts w:hAnsi="宋体" w:cs="宋体"/>
          <w:i w:val="0"/>
          <w:iCs w:val="0"/>
          <w:strike w:val="0"/>
          <w:dstrike w:val="0"/>
          <w:color w:val="auto"/>
          <w:highlight w:val="none"/>
        </w:rPr>
      </w:pPr>
    </w:p>
    <w:p w14:paraId="30DA80BA">
      <w:pPr>
        <w:spacing w:line="360" w:lineRule="auto"/>
        <w:jc w:val="center"/>
        <w:rPr>
          <w:rFonts w:ascii="宋体" w:hAnsi="宋体"/>
          <w:b/>
          <w:bCs/>
          <w:i w:val="0"/>
          <w:iCs w:val="0"/>
          <w:strike w:val="0"/>
          <w:dstrike w:val="0"/>
          <w:color w:val="auto"/>
          <w:highlight w:val="none"/>
        </w:rPr>
      </w:pPr>
      <w:r>
        <w:rPr>
          <w:rFonts w:hint="eastAsia" w:ascii="宋体" w:hAnsi="宋体"/>
          <w:b/>
          <w:bCs/>
          <w:i w:val="0"/>
          <w:iCs w:val="0"/>
          <w:strike w:val="0"/>
          <w:dstrike w:val="0"/>
          <w:color w:val="auto"/>
          <w:highlight w:val="none"/>
        </w:rPr>
        <w:t>表9  项目拟分包情况表</w:t>
      </w:r>
    </w:p>
    <w:tbl>
      <w:tblPr>
        <w:tblStyle w:val="21"/>
        <w:tblW w:w="84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5B21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14:paraId="7A8CA71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分包人名称</w:t>
            </w:r>
          </w:p>
        </w:tc>
        <w:tc>
          <w:tcPr>
            <w:tcW w:w="2889" w:type="dxa"/>
            <w:gridSpan w:val="2"/>
            <w:tcBorders>
              <w:top w:val="single" w:color="auto" w:sz="4" w:space="0"/>
              <w:left w:val="nil"/>
              <w:bottom w:val="single" w:color="auto" w:sz="4" w:space="0"/>
              <w:right w:val="single" w:color="auto" w:sz="4" w:space="0"/>
            </w:tcBorders>
            <w:noWrap/>
            <w:vAlign w:val="top"/>
          </w:tcPr>
          <w:p w14:paraId="34905C4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6BC0363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地址</w:t>
            </w:r>
          </w:p>
        </w:tc>
        <w:tc>
          <w:tcPr>
            <w:tcW w:w="2682" w:type="dxa"/>
            <w:gridSpan w:val="3"/>
            <w:tcBorders>
              <w:top w:val="single" w:color="auto" w:sz="4" w:space="0"/>
              <w:left w:val="nil"/>
              <w:bottom w:val="single" w:color="auto" w:sz="4" w:space="0"/>
              <w:right w:val="single" w:color="auto" w:sz="4" w:space="0"/>
            </w:tcBorders>
            <w:noWrap/>
            <w:vAlign w:val="top"/>
          </w:tcPr>
          <w:p w14:paraId="7C956CC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r>
      <w:tr w14:paraId="67E50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14:paraId="20A8D45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法定代表人</w:t>
            </w:r>
          </w:p>
        </w:tc>
        <w:tc>
          <w:tcPr>
            <w:tcW w:w="1441" w:type="dxa"/>
            <w:tcBorders>
              <w:top w:val="single" w:color="auto" w:sz="4" w:space="0"/>
              <w:left w:val="nil"/>
              <w:bottom w:val="single" w:color="auto" w:sz="4" w:space="0"/>
              <w:right w:val="single" w:color="auto" w:sz="4" w:space="0"/>
            </w:tcBorders>
            <w:noWrap/>
            <w:vAlign w:val="top"/>
          </w:tcPr>
          <w:p w14:paraId="62E00968">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6E8C43C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营业执照号码</w:t>
            </w:r>
          </w:p>
        </w:tc>
        <w:tc>
          <w:tcPr>
            <w:tcW w:w="1448" w:type="dxa"/>
            <w:tcBorders>
              <w:top w:val="single" w:color="auto" w:sz="4" w:space="0"/>
              <w:left w:val="nil"/>
              <w:bottom w:val="single" w:color="auto" w:sz="4" w:space="0"/>
              <w:right w:val="single" w:color="auto" w:sz="4" w:space="0"/>
            </w:tcBorders>
            <w:noWrap/>
            <w:vAlign w:val="top"/>
          </w:tcPr>
          <w:p w14:paraId="4682A3B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1449" w:type="dxa"/>
            <w:gridSpan w:val="2"/>
            <w:tcBorders>
              <w:top w:val="single" w:color="auto" w:sz="4" w:space="0"/>
              <w:left w:val="nil"/>
              <w:bottom w:val="single" w:color="auto" w:sz="4" w:space="0"/>
              <w:right w:val="single" w:color="auto" w:sz="4" w:space="0"/>
            </w:tcBorders>
            <w:noWrap/>
            <w:vAlign w:val="top"/>
          </w:tcPr>
          <w:p w14:paraId="61E3B82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资质等级</w:t>
            </w:r>
          </w:p>
          <w:p w14:paraId="22AAE91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证书号码</w:t>
            </w:r>
          </w:p>
        </w:tc>
        <w:tc>
          <w:tcPr>
            <w:tcW w:w="1233" w:type="dxa"/>
            <w:tcBorders>
              <w:top w:val="single" w:color="auto" w:sz="4" w:space="0"/>
              <w:left w:val="nil"/>
              <w:bottom w:val="single" w:color="auto" w:sz="4" w:space="0"/>
              <w:right w:val="single" w:color="auto" w:sz="4" w:space="0"/>
            </w:tcBorders>
            <w:noWrap/>
            <w:vAlign w:val="top"/>
          </w:tcPr>
          <w:p w14:paraId="73C17AD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r>
      <w:tr w14:paraId="5D5C9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40C1493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208E5AC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0AC89BB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造价</w:t>
            </w:r>
          </w:p>
          <w:p w14:paraId="4A05AF7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1AD85EE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r>
              <w:rPr>
                <w:rFonts w:hint="eastAsia" w:ascii="Times New Roman" w:hAnsi="宋体" w:cs="Times New Roman"/>
                <w:i w:val="0"/>
                <w:iCs w:val="0"/>
                <w:strike w:val="0"/>
                <w:dstrike w:val="0"/>
                <w:color w:val="auto"/>
                <w:highlight w:val="none"/>
              </w:rPr>
              <w:t>已经做过的类似工程</w:t>
            </w:r>
          </w:p>
        </w:tc>
      </w:tr>
      <w:tr w14:paraId="6579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72FAD8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08F278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F5B869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restart"/>
            <w:tcBorders>
              <w:top w:val="nil"/>
              <w:left w:val="nil"/>
              <w:bottom w:val="single" w:color="auto" w:sz="4" w:space="0"/>
              <w:right w:val="single" w:color="auto" w:sz="4" w:space="0"/>
            </w:tcBorders>
            <w:noWrap/>
            <w:vAlign w:val="center"/>
          </w:tcPr>
          <w:p w14:paraId="7C99EA01">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r>
      <w:tr w14:paraId="5674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151132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6DBE70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E1D9D7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F1AB8CC">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6C6D1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D9BA778">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EBCB04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7D8EF8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191DC562">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7AD5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94FBDDC">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5BCE78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B0E840E">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0E536D8">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6F099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17B8EC0">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ACAC7DD">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C35E5B3">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4388CBA">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6E29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04CECF8">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7981F2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71B1C48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468285E7">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4FCC6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49E606B">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EB251A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A49CEB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8A53189">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53703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4DC65EF">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5EBB03B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22300C6">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403578E">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7370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38C4CF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3653DA5">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5F794C3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45F48CA">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05C5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3045C232">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DAFA1A4">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792F15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2494A70">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r w14:paraId="35CC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F8D3697">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3183C2A">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2767A19">
            <w:pPr>
              <w:keepNext w:val="0"/>
              <w:keepLines w:val="0"/>
              <w:suppressLineNumbers w:val="0"/>
              <w:spacing w:before="0" w:beforeAutospacing="0" w:after="0" w:afterAutospacing="0" w:line="360" w:lineRule="auto"/>
              <w:ind w:left="0" w:right="0"/>
              <w:jc w:val="center"/>
              <w:rPr>
                <w:rFonts w:hint="default" w:ascii="Times New Roman" w:hAnsi="宋体" w:cs="宋体"/>
                <w:i w:val="0"/>
                <w:iCs w:val="0"/>
                <w:strike w:val="0"/>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D2B24D8">
            <w:pPr>
              <w:keepNext w:val="0"/>
              <w:keepLines w:val="0"/>
              <w:widowControl/>
              <w:suppressLineNumbers w:val="0"/>
              <w:autoSpaceDE/>
              <w:autoSpaceDN/>
              <w:adjustRightInd/>
              <w:spacing w:before="0" w:beforeAutospacing="0" w:after="0" w:afterAutospacing="0"/>
              <w:ind w:left="0" w:right="0"/>
              <w:rPr>
                <w:rFonts w:hint="default" w:ascii="Times New Roman" w:hAnsi="宋体" w:cs="宋体"/>
                <w:i w:val="0"/>
                <w:iCs w:val="0"/>
                <w:strike w:val="0"/>
                <w:dstrike w:val="0"/>
                <w:color w:val="auto"/>
                <w:highlight w:val="none"/>
              </w:rPr>
            </w:pPr>
          </w:p>
        </w:tc>
      </w:tr>
    </w:tbl>
    <w:p w14:paraId="0AD00DED">
      <w:pPr>
        <w:spacing w:line="360" w:lineRule="auto"/>
        <w:jc w:val="both"/>
        <w:rPr>
          <w:i w:val="0"/>
          <w:iCs w:val="0"/>
          <w:color w:val="auto"/>
          <w:sz w:val="72"/>
          <w:szCs w:val="72"/>
          <w:highlight w:val="none"/>
        </w:rPr>
      </w:pPr>
    </w:p>
    <w:p w14:paraId="79CDBCDD">
      <w:pPr>
        <w:spacing w:line="360" w:lineRule="auto"/>
        <w:jc w:val="center"/>
        <w:rPr>
          <w:rFonts w:ascii="宋体" w:hAnsi="宋体"/>
          <w:i w:val="0"/>
          <w:iCs w:val="0"/>
          <w:color w:val="auto"/>
          <w:sz w:val="72"/>
          <w:szCs w:val="72"/>
          <w:highlight w:val="none"/>
        </w:rPr>
      </w:pPr>
      <w:r>
        <w:rPr>
          <w:rFonts w:hint="eastAsia" w:ascii="宋体" w:hAnsi="宋体"/>
          <w:i w:val="0"/>
          <w:iCs w:val="0"/>
          <w:color w:val="auto"/>
          <w:sz w:val="72"/>
          <w:szCs w:val="72"/>
          <w:highlight w:val="none"/>
        </w:rPr>
        <w:t>施工投标文件</w:t>
      </w:r>
    </w:p>
    <w:p w14:paraId="26C569F7">
      <w:pPr>
        <w:jc w:val="center"/>
        <w:rPr>
          <w:rFonts w:ascii="宋体" w:hAnsi="宋体"/>
          <w:i w:val="0"/>
          <w:iCs w:val="0"/>
          <w:color w:val="auto"/>
          <w:sz w:val="32"/>
          <w:szCs w:val="32"/>
          <w:highlight w:val="none"/>
        </w:rPr>
      </w:pPr>
      <w:r>
        <w:rPr>
          <w:rFonts w:hint="eastAsia" w:ascii="宋体" w:hAnsi="宋体"/>
          <w:i w:val="0"/>
          <w:iCs w:val="0"/>
          <w:color w:val="auto"/>
          <w:sz w:val="32"/>
          <w:szCs w:val="32"/>
          <w:highlight w:val="none"/>
        </w:rPr>
        <w:t>（封面）</w:t>
      </w:r>
    </w:p>
    <w:p w14:paraId="5CEECCC3">
      <w:pPr>
        <w:jc w:val="center"/>
        <w:rPr>
          <w:rFonts w:ascii="宋体" w:hAnsi="宋体"/>
          <w:i w:val="0"/>
          <w:iCs w:val="0"/>
          <w:color w:val="auto"/>
          <w:sz w:val="32"/>
          <w:szCs w:val="32"/>
          <w:highlight w:val="none"/>
        </w:rPr>
      </w:pPr>
    </w:p>
    <w:p w14:paraId="0EB626E5">
      <w:pPr>
        <w:jc w:val="center"/>
        <w:rPr>
          <w:rFonts w:ascii="宋体" w:hAnsi="宋体"/>
          <w:i w:val="0"/>
          <w:iCs w:val="0"/>
          <w:color w:val="auto"/>
          <w:sz w:val="32"/>
          <w:szCs w:val="32"/>
          <w:highlight w:val="none"/>
        </w:rPr>
      </w:pPr>
    </w:p>
    <w:p w14:paraId="023F9BB3">
      <w:pPr>
        <w:jc w:val="center"/>
        <w:rPr>
          <w:rFonts w:ascii="宋体" w:hAnsi="宋体"/>
          <w:i w:val="0"/>
          <w:iCs w:val="0"/>
          <w:color w:val="auto"/>
          <w:sz w:val="32"/>
          <w:szCs w:val="32"/>
          <w:highlight w:val="none"/>
        </w:rPr>
      </w:pPr>
    </w:p>
    <w:p w14:paraId="3306BE43">
      <w:pPr>
        <w:spacing w:line="480" w:lineRule="auto"/>
        <w:jc w:val="center"/>
        <w:rPr>
          <w:rFonts w:ascii="宋体" w:hAnsi="宋体"/>
          <w:i w:val="0"/>
          <w:iCs w:val="0"/>
          <w:color w:val="auto"/>
          <w:sz w:val="32"/>
          <w:szCs w:val="32"/>
          <w:highlight w:val="none"/>
        </w:rPr>
      </w:pPr>
    </w:p>
    <w:p w14:paraId="642719C6">
      <w:pPr>
        <w:spacing w:after="468" w:afterLines="150" w:line="480" w:lineRule="auto"/>
        <w:ind w:firstLine="627" w:firstLineChars="196"/>
        <w:rPr>
          <w:rFonts w:ascii="宋体" w:hAnsi="宋体"/>
          <w:i w:val="0"/>
          <w:iCs w:val="0"/>
          <w:color w:val="auto"/>
          <w:sz w:val="32"/>
          <w:szCs w:val="32"/>
          <w:highlight w:val="none"/>
          <w:u w:val="single"/>
        </w:rPr>
      </w:pPr>
      <w:r>
        <w:rPr>
          <w:rFonts w:hint="eastAsia" w:ascii="宋体" w:hAnsi="宋体"/>
          <w:i w:val="0"/>
          <w:iCs w:val="0"/>
          <w:color w:val="auto"/>
          <w:sz w:val="32"/>
          <w:szCs w:val="32"/>
          <w:highlight w:val="none"/>
        </w:rPr>
        <w:t>工程名称：</w:t>
      </w:r>
    </w:p>
    <w:p w14:paraId="3CE39A6E">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投标文件内容：</w:t>
      </w:r>
      <w:r>
        <w:rPr>
          <w:rFonts w:hint="eastAsia" w:ascii="宋体" w:hAnsi="宋体"/>
          <w:i w:val="0"/>
          <w:iCs w:val="0"/>
          <w:color w:val="auto"/>
          <w:sz w:val="32"/>
          <w:szCs w:val="32"/>
          <w:highlight w:val="none"/>
          <w:u w:val="single"/>
        </w:rPr>
        <w:t xml:space="preserve">    投标文件资信标            </w:t>
      </w:r>
    </w:p>
    <w:p w14:paraId="49350D92">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投标人：</w:t>
      </w:r>
      <w:r>
        <w:rPr>
          <w:rFonts w:hint="eastAsia" w:ascii="宋体" w:hAnsi="宋体"/>
          <w:i w:val="0"/>
          <w:iCs w:val="0"/>
          <w:color w:val="auto"/>
          <w:sz w:val="32"/>
          <w:szCs w:val="32"/>
          <w:highlight w:val="none"/>
          <w:u w:val="single"/>
        </w:rPr>
        <w:t xml:space="preserve">                     （单位盖章）   </w:t>
      </w:r>
    </w:p>
    <w:p w14:paraId="76B908D4">
      <w:pPr>
        <w:spacing w:after="468" w:afterLines="150" w:line="480" w:lineRule="auto"/>
        <w:ind w:firstLine="627" w:firstLineChars="196"/>
        <w:rPr>
          <w:rFonts w:ascii="宋体" w:hAnsi="宋体"/>
          <w:i w:val="0"/>
          <w:iCs w:val="0"/>
          <w:color w:val="auto"/>
          <w:sz w:val="32"/>
          <w:szCs w:val="32"/>
          <w:highlight w:val="none"/>
        </w:rPr>
      </w:pPr>
      <w:r>
        <w:rPr>
          <w:rFonts w:hint="eastAsia" w:ascii="宋体" w:hAnsi="宋体"/>
          <w:i w:val="0"/>
          <w:iCs w:val="0"/>
          <w:color w:val="auto"/>
          <w:sz w:val="32"/>
          <w:szCs w:val="32"/>
          <w:highlight w:val="none"/>
        </w:rPr>
        <w:t>法定代表人或委托代理人：</w:t>
      </w:r>
      <w:r>
        <w:rPr>
          <w:rFonts w:hint="eastAsia" w:ascii="宋体" w:hAnsi="宋体"/>
          <w:i w:val="0"/>
          <w:iCs w:val="0"/>
          <w:color w:val="auto"/>
          <w:sz w:val="32"/>
          <w:szCs w:val="32"/>
          <w:highlight w:val="none"/>
          <w:u w:val="single"/>
        </w:rPr>
        <w:t xml:space="preserve">        （</w:t>
      </w:r>
      <w:r>
        <w:rPr>
          <w:rFonts w:hint="eastAsia" w:ascii="宋体" w:hAnsi="宋体"/>
          <w:i w:val="0"/>
          <w:iCs w:val="0"/>
          <w:color w:val="auto"/>
          <w:highlight w:val="none"/>
          <w:u w:val="single"/>
        </w:rPr>
        <w:t>签字或盖章</w:t>
      </w:r>
      <w:r>
        <w:rPr>
          <w:rFonts w:hint="eastAsia" w:ascii="宋体" w:hAnsi="宋体"/>
          <w:i w:val="0"/>
          <w:iCs w:val="0"/>
          <w:color w:val="auto"/>
          <w:sz w:val="32"/>
          <w:szCs w:val="32"/>
          <w:highlight w:val="none"/>
          <w:u w:val="single"/>
        </w:rPr>
        <w:t>）</w:t>
      </w:r>
    </w:p>
    <w:p w14:paraId="7F74D696">
      <w:pPr>
        <w:spacing w:after="468" w:afterLines="150" w:line="480" w:lineRule="auto"/>
        <w:ind w:firstLine="627" w:firstLineChars="196"/>
        <w:jc w:val="center"/>
        <w:rPr>
          <w:rFonts w:ascii="宋体" w:hAnsi="宋体"/>
          <w:i w:val="0"/>
          <w:iCs w:val="0"/>
          <w:color w:val="auto"/>
          <w:sz w:val="32"/>
          <w:szCs w:val="32"/>
          <w:highlight w:val="none"/>
        </w:rPr>
      </w:pPr>
      <w:r>
        <w:rPr>
          <w:rFonts w:hint="eastAsia" w:ascii="宋体" w:hAnsi="宋体"/>
          <w:i w:val="0"/>
          <w:iCs w:val="0"/>
          <w:color w:val="auto"/>
          <w:sz w:val="32"/>
          <w:szCs w:val="32"/>
          <w:highlight w:val="none"/>
        </w:rPr>
        <w:t>日期：     年  月  日</w:t>
      </w:r>
    </w:p>
    <w:p w14:paraId="3493A2EA">
      <w:pPr>
        <w:widowControl/>
        <w:rPr>
          <w:i w:val="0"/>
          <w:iCs w:val="0"/>
          <w:color w:val="auto"/>
          <w:sz w:val="30"/>
          <w:szCs w:val="30"/>
          <w:highlight w:val="none"/>
        </w:rPr>
      </w:pPr>
      <w:r>
        <w:rPr>
          <w:i w:val="0"/>
          <w:iCs w:val="0"/>
          <w:color w:val="auto"/>
          <w:highlight w:val="none"/>
        </w:rPr>
        <w:br w:type="page"/>
      </w:r>
    </w:p>
    <w:p w14:paraId="33A7C752">
      <w:pPr>
        <w:pStyle w:val="10"/>
        <w:spacing w:line="360" w:lineRule="auto"/>
        <w:ind w:firstLine="602"/>
        <w:jc w:val="center"/>
        <w:rPr>
          <w:b/>
          <w:bCs/>
          <w:i w:val="0"/>
          <w:iCs w:val="0"/>
          <w:color w:val="auto"/>
          <w:sz w:val="36"/>
          <w:szCs w:val="36"/>
          <w:highlight w:val="none"/>
        </w:rPr>
      </w:pPr>
      <w:r>
        <w:rPr>
          <w:rFonts w:hint="eastAsia" w:hAnsi="宋体"/>
          <w:b/>
          <w:bCs/>
          <w:i w:val="0"/>
          <w:iCs w:val="0"/>
          <w:color w:val="auto"/>
          <w:sz w:val="36"/>
          <w:szCs w:val="36"/>
          <w:highlight w:val="none"/>
        </w:rPr>
        <w:t>目录</w:t>
      </w:r>
    </w:p>
    <w:p w14:paraId="2288D79B">
      <w:pPr>
        <w:autoSpaceDN/>
        <w:spacing w:line="360" w:lineRule="auto"/>
        <w:rPr>
          <w:rFonts w:hint="eastAsia" w:ascii="宋体" w:hAnsi="宋体"/>
          <w:i w:val="0"/>
          <w:iCs w:val="0"/>
          <w:strike/>
          <w:color w:val="auto"/>
          <w:highlight w:val="none"/>
        </w:rPr>
      </w:pPr>
    </w:p>
    <w:p w14:paraId="643702EB">
      <w:pPr>
        <w:autoSpaceDN/>
        <w:spacing w:line="360" w:lineRule="auto"/>
        <w:ind w:left="561"/>
        <w:rPr>
          <w:rFonts w:hint="eastAsia" w:ascii="宋体" w:hAnsi="宋体"/>
          <w:bCs/>
          <w:i w:val="0"/>
          <w:iCs w:val="0"/>
          <w:strike w:val="0"/>
          <w:color w:val="auto"/>
          <w:highlight w:val="none"/>
        </w:rPr>
      </w:pPr>
      <w:r>
        <w:rPr>
          <w:rFonts w:hint="eastAsia" w:ascii="宋体" w:hAnsi="宋体"/>
          <w:bCs/>
          <w:i w:val="0"/>
          <w:iCs w:val="0"/>
          <w:strike w:val="0"/>
          <w:color w:val="auto"/>
          <w:highlight w:val="none"/>
        </w:rPr>
        <w:t>1.投标人信用评价（投标截止之日</w:t>
      </w:r>
      <w:r>
        <w:rPr>
          <w:rFonts w:hint="eastAsia" w:ascii="宋体" w:hAnsi="宋体"/>
          <w:bCs/>
          <w:i w:val="0"/>
          <w:iCs w:val="0"/>
          <w:strike w:val="0"/>
          <w:color w:val="auto"/>
          <w:highlight w:val="none"/>
          <w:lang w:eastAsia="zh-CN"/>
        </w:rPr>
        <w:t>浙江省建筑市场监管公共服务系统</w:t>
      </w:r>
      <w:r>
        <w:rPr>
          <w:rFonts w:hint="eastAsia" w:ascii="宋体" w:hAnsi="宋体"/>
          <w:bCs/>
          <w:i w:val="0"/>
          <w:iCs w:val="0"/>
          <w:strike w:val="0"/>
          <w:color w:val="auto"/>
          <w:highlight w:val="none"/>
        </w:rPr>
        <w:t>上</w:t>
      </w:r>
      <w:r>
        <w:rPr>
          <w:rFonts w:hint="eastAsia" w:ascii="宋体" w:hAnsi="宋体"/>
          <w:bCs/>
          <w:i w:val="0"/>
          <w:iCs w:val="0"/>
          <w:strike w:val="0"/>
          <w:color w:val="auto"/>
          <w:highlight w:val="none"/>
          <w:lang w:val="en-US" w:eastAsia="zh-CN"/>
        </w:rPr>
        <w:t>最近一期</w:t>
      </w:r>
      <w:r>
        <w:rPr>
          <w:rFonts w:hint="eastAsia" w:ascii="宋体" w:hAnsi="宋体"/>
          <w:bCs/>
          <w:i w:val="0"/>
          <w:iCs w:val="0"/>
          <w:strike w:val="0"/>
          <w:color w:val="auto"/>
          <w:highlight w:val="none"/>
        </w:rPr>
        <w:t>公布的（</w:t>
      </w:r>
      <w:r>
        <w:rPr>
          <w:rFonts w:hint="eastAsia" w:ascii="宋体" w:hAnsi="宋体"/>
          <w:bCs/>
          <w:i w:val="0"/>
          <w:iCs w:val="0"/>
          <w:strike w:val="0"/>
          <w:color w:val="auto"/>
          <w:highlight w:val="none"/>
          <w:lang w:val="en-US" w:eastAsia="zh-CN"/>
        </w:rPr>
        <w:t>房屋</w:t>
      </w:r>
      <w:r>
        <w:rPr>
          <w:rFonts w:hint="eastAsia" w:ascii="宋体" w:hAnsi="宋体"/>
          <w:bCs/>
          <w:i w:val="0"/>
          <w:iCs w:val="0"/>
          <w:strike w:val="0"/>
          <w:color w:val="auto"/>
          <w:highlight w:val="none"/>
          <w:u w:val="single"/>
        </w:rPr>
        <w:t>建筑工程</w:t>
      </w:r>
      <w:r>
        <w:rPr>
          <w:rFonts w:hint="eastAsia" w:ascii="宋体" w:hAnsi="宋体"/>
          <w:bCs/>
          <w:i w:val="0"/>
          <w:iCs w:val="0"/>
          <w:strike w:val="0"/>
          <w:color w:val="auto"/>
          <w:highlight w:val="none"/>
        </w:rPr>
        <w:t>）的施工总承包企业信用评价）</w:t>
      </w:r>
    </w:p>
    <w:p w14:paraId="297398F5">
      <w:pPr>
        <w:autoSpaceDN/>
        <w:spacing w:line="360" w:lineRule="auto"/>
        <w:ind w:left="561"/>
        <w:rPr>
          <w:rFonts w:hint="eastAsia" w:ascii="宋体" w:hAnsi="宋体"/>
          <w:bCs/>
          <w:i w:val="0"/>
          <w:iCs w:val="0"/>
          <w:strike/>
          <w:dstrike w:val="0"/>
          <w:color w:val="auto"/>
          <w:highlight w:val="none"/>
        </w:rPr>
      </w:pPr>
      <w:r>
        <w:rPr>
          <w:rFonts w:hint="eastAsia" w:ascii="宋体" w:hAnsi="宋体"/>
          <w:bCs/>
          <w:i w:val="0"/>
          <w:iCs w:val="0"/>
          <w:strike/>
          <w:dstrike w:val="0"/>
          <w:color w:val="auto"/>
          <w:highlight w:val="none"/>
        </w:rPr>
        <w:t>2.近年财务状况表（表1）</w:t>
      </w:r>
    </w:p>
    <w:p w14:paraId="3862EC1D">
      <w:pPr>
        <w:autoSpaceDN/>
        <w:spacing w:line="360" w:lineRule="auto"/>
        <w:ind w:left="561"/>
        <w:rPr>
          <w:rFonts w:hint="eastAsia" w:ascii="宋体" w:hAnsi="宋体"/>
          <w:bCs/>
          <w:i w:val="0"/>
          <w:iCs w:val="0"/>
          <w:strike w:val="0"/>
          <w:dstrike w:val="0"/>
          <w:color w:val="auto"/>
          <w:highlight w:val="none"/>
        </w:rPr>
      </w:pPr>
      <w:r>
        <w:rPr>
          <w:rFonts w:hint="eastAsia" w:ascii="宋体" w:hAnsi="宋体"/>
          <w:bCs/>
          <w:i w:val="0"/>
          <w:iCs w:val="0"/>
          <w:strike w:val="0"/>
          <w:dstrike w:val="0"/>
          <w:color w:val="auto"/>
          <w:highlight w:val="none"/>
        </w:rPr>
        <w:t>3.业绩汇总表（表2）（附相关业绩的证明材料，且需要准确详细列入）</w:t>
      </w:r>
    </w:p>
    <w:p w14:paraId="65774547">
      <w:pPr>
        <w:autoSpaceDN/>
        <w:spacing w:line="360" w:lineRule="auto"/>
        <w:ind w:left="561"/>
        <w:rPr>
          <w:rFonts w:hint="eastAsia" w:ascii="宋体" w:hAnsi="宋体"/>
          <w:bCs/>
          <w:i w:val="0"/>
          <w:iCs w:val="0"/>
          <w:color w:val="auto"/>
          <w:highlight w:val="none"/>
        </w:rPr>
      </w:pPr>
      <w:r>
        <w:rPr>
          <w:rFonts w:hint="eastAsia" w:ascii="宋体" w:hAnsi="宋体"/>
          <w:bCs/>
          <w:i w:val="0"/>
          <w:iCs w:val="0"/>
          <w:color w:val="auto"/>
          <w:highlight w:val="none"/>
        </w:rPr>
        <w:t>4.招标人要求提交的其他资料（详见投标人须知前附表）</w:t>
      </w:r>
    </w:p>
    <w:p w14:paraId="2E590CE8">
      <w:pPr>
        <w:pStyle w:val="14"/>
        <w:jc w:val="both"/>
        <w:rPr>
          <w:rFonts w:hint="eastAsia"/>
          <w:i w:val="0"/>
          <w:iCs w:val="0"/>
          <w:color w:val="auto"/>
          <w:highlight w:val="none"/>
        </w:rPr>
      </w:pPr>
    </w:p>
    <w:p w14:paraId="7DC29854">
      <w:pPr>
        <w:spacing w:after="360"/>
        <w:rPr>
          <w:i w:val="0"/>
          <w:iCs w:val="0"/>
          <w:color w:val="auto"/>
          <w:highlight w:val="none"/>
        </w:rPr>
      </w:pPr>
    </w:p>
    <w:p w14:paraId="0FFADBEF">
      <w:pPr>
        <w:rPr>
          <w:rFonts w:hint="eastAsia" w:ascii="宋体" w:hAnsi="宋体" w:cs="宋体"/>
          <w:i w:val="0"/>
          <w:iCs w:val="0"/>
          <w:color w:val="auto"/>
          <w:highlight w:val="none"/>
        </w:rPr>
      </w:pPr>
    </w:p>
    <w:p w14:paraId="61247E09">
      <w:pPr>
        <w:numPr>
          <w:ins w:id="109" w:author="XH" w:date=""/>
        </w:numPr>
        <w:adjustRightInd/>
        <w:jc w:val="center"/>
        <w:rPr>
          <w:rFonts w:hint="eastAsia"/>
          <w:i w:val="0"/>
          <w:iCs w:val="0"/>
          <w:color w:val="auto"/>
          <w:szCs w:val="28"/>
          <w:highlight w:val="none"/>
        </w:rPr>
      </w:pPr>
    </w:p>
    <w:p w14:paraId="7182274D">
      <w:pPr>
        <w:numPr>
          <w:ins w:id="110" w:author="XH" w:date=""/>
        </w:numPr>
        <w:adjustRightInd/>
        <w:jc w:val="center"/>
        <w:rPr>
          <w:rFonts w:hint="eastAsia"/>
          <w:i w:val="0"/>
          <w:iCs w:val="0"/>
          <w:color w:val="auto"/>
          <w:szCs w:val="28"/>
          <w:highlight w:val="none"/>
        </w:rPr>
      </w:pPr>
    </w:p>
    <w:p w14:paraId="3AC0F8A8">
      <w:pPr>
        <w:numPr>
          <w:ins w:id="111" w:author="XH" w:date=""/>
        </w:numPr>
        <w:adjustRightInd/>
        <w:jc w:val="center"/>
        <w:rPr>
          <w:rFonts w:hint="eastAsia"/>
          <w:i w:val="0"/>
          <w:iCs w:val="0"/>
          <w:color w:val="auto"/>
          <w:szCs w:val="28"/>
          <w:highlight w:val="none"/>
        </w:rPr>
      </w:pPr>
    </w:p>
    <w:p w14:paraId="16B8052E">
      <w:pPr>
        <w:numPr>
          <w:ins w:id="112" w:author="XH" w:date=""/>
        </w:numPr>
        <w:adjustRightInd/>
        <w:jc w:val="center"/>
        <w:rPr>
          <w:rFonts w:hint="eastAsia"/>
          <w:i w:val="0"/>
          <w:iCs w:val="0"/>
          <w:color w:val="auto"/>
          <w:szCs w:val="28"/>
          <w:highlight w:val="none"/>
        </w:rPr>
      </w:pPr>
    </w:p>
    <w:p w14:paraId="1D3BCFCD">
      <w:pPr>
        <w:numPr>
          <w:ins w:id="113" w:author="XH" w:date=""/>
        </w:numPr>
        <w:adjustRightInd/>
        <w:jc w:val="center"/>
        <w:rPr>
          <w:rFonts w:hint="eastAsia"/>
          <w:i w:val="0"/>
          <w:iCs w:val="0"/>
          <w:color w:val="auto"/>
          <w:szCs w:val="28"/>
          <w:highlight w:val="none"/>
        </w:rPr>
      </w:pPr>
    </w:p>
    <w:p w14:paraId="56CA3AA5">
      <w:pPr>
        <w:numPr>
          <w:ins w:id="114" w:author="XH" w:date=""/>
        </w:numPr>
        <w:adjustRightInd/>
        <w:jc w:val="center"/>
        <w:rPr>
          <w:rFonts w:hint="eastAsia"/>
          <w:i w:val="0"/>
          <w:iCs w:val="0"/>
          <w:color w:val="auto"/>
          <w:szCs w:val="28"/>
          <w:highlight w:val="none"/>
        </w:rPr>
      </w:pPr>
    </w:p>
    <w:p w14:paraId="33F35ADE">
      <w:pPr>
        <w:numPr>
          <w:ins w:id="115" w:author="XH" w:date=""/>
        </w:numPr>
        <w:adjustRightInd/>
        <w:jc w:val="center"/>
        <w:rPr>
          <w:rFonts w:hint="eastAsia"/>
          <w:i w:val="0"/>
          <w:iCs w:val="0"/>
          <w:color w:val="auto"/>
          <w:szCs w:val="28"/>
          <w:highlight w:val="none"/>
        </w:rPr>
      </w:pPr>
    </w:p>
    <w:p w14:paraId="52ACF9D6">
      <w:pPr>
        <w:numPr>
          <w:ins w:id="116" w:author="XH" w:date=""/>
        </w:numPr>
        <w:adjustRightInd/>
        <w:jc w:val="center"/>
        <w:rPr>
          <w:rFonts w:hint="eastAsia"/>
          <w:i w:val="0"/>
          <w:iCs w:val="0"/>
          <w:color w:val="auto"/>
          <w:szCs w:val="28"/>
          <w:highlight w:val="none"/>
        </w:rPr>
      </w:pPr>
    </w:p>
    <w:p w14:paraId="2E4059BE">
      <w:pPr>
        <w:numPr>
          <w:ins w:id="117" w:author="XH" w:date=""/>
        </w:numPr>
        <w:adjustRightInd/>
        <w:jc w:val="center"/>
        <w:rPr>
          <w:rFonts w:hint="eastAsia"/>
          <w:i w:val="0"/>
          <w:iCs w:val="0"/>
          <w:color w:val="auto"/>
          <w:szCs w:val="28"/>
          <w:highlight w:val="none"/>
        </w:rPr>
      </w:pPr>
    </w:p>
    <w:p w14:paraId="2E0C64BF">
      <w:pPr>
        <w:numPr>
          <w:ins w:id="118" w:author="XH" w:date=""/>
        </w:numPr>
        <w:adjustRightInd/>
        <w:jc w:val="center"/>
        <w:rPr>
          <w:rFonts w:hint="eastAsia"/>
          <w:i w:val="0"/>
          <w:iCs w:val="0"/>
          <w:color w:val="auto"/>
          <w:szCs w:val="28"/>
          <w:highlight w:val="none"/>
        </w:rPr>
      </w:pPr>
    </w:p>
    <w:p w14:paraId="41705917">
      <w:pPr>
        <w:numPr>
          <w:ins w:id="119" w:author="XH" w:date=""/>
        </w:numPr>
        <w:adjustRightInd/>
        <w:jc w:val="center"/>
        <w:rPr>
          <w:rFonts w:hint="eastAsia"/>
          <w:i w:val="0"/>
          <w:iCs w:val="0"/>
          <w:color w:val="auto"/>
          <w:szCs w:val="28"/>
          <w:highlight w:val="none"/>
        </w:rPr>
      </w:pPr>
    </w:p>
    <w:p w14:paraId="7C8E9778">
      <w:pPr>
        <w:numPr>
          <w:ins w:id="120" w:author="XH" w:date=""/>
        </w:numPr>
        <w:adjustRightInd/>
        <w:jc w:val="center"/>
        <w:rPr>
          <w:rFonts w:hint="eastAsia"/>
          <w:i w:val="0"/>
          <w:iCs w:val="0"/>
          <w:color w:val="auto"/>
          <w:szCs w:val="28"/>
          <w:highlight w:val="none"/>
        </w:rPr>
      </w:pPr>
    </w:p>
    <w:p w14:paraId="599DDA80">
      <w:pPr>
        <w:numPr>
          <w:ins w:id="121" w:author="XH" w:date=""/>
        </w:numPr>
        <w:adjustRightInd/>
        <w:jc w:val="center"/>
        <w:rPr>
          <w:rFonts w:hint="eastAsia"/>
          <w:i w:val="0"/>
          <w:iCs w:val="0"/>
          <w:color w:val="auto"/>
          <w:szCs w:val="28"/>
          <w:highlight w:val="none"/>
        </w:rPr>
      </w:pPr>
    </w:p>
    <w:p w14:paraId="169268B2">
      <w:pPr>
        <w:numPr>
          <w:ins w:id="122" w:author="XH" w:date=""/>
        </w:numPr>
        <w:adjustRightInd/>
        <w:jc w:val="center"/>
        <w:rPr>
          <w:rFonts w:hint="eastAsia"/>
          <w:i w:val="0"/>
          <w:iCs w:val="0"/>
          <w:color w:val="auto"/>
          <w:szCs w:val="28"/>
          <w:highlight w:val="none"/>
        </w:rPr>
      </w:pPr>
    </w:p>
    <w:p w14:paraId="34989D3C">
      <w:pPr>
        <w:numPr>
          <w:ins w:id="123" w:author="XH" w:date=""/>
        </w:numPr>
        <w:adjustRightInd/>
        <w:jc w:val="center"/>
        <w:rPr>
          <w:rFonts w:hint="eastAsia"/>
          <w:i w:val="0"/>
          <w:iCs w:val="0"/>
          <w:color w:val="auto"/>
          <w:szCs w:val="28"/>
          <w:highlight w:val="none"/>
        </w:rPr>
      </w:pPr>
    </w:p>
    <w:p w14:paraId="4505D4B4">
      <w:pPr>
        <w:numPr>
          <w:ins w:id="124" w:author="XH" w:date=""/>
        </w:numPr>
        <w:adjustRightInd/>
        <w:jc w:val="center"/>
        <w:rPr>
          <w:rFonts w:hint="eastAsia"/>
          <w:i w:val="0"/>
          <w:iCs w:val="0"/>
          <w:color w:val="auto"/>
          <w:szCs w:val="28"/>
          <w:highlight w:val="none"/>
        </w:rPr>
      </w:pPr>
    </w:p>
    <w:p w14:paraId="5CFFF47E">
      <w:pPr>
        <w:numPr>
          <w:ins w:id="125" w:author="XH" w:date=""/>
        </w:numPr>
        <w:adjustRightInd/>
        <w:jc w:val="center"/>
        <w:rPr>
          <w:rFonts w:hint="eastAsia"/>
          <w:i w:val="0"/>
          <w:iCs w:val="0"/>
          <w:color w:val="auto"/>
          <w:szCs w:val="28"/>
          <w:highlight w:val="none"/>
        </w:rPr>
      </w:pPr>
    </w:p>
    <w:p w14:paraId="12C3AACD">
      <w:pPr>
        <w:numPr>
          <w:ins w:id="126" w:author="XH" w:date=""/>
        </w:numPr>
        <w:adjustRightInd/>
        <w:jc w:val="center"/>
        <w:rPr>
          <w:rFonts w:hint="eastAsia"/>
          <w:i w:val="0"/>
          <w:iCs w:val="0"/>
          <w:color w:val="auto"/>
          <w:szCs w:val="28"/>
          <w:highlight w:val="none"/>
        </w:rPr>
      </w:pPr>
    </w:p>
    <w:p w14:paraId="652D33CF">
      <w:pPr>
        <w:numPr>
          <w:ins w:id="127" w:author="XH" w:date=""/>
        </w:numPr>
        <w:adjustRightInd/>
        <w:jc w:val="center"/>
        <w:rPr>
          <w:rFonts w:hint="eastAsia"/>
          <w:i w:val="0"/>
          <w:iCs w:val="0"/>
          <w:color w:val="auto"/>
          <w:szCs w:val="28"/>
          <w:highlight w:val="none"/>
        </w:rPr>
      </w:pPr>
    </w:p>
    <w:p w14:paraId="3AE588D5">
      <w:pPr>
        <w:numPr>
          <w:ins w:id="128" w:author="XH" w:date=""/>
        </w:numPr>
        <w:adjustRightInd/>
        <w:jc w:val="center"/>
        <w:rPr>
          <w:rFonts w:hint="eastAsia"/>
          <w:i w:val="0"/>
          <w:iCs w:val="0"/>
          <w:color w:val="auto"/>
          <w:szCs w:val="28"/>
          <w:highlight w:val="none"/>
        </w:rPr>
      </w:pPr>
    </w:p>
    <w:p w14:paraId="55ECFED6">
      <w:pPr>
        <w:numPr>
          <w:ins w:id="129" w:author="交易管理处" w:date=""/>
        </w:numPr>
        <w:adjustRightInd/>
        <w:jc w:val="both"/>
        <w:rPr>
          <w:rFonts w:hint="eastAsia"/>
          <w:i w:val="0"/>
          <w:iCs w:val="0"/>
          <w:color w:val="auto"/>
          <w:szCs w:val="28"/>
          <w:highlight w:val="none"/>
        </w:rPr>
      </w:pPr>
    </w:p>
    <w:p w14:paraId="4A7D3D56">
      <w:pPr>
        <w:widowControl/>
        <w:rPr>
          <w:i w:val="0"/>
          <w:iCs w:val="0"/>
          <w:color w:val="auto"/>
          <w:highlight w:val="none"/>
        </w:rPr>
      </w:pPr>
    </w:p>
    <w:p w14:paraId="5CE99D76">
      <w:pPr>
        <w:spacing w:line="360" w:lineRule="auto"/>
        <w:ind w:firstLine="361" w:firstLineChars="150"/>
        <w:jc w:val="center"/>
        <w:rPr>
          <w:rFonts w:hAnsi="宋体" w:cs="宋体"/>
          <w:b/>
          <w:bCs/>
          <w:i w:val="0"/>
          <w:iCs w:val="0"/>
          <w:color w:val="auto"/>
          <w:highlight w:val="none"/>
        </w:rPr>
      </w:pPr>
      <w:r>
        <w:rPr>
          <w:rFonts w:hint="eastAsia" w:ascii="宋体" w:hAnsi="宋体"/>
          <w:b/>
          <w:bCs/>
          <w:i w:val="0"/>
          <w:iCs w:val="0"/>
          <w:color w:val="auto"/>
          <w:highlight w:val="none"/>
        </w:rPr>
        <w:t>投标人信用评价</w:t>
      </w:r>
    </w:p>
    <w:p w14:paraId="751C02A3">
      <w:pPr>
        <w:numPr>
          <w:ins w:id="130" w:author="XH" w:date=""/>
        </w:numPr>
        <w:adjustRightInd/>
        <w:jc w:val="center"/>
        <w:rPr>
          <w:b/>
          <w:bCs/>
          <w:i w:val="0"/>
          <w:iCs w:val="0"/>
          <w:strike/>
          <w:dstrike w:val="0"/>
          <w:color w:val="auto"/>
          <w:szCs w:val="28"/>
          <w:highlight w:val="none"/>
        </w:rPr>
      </w:pPr>
      <w:r>
        <w:rPr>
          <w:rFonts w:hint="eastAsia"/>
          <w:i w:val="0"/>
          <w:iCs w:val="0"/>
          <w:color w:val="auto"/>
          <w:szCs w:val="28"/>
          <w:highlight w:val="none"/>
        </w:rPr>
        <w:br w:type="page"/>
      </w:r>
      <w:r>
        <w:rPr>
          <w:rFonts w:hint="eastAsia"/>
          <w:b/>
          <w:bCs/>
          <w:i w:val="0"/>
          <w:iCs w:val="0"/>
          <w:strike/>
          <w:dstrike w:val="0"/>
          <w:color w:val="auto"/>
          <w:szCs w:val="28"/>
          <w:highlight w:val="none"/>
        </w:rPr>
        <w:t>表1</w:t>
      </w:r>
      <w:r>
        <w:rPr>
          <w:b/>
          <w:bCs/>
          <w:i w:val="0"/>
          <w:iCs w:val="0"/>
          <w:strike/>
          <w:dstrike w:val="0"/>
          <w:color w:val="auto"/>
          <w:szCs w:val="28"/>
          <w:highlight w:val="none"/>
        </w:rPr>
        <w:t xml:space="preserve">  </w:t>
      </w:r>
      <w:r>
        <w:rPr>
          <w:rFonts w:hint="eastAsia"/>
          <w:b/>
          <w:bCs/>
          <w:i w:val="0"/>
          <w:iCs w:val="0"/>
          <w:strike/>
          <w:dstrike w:val="0"/>
          <w:color w:val="auto"/>
          <w:szCs w:val="28"/>
          <w:highlight w:val="none"/>
        </w:rPr>
        <w:t>近年财务状况表</w:t>
      </w:r>
    </w:p>
    <w:p w14:paraId="063DC072">
      <w:pPr>
        <w:pStyle w:val="14"/>
        <w:widowControl w:val="0"/>
        <w:numPr>
          <w:ins w:id="131" w:author="XH" w:date=""/>
        </w:numPr>
        <w:spacing w:after="0" w:line="240" w:lineRule="auto"/>
        <w:rPr>
          <w:i w:val="0"/>
          <w:iCs w:val="0"/>
          <w:strike/>
          <w:dstrike w:val="0"/>
          <w:color w:val="auto"/>
          <w:highlight w:val="none"/>
        </w:rPr>
      </w:pPr>
      <w:r>
        <w:rPr>
          <w:rFonts w:hint="eastAsia" w:ascii="宋体" w:hAnsi="宋体" w:cs="宋体"/>
          <w:bCs/>
          <w:i w:val="0"/>
          <w:iCs w:val="0"/>
          <w:strike/>
          <w:dstrike w:val="0"/>
          <w:color w:val="auto"/>
          <w:szCs w:val="28"/>
          <w:highlight w:val="none"/>
        </w:rPr>
        <w:t>（格式招标人自拟或者有投标人自拟）</w:t>
      </w:r>
    </w:p>
    <w:p w14:paraId="68F2AF8A">
      <w:pPr>
        <w:numPr>
          <w:ins w:id="132" w:author="XH" w:date=""/>
        </w:numPr>
        <w:adjustRightInd/>
        <w:rPr>
          <w:i w:val="0"/>
          <w:iCs w:val="0"/>
          <w:strike/>
          <w:dstrike w:val="0"/>
          <w:color w:val="auto"/>
          <w:highlight w:val="none"/>
        </w:rPr>
      </w:pPr>
    </w:p>
    <w:p w14:paraId="5E47BE0C">
      <w:pPr>
        <w:numPr>
          <w:ins w:id="133" w:author="XH" w:date=""/>
        </w:numPr>
        <w:adjustRightInd/>
        <w:rPr>
          <w:i w:val="0"/>
          <w:iCs w:val="0"/>
          <w:color w:val="auto"/>
          <w:highlight w:val="none"/>
        </w:rPr>
      </w:pPr>
    </w:p>
    <w:p w14:paraId="32A4CF59">
      <w:pPr>
        <w:numPr>
          <w:ins w:id="134" w:author="XH" w:date=""/>
        </w:numPr>
        <w:adjustRightInd/>
        <w:rPr>
          <w:i w:val="0"/>
          <w:iCs w:val="0"/>
          <w:color w:val="auto"/>
          <w:highlight w:val="none"/>
        </w:rPr>
      </w:pPr>
    </w:p>
    <w:p w14:paraId="7D501B26">
      <w:pPr>
        <w:numPr>
          <w:ins w:id="135" w:author="XH" w:date=""/>
        </w:numPr>
        <w:adjustRightInd/>
        <w:rPr>
          <w:i w:val="0"/>
          <w:iCs w:val="0"/>
          <w:color w:val="auto"/>
          <w:highlight w:val="none"/>
        </w:rPr>
      </w:pPr>
    </w:p>
    <w:p w14:paraId="4DC8096E">
      <w:pPr>
        <w:numPr>
          <w:ins w:id="136" w:author="XH" w:date=""/>
        </w:numPr>
        <w:adjustRightInd/>
        <w:rPr>
          <w:i w:val="0"/>
          <w:iCs w:val="0"/>
          <w:color w:val="auto"/>
          <w:highlight w:val="none"/>
        </w:rPr>
      </w:pPr>
    </w:p>
    <w:p w14:paraId="1D4A735B">
      <w:pPr>
        <w:numPr>
          <w:ins w:id="137" w:author="XH" w:date=""/>
        </w:numPr>
        <w:adjustRightInd/>
        <w:rPr>
          <w:i w:val="0"/>
          <w:iCs w:val="0"/>
          <w:color w:val="auto"/>
          <w:highlight w:val="none"/>
        </w:rPr>
      </w:pPr>
    </w:p>
    <w:p w14:paraId="7CB1F2BC">
      <w:pPr>
        <w:numPr>
          <w:ins w:id="138" w:author="XH" w:date=""/>
        </w:numPr>
        <w:adjustRightInd/>
        <w:rPr>
          <w:i w:val="0"/>
          <w:iCs w:val="0"/>
          <w:color w:val="auto"/>
          <w:highlight w:val="none"/>
        </w:rPr>
      </w:pPr>
    </w:p>
    <w:p w14:paraId="764ED11C">
      <w:pPr>
        <w:numPr>
          <w:ins w:id="139" w:author="XH" w:date=""/>
        </w:numPr>
        <w:adjustRightInd/>
        <w:rPr>
          <w:i w:val="0"/>
          <w:iCs w:val="0"/>
          <w:color w:val="auto"/>
          <w:highlight w:val="none"/>
        </w:rPr>
      </w:pPr>
    </w:p>
    <w:p w14:paraId="417DEBB3">
      <w:pPr>
        <w:numPr>
          <w:ins w:id="140" w:author="XH" w:date=""/>
        </w:numPr>
        <w:adjustRightInd/>
        <w:rPr>
          <w:i w:val="0"/>
          <w:iCs w:val="0"/>
          <w:color w:val="auto"/>
          <w:highlight w:val="none"/>
        </w:rPr>
      </w:pPr>
    </w:p>
    <w:p w14:paraId="7D70FA30">
      <w:pPr>
        <w:numPr>
          <w:ins w:id="141" w:author="XH" w:date=""/>
        </w:numPr>
        <w:adjustRightInd/>
        <w:rPr>
          <w:i w:val="0"/>
          <w:iCs w:val="0"/>
          <w:color w:val="auto"/>
          <w:highlight w:val="none"/>
        </w:rPr>
      </w:pPr>
    </w:p>
    <w:p w14:paraId="7DDCD61B">
      <w:pPr>
        <w:numPr>
          <w:ins w:id="142" w:author="XH" w:date=""/>
        </w:numPr>
        <w:adjustRightInd/>
        <w:rPr>
          <w:i w:val="0"/>
          <w:iCs w:val="0"/>
          <w:color w:val="auto"/>
          <w:highlight w:val="none"/>
        </w:rPr>
      </w:pPr>
    </w:p>
    <w:p w14:paraId="005E3FE5">
      <w:pPr>
        <w:numPr>
          <w:ins w:id="143" w:author="XH" w:date=""/>
        </w:numPr>
        <w:adjustRightInd/>
        <w:rPr>
          <w:i w:val="0"/>
          <w:iCs w:val="0"/>
          <w:color w:val="auto"/>
          <w:highlight w:val="none"/>
        </w:rPr>
      </w:pPr>
    </w:p>
    <w:p w14:paraId="2548FACE">
      <w:pPr>
        <w:numPr>
          <w:ins w:id="144" w:author="XH" w:date=""/>
        </w:numPr>
        <w:adjustRightInd/>
        <w:rPr>
          <w:i w:val="0"/>
          <w:iCs w:val="0"/>
          <w:color w:val="auto"/>
          <w:highlight w:val="none"/>
        </w:rPr>
      </w:pPr>
    </w:p>
    <w:p w14:paraId="04442DEE">
      <w:pPr>
        <w:numPr>
          <w:ins w:id="145" w:author="XH" w:date=""/>
        </w:numPr>
        <w:adjustRightInd/>
        <w:rPr>
          <w:i w:val="0"/>
          <w:iCs w:val="0"/>
          <w:color w:val="auto"/>
          <w:highlight w:val="none"/>
        </w:rPr>
      </w:pPr>
    </w:p>
    <w:p w14:paraId="4101D050">
      <w:pPr>
        <w:numPr>
          <w:ins w:id="146" w:author="XH" w:date=""/>
        </w:numPr>
        <w:adjustRightInd/>
        <w:rPr>
          <w:i w:val="0"/>
          <w:iCs w:val="0"/>
          <w:color w:val="auto"/>
          <w:highlight w:val="none"/>
        </w:rPr>
      </w:pPr>
    </w:p>
    <w:p w14:paraId="5AA7138F">
      <w:pPr>
        <w:numPr>
          <w:ins w:id="147" w:author="XH" w:date=""/>
        </w:numPr>
        <w:adjustRightInd/>
        <w:rPr>
          <w:i w:val="0"/>
          <w:iCs w:val="0"/>
          <w:color w:val="auto"/>
          <w:highlight w:val="none"/>
        </w:rPr>
      </w:pPr>
    </w:p>
    <w:p w14:paraId="586853FB">
      <w:pPr>
        <w:numPr>
          <w:ins w:id="148" w:author="XH" w:date=""/>
        </w:numPr>
        <w:adjustRightInd/>
        <w:rPr>
          <w:i w:val="0"/>
          <w:iCs w:val="0"/>
          <w:color w:val="auto"/>
          <w:highlight w:val="none"/>
        </w:rPr>
      </w:pPr>
    </w:p>
    <w:p w14:paraId="20D64D34">
      <w:pPr>
        <w:numPr>
          <w:ins w:id="149" w:author="XH" w:date=""/>
        </w:numPr>
        <w:adjustRightInd/>
        <w:rPr>
          <w:i w:val="0"/>
          <w:iCs w:val="0"/>
          <w:color w:val="auto"/>
          <w:highlight w:val="none"/>
        </w:rPr>
      </w:pPr>
    </w:p>
    <w:p w14:paraId="2FD5FB68">
      <w:pPr>
        <w:numPr>
          <w:ins w:id="150" w:author="XH" w:date=""/>
        </w:numPr>
        <w:adjustRightInd/>
        <w:rPr>
          <w:i w:val="0"/>
          <w:iCs w:val="0"/>
          <w:color w:val="auto"/>
          <w:highlight w:val="none"/>
        </w:rPr>
      </w:pPr>
    </w:p>
    <w:p w14:paraId="5A15F7B9">
      <w:pPr>
        <w:numPr>
          <w:ins w:id="151" w:author="XH" w:date=""/>
        </w:numPr>
        <w:adjustRightInd/>
        <w:rPr>
          <w:i w:val="0"/>
          <w:iCs w:val="0"/>
          <w:color w:val="auto"/>
          <w:highlight w:val="none"/>
        </w:rPr>
      </w:pPr>
    </w:p>
    <w:p w14:paraId="3205154A">
      <w:pPr>
        <w:numPr>
          <w:ins w:id="152" w:author="XH" w:date=""/>
        </w:numPr>
        <w:adjustRightInd/>
        <w:rPr>
          <w:i w:val="0"/>
          <w:iCs w:val="0"/>
          <w:color w:val="auto"/>
          <w:highlight w:val="none"/>
        </w:rPr>
      </w:pPr>
    </w:p>
    <w:p w14:paraId="475A5E30">
      <w:pPr>
        <w:numPr>
          <w:ins w:id="153" w:author="XH" w:date=""/>
        </w:numPr>
        <w:adjustRightInd/>
        <w:rPr>
          <w:i w:val="0"/>
          <w:iCs w:val="0"/>
          <w:color w:val="auto"/>
          <w:highlight w:val="none"/>
        </w:rPr>
      </w:pPr>
    </w:p>
    <w:p w14:paraId="06B095C6">
      <w:pPr>
        <w:numPr>
          <w:ins w:id="154" w:author="XH" w:date=""/>
        </w:numPr>
        <w:adjustRightInd/>
        <w:rPr>
          <w:i w:val="0"/>
          <w:iCs w:val="0"/>
          <w:color w:val="auto"/>
          <w:highlight w:val="none"/>
        </w:rPr>
      </w:pPr>
    </w:p>
    <w:p w14:paraId="5B1F3043">
      <w:pPr>
        <w:numPr>
          <w:ins w:id="155" w:author="XH" w:date=""/>
        </w:numPr>
        <w:adjustRightInd/>
        <w:rPr>
          <w:i w:val="0"/>
          <w:iCs w:val="0"/>
          <w:color w:val="auto"/>
          <w:highlight w:val="none"/>
        </w:rPr>
      </w:pPr>
    </w:p>
    <w:p w14:paraId="364D0A00">
      <w:pPr>
        <w:numPr>
          <w:ins w:id="156" w:author="XH" w:date=""/>
        </w:numPr>
        <w:adjustRightInd/>
        <w:rPr>
          <w:i w:val="0"/>
          <w:iCs w:val="0"/>
          <w:color w:val="auto"/>
          <w:highlight w:val="none"/>
        </w:rPr>
      </w:pPr>
    </w:p>
    <w:p w14:paraId="165E6079">
      <w:pPr>
        <w:numPr>
          <w:ins w:id="157" w:author="XH" w:date=""/>
        </w:numPr>
        <w:adjustRightInd/>
        <w:rPr>
          <w:i w:val="0"/>
          <w:iCs w:val="0"/>
          <w:color w:val="auto"/>
          <w:highlight w:val="none"/>
        </w:rPr>
      </w:pPr>
    </w:p>
    <w:p w14:paraId="3B27E498">
      <w:pPr>
        <w:numPr>
          <w:ins w:id="158" w:author="XH" w:date=""/>
        </w:numPr>
        <w:adjustRightInd/>
        <w:jc w:val="center"/>
        <w:rPr>
          <w:b/>
          <w:bCs/>
          <w:i w:val="0"/>
          <w:iCs w:val="0"/>
          <w:strike w:val="0"/>
          <w:dstrike w:val="0"/>
          <w:color w:val="auto"/>
          <w:szCs w:val="28"/>
          <w:highlight w:val="none"/>
        </w:rPr>
      </w:pPr>
      <w:r>
        <w:rPr>
          <w:i w:val="0"/>
          <w:iCs w:val="0"/>
          <w:color w:val="auto"/>
          <w:highlight w:val="none"/>
        </w:rPr>
        <w:br w:type="page"/>
      </w:r>
      <w:r>
        <w:rPr>
          <w:rFonts w:hint="eastAsia"/>
          <w:b/>
          <w:bCs/>
          <w:i w:val="0"/>
          <w:iCs w:val="0"/>
          <w:strike w:val="0"/>
          <w:dstrike w:val="0"/>
          <w:color w:val="auto"/>
          <w:szCs w:val="28"/>
          <w:highlight w:val="none"/>
        </w:rPr>
        <w:t>表2</w:t>
      </w:r>
      <w:r>
        <w:rPr>
          <w:b/>
          <w:bCs/>
          <w:i w:val="0"/>
          <w:iCs w:val="0"/>
          <w:strike w:val="0"/>
          <w:dstrike w:val="0"/>
          <w:color w:val="auto"/>
          <w:szCs w:val="28"/>
          <w:highlight w:val="none"/>
        </w:rPr>
        <w:t xml:space="preserve">  </w:t>
      </w:r>
      <w:r>
        <w:rPr>
          <w:rFonts w:hint="eastAsia"/>
          <w:b/>
          <w:bCs/>
          <w:i w:val="0"/>
          <w:iCs w:val="0"/>
          <w:strike w:val="0"/>
          <w:dstrike w:val="0"/>
          <w:color w:val="auto"/>
          <w:szCs w:val="28"/>
          <w:highlight w:val="none"/>
        </w:rPr>
        <w:t>（一）业绩汇总表（评分业绩的汇总）</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622AC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noWrap w:val="0"/>
            <w:vAlign w:val="center"/>
          </w:tcPr>
          <w:p w14:paraId="58AA4C06">
            <w:pPr>
              <w:keepNext w:val="0"/>
              <w:keepLines w:val="0"/>
              <w:numPr>
                <w:ins w:id="159"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val="0"/>
                <w:dstrike w:val="0"/>
                <w:color w:val="auto"/>
                <w:highlight w:val="none"/>
              </w:rPr>
            </w:pPr>
            <w:r>
              <w:rPr>
                <w:rFonts w:hint="default" w:ascii="Times New Roman" w:hAnsi="Times New Roman" w:cs="Times New Roman"/>
                <w:b/>
                <w:bCs/>
                <w:i w:val="0"/>
                <w:iCs w:val="0"/>
                <w:strike w:val="0"/>
                <w:dstrike w:val="0"/>
                <w:color w:val="auto"/>
                <w:highlight w:val="none"/>
              </w:rPr>
              <w:t>序号</w:t>
            </w:r>
          </w:p>
        </w:tc>
        <w:tc>
          <w:tcPr>
            <w:tcW w:w="1486" w:type="dxa"/>
            <w:noWrap w:val="0"/>
            <w:vAlign w:val="center"/>
          </w:tcPr>
          <w:p w14:paraId="6D355758">
            <w:pPr>
              <w:keepNext w:val="0"/>
              <w:keepLines w:val="0"/>
              <w:numPr>
                <w:ins w:id="160" w:author="XH" w:date=""/>
              </w:numPr>
              <w:suppressLineNumbers w:val="0"/>
              <w:kinsoku w:val="0"/>
              <w:spacing w:before="0" w:beforeAutospacing="0" w:after="0" w:afterAutospacing="0"/>
              <w:ind w:left="0" w:right="0"/>
              <w:jc w:val="center"/>
              <w:rPr>
                <w:rFonts w:hint="eastAsia" w:ascii="Times New Roman" w:hAnsi="Times New Roman" w:cs="Times New Roman"/>
                <w:b/>
                <w:bCs/>
                <w:i w:val="0"/>
                <w:iCs w:val="0"/>
                <w:strike w:val="0"/>
                <w:dstrike w:val="0"/>
                <w:color w:val="auto"/>
                <w:highlight w:val="none"/>
              </w:rPr>
            </w:pPr>
            <w:r>
              <w:rPr>
                <w:rFonts w:hint="default" w:ascii="Times New Roman" w:hAnsi="Times New Roman" w:cs="Times New Roman"/>
                <w:b/>
                <w:bCs/>
                <w:i w:val="0"/>
                <w:iCs w:val="0"/>
                <w:strike w:val="0"/>
                <w:dstrike w:val="0"/>
                <w:color w:val="auto"/>
                <w:highlight w:val="none"/>
              </w:rPr>
              <w:t>该业绩证明</w:t>
            </w:r>
          </w:p>
          <w:p w14:paraId="75442709">
            <w:pPr>
              <w:keepNext w:val="0"/>
              <w:keepLines w:val="0"/>
              <w:numPr>
                <w:ins w:id="161"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val="0"/>
                <w:dstrike w:val="0"/>
                <w:color w:val="auto"/>
                <w:highlight w:val="none"/>
              </w:rPr>
            </w:pPr>
            <w:r>
              <w:rPr>
                <w:rFonts w:hint="default" w:ascii="Times New Roman" w:hAnsi="Times New Roman" w:cs="Times New Roman"/>
                <w:b/>
                <w:bCs/>
                <w:i w:val="0"/>
                <w:iCs w:val="0"/>
                <w:strike w:val="0"/>
                <w:dstrike w:val="0"/>
                <w:color w:val="auto"/>
                <w:highlight w:val="none"/>
              </w:rPr>
              <w:t>对象</w:t>
            </w:r>
          </w:p>
        </w:tc>
        <w:tc>
          <w:tcPr>
            <w:tcW w:w="1218" w:type="dxa"/>
            <w:noWrap w:val="0"/>
            <w:vAlign w:val="center"/>
          </w:tcPr>
          <w:p w14:paraId="7B7A0267">
            <w:pPr>
              <w:keepNext w:val="0"/>
              <w:keepLines w:val="0"/>
              <w:numPr>
                <w:ins w:id="162"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val="0"/>
                <w:dstrike w:val="0"/>
                <w:color w:val="auto"/>
                <w:highlight w:val="none"/>
              </w:rPr>
            </w:pPr>
            <w:r>
              <w:rPr>
                <w:rFonts w:hint="eastAsia" w:ascii="Times New Roman" w:hAnsi="Times New Roman" w:cs="Times New Roman"/>
                <w:b/>
                <w:bCs/>
                <w:i w:val="0"/>
                <w:iCs w:val="0"/>
                <w:strike w:val="0"/>
                <w:dstrike w:val="0"/>
                <w:color w:val="auto"/>
                <w:highlight w:val="none"/>
              </w:rPr>
              <w:t>工程</w:t>
            </w:r>
            <w:r>
              <w:rPr>
                <w:rFonts w:hint="default" w:ascii="Times New Roman" w:hAnsi="Times New Roman" w:cs="Times New Roman"/>
                <w:b/>
                <w:bCs/>
                <w:i w:val="0"/>
                <w:iCs w:val="0"/>
                <w:strike w:val="0"/>
                <w:dstrike w:val="0"/>
                <w:color w:val="auto"/>
                <w:highlight w:val="none"/>
              </w:rPr>
              <w:t>名称</w:t>
            </w:r>
          </w:p>
        </w:tc>
        <w:tc>
          <w:tcPr>
            <w:tcW w:w="1537" w:type="dxa"/>
            <w:noWrap w:val="0"/>
            <w:vAlign w:val="center"/>
          </w:tcPr>
          <w:p w14:paraId="0CE5253B">
            <w:pPr>
              <w:keepNext w:val="0"/>
              <w:keepLines w:val="0"/>
              <w:numPr>
                <w:ins w:id="163" w:author="XH" w:date=""/>
              </w:numPr>
              <w:suppressLineNumbers w:val="0"/>
              <w:kinsoku w:val="0"/>
              <w:spacing w:before="0" w:beforeAutospacing="0" w:after="0" w:afterAutospacing="0"/>
              <w:ind w:left="0" w:right="0"/>
              <w:jc w:val="center"/>
              <w:rPr>
                <w:rFonts w:hint="eastAsia" w:ascii="Times New Roman" w:hAnsi="Times New Roman" w:cs="Times New Roman"/>
                <w:b/>
                <w:bCs/>
                <w:i w:val="0"/>
                <w:iCs w:val="0"/>
                <w:strike w:val="0"/>
                <w:dstrike w:val="0"/>
                <w:color w:val="auto"/>
                <w:highlight w:val="none"/>
              </w:rPr>
            </w:pPr>
            <w:r>
              <w:rPr>
                <w:rFonts w:hint="default" w:ascii="Times New Roman" w:hAnsi="Times New Roman" w:cs="Times New Roman"/>
                <w:b/>
                <w:bCs/>
                <w:i w:val="0"/>
                <w:iCs w:val="0"/>
                <w:strike w:val="0"/>
                <w:dstrike w:val="0"/>
                <w:color w:val="auto"/>
                <w:highlight w:val="none"/>
              </w:rPr>
              <w:t>建设单位</w:t>
            </w:r>
          </w:p>
          <w:p w14:paraId="0F4C8B51">
            <w:pPr>
              <w:keepNext w:val="0"/>
              <w:keepLines w:val="0"/>
              <w:numPr>
                <w:ins w:id="164"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val="0"/>
                <w:dstrike w:val="0"/>
                <w:color w:val="auto"/>
                <w:highlight w:val="none"/>
              </w:rPr>
            </w:pPr>
            <w:r>
              <w:rPr>
                <w:rFonts w:hint="default" w:ascii="Times New Roman" w:hAnsi="Times New Roman" w:cs="Times New Roman"/>
                <w:b/>
                <w:bCs/>
                <w:i w:val="0"/>
                <w:iCs w:val="0"/>
                <w:strike w:val="0"/>
                <w:dstrike w:val="0"/>
                <w:color w:val="auto"/>
                <w:highlight w:val="none"/>
              </w:rPr>
              <w:t>（项目业主）</w:t>
            </w:r>
          </w:p>
        </w:tc>
        <w:tc>
          <w:tcPr>
            <w:tcW w:w="1631" w:type="dxa"/>
            <w:noWrap w:val="0"/>
            <w:vAlign w:val="center"/>
          </w:tcPr>
          <w:p w14:paraId="2749A9D3">
            <w:pPr>
              <w:keepNext w:val="0"/>
              <w:keepLines w:val="0"/>
              <w:numPr>
                <w:ins w:id="165"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val="0"/>
                <w:dstrike w:val="0"/>
                <w:color w:val="auto"/>
                <w:highlight w:val="none"/>
              </w:rPr>
            </w:pPr>
            <w:r>
              <w:rPr>
                <w:rFonts w:hint="default" w:ascii="Times New Roman" w:hAnsi="Times New Roman" w:cs="Times New Roman"/>
                <w:b/>
                <w:bCs/>
                <w:i w:val="0"/>
                <w:iCs w:val="0"/>
                <w:strike w:val="0"/>
                <w:dstrike w:val="0"/>
                <w:color w:val="auto"/>
                <w:highlight w:val="none"/>
              </w:rPr>
              <w:t>与评审有关的时间、规模、技术指标及其他要求</w:t>
            </w:r>
          </w:p>
        </w:tc>
        <w:tc>
          <w:tcPr>
            <w:tcW w:w="1175" w:type="dxa"/>
            <w:noWrap w:val="0"/>
            <w:vAlign w:val="center"/>
          </w:tcPr>
          <w:p w14:paraId="0B8A5A16">
            <w:pPr>
              <w:keepNext w:val="0"/>
              <w:keepLines w:val="0"/>
              <w:numPr>
                <w:ins w:id="166"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val="0"/>
                <w:dstrike w:val="0"/>
                <w:color w:val="auto"/>
                <w:highlight w:val="none"/>
              </w:rPr>
            </w:pPr>
            <w:r>
              <w:rPr>
                <w:rFonts w:hint="default" w:ascii="Times New Roman" w:hAnsi="Times New Roman" w:cs="Times New Roman"/>
                <w:b/>
                <w:bCs/>
                <w:i w:val="0"/>
                <w:iCs w:val="0"/>
                <w:strike w:val="0"/>
                <w:dstrike w:val="0"/>
                <w:color w:val="auto"/>
                <w:highlight w:val="none"/>
              </w:rPr>
              <w:t>提交证明材料内容</w:t>
            </w:r>
          </w:p>
        </w:tc>
        <w:tc>
          <w:tcPr>
            <w:tcW w:w="1114" w:type="dxa"/>
            <w:noWrap w:val="0"/>
            <w:vAlign w:val="center"/>
          </w:tcPr>
          <w:p w14:paraId="1B77D44D">
            <w:pPr>
              <w:keepNext w:val="0"/>
              <w:keepLines w:val="0"/>
              <w:numPr>
                <w:ins w:id="167"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strike w:val="0"/>
                <w:dstrike w:val="0"/>
                <w:color w:val="auto"/>
                <w:highlight w:val="none"/>
              </w:rPr>
            </w:pPr>
            <w:r>
              <w:rPr>
                <w:rFonts w:hint="default" w:ascii="Times New Roman" w:hAnsi="Times New Roman" w:cs="Times New Roman"/>
                <w:b/>
                <w:bCs/>
                <w:i w:val="0"/>
                <w:iCs w:val="0"/>
                <w:strike w:val="0"/>
                <w:dstrike w:val="0"/>
                <w:color w:val="auto"/>
                <w:highlight w:val="none"/>
              </w:rPr>
              <w:t>在投标文件的位置</w:t>
            </w:r>
          </w:p>
        </w:tc>
      </w:tr>
      <w:tr w14:paraId="7138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noWrap w:val="0"/>
            <w:vAlign w:val="center"/>
          </w:tcPr>
          <w:p w14:paraId="50E4D3C5">
            <w:pPr>
              <w:keepNext w:val="0"/>
              <w:keepLines w:val="0"/>
              <w:numPr>
                <w:ins w:id="168"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1</w:t>
            </w:r>
          </w:p>
        </w:tc>
        <w:tc>
          <w:tcPr>
            <w:tcW w:w="1486" w:type="dxa"/>
            <w:noWrap w:val="0"/>
            <w:vAlign w:val="center"/>
          </w:tcPr>
          <w:p w14:paraId="6CD62F21">
            <w:pPr>
              <w:keepNext w:val="0"/>
              <w:keepLines w:val="0"/>
              <w:numPr>
                <w:ins w:id="169"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例如：企业名称或</w:t>
            </w:r>
            <w:r>
              <w:rPr>
                <w:rFonts w:hint="default" w:ascii="Times New Roman" w:hAnsi="宋体" w:cs="Times New Roman"/>
                <w:i w:val="0"/>
                <w:iCs w:val="0"/>
                <w:strike w:val="0"/>
                <w:dstrike w:val="0"/>
                <w:color w:val="auto"/>
                <w:highlight w:val="none"/>
              </w:rPr>
              <w:t>项目负责人</w:t>
            </w:r>
            <w:r>
              <w:rPr>
                <w:rFonts w:hint="default" w:ascii="Times New Roman" w:hAnsi="Times New Roman" w:cs="Times New Roman"/>
                <w:i w:val="0"/>
                <w:iCs w:val="0"/>
                <w:strike w:val="0"/>
                <w:dstrike w:val="0"/>
                <w:color w:val="auto"/>
                <w:highlight w:val="none"/>
              </w:rPr>
              <w:t>或技术负责人名字等</w:t>
            </w:r>
          </w:p>
        </w:tc>
        <w:tc>
          <w:tcPr>
            <w:tcW w:w="1218" w:type="dxa"/>
            <w:noWrap w:val="0"/>
            <w:vAlign w:val="center"/>
          </w:tcPr>
          <w:p w14:paraId="185925E1">
            <w:pPr>
              <w:keepNext w:val="0"/>
              <w:keepLines w:val="0"/>
              <w:numPr>
                <w:ins w:id="170"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例如：XX工程等</w:t>
            </w:r>
          </w:p>
        </w:tc>
        <w:tc>
          <w:tcPr>
            <w:tcW w:w="1537" w:type="dxa"/>
            <w:noWrap w:val="0"/>
            <w:vAlign w:val="center"/>
          </w:tcPr>
          <w:p w14:paraId="4503A786">
            <w:pPr>
              <w:keepNext w:val="0"/>
              <w:keepLines w:val="0"/>
              <w:numPr>
                <w:ins w:id="171"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例如：XX公司或指挥部等</w:t>
            </w:r>
          </w:p>
        </w:tc>
        <w:tc>
          <w:tcPr>
            <w:tcW w:w="1631" w:type="dxa"/>
            <w:noWrap w:val="0"/>
            <w:vAlign w:val="center"/>
          </w:tcPr>
          <w:p w14:paraId="0E77C553">
            <w:pPr>
              <w:keepNext w:val="0"/>
              <w:keepLines w:val="0"/>
              <w:numPr>
                <w:ins w:id="172"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例如：X年X月X日完成，长度或深度X米等</w:t>
            </w:r>
          </w:p>
        </w:tc>
        <w:tc>
          <w:tcPr>
            <w:tcW w:w="1175" w:type="dxa"/>
            <w:noWrap w:val="0"/>
            <w:vAlign w:val="center"/>
          </w:tcPr>
          <w:p w14:paraId="329F5D79">
            <w:pPr>
              <w:keepNext w:val="0"/>
              <w:keepLines w:val="0"/>
              <w:numPr>
                <w:ins w:id="173"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例如：施工合同或中标通知书等</w:t>
            </w:r>
          </w:p>
        </w:tc>
        <w:tc>
          <w:tcPr>
            <w:tcW w:w="1114" w:type="dxa"/>
            <w:noWrap w:val="0"/>
            <w:vAlign w:val="center"/>
          </w:tcPr>
          <w:p w14:paraId="3617DEB1">
            <w:pPr>
              <w:keepNext w:val="0"/>
              <w:keepLines w:val="0"/>
              <w:numPr>
                <w:ins w:id="174"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例如：投标文件第X页</w:t>
            </w:r>
          </w:p>
        </w:tc>
      </w:tr>
      <w:tr w14:paraId="0D4BB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0B017100">
            <w:pPr>
              <w:keepNext w:val="0"/>
              <w:keepLines w:val="0"/>
              <w:numPr>
                <w:ins w:id="175"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2</w:t>
            </w:r>
          </w:p>
        </w:tc>
        <w:tc>
          <w:tcPr>
            <w:tcW w:w="1486" w:type="dxa"/>
            <w:noWrap w:val="0"/>
            <w:vAlign w:val="center"/>
          </w:tcPr>
          <w:p w14:paraId="72847203">
            <w:pPr>
              <w:keepNext w:val="0"/>
              <w:keepLines w:val="0"/>
              <w:numPr>
                <w:ins w:id="176"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r>
              <w:rPr>
                <w:rFonts w:hint="default" w:ascii="Times New Roman" w:hAnsi="Times New Roman" w:cs="Times New Roman"/>
                <w:i w:val="0"/>
                <w:iCs w:val="0"/>
                <w:strike w:val="0"/>
                <w:dstrike w:val="0"/>
                <w:color w:val="auto"/>
                <w:highlight w:val="none"/>
              </w:rPr>
              <w:t>……</w:t>
            </w:r>
          </w:p>
        </w:tc>
        <w:tc>
          <w:tcPr>
            <w:tcW w:w="1218" w:type="dxa"/>
            <w:noWrap w:val="0"/>
            <w:vAlign w:val="center"/>
          </w:tcPr>
          <w:p w14:paraId="3EC8AC8B">
            <w:pPr>
              <w:keepNext w:val="0"/>
              <w:keepLines w:val="0"/>
              <w:numPr>
                <w:ins w:id="177"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537" w:type="dxa"/>
            <w:noWrap w:val="0"/>
            <w:vAlign w:val="center"/>
          </w:tcPr>
          <w:p w14:paraId="4C2AF771">
            <w:pPr>
              <w:keepNext w:val="0"/>
              <w:keepLines w:val="0"/>
              <w:numPr>
                <w:ins w:id="178"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631" w:type="dxa"/>
            <w:noWrap w:val="0"/>
            <w:vAlign w:val="center"/>
          </w:tcPr>
          <w:p w14:paraId="1ACAEBF4">
            <w:pPr>
              <w:keepNext w:val="0"/>
              <w:keepLines w:val="0"/>
              <w:numPr>
                <w:ins w:id="179"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175" w:type="dxa"/>
            <w:noWrap w:val="0"/>
            <w:vAlign w:val="center"/>
          </w:tcPr>
          <w:p w14:paraId="1245C7A1">
            <w:pPr>
              <w:keepNext w:val="0"/>
              <w:keepLines w:val="0"/>
              <w:numPr>
                <w:ins w:id="180"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114" w:type="dxa"/>
            <w:noWrap w:val="0"/>
            <w:vAlign w:val="center"/>
          </w:tcPr>
          <w:p w14:paraId="2B56635F">
            <w:pPr>
              <w:keepNext w:val="0"/>
              <w:keepLines w:val="0"/>
              <w:numPr>
                <w:ins w:id="181" w:author="XH" w:date=""/>
              </w:numPr>
              <w:suppressLineNumbers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r>
      <w:tr w14:paraId="7FDF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37595BE9">
            <w:pPr>
              <w:keepNext w:val="0"/>
              <w:keepLines w:val="0"/>
              <w:numPr>
                <w:ins w:id="182" w:author="XH" w:date=""/>
              </w:numPr>
              <w:suppressLineNumbers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486" w:type="dxa"/>
            <w:noWrap w:val="0"/>
            <w:vAlign w:val="center"/>
          </w:tcPr>
          <w:p w14:paraId="735877F4">
            <w:pPr>
              <w:keepNext w:val="0"/>
              <w:keepLines w:val="0"/>
              <w:numPr>
                <w:ins w:id="183"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218" w:type="dxa"/>
            <w:noWrap w:val="0"/>
            <w:vAlign w:val="center"/>
          </w:tcPr>
          <w:p w14:paraId="5A4CEA7B">
            <w:pPr>
              <w:keepNext w:val="0"/>
              <w:keepLines w:val="0"/>
              <w:numPr>
                <w:ins w:id="184" w:author="XH" w:date=""/>
              </w:numPr>
              <w:suppressLineNumbers w:val="0"/>
              <w:kinsoku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537" w:type="dxa"/>
            <w:noWrap w:val="0"/>
            <w:vAlign w:val="center"/>
          </w:tcPr>
          <w:p w14:paraId="121D32FE">
            <w:pPr>
              <w:keepNext w:val="0"/>
              <w:keepLines w:val="0"/>
              <w:numPr>
                <w:ins w:id="185" w:author="XH" w:date=""/>
              </w:numPr>
              <w:suppressLineNumbers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631" w:type="dxa"/>
            <w:noWrap w:val="0"/>
            <w:vAlign w:val="center"/>
          </w:tcPr>
          <w:p w14:paraId="0FA1AB96">
            <w:pPr>
              <w:keepNext w:val="0"/>
              <w:keepLines w:val="0"/>
              <w:numPr>
                <w:ins w:id="186" w:author="XH" w:date=""/>
              </w:numPr>
              <w:suppressLineNumbers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175" w:type="dxa"/>
            <w:noWrap w:val="0"/>
            <w:vAlign w:val="center"/>
          </w:tcPr>
          <w:p w14:paraId="0905B396">
            <w:pPr>
              <w:keepNext w:val="0"/>
              <w:keepLines w:val="0"/>
              <w:numPr>
                <w:ins w:id="187" w:author="XH" w:date=""/>
              </w:numPr>
              <w:suppressLineNumbers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c>
          <w:tcPr>
            <w:tcW w:w="1114" w:type="dxa"/>
            <w:noWrap w:val="0"/>
            <w:vAlign w:val="center"/>
          </w:tcPr>
          <w:p w14:paraId="6505B597">
            <w:pPr>
              <w:keepNext w:val="0"/>
              <w:keepLines w:val="0"/>
              <w:numPr>
                <w:ins w:id="188" w:author="XH" w:date=""/>
              </w:numPr>
              <w:suppressLineNumbers w:val="0"/>
              <w:spacing w:before="0" w:beforeAutospacing="0" w:after="0" w:afterAutospacing="0"/>
              <w:ind w:left="0" w:right="0"/>
              <w:jc w:val="center"/>
              <w:rPr>
                <w:rFonts w:hint="default" w:ascii="Times New Roman" w:hAnsi="Times New Roman" w:cs="Times New Roman"/>
                <w:i w:val="0"/>
                <w:iCs w:val="0"/>
                <w:strike w:val="0"/>
                <w:dstrike w:val="0"/>
                <w:color w:val="auto"/>
                <w:highlight w:val="none"/>
              </w:rPr>
            </w:pPr>
          </w:p>
        </w:tc>
      </w:tr>
    </w:tbl>
    <w:p w14:paraId="0EE813FC">
      <w:pPr>
        <w:keepNext w:val="0"/>
        <w:keepLines w:val="0"/>
        <w:pageBreakBefore w:val="0"/>
        <w:widowControl w:val="0"/>
        <w:numPr>
          <w:ins w:id="189" w:author="交易管理处" w:date=""/>
        </w:numPr>
        <w:kinsoku/>
        <w:wordWrap/>
        <w:overflowPunct/>
        <w:topLinePunct w:val="0"/>
        <w:autoSpaceDE w:val="0"/>
        <w:autoSpaceDN w:val="0"/>
        <w:bidi/>
        <w:adjustRightInd/>
        <w:snapToGrid/>
        <w:jc w:val="left"/>
        <w:textAlignment w:val="auto"/>
        <w:rPr>
          <w:rFonts w:hint="eastAsia" w:ascii="宋体" w:hAnsi="宋体"/>
          <w:i w:val="0"/>
          <w:iCs w:val="0"/>
          <w:strike w:val="0"/>
          <w:dstrike w:val="0"/>
          <w:color w:val="auto"/>
          <w:highlight w:val="none"/>
        </w:rPr>
      </w:pPr>
      <w:r>
        <w:rPr>
          <w:rFonts w:hAnsi="宋体"/>
          <w:i w:val="0"/>
          <w:iCs w:val="0"/>
          <w:strike w:val="0"/>
          <w:dstrike w:val="0"/>
          <w:color w:val="auto"/>
          <w:szCs w:val="21"/>
          <w:highlight w:val="none"/>
        </w:rPr>
        <w:t xml:space="preserve"> </w:t>
      </w:r>
      <w:r>
        <w:rPr>
          <w:rFonts w:ascii="宋体" w:hAnsi="宋体"/>
          <w:i w:val="0"/>
          <w:iCs w:val="0"/>
          <w:strike w:val="0"/>
          <w:dstrike w:val="0"/>
          <w:color w:val="auto"/>
          <w:highlight w:val="none"/>
        </w:rPr>
        <w:t xml:space="preserve"> </w:t>
      </w:r>
    </w:p>
    <w:p w14:paraId="1CA41704">
      <w:pPr>
        <w:keepNext w:val="0"/>
        <w:keepLines w:val="0"/>
        <w:pageBreakBefore w:val="0"/>
        <w:widowControl w:val="0"/>
        <w:kinsoku/>
        <w:wordWrap/>
        <w:overflowPunct/>
        <w:topLinePunct w:val="0"/>
        <w:autoSpaceDE w:val="0"/>
        <w:autoSpaceDN/>
        <w:bidi w:val="0"/>
        <w:adjustRightInd w:val="0"/>
        <w:snapToGrid/>
        <w:ind w:left="1349" w:hanging="1349"/>
        <w:jc w:val="both"/>
        <w:textAlignment w:val="auto"/>
        <w:rPr>
          <w:rFonts w:hint="eastAsia" w:ascii="宋体" w:hAnsi="宋体"/>
          <w:i w:val="0"/>
          <w:iCs w:val="0"/>
          <w:strike w:val="0"/>
          <w:dstrike w:val="0"/>
          <w:color w:val="auto"/>
          <w:highlight w:val="none"/>
        </w:rPr>
      </w:pPr>
      <w:r>
        <w:rPr>
          <w:rFonts w:hint="eastAsia" w:ascii="宋体" w:hAnsi="宋体"/>
          <w:i w:val="0"/>
          <w:iCs w:val="0"/>
          <w:strike w:val="0"/>
          <w:dstrike w:val="0"/>
          <w:color w:val="auto"/>
          <w:highlight w:val="none"/>
        </w:rPr>
        <w:t>备注：</w:t>
      </w:r>
      <w:r>
        <w:rPr>
          <w:rFonts w:hint="eastAsia" w:ascii="宋体" w:hAnsi="宋体"/>
          <w:i w:val="0"/>
          <w:iCs w:val="0"/>
          <w:strike w:val="0"/>
          <w:dstrike w:val="0"/>
          <w:color w:val="auto"/>
          <w:highlight w:val="none"/>
          <w:lang w:val="en-US" w:eastAsia="zh-CN"/>
        </w:rPr>
        <w:t>1、</w:t>
      </w:r>
      <w:r>
        <w:rPr>
          <w:rFonts w:hint="eastAsia" w:ascii="宋体" w:hAnsi="宋体"/>
          <w:i w:val="0"/>
          <w:iCs w:val="0"/>
          <w:strike w:val="0"/>
          <w:dstrike w:val="0"/>
          <w:color w:val="auto"/>
          <w:highlight w:val="none"/>
        </w:rPr>
        <w:t>不录入此表的不作为评审依据。</w:t>
      </w:r>
    </w:p>
    <w:p w14:paraId="0B12AE27">
      <w:pPr>
        <w:keepNext w:val="0"/>
        <w:keepLines w:val="0"/>
        <w:pageBreakBefore w:val="0"/>
        <w:widowControl w:val="0"/>
        <w:kinsoku/>
        <w:wordWrap/>
        <w:overflowPunct/>
        <w:topLinePunct w:val="0"/>
        <w:autoSpaceDE w:val="0"/>
        <w:autoSpaceDN/>
        <w:bidi w:val="0"/>
        <w:adjustRightInd w:val="0"/>
        <w:snapToGrid/>
        <w:ind w:left="0" w:leftChars="0" w:firstLine="720" w:firstLineChars="300"/>
        <w:jc w:val="both"/>
        <w:textAlignment w:val="auto"/>
        <w:rPr>
          <w:rFonts w:hint="eastAsia" w:ascii="宋体" w:hAnsi="宋体"/>
          <w:i w:val="0"/>
          <w:iCs w:val="0"/>
          <w:strike w:val="0"/>
          <w:dstrike w:val="0"/>
          <w:color w:val="auto"/>
          <w:highlight w:val="none"/>
        </w:rPr>
      </w:pPr>
      <w:r>
        <w:rPr>
          <w:rFonts w:hint="eastAsia" w:ascii="宋体" w:hAnsi="宋体"/>
          <w:i w:val="0"/>
          <w:iCs w:val="0"/>
          <w:strike w:val="0"/>
          <w:dstrike w:val="0"/>
          <w:color w:val="auto"/>
          <w:highlight w:val="none"/>
        </w:rPr>
        <w:t>2、评标委员会应当按表格列明的序号先后顺序依次评审且仅评审评审标准要求数量的业绩，超出数量的业绩或未在表格中填写的业绩不作评审。</w:t>
      </w:r>
    </w:p>
    <w:p w14:paraId="15E76132">
      <w:pPr>
        <w:autoSpaceDN/>
        <w:spacing w:after="468" w:afterLines="150"/>
        <w:ind w:left="1146" w:hanging="1347"/>
        <w:jc w:val="both"/>
        <w:rPr>
          <w:rFonts w:hint="eastAsia" w:ascii="宋体" w:hAnsi="宋体"/>
          <w:i w:val="0"/>
          <w:iCs w:val="0"/>
          <w:color w:val="auto"/>
          <w:highlight w:val="none"/>
        </w:rPr>
      </w:pPr>
    </w:p>
    <w:p w14:paraId="626782C7">
      <w:pPr>
        <w:autoSpaceDN/>
        <w:spacing w:after="468" w:afterLines="150"/>
        <w:ind w:left="1146" w:hanging="1347"/>
        <w:jc w:val="both"/>
        <w:rPr>
          <w:rFonts w:hint="eastAsia" w:ascii="宋体" w:hAnsi="宋体"/>
          <w:i w:val="0"/>
          <w:iCs w:val="0"/>
          <w:color w:val="auto"/>
          <w:highlight w:val="none"/>
        </w:rPr>
      </w:pPr>
    </w:p>
    <w:p w14:paraId="705860EE">
      <w:pPr>
        <w:autoSpaceDN/>
        <w:spacing w:after="468" w:afterLines="150"/>
        <w:ind w:left="1146" w:hanging="1347"/>
        <w:jc w:val="both"/>
        <w:rPr>
          <w:rFonts w:hint="eastAsia" w:ascii="宋体" w:hAnsi="宋体"/>
          <w:i w:val="0"/>
          <w:iCs w:val="0"/>
          <w:color w:val="auto"/>
          <w:highlight w:val="none"/>
        </w:rPr>
      </w:pPr>
    </w:p>
    <w:p w14:paraId="1D451D7B">
      <w:pPr>
        <w:autoSpaceDN/>
        <w:spacing w:after="468" w:afterLines="150"/>
        <w:ind w:left="1146" w:hanging="1347"/>
        <w:jc w:val="both"/>
        <w:rPr>
          <w:rFonts w:hint="eastAsia" w:ascii="宋体" w:hAnsi="宋体"/>
          <w:i w:val="0"/>
          <w:iCs w:val="0"/>
          <w:color w:val="auto"/>
          <w:highlight w:val="none"/>
        </w:rPr>
      </w:pPr>
    </w:p>
    <w:p w14:paraId="3E0F5FB5">
      <w:pPr>
        <w:autoSpaceDN/>
        <w:spacing w:after="468" w:afterLines="150"/>
        <w:ind w:left="1146" w:hanging="1347"/>
        <w:jc w:val="both"/>
        <w:rPr>
          <w:rFonts w:hint="eastAsia" w:ascii="宋体" w:hAnsi="宋体"/>
          <w:i w:val="0"/>
          <w:iCs w:val="0"/>
          <w:color w:val="auto"/>
          <w:highlight w:val="none"/>
        </w:rPr>
      </w:pPr>
    </w:p>
    <w:p w14:paraId="492A44CB">
      <w:pPr>
        <w:autoSpaceDN/>
        <w:spacing w:after="468" w:afterLines="150"/>
        <w:ind w:left="1146" w:hanging="1347"/>
        <w:jc w:val="both"/>
        <w:rPr>
          <w:rFonts w:hint="eastAsia" w:ascii="宋体" w:hAnsi="宋体"/>
          <w:i w:val="0"/>
          <w:iCs w:val="0"/>
          <w:color w:val="auto"/>
          <w:highlight w:val="none"/>
        </w:rPr>
      </w:pPr>
    </w:p>
    <w:p w14:paraId="32FF87B7">
      <w:pPr>
        <w:autoSpaceDN/>
        <w:spacing w:after="468" w:afterLines="150"/>
        <w:ind w:left="1146" w:hanging="1347"/>
        <w:jc w:val="both"/>
        <w:rPr>
          <w:rFonts w:hint="eastAsia" w:ascii="宋体" w:hAnsi="宋体"/>
          <w:i w:val="0"/>
          <w:iCs w:val="0"/>
          <w:color w:val="auto"/>
          <w:highlight w:val="none"/>
        </w:rPr>
      </w:pPr>
    </w:p>
    <w:p w14:paraId="281374E1">
      <w:pPr>
        <w:widowControl/>
        <w:autoSpaceDN/>
        <w:rPr>
          <w:rFonts w:hAnsi="宋体" w:cs="宋体"/>
          <w:b/>
          <w:bCs/>
          <w:i w:val="0"/>
          <w:iCs w:val="0"/>
          <w:color w:val="auto"/>
          <w:sz w:val="44"/>
          <w:szCs w:val="44"/>
          <w:highlight w:val="none"/>
        </w:rPr>
      </w:pPr>
      <w:r>
        <w:rPr>
          <w:rFonts w:hAnsi="宋体" w:cs="宋体"/>
          <w:b/>
          <w:bCs/>
          <w:i w:val="0"/>
          <w:iCs w:val="0"/>
          <w:color w:val="auto"/>
          <w:sz w:val="44"/>
          <w:szCs w:val="44"/>
          <w:highlight w:val="none"/>
        </w:rPr>
        <w:br w:type="page"/>
      </w:r>
    </w:p>
    <w:p w14:paraId="577FF7CE">
      <w:pPr>
        <w:spacing w:line="440" w:lineRule="exact"/>
        <w:ind w:firstLine="4802" w:firstLineChars="2000"/>
        <w:rPr>
          <w:rFonts w:ascii="Microsoft JhengHei" w:eastAsia="Microsoft JhengHei"/>
          <w:b/>
          <w:bCs/>
          <w:i w:val="0"/>
          <w:iCs w:val="0"/>
          <w:color w:val="auto"/>
          <w:highlight w:val="none"/>
        </w:rPr>
      </w:pPr>
    </w:p>
    <w:p w14:paraId="44046DD9">
      <w:pPr>
        <w:spacing w:line="360" w:lineRule="auto"/>
        <w:jc w:val="center"/>
        <w:rPr>
          <w:i w:val="0"/>
          <w:iCs w:val="0"/>
          <w:color w:val="auto"/>
          <w:sz w:val="72"/>
          <w:szCs w:val="72"/>
          <w:highlight w:val="none"/>
        </w:rPr>
      </w:pPr>
      <w:r>
        <w:rPr>
          <w:rFonts w:hint="eastAsia" w:ascii="宋体" w:hAnsi="宋体"/>
          <w:i w:val="0"/>
          <w:iCs w:val="0"/>
          <w:color w:val="auto"/>
          <w:sz w:val="72"/>
          <w:szCs w:val="72"/>
          <w:highlight w:val="none"/>
        </w:rPr>
        <w:t>施工投标文件</w:t>
      </w:r>
    </w:p>
    <w:p w14:paraId="735DB2C9">
      <w:pPr>
        <w:jc w:val="center"/>
        <w:rPr>
          <w:i w:val="0"/>
          <w:iCs w:val="0"/>
          <w:color w:val="auto"/>
          <w:sz w:val="32"/>
          <w:szCs w:val="32"/>
          <w:highlight w:val="none"/>
        </w:rPr>
      </w:pPr>
      <w:r>
        <w:rPr>
          <w:rFonts w:hint="eastAsia" w:ascii="宋体" w:hAnsi="宋体"/>
          <w:i w:val="0"/>
          <w:iCs w:val="0"/>
          <w:color w:val="auto"/>
          <w:sz w:val="32"/>
          <w:szCs w:val="32"/>
          <w:highlight w:val="none"/>
        </w:rPr>
        <w:t>（封面）</w:t>
      </w:r>
    </w:p>
    <w:p w14:paraId="25E8583C">
      <w:pPr>
        <w:jc w:val="center"/>
        <w:rPr>
          <w:i w:val="0"/>
          <w:iCs w:val="0"/>
          <w:color w:val="auto"/>
          <w:sz w:val="32"/>
          <w:szCs w:val="32"/>
          <w:highlight w:val="none"/>
        </w:rPr>
      </w:pPr>
    </w:p>
    <w:p w14:paraId="350FEAD8">
      <w:pPr>
        <w:jc w:val="center"/>
        <w:rPr>
          <w:i w:val="0"/>
          <w:iCs w:val="0"/>
          <w:color w:val="auto"/>
          <w:sz w:val="32"/>
          <w:szCs w:val="32"/>
          <w:highlight w:val="none"/>
        </w:rPr>
      </w:pPr>
    </w:p>
    <w:p w14:paraId="2D32AE76">
      <w:pPr>
        <w:jc w:val="center"/>
        <w:rPr>
          <w:i w:val="0"/>
          <w:iCs w:val="0"/>
          <w:color w:val="auto"/>
          <w:sz w:val="32"/>
          <w:szCs w:val="32"/>
          <w:highlight w:val="none"/>
        </w:rPr>
      </w:pPr>
    </w:p>
    <w:p w14:paraId="17207C5E">
      <w:pPr>
        <w:spacing w:line="480" w:lineRule="auto"/>
        <w:jc w:val="center"/>
        <w:rPr>
          <w:i w:val="0"/>
          <w:iCs w:val="0"/>
          <w:color w:val="auto"/>
          <w:sz w:val="32"/>
          <w:szCs w:val="32"/>
          <w:highlight w:val="none"/>
        </w:rPr>
      </w:pPr>
    </w:p>
    <w:p w14:paraId="3906A746">
      <w:pPr>
        <w:spacing w:after="468" w:afterLines="150" w:line="480" w:lineRule="auto"/>
        <w:ind w:firstLine="627" w:firstLineChars="196"/>
        <w:rPr>
          <w:i w:val="0"/>
          <w:iCs w:val="0"/>
          <w:color w:val="auto"/>
          <w:sz w:val="32"/>
          <w:szCs w:val="32"/>
          <w:highlight w:val="none"/>
          <w:u w:val="single"/>
        </w:rPr>
      </w:pPr>
      <w:r>
        <w:rPr>
          <w:rFonts w:hint="eastAsia" w:ascii="宋体" w:hAnsi="宋体"/>
          <w:i w:val="0"/>
          <w:iCs w:val="0"/>
          <w:color w:val="auto"/>
          <w:sz w:val="32"/>
          <w:szCs w:val="32"/>
          <w:highlight w:val="none"/>
        </w:rPr>
        <w:t>工程名称：</w:t>
      </w:r>
    </w:p>
    <w:p w14:paraId="7AC52620">
      <w:pPr>
        <w:spacing w:after="468" w:afterLines="150" w:line="480" w:lineRule="auto"/>
        <w:ind w:firstLine="627" w:firstLineChars="196"/>
        <w:rPr>
          <w:i w:val="0"/>
          <w:iCs w:val="0"/>
          <w:color w:val="auto"/>
          <w:sz w:val="32"/>
          <w:szCs w:val="32"/>
          <w:highlight w:val="none"/>
        </w:rPr>
      </w:pPr>
      <w:r>
        <w:rPr>
          <w:rFonts w:hint="eastAsia" w:ascii="宋体" w:hAnsi="宋体"/>
          <w:i w:val="0"/>
          <w:iCs w:val="0"/>
          <w:color w:val="auto"/>
          <w:sz w:val="32"/>
          <w:szCs w:val="32"/>
          <w:highlight w:val="none"/>
        </w:rPr>
        <w:t>投标文件内容：</w:t>
      </w:r>
      <w:r>
        <w:rPr>
          <w:rFonts w:hint="eastAsia" w:ascii="宋体" w:hAnsi="宋体"/>
          <w:i w:val="0"/>
          <w:iCs w:val="0"/>
          <w:color w:val="auto"/>
          <w:sz w:val="32"/>
          <w:szCs w:val="32"/>
          <w:highlight w:val="none"/>
          <w:u w:val="single"/>
        </w:rPr>
        <w:t>投标文件资格审查资料</w:t>
      </w:r>
      <w:r>
        <w:rPr>
          <w:rFonts w:hint="eastAsia" w:ascii="宋体" w:hAnsi="宋体"/>
          <w:i w:val="0"/>
          <w:iCs w:val="0"/>
          <w:color w:val="auto"/>
          <w:highlight w:val="none"/>
          <w:u w:val="single"/>
        </w:rPr>
        <w:t xml:space="preserve">            </w:t>
      </w:r>
    </w:p>
    <w:p w14:paraId="7CA96B4C">
      <w:pPr>
        <w:spacing w:after="468" w:afterLines="150" w:line="480" w:lineRule="auto"/>
        <w:ind w:firstLine="627" w:firstLineChars="196"/>
        <w:rPr>
          <w:i w:val="0"/>
          <w:iCs w:val="0"/>
          <w:color w:val="auto"/>
          <w:sz w:val="32"/>
          <w:szCs w:val="32"/>
          <w:highlight w:val="none"/>
        </w:rPr>
      </w:pPr>
      <w:r>
        <w:rPr>
          <w:rFonts w:hint="eastAsia" w:ascii="宋体" w:hAnsi="宋体"/>
          <w:i w:val="0"/>
          <w:iCs w:val="0"/>
          <w:color w:val="auto"/>
          <w:sz w:val="32"/>
          <w:szCs w:val="32"/>
          <w:highlight w:val="none"/>
        </w:rPr>
        <w:t>投标人：</w:t>
      </w:r>
      <w:r>
        <w:rPr>
          <w:rFonts w:hint="eastAsia" w:ascii="宋体" w:hAnsi="宋体"/>
          <w:i w:val="0"/>
          <w:iCs w:val="0"/>
          <w:color w:val="auto"/>
          <w:sz w:val="32"/>
          <w:szCs w:val="32"/>
          <w:highlight w:val="none"/>
          <w:u w:val="single"/>
        </w:rPr>
        <w:t xml:space="preserve">                       （单位盖章）</w:t>
      </w:r>
    </w:p>
    <w:p w14:paraId="655803BA">
      <w:pPr>
        <w:spacing w:after="468" w:afterLines="150" w:line="480" w:lineRule="auto"/>
        <w:ind w:firstLine="627" w:firstLineChars="196"/>
        <w:rPr>
          <w:i w:val="0"/>
          <w:iCs w:val="0"/>
          <w:color w:val="auto"/>
          <w:sz w:val="32"/>
          <w:szCs w:val="32"/>
          <w:highlight w:val="none"/>
        </w:rPr>
      </w:pPr>
      <w:r>
        <w:rPr>
          <w:rFonts w:hint="eastAsia" w:ascii="宋体" w:hAnsi="宋体"/>
          <w:i w:val="0"/>
          <w:iCs w:val="0"/>
          <w:color w:val="auto"/>
          <w:sz w:val="32"/>
          <w:szCs w:val="32"/>
          <w:highlight w:val="none"/>
        </w:rPr>
        <w:t>法定代表人或委托代理人</w:t>
      </w:r>
      <w:r>
        <w:rPr>
          <w:rFonts w:hint="eastAsia" w:ascii="宋体" w:hAnsi="宋体"/>
          <w:i w:val="0"/>
          <w:iCs w:val="0"/>
          <w:color w:val="auto"/>
          <w:sz w:val="32"/>
          <w:szCs w:val="32"/>
          <w:highlight w:val="none"/>
          <w:u w:val="single"/>
        </w:rPr>
        <w:t>：       （</w:t>
      </w:r>
      <w:r>
        <w:rPr>
          <w:rFonts w:hint="eastAsia" w:ascii="宋体" w:hAnsi="宋体" w:cs="Courier New"/>
          <w:i w:val="0"/>
          <w:iCs w:val="0"/>
          <w:color w:val="auto"/>
          <w:highlight w:val="none"/>
          <w:u w:val="single"/>
        </w:rPr>
        <w:t>签字或盖章</w:t>
      </w:r>
      <w:r>
        <w:rPr>
          <w:rFonts w:hint="eastAsia" w:ascii="宋体" w:hAnsi="宋体"/>
          <w:i w:val="0"/>
          <w:iCs w:val="0"/>
          <w:color w:val="auto"/>
          <w:sz w:val="32"/>
          <w:szCs w:val="32"/>
          <w:highlight w:val="none"/>
          <w:u w:val="single"/>
        </w:rPr>
        <w:t>）</w:t>
      </w:r>
    </w:p>
    <w:p w14:paraId="0231E0EF">
      <w:pPr>
        <w:spacing w:after="468" w:afterLines="150" w:line="480" w:lineRule="auto"/>
        <w:ind w:firstLine="627" w:firstLineChars="196"/>
        <w:jc w:val="center"/>
        <w:rPr>
          <w:i w:val="0"/>
          <w:iCs w:val="0"/>
          <w:color w:val="auto"/>
          <w:sz w:val="32"/>
          <w:szCs w:val="32"/>
          <w:highlight w:val="none"/>
        </w:rPr>
      </w:pPr>
      <w:r>
        <w:rPr>
          <w:rFonts w:hint="eastAsia" w:ascii="宋体" w:hAnsi="宋体"/>
          <w:i w:val="0"/>
          <w:iCs w:val="0"/>
          <w:color w:val="auto"/>
          <w:sz w:val="32"/>
          <w:szCs w:val="32"/>
          <w:highlight w:val="none"/>
        </w:rPr>
        <w:t>日期：    年   月   日</w:t>
      </w:r>
    </w:p>
    <w:p w14:paraId="4F330035">
      <w:pPr>
        <w:widowControl/>
        <w:autoSpaceDN/>
        <w:jc w:val="center"/>
        <w:rPr>
          <w:rFonts w:ascii="宋体" w:hAnsi="宋体"/>
          <w:bCs/>
          <w:i w:val="0"/>
          <w:iCs w:val="0"/>
          <w:color w:val="auto"/>
          <w:highlight w:val="none"/>
        </w:rPr>
      </w:pPr>
      <w:r>
        <w:rPr>
          <w:rFonts w:hint="eastAsia" w:ascii="宋体" w:hAnsi="宋体"/>
          <w:bCs/>
          <w:i w:val="0"/>
          <w:iCs w:val="0"/>
          <w:color w:val="auto"/>
          <w:highlight w:val="none"/>
        </w:rPr>
        <w:br w:type="page"/>
      </w:r>
      <w:r>
        <w:rPr>
          <w:rFonts w:hint="eastAsia" w:hAnsi="宋体"/>
          <w:b/>
          <w:bCs/>
          <w:i w:val="0"/>
          <w:iCs w:val="0"/>
          <w:color w:val="auto"/>
          <w:sz w:val="36"/>
          <w:szCs w:val="36"/>
          <w:highlight w:val="none"/>
        </w:rPr>
        <w:t>目录</w:t>
      </w:r>
      <w:r>
        <w:rPr>
          <w:rFonts w:hint="eastAsia" w:ascii="宋体" w:hAnsi="宋体"/>
          <w:bCs/>
          <w:i w:val="0"/>
          <w:iCs w:val="0"/>
          <w:color w:val="auto"/>
          <w:highlight w:val="none"/>
        </w:rPr>
        <w:t xml:space="preserve">                     </w:t>
      </w:r>
    </w:p>
    <w:p w14:paraId="4F79E262">
      <w:pPr>
        <w:autoSpaceDN/>
        <w:spacing w:line="360" w:lineRule="auto"/>
        <w:ind w:left="560"/>
        <w:rPr>
          <w:rFonts w:hint="eastAsia" w:ascii="宋体" w:hAnsi="宋体"/>
          <w:bCs/>
          <w:i w:val="0"/>
          <w:iCs w:val="0"/>
          <w:color w:val="auto"/>
          <w:highlight w:val="none"/>
        </w:rPr>
      </w:pPr>
    </w:p>
    <w:p w14:paraId="152B9875">
      <w:pPr>
        <w:autoSpaceDN/>
        <w:spacing w:line="360" w:lineRule="auto"/>
        <w:ind w:firstLine="480" w:firstLineChars="200"/>
        <w:rPr>
          <w:rFonts w:hint="eastAsia" w:ascii="宋体" w:hAnsi="宋体"/>
          <w:bCs/>
          <w:i w:val="0"/>
          <w:iCs w:val="0"/>
          <w:color w:val="auto"/>
          <w:highlight w:val="none"/>
        </w:rPr>
      </w:pPr>
      <w:r>
        <w:rPr>
          <w:rFonts w:hint="eastAsia" w:ascii="宋体" w:hAnsi="宋体"/>
          <w:bCs/>
          <w:i w:val="0"/>
          <w:iCs w:val="0"/>
          <w:color w:val="auto"/>
          <w:highlight w:val="none"/>
        </w:rPr>
        <w:t>1.投标人基本情况</w:t>
      </w:r>
    </w:p>
    <w:p w14:paraId="23A7BC10">
      <w:pPr>
        <w:autoSpaceDN/>
        <w:spacing w:line="360" w:lineRule="auto"/>
        <w:ind w:firstLine="480" w:firstLineChars="200"/>
        <w:rPr>
          <w:rFonts w:hint="eastAsia" w:ascii="宋体" w:hAnsi="宋体"/>
          <w:bCs/>
          <w:i w:val="0"/>
          <w:iCs w:val="0"/>
          <w:strike/>
          <w:dstrike w:val="0"/>
          <w:color w:val="auto"/>
          <w:highlight w:val="none"/>
        </w:rPr>
      </w:pPr>
      <w:r>
        <w:rPr>
          <w:rFonts w:hint="eastAsia" w:ascii="宋体" w:hAnsi="宋体"/>
          <w:bCs/>
          <w:i w:val="0"/>
          <w:iCs w:val="0"/>
          <w:strike/>
          <w:dstrike w:val="0"/>
          <w:color w:val="auto"/>
          <w:highlight w:val="none"/>
        </w:rPr>
        <w:t>2.中小企业声明函</w:t>
      </w:r>
      <w:r>
        <w:rPr>
          <w:rFonts w:ascii="宋体" w:hAnsi="宋体"/>
          <w:bCs/>
          <w:i w:val="0"/>
          <w:iCs w:val="0"/>
          <w:strike/>
          <w:dstrike w:val="0"/>
          <w:color w:val="auto"/>
          <w:highlight w:val="none"/>
        </w:rPr>
        <w:t>（若有）</w:t>
      </w:r>
    </w:p>
    <w:p w14:paraId="5BEAC937">
      <w:pPr>
        <w:autoSpaceDN/>
        <w:spacing w:line="360" w:lineRule="auto"/>
        <w:ind w:firstLine="480" w:firstLineChars="200"/>
        <w:rPr>
          <w:rFonts w:ascii="宋体" w:hAnsi="宋体"/>
          <w:bCs/>
          <w:i w:val="0"/>
          <w:iCs w:val="0"/>
          <w:color w:val="auto"/>
          <w:highlight w:val="none"/>
        </w:rPr>
      </w:pPr>
      <w:r>
        <w:rPr>
          <w:rFonts w:hint="eastAsia" w:ascii="宋体" w:hAnsi="宋体"/>
          <w:bCs/>
          <w:i w:val="0"/>
          <w:iCs w:val="0"/>
          <w:color w:val="auto"/>
          <w:highlight w:val="none"/>
        </w:rPr>
        <w:t>3.投标承诺书</w:t>
      </w:r>
    </w:p>
    <w:p w14:paraId="7610E477">
      <w:pPr>
        <w:autoSpaceDN/>
        <w:spacing w:line="360" w:lineRule="auto"/>
        <w:ind w:firstLine="480" w:firstLineChars="200"/>
        <w:rPr>
          <w:rFonts w:hint="eastAsia" w:ascii="宋体" w:hAnsi="宋体"/>
          <w:bCs/>
          <w:i w:val="0"/>
          <w:iCs w:val="0"/>
          <w:color w:val="auto"/>
          <w:highlight w:val="none"/>
        </w:rPr>
      </w:pPr>
      <w:r>
        <w:rPr>
          <w:rFonts w:hint="eastAsia" w:ascii="宋体" w:hAnsi="宋体"/>
          <w:bCs/>
          <w:i w:val="0"/>
          <w:iCs w:val="0"/>
          <w:color w:val="auto"/>
          <w:highlight w:val="none"/>
        </w:rPr>
        <w:t>4.法定代表人身份证明书</w:t>
      </w:r>
    </w:p>
    <w:p w14:paraId="2FCF6D0E">
      <w:pPr>
        <w:autoSpaceDN/>
        <w:spacing w:line="360" w:lineRule="auto"/>
        <w:ind w:firstLine="480" w:firstLineChars="200"/>
        <w:rPr>
          <w:rFonts w:ascii="宋体" w:hAnsi="宋体"/>
          <w:bCs/>
          <w:i w:val="0"/>
          <w:iCs w:val="0"/>
          <w:color w:val="auto"/>
          <w:highlight w:val="none"/>
        </w:rPr>
      </w:pPr>
      <w:r>
        <w:rPr>
          <w:rFonts w:hint="eastAsia" w:ascii="宋体" w:hAnsi="宋体"/>
          <w:bCs/>
          <w:i w:val="0"/>
          <w:iCs w:val="0"/>
          <w:color w:val="auto"/>
          <w:highlight w:val="none"/>
        </w:rPr>
        <w:t>5.授权委托书</w:t>
      </w:r>
      <w:r>
        <w:rPr>
          <w:rFonts w:ascii="宋体" w:hAnsi="宋体"/>
          <w:bCs/>
          <w:i w:val="0"/>
          <w:iCs w:val="0"/>
          <w:color w:val="auto"/>
          <w:highlight w:val="none"/>
        </w:rPr>
        <w:t>（若有）</w:t>
      </w:r>
    </w:p>
    <w:p w14:paraId="022A7D42">
      <w:pPr>
        <w:autoSpaceDN/>
        <w:spacing w:line="360" w:lineRule="auto"/>
        <w:ind w:left="720" w:leftChars="200" w:hanging="240" w:hangingChars="100"/>
        <w:rPr>
          <w:rFonts w:ascii="宋体" w:hAnsi="宋体"/>
          <w:bCs/>
          <w:i w:val="0"/>
          <w:iCs w:val="0"/>
          <w:color w:val="auto"/>
          <w:highlight w:val="none"/>
        </w:rPr>
      </w:pPr>
      <w:r>
        <w:rPr>
          <w:rFonts w:hint="eastAsia" w:ascii="宋体" w:hAnsi="宋体"/>
          <w:bCs/>
          <w:i w:val="0"/>
          <w:iCs w:val="0"/>
          <w:color w:val="auto"/>
          <w:highlight w:val="none"/>
        </w:rPr>
        <w:t>6</w:t>
      </w:r>
      <w:r>
        <w:rPr>
          <w:rFonts w:ascii="宋体" w:hAnsi="宋体"/>
          <w:bCs/>
          <w:i w:val="0"/>
          <w:iCs w:val="0"/>
          <w:color w:val="auto"/>
          <w:highlight w:val="none"/>
        </w:rPr>
        <w:t>.资格业绩材料（若有），含业绩汇总表（资格后审业绩条件的汇总）及相关附件</w:t>
      </w:r>
    </w:p>
    <w:p w14:paraId="34A3BCC8">
      <w:pPr>
        <w:autoSpaceDN/>
        <w:spacing w:line="360" w:lineRule="auto"/>
        <w:ind w:firstLine="480" w:firstLineChars="200"/>
        <w:rPr>
          <w:rFonts w:hint="eastAsia" w:ascii="宋体" w:hAnsi="宋体"/>
          <w:bCs/>
          <w:i w:val="0"/>
          <w:iCs w:val="0"/>
          <w:strike w:val="0"/>
          <w:dstrike w:val="0"/>
          <w:color w:val="auto"/>
          <w:highlight w:val="none"/>
        </w:rPr>
      </w:pPr>
      <w:r>
        <w:rPr>
          <w:rFonts w:hint="eastAsia" w:ascii="宋体" w:hAnsi="宋体"/>
          <w:bCs/>
          <w:i w:val="0"/>
          <w:iCs w:val="0"/>
          <w:strike w:val="0"/>
          <w:dstrike w:val="0"/>
          <w:color w:val="auto"/>
          <w:highlight w:val="none"/>
        </w:rPr>
        <w:t>7</w:t>
      </w:r>
      <w:r>
        <w:rPr>
          <w:rFonts w:ascii="宋体" w:hAnsi="宋体"/>
          <w:bCs/>
          <w:i w:val="0"/>
          <w:iCs w:val="0"/>
          <w:strike w:val="0"/>
          <w:dstrike w:val="0"/>
          <w:color w:val="auto"/>
          <w:highlight w:val="none"/>
        </w:rPr>
        <w:t>.联合体协议书（若有）</w:t>
      </w:r>
    </w:p>
    <w:p w14:paraId="6B239667">
      <w:pPr>
        <w:autoSpaceDN/>
        <w:spacing w:line="360" w:lineRule="auto"/>
        <w:ind w:firstLine="480" w:firstLineChars="200"/>
        <w:rPr>
          <w:rFonts w:hint="eastAsia" w:ascii="宋体" w:hAnsi="宋体"/>
          <w:bCs/>
          <w:i w:val="0"/>
          <w:iCs w:val="0"/>
          <w:color w:val="auto"/>
          <w:highlight w:val="none"/>
        </w:rPr>
      </w:pPr>
      <w:r>
        <w:rPr>
          <w:rFonts w:hint="eastAsia" w:ascii="宋体" w:hAnsi="宋体"/>
          <w:bCs/>
          <w:i w:val="0"/>
          <w:iCs w:val="0"/>
          <w:color w:val="auto"/>
          <w:highlight w:val="none"/>
        </w:rPr>
        <w:t>8</w:t>
      </w:r>
      <w:r>
        <w:rPr>
          <w:rFonts w:ascii="宋体" w:hAnsi="宋体"/>
          <w:bCs/>
          <w:i w:val="0"/>
          <w:iCs w:val="0"/>
          <w:color w:val="auto"/>
          <w:highlight w:val="none"/>
        </w:rPr>
        <w:t>.投标保证金</w:t>
      </w:r>
    </w:p>
    <w:p w14:paraId="2101121E">
      <w:pPr>
        <w:autoSpaceDN/>
        <w:spacing w:line="360" w:lineRule="auto"/>
        <w:ind w:firstLine="480" w:firstLineChars="200"/>
        <w:rPr>
          <w:rFonts w:ascii="宋体" w:hAnsi="宋体"/>
          <w:bCs/>
          <w:i w:val="0"/>
          <w:iCs w:val="0"/>
          <w:color w:val="auto"/>
          <w:highlight w:val="none"/>
        </w:rPr>
      </w:pPr>
      <w:r>
        <w:rPr>
          <w:rFonts w:hint="eastAsia" w:ascii="宋体" w:hAnsi="宋体"/>
          <w:bCs/>
          <w:i w:val="0"/>
          <w:iCs w:val="0"/>
          <w:color w:val="auto"/>
          <w:highlight w:val="none"/>
        </w:rPr>
        <w:t>9</w:t>
      </w:r>
      <w:r>
        <w:rPr>
          <w:rFonts w:ascii="宋体" w:hAnsi="宋体"/>
          <w:bCs/>
          <w:i w:val="0"/>
          <w:iCs w:val="0"/>
          <w:color w:val="auto"/>
          <w:highlight w:val="none"/>
        </w:rPr>
        <w:t>.招标文件要求投标人提交的其他资料（详见</w:t>
      </w:r>
      <w:r>
        <w:rPr>
          <w:rFonts w:hint="eastAsia" w:ascii="宋体" w:hAnsi="宋体"/>
          <w:bCs/>
          <w:i w:val="0"/>
          <w:iCs w:val="0"/>
          <w:color w:val="auto"/>
          <w:highlight w:val="none"/>
        </w:rPr>
        <w:t>投标人须知前附表</w:t>
      </w:r>
      <w:r>
        <w:rPr>
          <w:rFonts w:ascii="宋体" w:hAnsi="宋体"/>
          <w:bCs/>
          <w:i w:val="0"/>
          <w:iCs w:val="0"/>
          <w:color w:val="auto"/>
          <w:highlight w:val="none"/>
        </w:rPr>
        <w:t>）</w:t>
      </w:r>
    </w:p>
    <w:p w14:paraId="561B0AC1">
      <w:pPr>
        <w:autoSpaceDN/>
        <w:spacing w:line="360" w:lineRule="auto"/>
        <w:rPr>
          <w:rFonts w:ascii="宋体" w:hAnsi="宋体"/>
          <w:i w:val="0"/>
          <w:iCs w:val="0"/>
          <w:color w:val="auto"/>
          <w:highlight w:val="none"/>
        </w:rPr>
      </w:pPr>
    </w:p>
    <w:p w14:paraId="7770FBA6">
      <w:pPr>
        <w:widowControl/>
        <w:autoSpaceDN/>
        <w:rPr>
          <w:i w:val="0"/>
          <w:iCs w:val="0"/>
          <w:color w:val="auto"/>
          <w:sz w:val="28"/>
          <w:szCs w:val="28"/>
          <w:highlight w:val="none"/>
        </w:rPr>
      </w:pPr>
    </w:p>
    <w:p w14:paraId="27B8D134">
      <w:pPr>
        <w:widowControl/>
        <w:autoSpaceDN/>
        <w:rPr>
          <w:i w:val="0"/>
          <w:iCs w:val="0"/>
          <w:color w:val="auto"/>
          <w:sz w:val="28"/>
          <w:szCs w:val="28"/>
          <w:highlight w:val="none"/>
        </w:rPr>
      </w:pPr>
    </w:p>
    <w:p w14:paraId="3D24C15C">
      <w:pPr>
        <w:widowControl/>
        <w:autoSpaceDN/>
        <w:rPr>
          <w:i w:val="0"/>
          <w:iCs w:val="0"/>
          <w:color w:val="auto"/>
          <w:sz w:val="28"/>
          <w:szCs w:val="28"/>
          <w:highlight w:val="none"/>
        </w:rPr>
      </w:pPr>
    </w:p>
    <w:p w14:paraId="2FF5DDC9">
      <w:pPr>
        <w:widowControl/>
        <w:autoSpaceDN/>
        <w:rPr>
          <w:i w:val="0"/>
          <w:iCs w:val="0"/>
          <w:color w:val="auto"/>
          <w:sz w:val="28"/>
          <w:szCs w:val="28"/>
          <w:highlight w:val="none"/>
        </w:rPr>
      </w:pPr>
    </w:p>
    <w:p w14:paraId="766216AC">
      <w:pPr>
        <w:widowControl/>
        <w:autoSpaceDN/>
        <w:rPr>
          <w:i w:val="0"/>
          <w:iCs w:val="0"/>
          <w:color w:val="auto"/>
          <w:sz w:val="28"/>
          <w:szCs w:val="28"/>
          <w:highlight w:val="none"/>
        </w:rPr>
      </w:pPr>
    </w:p>
    <w:p w14:paraId="548CFF5A">
      <w:pPr>
        <w:widowControl/>
        <w:autoSpaceDN/>
        <w:rPr>
          <w:i w:val="0"/>
          <w:iCs w:val="0"/>
          <w:color w:val="auto"/>
          <w:sz w:val="28"/>
          <w:szCs w:val="28"/>
          <w:highlight w:val="none"/>
        </w:rPr>
      </w:pPr>
    </w:p>
    <w:p w14:paraId="2D81FD54">
      <w:pPr>
        <w:widowControl/>
        <w:autoSpaceDN/>
        <w:rPr>
          <w:i w:val="0"/>
          <w:iCs w:val="0"/>
          <w:color w:val="auto"/>
          <w:sz w:val="28"/>
          <w:szCs w:val="28"/>
          <w:highlight w:val="none"/>
        </w:rPr>
      </w:pPr>
    </w:p>
    <w:p w14:paraId="6B4CD461">
      <w:pPr>
        <w:widowControl/>
        <w:autoSpaceDN/>
        <w:rPr>
          <w:i w:val="0"/>
          <w:iCs w:val="0"/>
          <w:color w:val="auto"/>
          <w:sz w:val="28"/>
          <w:szCs w:val="28"/>
          <w:highlight w:val="none"/>
        </w:rPr>
      </w:pPr>
    </w:p>
    <w:p w14:paraId="7D9F0A42">
      <w:pPr>
        <w:widowControl/>
        <w:autoSpaceDN/>
        <w:rPr>
          <w:i w:val="0"/>
          <w:iCs w:val="0"/>
          <w:color w:val="auto"/>
          <w:sz w:val="28"/>
          <w:szCs w:val="28"/>
          <w:highlight w:val="none"/>
        </w:rPr>
      </w:pPr>
    </w:p>
    <w:p w14:paraId="3772296C">
      <w:pPr>
        <w:widowControl/>
        <w:autoSpaceDN/>
        <w:rPr>
          <w:i w:val="0"/>
          <w:iCs w:val="0"/>
          <w:color w:val="auto"/>
          <w:sz w:val="28"/>
          <w:szCs w:val="28"/>
          <w:highlight w:val="none"/>
        </w:rPr>
      </w:pPr>
    </w:p>
    <w:p w14:paraId="2BD033FC">
      <w:pPr>
        <w:numPr>
          <w:ins w:id="190" w:author="XH" w:date=""/>
        </w:numPr>
        <w:adjustRightInd/>
        <w:spacing w:before="156" w:beforeLines="50"/>
        <w:jc w:val="center"/>
        <w:rPr>
          <w:b/>
          <w:bCs/>
          <w:i w:val="0"/>
          <w:iCs w:val="0"/>
          <w:color w:val="auto"/>
          <w:szCs w:val="28"/>
          <w:highlight w:val="none"/>
        </w:rPr>
      </w:pPr>
      <w:r>
        <w:rPr>
          <w:b/>
          <w:bCs/>
          <w:i w:val="0"/>
          <w:iCs w:val="0"/>
          <w:color w:val="auto"/>
          <w:szCs w:val="28"/>
          <w:highlight w:val="none"/>
        </w:rPr>
        <w:t>表1  投标人基本情况表</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4591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29F9DF47">
            <w:pPr>
              <w:keepNext w:val="0"/>
              <w:keepLines w:val="0"/>
              <w:numPr>
                <w:ins w:id="19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投标人名称</w:t>
            </w:r>
          </w:p>
        </w:tc>
        <w:tc>
          <w:tcPr>
            <w:tcW w:w="7071" w:type="dxa"/>
            <w:gridSpan w:val="6"/>
            <w:noWrap w:val="0"/>
            <w:vAlign w:val="center"/>
          </w:tcPr>
          <w:p w14:paraId="7B256F82">
            <w:pPr>
              <w:keepNext w:val="0"/>
              <w:keepLines w:val="0"/>
              <w:numPr>
                <w:ins w:id="19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527DD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95E8CEB">
            <w:pPr>
              <w:keepNext w:val="0"/>
              <w:keepLines w:val="0"/>
              <w:numPr>
                <w:ins w:id="193" w:author="XH" w:date=""/>
              </w:numPr>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联系人</w:t>
            </w:r>
          </w:p>
        </w:tc>
        <w:tc>
          <w:tcPr>
            <w:tcW w:w="3277" w:type="dxa"/>
            <w:gridSpan w:val="2"/>
            <w:noWrap w:val="0"/>
            <w:vAlign w:val="center"/>
          </w:tcPr>
          <w:p w14:paraId="3B026EEA">
            <w:pPr>
              <w:keepNext w:val="0"/>
              <w:keepLines w:val="0"/>
              <w:numPr>
                <w:ins w:id="19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58B7D463">
            <w:pPr>
              <w:keepNext w:val="0"/>
              <w:keepLines w:val="0"/>
              <w:numPr>
                <w:ins w:id="195" w:author="XH" w:date=""/>
              </w:numPr>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2457" w:type="dxa"/>
            <w:gridSpan w:val="3"/>
            <w:noWrap w:val="0"/>
            <w:vAlign w:val="center"/>
          </w:tcPr>
          <w:p w14:paraId="2C65FFA0">
            <w:pPr>
              <w:keepNext w:val="0"/>
              <w:keepLines w:val="0"/>
              <w:numPr>
                <w:ins w:id="19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262A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19B7A479">
            <w:pPr>
              <w:keepNext w:val="0"/>
              <w:keepLines w:val="0"/>
              <w:numPr>
                <w:ins w:id="19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注册地址</w:t>
            </w:r>
          </w:p>
        </w:tc>
        <w:tc>
          <w:tcPr>
            <w:tcW w:w="3277" w:type="dxa"/>
            <w:gridSpan w:val="2"/>
            <w:noWrap w:val="0"/>
            <w:vAlign w:val="center"/>
          </w:tcPr>
          <w:p w14:paraId="71C3A4DA">
            <w:pPr>
              <w:keepNext w:val="0"/>
              <w:keepLines w:val="0"/>
              <w:numPr>
                <w:ins w:id="19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0EC3B722">
            <w:pPr>
              <w:keepNext w:val="0"/>
              <w:keepLines w:val="0"/>
              <w:numPr>
                <w:ins w:id="19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邮政编码</w:t>
            </w:r>
          </w:p>
        </w:tc>
        <w:tc>
          <w:tcPr>
            <w:tcW w:w="2457" w:type="dxa"/>
            <w:gridSpan w:val="3"/>
            <w:noWrap w:val="0"/>
            <w:vAlign w:val="center"/>
          </w:tcPr>
          <w:p w14:paraId="2BBF61B9">
            <w:pPr>
              <w:keepNext w:val="0"/>
              <w:keepLines w:val="0"/>
              <w:numPr>
                <w:ins w:id="20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5DA4E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3A25C1B6">
            <w:pPr>
              <w:keepNext w:val="0"/>
              <w:keepLines w:val="0"/>
              <w:numPr>
                <w:ins w:id="20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投标责任人（法律责任人）</w:t>
            </w:r>
          </w:p>
        </w:tc>
        <w:tc>
          <w:tcPr>
            <w:tcW w:w="2166" w:type="dxa"/>
            <w:noWrap w:val="0"/>
            <w:vAlign w:val="center"/>
          </w:tcPr>
          <w:p w14:paraId="78FE549E">
            <w:pPr>
              <w:pStyle w:val="17"/>
              <w:keepNext w:val="0"/>
              <w:keepLines w:val="0"/>
              <w:widowControl/>
              <w:suppressLineNumbers w:val="0"/>
              <w:shd w:val="clear" w:color="auto" w:fill="FFFFFF"/>
              <w:spacing w:before="0" w:beforeAutospacing="0" w:after="0" w:afterAutospacing="0"/>
              <w:ind w:left="0" w:right="0"/>
              <w:jc w:val="center"/>
              <w:rPr>
                <w:i w:val="0"/>
                <w:iCs w:val="0"/>
                <w:color w:val="auto"/>
                <w:highlight w:val="none"/>
              </w:rPr>
            </w:pPr>
            <w:r>
              <w:rPr>
                <w:i w:val="0"/>
                <w:iCs w:val="0"/>
                <w:color w:val="auto"/>
                <w:sz w:val="21"/>
                <w:szCs w:val="21"/>
                <w:highlight w:val="none"/>
                <w:shd w:val="clear" w:color="auto" w:fill="FFFFFF"/>
              </w:rPr>
              <w:t>投标直接责任人员为本次投标委托授权代表</w:t>
            </w:r>
          </w:p>
        </w:tc>
        <w:tc>
          <w:tcPr>
            <w:tcW w:w="1111" w:type="dxa"/>
            <w:noWrap w:val="0"/>
            <w:vAlign w:val="center"/>
          </w:tcPr>
          <w:p w14:paraId="31D987A5">
            <w:pPr>
              <w:keepNext w:val="0"/>
              <w:keepLines w:val="0"/>
              <w:numPr>
                <w:ins w:id="20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0BF4F401">
            <w:pPr>
              <w:keepNext w:val="0"/>
              <w:keepLines w:val="0"/>
              <w:numPr>
                <w:ins w:id="20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2457" w:type="dxa"/>
            <w:gridSpan w:val="3"/>
            <w:noWrap w:val="0"/>
            <w:vAlign w:val="center"/>
          </w:tcPr>
          <w:p w14:paraId="11DC3F6F">
            <w:pPr>
              <w:keepNext w:val="0"/>
              <w:keepLines w:val="0"/>
              <w:numPr>
                <w:ins w:id="20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54E3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10662D76">
            <w:pPr>
              <w:keepNext w:val="0"/>
              <w:keepLines w:val="0"/>
              <w:numPr>
                <w:ins w:id="20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2166" w:type="dxa"/>
            <w:noWrap w:val="0"/>
            <w:vAlign w:val="center"/>
          </w:tcPr>
          <w:p w14:paraId="69CF669C">
            <w:pPr>
              <w:keepNext w:val="0"/>
              <w:keepLines w:val="0"/>
              <w:numPr>
                <w:ins w:id="206" w:author="XH" w:date=""/>
              </w:numPr>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身份证号</w:t>
            </w:r>
          </w:p>
        </w:tc>
        <w:tc>
          <w:tcPr>
            <w:tcW w:w="1111" w:type="dxa"/>
            <w:noWrap w:val="0"/>
            <w:vAlign w:val="center"/>
          </w:tcPr>
          <w:p w14:paraId="31C52AE2">
            <w:pPr>
              <w:keepNext w:val="0"/>
              <w:keepLines w:val="0"/>
              <w:numPr>
                <w:ins w:id="20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2EC02A2E">
            <w:pPr>
              <w:keepNext w:val="0"/>
              <w:keepLines w:val="0"/>
              <w:numPr>
                <w:ins w:id="208" w:author="XH" w:date=""/>
              </w:numPr>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住址</w:t>
            </w:r>
          </w:p>
        </w:tc>
        <w:tc>
          <w:tcPr>
            <w:tcW w:w="2457" w:type="dxa"/>
            <w:gridSpan w:val="3"/>
            <w:noWrap w:val="0"/>
            <w:vAlign w:val="center"/>
          </w:tcPr>
          <w:p w14:paraId="1A7BC858">
            <w:pPr>
              <w:keepNext w:val="0"/>
              <w:keepLines w:val="0"/>
              <w:numPr>
                <w:ins w:id="20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1F73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590C5F13">
            <w:pPr>
              <w:keepNext w:val="0"/>
              <w:keepLines w:val="0"/>
              <w:numPr>
                <w:ins w:id="21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2166" w:type="dxa"/>
            <w:noWrap w:val="0"/>
            <w:vAlign w:val="center"/>
          </w:tcPr>
          <w:p w14:paraId="7FD3A022">
            <w:pPr>
              <w:pStyle w:val="17"/>
              <w:keepNext w:val="0"/>
              <w:keepLines w:val="0"/>
              <w:widowControl/>
              <w:suppressLineNumbers w:val="0"/>
              <w:shd w:val="clear" w:color="auto" w:fill="FFFFFF"/>
              <w:spacing w:before="0" w:beforeAutospacing="0" w:after="0" w:afterAutospacing="0"/>
              <w:ind w:left="0" w:right="0"/>
              <w:jc w:val="center"/>
              <w:rPr>
                <w:i w:val="0"/>
                <w:iCs w:val="0"/>
                <w:color w:val="auto"/>
                <w:highlight w:val="none"/>
              </w:rPr>
            </w:pPr>
            <w:r>
              <w:rPr>
                <w:i w:val="0"/>
                <w:iCs w:val="0"/>
                <w:color w:val="auto"/>
                <w:sz w:val="21"/>
                <w:szCs w:val="21"/>
                <w:highlight w:val="none"/>
                <w:shd w:val="clear" w:color="auto" w:fill="FFFFFF"/>
              </w:rPr>
              <w:t>投标的主管人员为法定代表人</w:t>
            </w:r>
          </w:p>
        </w:tc>
        <w:tc>
          <w:tcPr>
            <w:tcW w:w="1111" w:type="dxa"/>
            <w:noWrap w:val="0"/>
            <w:vAlign w:val="center"/>
          </w:tcPr>
          <w:p w14:paraId="5E49D16B">
            <w:pPr>
              <w:keepNext w:val="0"/>
              <w:keepLines w:val="0"/>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20D54384">
            <w:pPr>
              <w:keepNext w:val="0"/>
              <w:keepLines w:val="0"/>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2457" w:type="dxa"/>
            <w:gridSpan w:val="3"/>
            <w:noWrap w:val="0"/>
            <w:vAlign w:val="center"/>
          </w:tcPr>
          <w:p w14:paraId="61CD906F">
            <w:pPr>
              <w:keepNext w:val="0"/>
              <w:keepLines w:val="0"/>
              <w:numPr>
                <w:ins w:id="21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00995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204F56D3">
            <w:pPr>
              <w:keepNext w:val="0"/>
              <w:keepLines w:val="0"/>
              <w:numPr>
                <w:ins w:id="21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2166" w:type="dxa"/>
            <w:noWrap w:val="0"/>
            <w:vAlign w:val="center"/>
          </w:tcPr>
          <w:p w14:paraId="4B6EF0C1">
            <w:pPr>
              <w:keepNext w:val="0"/>
              <w:keepLines w:val="0"/>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身份证号</w:t>
            </w:r>
          </w:p>
        </w:tc>
        <w:tc>
          <w:tcPr>
            <w:tcW w:w="1111" w:type="dxa"/>
            <w:noWrap w:val="0"/>
            <w:vAlign w:val="center"/>
          </w:tcPr>
          <w:p w14:paraId="7391113D">
            <w:pPr>
              <w:keepNext w:val="0"/>
              <w:keepLines w:val="0"/>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337" w:type="dxa"/>
            <w:noWrap w:val="0"/>
            <w:vAlign w:val="center"/>
          </w:tcPr>
          <w:p w14:paraId="10BD0151">
            <w:pPr>
              <w:keepNext w:val="0"/>
              <w:keepLines w:val="0"/>
              <w:suppressLineNumbers w:val="0"/>
              <w:snapToGrid w:val="0"/>
              <w:spacing w:before="0" w:beforeAutospacing="0" w:after="0" w:afterAutospacing="0"/>
              <w:ind w:left="0" w:right="0"/>
              <w:jc w:val="center"/>
              <w:rPr>
                <w:rFonts w:hint="eastAsia" w:ascii="Times New Roman" w:hAnsi="宋体" w:cs="Times New Roman"/>
                <w:i w:val="0"/>
                <w:iCs w:val="0"/>
                <w:color w:val="auto"/>
                <w:highlight w:val="none"/>
              </w:rPr>
            </w:pPr>
            <w:r>
              <w:rPr>
                <w:rFonts w:hint="eastAsia" w:ascii="Times New Roman" w:hAnsi="宋体" w:cs="Times New Roman"/>
                <w:i w:val="0"/>
                <w:iCs w:val="0"/>
                <w:color w:val="auto"/>
                <w:highlight w:val="none"/>
              </w:rPr>
              <w:t>住址</w:t>
            </w:r>
          </w:p>
        </w:tc>
        <w:tc>
          <w:tcPr>
            <w:tcW w:w="2457" w:type="dxa"/>
            <w:gridSpan w:val="3"/>
            <w:noWrap w:val="0"/>
            <w:vAlign w:val="center"/>
          </w:tcPr>
          <w:p w14:paraId="3B124184">
            <w:pPr>
              <w:keepNext w:val="0"/>
              <w:keepLines w:val="0"/>
              <w:numPr>
                <w:ins w:id="21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5F401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7AA9217">
            <w:pPr>
              <w:keepNext w:val="0"/>
              <w:keepLines w:val="0"/>
              <w:numPr>
                <w:ins w:id="21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组织结构</w:t>
            </w:r>
          </w:p>
        </w:tc>
        <w:tc>
          <w:tcPr>
            <w:tcW w:w="7071" w:type="dxa"/>
            <w:gridSpan w:val="6"/>
            <w:noWrap w:val="0"/>
            <w:vAlign w:val="center"/>
          </w:tcPr>
          <w:p w14:paraId="3E3875DE">
            <w:pPr>
              <w:keepNext w:val="0"/>
              <w:keepLines w:val="0"/>
              <w:numPr>
                <w:ins w:id="21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1769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C31FCDA">
            <w:pPr>
              <w:keepNext w:val="0"/>
              <w:keepLines w:val="0"/>
              <w:numPr>
                <w:ins w:id="21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法定代表人</w:t>
            </w:r>
          </w:p>
        </w:tc>
        <w:tc>
          <w:tcPr>
            <w:tcW w:w="2166" w:type="dxa"/>
            <w:noWrap w:val="0"/>
            <w:vAlign w:val="center"/>
          </w:tcPr>
          <w:p w14:paraId="64C1A2C6">
            <w:pPr>
              <w:keepNext w:val="0"/>
              <w:keepLines w:val="0"/>
              <w:numPr>
                <w:ins w:id="21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姓名</w:t>
            </w:r>
          </w:p>
        </w:tc>
        <w:tc>
          <w:tcPr>
            <w:tcW w:w="1111" w:type="dxa"/>
            <w:noWrap w:val="0"/>
            <w:vAlign w:val="center"/>
          </w:tcPr>
          <w:p w14:paraId="65CBAF53">
            <w:pPr>
              <w:keepNext w:val="0"/>
              <w:keepLines w:val="0"/>
              <w:numPr>
                <w:ins w:id="21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技术职称</w:t>
            </w:r>
          </w:p>
        </w:tc>
        <w:tc>
          <w:tcPr>
            <w:tcW w:w="1503" w:type="dxa"/>
            <w:gridSpan w:val="2"/>
            <w:noWrap w:val="0"/>
            <w:vAlign w:val="center"/>
          </w:tcPr>
          <w:p w14:paraId="593ECB5B">
            <w:pPr>
              <w:keepNext w:val="0"/>
              <w:keepLines w:val="0"/>
              <w:numPr>
                <w:ins w:id="21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000" w:type="dxa"/>
            <w:noWrap w:val="0"/>
            <w:vAlign w:val="center"/>
          </w:tcPr>
          <w:p w14:paraId="65A4945C">
            <w:pPr>
              <w:keepNext w:val="0"/>
              <w:keepLines w:val="0"/>
              <w:numPr>
                <w:ins w:id="22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1291" w:type="dxa"/>
            <w:noWrap w:val="0"/>
            <w:vAlign w:val="center"/>
          </w:tcPr>
          <w:p w14:paraId="5E5931DD">
            <w:pPr>
              <w:keepNext w:val="0"/>
              <w:keepLines w:val="0"/>
              <w:numPr>
                <w:ins w:id="22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1AC0A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56727DC4">
            <w:pPr>
              <w:keepNext w:val="0"/>
              <w:keepLines w:val="0"/>
              <w:numPr>
                <w:ins w:id="22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技术负责人</w:t>
            </w:r>
          </w:p>
        </w:tc>
        <w:tc>
          <w:tcPr>
            <w:tcW w:w="2166" w:type="dxa"/>
            <w:noWrap w:val="0"/>
            <w:vAlign w:val="center"/>
          </w:tcPr>
          <w:p w14:paraId="0E5180DC">
            <w:pPr>
              <w:keepNext w:val="0"/>
              <w:keepLines w:val="0"/>
              <w:numPr>
                <w:ins w:id="22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姓名</w:t>
            </w:r>
          </w:p>
        </w:tc>
        <w:tc>
          <w:tcPr>
            <w:tcW w:w="1111" w:type="dxa"/>
            <w:noWrap w:val="0"/>
            <w:vAlign w:val="center"/>
          </w:tcPr>
          <w:p w14:paraId="2D635E12">
            <w:pPr>
              <w:keepNext w:val="0"/>
              <w:keepLines w:val="0"/>
              <w:numPr>
                <w:ins w:id="22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技术职称</w:t>
            </w:r>
          </w:p>
        </w:tc>
        <w:tc>
          <w:tcPr>
            <w:tcW w:w="1503" w:type="dxa"/>
            <w:gridSpan w:val="2"/>
            <w:noWrap w:val="0"/>
            <w:vAlign w:val="center"/>
          </w:tcPr>
          <w:p w14:paraId="54BF2F53">
            <w:pPr>
              <w:keepNext w:val="0"/>
              <w:keepLines w:val="0"/>
              <w:numPr>
                <w:ins w:id="22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000" w:type="dxa"/>
            <w:noWrap w:val="0"/>
            <w:vAlign w:val="center"/>
          </w:tcPr>
          <w:p w14:paraId="1682AEB0">
            <w:pPr>
              <w:keepNext w:val="0"/>
              <w:keepLines w:val="0"/>
              <w:numPr>
                <w:ins w:id="22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电话</w:t>
            </w:r>
          </w:p>
        </w:tc>
        <w:tc>
          <w:tcPr>
            <w:tcW w:w="1291" w:type="dxa"/>
            <w:noWrap w:val="0"/>
            <w:vAlign w:val="center"/>
          </w:tcPr>
          <w:p w14:paraId="38D20FC0">
            <w:pPr>
              <w:keepNext w:val="0"/>
              <w:keepLines w:val="0"/>
              <w:numPr>
                <w:ins w:id="22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576DC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436AFD61">
            <w:pPr>
              <w:keepNext w:val="0"/>
              <w:keepLines w:val="0"/>
              <w:numPr>
                <w:ins w:id="22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成立时间</w:t>
            </w:r>
          </w:p>
        </w:tc>
        <w:tc>
          <w:tcPr>
            <w:tcW w:w="2166" w:type="dxa"/>
            <w:noWrap w:val="0"/>
            <w:vAlign w:val="center"/>
          </w:tcPr>
          <w:p w14:paraId="0FD36DF6">
            <w:pPr>
              <w:keepNext w:val="0"/>
              <w:keepLines w:val="0"/>
              <w:numPr>
                <w:ins w:id="22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4905" w:type="dxa"/>
            <w:gridSpan w:val="5"/>
            <w:noWrap w:val="0"/>
            <w:vAlign w:val="center"/>
          </w:tcPr>
          <w:p w14:paraId="60CCEA3C">
            <w:pPr>
              <w:keepNext w:val="0"/>
              <w:keepLines w:val="0"/>
              <w:numPr>
                <w:ins w:id="230" w:author="XH" w:date=""/>
              </w:numPr>
              <w:suppressLineNumbers w:val="0"/>
              <w:snapToGrid w:val="0"/>
              <w:spacing w:before="0" w:beforeAutospacing="0" w:after="0" w:afterAutospacing="0"/>
              <w:ind w:left="0" w:right="0"/>
              <w:jc w:val="both"/>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员工总人数：</w:t>
            </w:r>
          </w:p>
        </w:tc>
      </w:tr>
      <w:tr w14:paraId="33A13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9F8E451">
            <w:pPr>
              <w:keepNext w:val="0"/>
              <w:keepLines w:val="0"/>
              <w:numPr>
                <w:ins w:id="23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企业资质等级</w:t>
            </w:r>
          </w:p>
        </w:tc>
        <w:tc>
          <w:tcPr>
            <w:tcW w:w="2166" w:type="dxa"/>
            <w:noWrap w:val="0"/>
            <w:vAlign w:val="center"/>
          </w:tcPr>
          <w:p w14:paraId="2A2AA0BB">
            <w:pPr>
              <w:keepNext w:val="0"/>
              <w:keepLines w:val="0"/>
              <w:numPr>
                <w:ins w:id="23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restart"/>
            <w:noWrap w:val="0"/>
            <w:vAlign w:val="center"/>
          </w:tcPr>
          <w:p w14:paraId="06548B3C">
            <w:pPr>
              <w:keepNext w:val="0"/>
              <w:keepLines w:val="0"/>
              <w:numPr>
                <w:ins w:id="23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其中</w:t>
            </w:r>
          </w:p>
        </w:tc>
        <w:tc>
          <w:tcPr>
            <w:tcW w:w="1503" w:type="dxa"/>
            <w:gridSpan w:val="2"/>
            <w:noWrap w:val="0"/>
            <w:vAlign w:val="center"/>
          </w:tcPr>
          <w:p w14:paraId="4DA932EC">
            <w:pPr>
              <w:keepNext w:val="0"/>
              <w:keepLines w:val="0"/>
              <w:numPr>
                <w:ins w:id="23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项目负责人</w:t>
            </w:r>
          </w:p>
        </w:tc>
        <w:tc>
          <w:tcPr>
            <w:tcW w:w="2291" w:type="dxa"/>
            <w:gridSpan w:val="2"/>
            <w:noWrap w:val="0"/>
            <w:vAlign w:val="center"/>
          </w:tcPr>
          <w:p w14:paraId="32A7192B">
            <w:pPr>
              <w:keepNext w:val="0"/>
              <w:keepLines w:val="0"/>
              <w:numPr>
                <w:ins w:id="23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4F72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37D61459">
            <w:pPr>
              <w:keepNext w:val="0"/>
              <w:keepLines w:val="0"/>
              <w:numPr>
                <w:ins w:id="23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营业执照号</w:t>
            </w:r>
          </w:p>
        </w:tc>
        <w:tc>
          <w:tcPr>
            <w:tcW w:w="2166" w:type="dxa"/>
            <w:noWrap w:val="0"/>
            <w:vAlign w:val="center"/>
          </w:tcPr>
          <w:p w14:paraId="0EE251FC">
            <w:pPr>
              <w:keepNext w:val="0"/>
              <w:keepLines w:val="0"/>
              <w:numPr>
                <w:ins w:id="23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continue"/>
            <w:noWrap w:val="0"/>
            <w:vAlign w:val="center"/>
          </w:tcPr>
          <w:p w14:paraId="12C15A5B">
            <w:pPr>
              <w:keepNext w:val="0"/>
              <w:keepLines w:val="0"/>
              <w:numPr>
                <w:ins w:id="23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503" w:type="dxa"/>
            <w:gridSpan w:val="2"/>
            <w:noWrap w:val="0"/>
            <w:vAlign w:val="center"/>
          </w:tcPr>
          <w:p w14:paraId="7873B0B5">
            <w:pPr>
              <w:keepNext w:val="0"/>
              <w:keepLines w:val="0"/>
              <w:numPr>
                <w:ins w:id="23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高级职称人员</w:t>
            </w:r>
          </w:p>
        </w:tc>
        <w:tc>
          <w:tcPr>
            <w:tcW w:w="2291" w:type="dxa"/>
            <w:gridSpan w:val="2"/>
            <w:noWrap w:val="0"/>
            <w:vAlign w:val="center"/>
          </w:tcPr>
          <w:p w14:paraId="0282B0AD">
            <w:pPr>
              <w:keepNext w:val="0"/>
              <w:keepLines w:val="0"/>
              <w:numPr>
                <w:ins w:id="24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04F4C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3198FF77">
            <w:pPr>
              <w:keepNext w:val="0"/>
              <w:keepLines w:val="0"/>
              <w:numPr>
                <w:ins w:id="24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注册资金</w:t>
            </w:r>
          </w:p>
        </w:tc>
        <w:tc>
          <w:tcPr>
            <w:tcW w:w="2166" w:type="dxa"/>
            <w:noWrap w:val="0"/>
            <w:vAlign w:val="center"/>
          </w:tcPr>
          <w:p w14:paraId="6BED21E0">
            <w:pPr>
              <w:keepNext w:val="0"/>
              <w:keepLines w:val="0"/>
              <w:numPr>
                <w:ins w:id="24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continue"/>
            <w:noWrap w:val="0"/>
            <w:vAlign w:val="center"/>
          </w:tcPr>
          <w:p w14:paraId="5D22D6A8">
            <w:pPr>
              <w:keepNext w:val="0"/>
              <w:keepLines w:val="0"/>
              <w:numPr>
                <w:ins w:id="24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503" w:type="dxa"/>
            <w:gridSpan w:val="2"/>
            <w:noWrap w:val="0"/>
            <w:vAlign w:val="center"/>
          </w:tcPr>
          <w:p w14:paraId="4A54AE7A">
            <w:pPr>
              <w:keepNext w:val="0"/>
              <w:keepLines w:val="0"/>
              <w:numPr>
                <w:ins w:id="24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中级职称人员</w:t>
            </w:r>
          </w:p>
        </w:tc>
        <w:tc>
          <w:tcPr>
            <w:tcW w:w="2291" w:type="dxa"/>
            <w:gridSpan w:val="2"/>
            <w:noWrap w:val="0"/>
            <w:vAlign w:val="center"/>
          </w:tcPr>
          <w:p w14:paraId="56E97FF4">
            <w:pPr>
              <w:keepNext w:val="0"/>
              <w:keepLines w:val="0"/>
              <w:numPr>
                <w:ins w:id="24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0AC1C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CF480BA">
            <w:pPr>
              <w:keepNext w:val="0"/>
              <w:keepLines w:val="0"/>
              <w:numPr>
                <w:ins w:id="24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开户银行</w:t>
            </w:r>
          </w:p>
        </w:tc>
        <w:tc>
          <w:tcPr>
            <w:tcW w:w="2166" w:type="dxa"/>
            <w:noWrap w:val="0"/>
            <w:vAlign w:val="center"/>
          </w:tcPr>
          <w:p w14:paraId="4E4F1DE2">
            <w:pPr>
              <w:keepNext w:val="0"/>
              <w:keepLines w:val="0"/>
              <w:numPr>
                <w:ins w:id="247"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continue"/>
            <w:noWrap w:val="0"/>
            <w:vAlign w:val="center"/>
          </w:tcPr>
          <w:p w14:paraId="16BD52FA">
            <w:pPr>
              <w:keepNext w:val="0"/>
              <w:keepLines w:val="0"/>
              <w:numPr>
                <w:ins w:id="248"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503" w:type="dxa"/>
            <w:gridSpan w:val="2"/>
            <w:noWrap w:val="0"/>
            <w:vAlign w:val="center"/>
          </w:tcPr>
          <w:p w14:paraId="5E6ABC72">
            <w:pPr>
              <w:keepNext w:val="0"/>
              <w:keepLines w:val="0"/>
              <w:numPr>
                <w:ins w:id="249"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初级职称人员</w:t>
            </w:r>
          </w:p>
        </w:tc>
        <w:tc>
          <w:tcPr>
            <w:tcW w:w="2291" w:type="dxa"/>
            <w:gridSpan w:val="2"/>
            <w:noWrap w:val="0"/>
            <w:vAlign w:val="center"/>
          </w:tcPr>
          <w:p w14:paraId="595CD734">
            <w:pPr>
              <w:keepNext w:val="0"/>
              <w:keepLines w:val="0"/>
              <w:numPr>
                <w:ins w:id="250"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0FC2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5079DC0B">
            <w:pPr>
              <w:keepNext w:val="0"/>
              <w:keepLines w:val="0"/>
              <w:numPr>
                <w:ins w:id="251"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账号</w:t>
            </w:r>
          </w:p>
        </w:tc>
        <w:tc>
          <w:tcPr>
            <w:tcW w:w="2166" w:type="dxa"/>
            <w:noWrap w:val="0"/>
            <w:vAlign w:val="center"/>
          </w:tcPr>
          <w:p w14:paraId="10309D4D">
            <w:pPr>
              <w:keepNext w:val="0"/>
              <w:keepLines w:val="0"/>
              <w:numPr>
                <w:ins w:id="252"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111" w:type="dxa"/>
            <w:vMerge w:val="continue"/>
            <w:noWrap w:val="0"/>
            <w:vAlign w:val="center"/>
          </w:tcPr>
          <w:p w14:paraId="5AB37B1B">
            <w:pPr>
              <w:keepNext w:val="0"/>
              <w:keepLines w:val="0"/>
              <w:numPr>
                <w:ins w:id="253"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c>
          <w:tcPr>
            <w:tcW w:w="1503" w:type="dxa"/>
            <w:gridSpan w:val="2"/>
            <w:noWrap w:val="0"/>
            <w:vAlign w:val="center"/>
          </w:tcPr>
          <w:p w14:paraId="4C670DD2">
            <w:pPr>
              <w:keepNext w:val="0"/>
              <w:keepLines w:val="0"/>
              <w:numPr>
                <w:ins w:id="254"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技工</w:t>
            </w:r>
          </w:p>
        </w:tc>
        <w:tc>
          <w:tcPr>
            <w:tcW w:w="2291" w:type="dxa"/>
            <w:gridSpan w:val="2"/>
            <w:noWrap w:val="0"/>
            <w:vAlign w:val="center"/>
          </w:tcPr>
          <w:p w14:paraId="57275F61">
            <w:pPr>
              <w:keepNext w:val="0"/>
              <w:keepLines w:val="0"/>
              <w:numPr>
                <w:ins w:id="255"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p>
        </w:tc>
      </w:tr>
      <w:tr w14:paraId="7A8E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0109AA4A">
            <w:pPr>
              <w:keepNext w:val="0"/>
              <w:keepLines w:val="0"/>
              <w:numPr>
                <w:ins w:id="256" w:author="XH" w:date=""/>
              </w:numPr>
              <w:suppressLineNumbers w:val="0"/>
              <w:snapToGrid w:val="0"/>
              <w:spacing w:before="0" w:beforeAutospacing="0" w:after="0" w:afterAutospacing="0"/>
              <w:ind w:left="0" w:right="0"/>
              <w:jc w:val="center"/>
              <w:rPr>
                <w:rFonts w:hint="default" w:ascii="Times New Roman" w:hAnsi="宋体" w:cs="Times New Roman"/>
                <w:i w:val="0"/>
                <w:iCs w:val="0"/>
                <w:color w:val="auto"/>
                <w:highlight w:val="none"/>
              </w:rPr>
            </w:pPr>
            <w:r>
              <w:rPr>
                <w:rFonts w:hint="eastAsia" w:ascii="Times New Roman" w:hAnsi="宋体" w:cs="Times New Roman"/>
                <w:i w:val="0"/>
                <w:iCs w:val="0"/>
                <w:color w:val="auto"/>
                <w:highlight w:val="none"/>
              </w:rPr>
              <w:t>经营范围备注</w:t>
            </w:r>
          </w:p>
        </w:tc>
        <w:tc>
          <w:tcPr>
            <w:tcW w:w="7071" w:type="dxa"/>
            <w:gridSpan w:val="6"/>
            <w:noWrap w:val="0"/>
            <w:vAlign w:val="center"/>
          </w:tcPr>
          <w:p w14:paraId="4A0ABAC0">
            <w:pPr>
              <w:keepNext w:val="0"/>
              <w:keepLines w:val="0"/>
              <w:numPr>
                <w:ins w:id="257" w:author="XH" w:date=""/>
              </w:numPr>
              <w:suppressLineNumbers w:val="0"/>
              <w:snapToGrid w:val="0"/>
              <w:spacing w:before="0" w:beforeAutospacing="0" w:after="0" w:afterAutospacing="0"/>
              <w:ind w:left="0" w:right="0" w:firstLine="480" w:firstLineChars="200"/>
              <w:jc w:val="center"/>
              <w:rPr>
                <w:rFonts w:hint="default" w:ascii="Times New Roman" w:hAnsi="宋体" w:cs="Times New Roman"/>
                <w:i w:val="0"/>
                <w:iCs w:val="0"/>
                <w:color w:val="auto"/>
                <w:highlight w:val="none"/>
              </w:rPr>
            </w:pPr>
          </w:p>
        </w:tc>
      </w:tr>
    </w:tbl>
    <w:p w14:paraId="56F0FF71">
      <w:pPr>
        <w:numPr>
          <w:ins w:id="258" w:author="XH" w:date=""/>
        </w:numPr>
        <w:adjustRightInd/>
        <w:rPr>
          <w:rFonts w:hint="eastAsia"/>
          <w:i w:val="0"/>
          <w:iCs w:val="0"/>
          <w:color w:val="auto"/>
          <w:highlight w:val="none"/>
        </w:rPr>
      </w:pPr>
      <w:r>
        <w:rPr>
          <w:rFonts w:hint="eastAsia"/>
          <w:i w:val="0"/>
          <w:iCs w:val="0"/>
          <w:color w:val="auto"/>
          <w:highlight w:val="none"/>
        </w:rPr>
        <w:t>附营业执照、资质证书、认证体系证书等相关打分资料。</w:t>
      </w:r>
    </w:p>
    <w:p w14:paraId="7431BE32">
      <w:pPr>
        <w:numPr>
          <w:ins w:id="259" w:author="交易管理处" w:date=""/>
        </w:numPr>
        <w:adjustRightInd/>
        <w:rPr>
          <w:rFonts w:hint="eastAsia"/>
          <w:i w:val="0"/>
          <w:iCs w:val="0"/>
          <w:color w:val="auto"/>
          <w:highlight w:val="none"/>
        </w:rPr>
      </w:pPr>
      <w:r>
        <w:rPr>
          <w:rFonts w:hint="eastAsia"/>
          <w:i w:val="0"/>
          <w:iCs w:val="0"/>
          <w:color w:val="auto"/>
          <w:highlight w:val="none"/>
        </w:rPr>
        <w:t>投标人：（盖章）</w:t>
      </w:r>
    </w:p>
    <w:p w14:paraId="04AD87B5">
      <w:pPr>
        <w:numPr>
          <w:ins w:id="260" w:author="XH" w:date=""/>
        </w:numPr>
        <w:adjustRightInd/>
        <w:rPr>
          <w:rFonts w:hint="eastAsia"/>
          <w:i w:val="0"/>
          <w:iCs w:val="0"/>
          <w:color w:val="auto"/>
          <w:highlight w:val="none"/>
        </w:rPr>
      </w:pPr>
      <w:r>
        <w:rPr>
          <w:rFonts w:hint="eastAsia"/>
          <w:i w:val="0"/>
          <w:iCs w:val="0"/>
          <w:color w:val="auto"/>
          <w:highlight w:val="none"/>
        </w:rPr>
        <w:t>投标人法定代表人：（签字或盖章）</w:t>
      </w:r>
    </w:p>
    <w:p w14:paraId="125C253A">
      <w:pPr>
        <w:adjustRightInd/>
        <w:jc w:val="center"/>
        <w:rPr>
          <w:rFonts w:hint="eastAsia"/>
          <w:i w:val="0"/>
          <w:iCs w:val="0"/>
          <w:strike/>
          <w:dstrike w:val="0"/>
          <w:color w:val="auto"/>
          <w:sz w:val="32"/>
          <w:szCs w:val="32"/>
          <w:highlight w:val="none"/>
        </w:rPr>
      </w:pPr>
      <w:r>
        <w:rPr>
          <w:i w:val="0"/>
          <w:iCs w:val="0"/>
          <w:color w:val="auto"/>
          <w:highlight w:val="none"/>
        </w:rPr>
        <w:br w:type="page"/>
      </w:r>
      <w:r>
        <w:rPr>
          <w:rFonts w:hint="eastAsia"/>
          <w:i w:val="0"/>
          <w:iCs w:val="0"/>
          <w:strike/>
          <w:dstrike w:val="0"/>
          <w:color w:val="auto"/>
          <w:sz w:val="32"/>
          <w:szCs w:val="32"/>
          <w:highlight w:val="none"/>
        </w:rPr>
        <w:t>中小企业声明函</w:t>
      </w:r>
    </w:p>
    <w:p w14:paraId="0CAC6170">
      <w:pPr>
        <w:ind w:firstLine="480" w:firstLineChars="200"/>
        <w:rPr>
          <w:rFonts w:hint="eastAsia" w:ascii="宋体" w:hAnsi="宋体" w:cs="宋体"/>
          <w:i w:val="0"/>
          <w:iCs w:val="0"/>
          <w:strike/>
          <w:dstrike w:val="0"/>
          <w:color w:val="auto"/>
          <w:highlight w:val="none"/>
        </w:rPr>
      </w:pPr>
    </w:p>
    <w:p w14:paraId="61366E2F">
      <w:pPr>
        <w:ind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本公司（联合体）郑重声明，根据《政府采购促进中小企业发展管理办法》（财库</w:t>
      </w:r>
      <w:r>
        <w:rPr>
          <w:rFonts w:hint="eastAsia" w:hAnsi="宋体"/>
          <w:i w:val="0"/>
          <w:iCs w:val="0"/>
          <w:strike/>
          <w:dstrike w:val="0"/>
          <w:color w:val="auto"/>
          <w:highlight w:val="none"/>
        </w:rPr>
        <w:t>〔2020〕</w:t>
      </w:r>
      <w:r>
        <w:rPr>
          <w:rFonts w:hint="eastAsia" w:ascii="宋体" w:hAnsi="宋体" w:cs="宋体"/>
          <w:i w:val="0"/>
          <w:iCs w:val="0"/>
          <w:strike/>
          <w:dstrike w:val="0"/>
          <w:color w:val="auto"/>
          <w:highlight w:val="none"/>
        </w:rPr>
        <w:t>46号）的规定，本公司（联合体)参加</w:t>
      </w:r>
      <w:r>
        <w:rPr>
          <w:rFonts w:hint="eastAsia" w:ascii="宋体" w:hAnsi="宋体" w:cs="宋体"/>
          <w:i w:val="0"/>
          <w:iCs w:val="0"/>
          <w:strike/>
          <w:dstrike w:val="0"/>
          <w:color w:val="auto"/>
          <w:highlight w:val="none"/>
          <w:u w:val="single"/>
        </w:rPr>
        <w:t>（单位名称）</w:t>
      </w:r>
      <w:r>
        <w:rPr>
          <w:rFonts w:hint="eastAsia" w:ascii="宋体" w:hAnsi="宋体" w:cs="宋体"/>
          <w:i w:val="0"/>
          <w:iCs w:val="0"/>
          <w:strike/>
          <w:dstrike w:val="0"/>
          <w:color w:val="auto"/>
          <w:highlight w:val="none"/>
        </w:rPr>
        <w:t>的（</w:t>
      </w:r>
      <w:r>
        <w:rPr>
          <w:rFonts w:hint="eastAsia" w:ascii="宋体" w:hAnsi="宋体" w:cs="宋体"/>
          <w:i w:val="0"/>
          <w:iCs w:val="0"/>
          <w:strike/>
          <w:dstrike w:val="0"/>
          <w:color w:val="auto"/>
          <w:highlight w:val="none"/>
          <w:u w:val="single"/>
        </w:rPr>
        <w:t>工程名称）</w:t>
      </w:r>
      <w:r>
        <w:rPr>
          <w:rFonts w:hint="eastAsia" w:ascii="宋体" w:hAnsi="宋体" w:cs="宋体"/>
          <w:i w:val="0"/>
          <w:iCs w:val="0"/>
          <w:strike/>
          <w:dstrike w:val="0"/>
          <w:color w:val="auto"/>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6A85DD31">
      <w:pPr>
        <w:ind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1.（</w:t>
      </w:r>
      <w:r>
        <w:rPr>
          <w:rFonts w:hint="eastAsia" w:ascii="宋体" w:hAnsi="宋体" w:cs="宋体"/>
          <w:i w:val="0"/>
          <w:iCs w:val="0"/>
          <w:strike/>
          <w:dstrike w:val="0"/>
          <w:color w:val="auto"/>
          <w:highlight w:val="none"/>
          <w:u w:val="single"/>
        </w:rPr>
        <w:t>工程名称</w:t>
      </w:r>
      <w:r>
        <w:rPr>
          <w:rFonts w:hint="eastAsia" w:ascii="宋体" w:hAnsi="宋体" w:cs="宋体"/>
          <w:i w:val="0"/>
          <w:iCs w:val="0"/>
          <w:strike/>
          <w:dstrike w:val="0"/>
          <w:color w:val="auto"/>
          <w:highlight w:val="none"/>
        </w:rPr>
        <w:t>）,属</w:t>
      </w:r>
      <w:r>
        <w:rPr>
          <w:rFonts w:hint="eastAsia" w:ascii="宋体" w:hAnsi="宋体" w:cs="宋体"/>
          <w:i w:val="0"/>
          <w:iCs w:val="0"/>
          <w:strike/>
          <w:dstrike w:val="0"/>
          <w:color w:val="auto"/>
          <w:highlight w:val="none"/>
          <w:u w:val="single"/>
        </w:rPr>
        <w:t>于（采购文件中明确的所属行业</w:t>
      </w:r>
      <w:r>
        <w:rPr>
          <w:rFonts w:hint="eastAsia" w:ascii="宋体" w:hAnsi="宋体" w:cs="宋体"/>
          <w:i w:val="0"/>
          <w:iCs w:val="0"/>
          <w:strike/>
          <w:dstrike w:val="0"/>
          <w:color w:val="auto"/>
          <w:highlight w:val="none"/>
        </w:rPr>
        <w:t>）；承建(承接)企业为</w:t>
      </w:r>
      <w:r>
        <w:rPr>
          <w:rFonts w:hint="eastAsia" w:ascii="宋体" w:hAnsi="宋体" w:cs="宋体"/>
          <w:i w:val="0"/>
          <w:iCs w:val="0"/>
          <w:strike/>
          <w:dstrike w:val="0"/>
          <w:color w:val="auto"/>
          <w:highlight w:val="none"/>
          <w:u w:val="single"/>
        </w:rPr>
        <w:t>（企业名称</w:t>
      </w:r>
      <w:r>
        <w:rPr>
          <w:rFonts w:hint="eastAsia" w:ascii="宋体" w:hAnsi="宋体" w:cs="宋体"/>
          <w:i w:val="0"/>
          <w:iCs w:val="0"/>
          <w:strike/>
          <w:dstrike w:val="0"/>
          <w:color w:val="auto"/>
          <w:highlight w:val="none"/>
        </w:rPr>
        <w:t>）,从业人员</w:t>
      </w:r>
      <w:r>
        <w:rPr>
          <w:rFonts w:hint="eastAsia" w:ascii="宋体" w:hAnsi="宋体" w:cs="宋体"/>
          <w:i w:val="0"/>
          <w:iCs w:val="0"/>
          <w:strike/>
          <w:dstrike w:val="0"/>
          <w:color w:val="auto"/>
          <w:highlight w:val="none"/>
          <w:u w:val="single"/>
        </w:rPr>
        <w:t xml:space="preserve">   </w:t>
      </w:r>
      <w:r>
        <w:rPr>
          <w:rFonts w:hint="eastAsia" w:ascii="宋体" w:hAnsi="宋体" w:cs="宋体"/>
          <w:i w:val="0"/>
          <w:iCs w:val="0"/>
          <w:strike/>
          <w:dstrike w:val="0"/>
          <w:color w:val="auto"/>
          <w:highlight w:val="none"/>
        </w:rPr>
        <w:t>人，营业收入为</w:t>
      </w:r>
      <w:r>
        <w:rPr>
          <w:rFonts w:hint="eastAsia" w:ascii="宋体" w:hAnsi="宋体" w:cs="宋体"/>
          <w:i w:val="0"/>
          <w:iCs w:val="0"/>
          <w:strike/>
          <w:dstrike w:val="0"/>
          <w:color w:val="auto"/>
          <w:highlight w:val="none"/>
          <w:u w:val="single"/>
        </w:rPr>
        <w:t xml:space="preserve">_  </w:t>
      </w:r>
      <w:r>
        <w:rPr>
          <w:rFonts w:hint="eastAsia" w:ascii="宋体" w:hAnsi="宋体" w:cs="宋体"/>
          <w:i w:val="0"/>
          <w:iCs w:val="0"/>
          <w:strike/>
          <w:dstrike w:val="0"/>
          <w:color w:val="auto"/>
          <w:highlight w:val="none"/>
        </w:rPr>
        <w:t>万元，资产总额为___万元，属于（</w:t>
      </w:r>
      <w:r>
        <w:rPr>
          <w:rFonts w:hint="eastAsia"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中型企业、</w:t>
      </w:r>
      <w:r>
        <w:rPr>
          <w:rFonts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小型企业、</w:t>
      </w:r>
      <w:r>
        <w:rPr>
          <w:rFonts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微型企业</w:t>
      </w:r>
      <w:r>
        <w:rPr>
          <w:rFonts w:hint="eastAsia" w:ascii="宋体" w:hAnsi="宋体" w:cs="宋体"/>
          <w:i w:val="0"/>
          <w:iCs w:val="0"/>
          <w:strike/>
          <w:dstrike w:val="0"/>
          <w:color w:val="auto"/>
          <w:highlight w:val="none"/>
        </w:rPr>
        <w:t>）；</w:t>
      </w:r>
    </w:p>
    <w:p w14:paraId="3C637777">
      <w:pPr>
        <w:ind w:firstLine="480" w:firstLineChars="200"/>
        <w:rPr>
          <w:rFonts w:hint="eastAsia" w:ascii="宋体" w:hAnsi="宋体" w:cs="宋体"/>
          <w:i w:val="0"/>
          <w:iCs w:val="0"/>
          <w:strike/>
          <w:dstrike w:val="0"/>
          <w:color w:val="auto"/>
          <w:highlight w:val="none"/>
          <w:u w:val="single"/>
        </w:rPr>
      </w:pPr>
      <w:r>
        <w:rPr>
          <w:rFonts w:hint="eastAsia" w:ascii="宋体" w:hAnsi="宋体" w:cs="宋体"/>
          <w:i w:val="0"/>
          <w:iCs w:val="0"/>
          <w:strike/>
          <w:dstrike w:val="0"/>
          <w:color w:val="auto"/>
          <w:highlight w:val="none"/>
        </w:rPr>
        <w:t>2.</w:t>
      </w:r>
      <w:r>
        <w:rPr>
          <w:rFonts w:hint="eastAsia" w:ascii="宋体" w:hAnsi="宋体" w:cs="宋体"/>
          <w:i w:val="0"/>
          <w:iCs w:val="0"/>
          <w:strike/>
          <w:dstrike w:val="0"/>
          <w:color w:val="auto"/>
          <w:highlight w:val="none"/>
          <w:u w:val="single"/>
        </w:rPr>
        <w:t>（工程名称</w:t>
      </w:r>
      <w:r>
        <w:rPr>
          <w:rFonts w:hint="eastAsia" w:ascii="宋体" w:hAnsi="宋体" w:cs="宋体"/>
          <w:i w:val="0"/>
          <w:iCs w:val="0"/>
          <w:strike/>
          <w:dstrike w:val="0"/>
          <w:color w:val="auto"/>
          <w:highlight w:val="none"/>
        </w:rPr>
        <w:t>）,属于</w:t>
      </w:r>
      <w:r>
        <w:rPr>
          <w:rFonts w:hint="eastAsia" w:ascii="宋体" w:hAnsi="宋体" w:cs="宋体"/>
          <w:i w:val="0"/>
          <w:iCs w:val="0"/>
          <w:strike/>
          <w:dstrike w:val="0"/>
          <w:color w:val="auto"/>
          <w:highlight w:val="none"/>
          <w:u w:val="single"/>
        </w:rPr>
        <w:t>（采购文件中明确的所属行业</w:t>
      </w:r>
      <w:r>
        <w:rPr>
          <w:rFonts w:hint="eastAsia" w:ascii="宋体" w:hAnsi="宋体" w:cs="宋体"/>
          <w:i w:val="0"/>
          <w:iCs w:val="0"/>
          <w:strike/>
          <w:dstrike w:val="0"/>
          <w:color w:val="auto"/>
          <w:highlight w:val="none"/>
        </w:rPr>
        <w:t>）；承建(承接)企业为</w:t>
      </w:r>
      <w:r>
        <w:rPr>
          <w:rFonts w:hint="eastAsia" w:ascii="宋体" w:hAnsi="宋体" w:cs="宋体"/>
          <w:i w:val="0"/>
          <w:iCs w:val="0"/>
          <w:strike/>
          <w:dstrike w:val="0"/>
          <w:color w:val="auto"/>
          <w:highlight w:val="none"/>
          <w:u w:val="single"/>
        </w:rPr>
        <w:t>（企业名称</w:t>
      </w:r>
      <w:r>
        <w:rPr>
          <w:rFonts w:hint="eastAsia" w:ascii="宋体" w:hAnsi="宋体" w:cs="宋体"/>
          <w:i w:val="0"/>
          <w:iCs w:val="0"/>
          <w:strike/>
          <w:dstrike w:val="0"/>
          <w:color w:val="auto"/>
          <w:highlight w:val="none"/>
        </w:rPr>
        <w:t>）,从业人员</w:t>
      </w:r>
      <w:r>
        <w:rPr>
          <w:rFonts w:hint="eastAsia" w:ascii="宋体" w:hAnsi="宋体" w:cs="宋体"/>
          <w:i w:val="0"/>
          <w:iCs w:val="0"/>
          <w:strike/>
          <w:dstrike w:val="0"/>
          <w:color w:val="auto"/>
          <w:highlight w:val="none"/>
          <w:u w:val="single"/>
        </w:rPr>
        <w:t xml:space="preserve">    </w:t>
      </w:r>
      <w:r>
        <w:rPr>
          <w:rFonts w:hint="eastAsia" w:ascii="宋体" w:hAnsi="宋体" w:cs="宋体"/>
          <w:i w:val="0"/>
          <w:iCs w:val="0"/>
          <w:strike/>
          <w:dstrike w:val="0"/>
          <w:color w:val="auto"/>
          <w:highlight w:val="none"/>
        </w:rPr>
        <w:t>人，营业收入为___万元，资产总额为___万元，属于（</w:t>
      </w:r>
      <w:r>
        <w:rPr>
          <w:rFonts w:hint="eastAsia"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中型企业、</w:t>
      </w:r>
      <w:r>
        <w:rPr>
          <w:rFonts w:hint="eastAsia"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小型企业、</w:t>
      </w:r>
      <w:r>
        <w:rPr>
          <w:rFonts w:hint="eastAsia" w:ascii="宋体" w:hAnsi="宋体"/>
          <w:i w:val="0"/>
          <w:iCs w:val="0"/>
          <w:strike/>
          <w:dstrike w:val="0"/>
          <w:color w:val="auto"/>
          <w:highlight w:val="none"/>
          <w:u w:val="single"/>
        </w:rPr>
        <w:t>□</w:t>
      </w:r>
      <w:r>
        <w:rPr>
          <w:rFonts w:hint="eastAsia" w:ascii="宋体" w:hAnsi="宋体" w:cs="宋体"/>
          <w:i w:val="0"/>
          <w:iCs w:val="0"/>
          <w:strike/>
          <w:dstrike w:val="0"/>
          <w:color w:val="auto"/>
          <w:highlight w:val="none"/>
          <w:u w:val="single"/>
        </w:rPr>
        <w:t>微型企业）；</w:t>
      </w:r>
    </w:p>
    <w:p w14:paraId="2C876DDC">
      <w:pPr>
        <w:ind w:firstLine="480" w:firstLineChars="200"/>
        <w:rPr>
          <w:rFonts w:hint="eastAsia" w:ascii="宋体" w:hAnsi="宋体" w:cs="宋体"/>
          <w:i w:val="0"/>
          <w:iCs w:val="0"/>
          <w:strike/>
          <w:dstrike w:val="0"/>
          <w:color w:val="auto"/>
          <w:highlight w:val="none"/>
        </w:rPr>
      </w:pPr>
      <w:r>
        <w:rPr>
          <w:rFonts w:ascii="Arial" w:hAnsi="Arial" w:cs="Arial"/>
          <w:i w:val="0"/>
          <w:iCs w:val="0"/>
          <w:strike/>
          <w:dstrike w:val="0"/>
          <w:color w:val="auto"/>
          <w:highlight w:val="none"/>
        </w:rPr>
        <w:t>……</w:t>
      </w:r>
    </w:p>
    <w:p w14:paraId="4408A017">
      <w:pPr>
        <w:ind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以上企业，不属于大企业的分支机构，不存在控股股东为大企业的情形，也不存在与大企业的负责人为同一人的情形。</w:t>
      </w:r>
    </w:p>
    <w:p w14:paraId="04BC59E6">
      <w:pPr>
        <w:ind w:firstLine="720" w:firstLineChars="3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本企业对上述声明内容的真实性负责。如有虚假，将依法承担相应责任。</w:t>
      </w:r>
    </w:p>
    <w:p w14:paraId="2BAB2854">
      <w:pPr>
        <w:ind w:firstLine="5040" w:firstLineChars="2100"/>
        <w:rPr>
          <w:rFonts w:hint="eastAsia" w:ascii="宋体" w:hAnsi="宋体" w:cs="宋体"/>
          <w:i w:val="0"/>
          <w:iCs w:val="0"/>
          <w:strike/>
          <w:dstrike w:val="0"/>
          <w:color w:val="auto"/>
          <w:highlight w:val="none"/>
        </w:rPr>
      </w:pPr>
    </w:p>
    <w:p w14:paraId="449B44F9">
      <w:pPr>
        <w:ind w:firstLine="5040" w:firstLineChars="21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企业名称（盖章):</w:t>
      </w:r>
    </w:p>
    <w:p w14:paraId="2A28D90E">
      <w:pPr>
        <w:ind w:firstLine="5040" w:firstLineChars="21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日 期：</w:t>
      </w:r>
    </w:p>
    <w:p w14:paraId="13D61EB6">
      <w:pPr>
        <w:widowControl/>
        <w:autoSpaceDN/>
        <w:rPr>
          <w:i w:val="0"/>
          <w:iCs w:val="0"/>
          <w:strike/>
          <w:dstrike w:val="0"/>
          <w:color w:val="auto"/>
          <w:sz w:val="28"/>
          <w:szCs w:val="28"/>
          <w:highlight w:val="none"/>
        </w:rPr>
      </w:pPr>
    </w:p>
    <w:p w14:paraId="2BA30F7F">
      <w:pPr>
        <w:widowControl/>
        <w:autoSpaceDN/>
        <w:rPr>
          <w:i w:val="0"/>
          <w:iCs w:val="0"/>
          <w:color w:val="auto"/>
          <w:sz w:val="28"/>
          <w:szCs w:val="28"/>
          <w:highlight w:val="none"/>
        </w:rPr>
      </w:pPr>
    </w:p>
    <w:p w14:paraId="5B76BD19">
      <w:pPr>
        <w:widowControl/>
        <w:autoSpaceDN/>
        <w:rPr>
          <w:i w:val="0"/>
          <w:iCs w:val="0"/>
          <w:color w:val="auto"/>
          <w:sz w:val="28"/>
          <w:szCs w:val="28"/>
          <w:highlight w:val="none"/>
        </w:rPr>
      </w:pPr>
    </w:p>
    <w:p w14:paraId="14F05C2E">
      <w:pPr>
        <w:widowControl/>
        <w:autoSpaceDN/>
        <w:rPr>
          <w:i w:val="0"/>
          <w:iCs w:val="0"/>
          <w:color w:val="auto"/>
          <w:sz w:val="28"/>
          <w:szCs w:val="28"/>
          <w:highlight w:val="none"/>
        </w:rPr>
      </w:pPr>
    </w:p>
    <w:p w14:paraId="2788DAE7">
      <w:pPr>
        <w:widowControl/>
        <w:autoSpaceDN/>
        <w:rPr>
          <w:i w:val="0"/>
          <w:iCs w:val="0"/>
          <w:color w:val="auto"/>
          <w:sz w:val="28"/>
          <w:szCs w:val="28"/>
          <w:highlight w:val="none"/>
        </w:rPr>
      </w:pPr>
    </w:p>
    <w:p w14:paraId="73096038">
      <w:pPr>
        <w:widowControl/>
        <w:autoSpaceDN/>
        <w:rPr>
          <w:i w:val="0"/>
          <w:iCs w:val="0"/>
          <w:color w:val="auto"/>
          <w:sz w:val="28"/>
          <w:szCs w:val="28"/>
          <w:highlight w:val="none"/>
        </w:rPr>
      </w:pPr>
    </w:p>
    <w:p w14:paraId="67DFD17C">
      <w:pPr>
        <w:widowControl/>
        <w:autoSpaceDN/>
        <w:rPr>
          <w:i w:val="0"/>
          <w:iCs w:val="0"/>
          <w:color w:val="auto"/>
          <w:sz w:val="28"/>
          <w:szCs w:val="28"/>
          <w:highlight w:val="none"/>
        </w:rPr>
      </w:pPr>
    </w:p>
    <w:p w14:paraId="20DFB92E">
      <w:pPr>
        <w:widowControl/>
        <w:autoSpaceDN/>
        <w:rPr>
          <w:i w:val="0"/>
          <w:iCs w:val="0"/>
          <w:color w:val="auto"/>
          <w:sz w:val="28"/>
          <w:szCs w:val="28"/>
          <w:highlight w:val="none"/>
        </w:rPr>
      </w:pPr>
    </w:p>
    <w:p w14:paraId="08C60849">
      <w:pPr>
        <w:autoSpaceDE/>
        <w:autoSpaceDN/>
        <w:adjustRightInd/>
        <w:jc w:val="center"/>
        <w:rPr>
          <w:rFonts w:hint="eastAsia" w:ascii="小标宋" w:eastAsia="小标宋"/>
          <w:i w:val="0"/>
          <w:iCs w:val="0"/>
          <w:color w:val="auto"/>
          <w:sz w:val="32"/>
          <w:szCs w:val="32"/>
          <w:highlight w:val="none"/>
        </w:rPr>
      </w:pPr>
    </w:p>
    <w:p w14:paraId="5F3F940A">
      <w:pPr>
        <w:autoSpaceDE/>
        <w:autoSpaceDN/>
        <w:adjustRightInd/>
        <w:jc w:val="center"/>
        <w:rPr>
          <w:rFonts w:hint="eastAsia" w:ascii="小标宋" w:eastAsia="小标宋"/>
          <w:i w:val="0"/>
          <w:iCs w:val="0"/>
          <w:color w:val="auto"/>
          <w:sz w:val="32"/>
          <w:szCs w:val="32"/>
          <w:highlight w:val="none"/>
        </w:rPr>
      </w:pPr>
    </w:p>
    <w:p w14:paraId="12A09789">
      <w:pPr>
        <w:numPr>
          <w:ins w:id="261" w:author="XH" w:date=""/>
        </w:numPr>
        <w:autoSpaceDE/>
        <w:autoSpaceDN/>
        <w:adjustRightInd/>
        <w:jc w:val="center"/>
        <w:rPr>
          <w:rFonts w:ascii="小标宋" w:eastAsia="小标宋"/>
          <w:i w:val="0"/>
          <w:iCs w:val="0"/>
          <w:color w:val="auto"/>
          <w:sz w:val="32"/>
          <w:szCs w:val="32"/>
          <w:highlight w:val="none"/>
        </w:rPr>
      </w:pPr>
      <w:r>
        <w:rPr>
          <w:rFonts w:hint="eastAsia" w:ascii="小标宋" w:eastAsia="小标宋"/>
          <w:i w:val="0"/>
          <w:iCs w:val="0"/>
          <w:color w:val="auto"/>
          <w:sz w:val="32"/>
          <w:szCs w:val="32"/>
          <w:highlight w:val="none"/>
        </w:rPr>
        <w:t>投标承诺书</w:t>
      </w:r>
    </w:p>
    <w:p w14:paraId="08BC5DCD">
      <w:pPr>
        <w:pStyle w:val="10"/>
        <w:numPr>
          <w:ins w:id="262" w:author="XH" w:date=""/>
        </w:numPr>
        <w:spacing w:line="440" w:lineRule="exact"/>
        <w:rPr>
          <w:rFonts w:hAnsi="宋体"/>
          <w:i w:val="0"/>
          <w:iCs w:val="0"/>
          <w:color w:val="auto"/>
          <w:sz w:val="24"/>
          <w:szCs w:val="24"/>
          <w:highlight w:val="none"/>
        </w:rPr>
      </w:pPr>
      <w:r>
        <w:rPr>
          <w:rFonts w:hint="eastAsia" w:hAnsi="宋体"/>
          <w:i w:val="0"/>
          <w:iCs w:val="0"/>
          <w:color w:val="auto"/>
          <w:sz w:val="24"/>
          <w:szCs w:val="24"/>
          <w:highlight w:val="none"/>
          <w:u w:val="single"/>
        </w:rPr>
        <w:t>（招标人名称）</w:t>
      </w:r>
      <w:r>
        <w:rPr>
          <w:rFonts w:hAnsi="宋体"/>
          <w:i w:val="0"/>
          <w:iCs w:val="0"/>
          <w:color w:val="auto"/>
          <w:sz w:val="24"/>
          <w:szCs w:val="24"/>
          <w:highlight w:val="none"/>
          <w:u w:val="single"/>
        </w:rPr>
        <w:t xml:space="preserve">                    </w:t>
      </w:r>
      <w:r>
        <w:rPr>
          <w:rFonts w:hint="eastAsia" w:hAnsi="宋体"/>
          <w:i w:val="0"/>
          <w:iCs w:val="0"/>
          <w:color w:val="auto"/>
          <w:sz w:val="24"/>
          <w:szCs w:val="24"/>
          <w:highlight w:val="none"/>
        </w:rPr>
        <w:t>：</w:t>
      </w:r>
    </w:p>
    <w:p w14:paraId="1EB72F82">
      <w:pPr>
        <w:pStyle w:val="10"/>
        <w:numPr>
          <w:ins w:id="263" w:author="XH" w:date=""/>
        </w:numPr>
        <w:spacing w:line="440" w:lineRule="exact"/>
        <w:ind w:firstLine="480" w:firstLineChars="200"/>
        <w:rPr>
          <w:rFonts w:hAnsi="宋体"/>
          <w:i w:val="0"/>
          <w:iCs w:val="0"/>
          <w:color w:val="auto"/>
          <w:sz w:val="24"/>
          <w:szCs w:val="24"/>
          <w:highlight w:val="none"/>
        </w:rPr>
      </w:pPr>
      <w:r>
        <w:rPr>
          <w:rFonts w:hint="eastAsia" w:hAnsi="宋体"/>
          <w:i w:val="0"/>
          <w:iCs w:val="0"/>
          <w:color w:val="auto"/>
          <w:sz w:val="24"/>
          <w:szCs w:val="24"/>
          <w:highlight w:val="none"/>
        </w:rPr>
        <w:t>本公司已详细阅读</w:t>
      </w:r>
      <w:r>
        <w:rPr>
          <w:rFonts w:hAnsi="宋体"/>
          <w:i w:val="0"/>
          <w:iCs w:val="0"/>
          <w:color w:val="auto"/>
          <w:sz w:val="24"/>
          <w:szCs w:val="24"/>
          <w:highlight w:val="none"/>
          <w:u w:val="single"/>
        </w:rPr>
        <w:t xml:space="preserve">    （工程名称及招标编号）   </w:t>
      </w:r>
      <w:r>
        <w:rPr>
          <w:rFonts w:hint="eastAsia" w:hAnsi="宋体"/>
          <w:i w:val="0"/>
          <w:iCs w:val="0"/>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00F647B2">
      <w:pPr>
        <w:pStyle w:val="10"/>
        <w:numPr>
          <w:ins w:id="264" w:author="XH" w:date=""/>
        </w:numPr>
        <w:spacing w:line="440" w:lineRule="exact"/>
        <w:ind w:firstLine="480" w:firstLineChars="200"/>
        <w:rPr>
          <w:rFonts w:hint="eastAsia" w:hAnsi="宋体"/>
          <w:i w:val="0"/>
          <w:iCs w:val="0"/>
          <w:color w:val="auto"/>
          <w:sz w:val="24"/>
          <w:szCs w:val="24"/>
          <w:highlight w:val="none"/>
        </w:rPr>
      </w:pPr>
      <w:r>
        <w:rPr>
          <w:rFonts w:hAnsi="宋体"/>
          <w:i w:val="0"/>
          <w:iCs w:val="0"/>
          <w:color w:val="auto"/>
          <w:sz w:val="24"/>
          <w:szCs w:val="24"/>
          <w:highlight w:val="none"/>
        </w:rPr>
        <w:t>1.承诺投标文件无虚假、伪造的内容。若投标文件中存在虚假、伪造的内容，同意作无效投标处理</w:t>
      </w:r>
      <w:r>
        <w:rPr>
          <w:rFonts w:hint="eastAsia" w:hAnsi="宋体"/>
          <w:i w:val="0"/>
          <w:iCs w:val="0"/>
          <w:color w:val="auto"/>
          <w:sz w:val="24"/>
          <w:szCs w:val="24"/>
          <w:highlight w:val="none"/>
        </w:rPr>
        <w:t>。</w:t>
      </w:r>
    </w:p>
    <w:p w14:paraId="4D7A620D">
      <w:pPr>
        <w:pStyle w:val="10"/>
        <w:numPr>
          <w:ins w:id="265" w:author="XH" w:date=""/>
        </w:numPr>
        <w:spacing w:line="440" w:lineRule="exact"/>
        <w:ind w:firstLine="480" w:firstLineChars="200"/>
        <w:rPr>
          <w:rFonts w:hint="eastAsia" w:hAnsi="宋体"/>
          <w:i w:val="0"/>
          <w:iCs w:val="0"/>
          <w:color w:val="auto"/>
          <w:sz w:val="24"/>
          <w:szCs w:val="24"/>
          <w:highlight w:val="none"/>
        </w:rPr>
      </w:pPr>
      <w:r>
        <w:rPr>
          <w:rFonts w:hAnsi="宋体"/>
          <w:i w:val="0"/>
          <w:iCs w:val="0"/>
          <w:color w:val="auto"/>
          <w:sz w:val="24"/>
          <w:szCs w:val="24"/>
          <w:highlight w:val="none"/>
        </w:rPr>
        <w:t>2.承诺</w:t>
      </w:r>
      <w:r>
        <w:rPr>
          <w:rFonts w:hint="eastAsia" w:hAnsi="宋体"/>
          <w:i w:val="0"/>
          <w:iCs w:val="0"/>
          <w:color w:val="auto"/>
          <w:sz w:val="24"/>
          <w:szCs w:val="24"/>
          <w:highlight w:val="none"/>
        </w:rPr>
        <w:t>我单位法定代表人、拟派项目负责人、授权代表等主要责任人诚信投标。</w:t>
      </w:r>
    </w:p>
    <w:p w14:paraId="31846D8C">
      <w:pPr>
        <w:pStyle w:val="10"/>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3.承诺无串通投标行为，若与其他投标人存在投标文件异常一致、内容多处雷同、电子检测码（或制作码、创建码）一致的情况，同意作无效投标处理，并接受有关行政监督部门的调查和处罚。</w:t>
      </w:r>
    </w:p>
    <w:p w14:paraId="7657C442">
      <w:pPr>
        <w:pStyle w:val="10"/>
        <w:numPr>
          <w:ins w:id="266" w:author="XH" w:date=""/>
        </w:numPr>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4</w:t>
      </w:r>
      <w:r>
        <w:rPr>
          <w:rFonts w:hAnsi="宋体"/>
          <w:i w:val="0"/>
          <w:iCs w:val="0"/>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hAnsi="宋体"/>
          <w:i w:val="0"/>
          <w:iCs w:val="0"/>
          <w:color w:val="auto"/>
          <w:sz w:val="24"/>
          <w:szCs w:val="24"/>
          <w:highlight w:val="none"/>
        </w:rPr>
        <w:t>。</w:t>
      </w:r>
    </w:p>
    <w:p w14:paraId="38AD4619">
      <w:pPr>
        <w:pStyle w:val="10"/>
        <w:numPr>
          <w:ins w:id="267" w:author="XH" w:date=""/>
        </w:numPr>
        <w:spacing w:line="440" w:lineRule="exact"/>
        <w:ind w:firstLine="480" w:firstLineChars="200"/>
        <w:rPr>
          <w:rFonts w:hint="eastAsia" w:hAnsi="宋体"/>
          <w:i w:val="0"/>
          <w:iCs w:val="0"/>
          <w:color w:val="auto"/>
          <w:spacing w:val="-5"/>
          <w:sz w:val="24"/>
          <w:szCs w:val="24"/>
          <w:highlight w:val="none"/>
        </w:rPr>
      </w:pPr>
      <w:r>
        <w:rPr>
          <w:rFonts w:hint="eastAsia" w:hAnsi="宋体"/>
          <w:i w:val="0"/>
          <w:iCs w:val="0"/>
          <w:color w:val="auto"/>
          <w:sz w:val="24"/>
          <w:szCs w:val="24"/>
          <w:highlight w:val="none"/>
        </w:rPr>
        <w:t>5.</w:t>
      </w:r>
      <w:r>
        <w:rPr>
          <w:rFonts w:hAnsi="宋体"/>
          <w:i w:val="0"/>
          <w:iCs w:val="0"/>
          <w:color w:val="auto"/>
          <w:sz w:val="24"/>
          <w:szCs w:val="24"/>
          <w:highlight w:val="none"/>
        </w:rPr>
        <w:t>承诺按照投标文件派驻管理人员及投入机械设备，</w:t>
      </w:r>
      <w:r>
        <w:rPr>
          <w:rFonts w:hAnsi="宋体"/>
          <w:i w:val="0"/>
          <w:iCs w:val="0"/>
          <w:color w:val="auto"/>
          <w:spacing w:val="-5"/>
          <w:sz w:val="24"/>
          <w:szCs w:val="24"/>
          <w:highlight w:val="none"/>
        </w:rPr>
        <w:t>若存在不到位的情况，同意接受合同约定的处罚。若严重影响合同履约的，同意接受招标人解除合同的要求</w:t>
      </w:r>
      <w:r>
        <w:rPr>
          <w:rFonts w:hint="eastAsia" w:hAnsi="宋体"/>
          <w:i w:val="0"/>
          <w:iCs w:val="0"/>
          <w:color w:val="auto"/>
          <w:spacing w:val="-5"/>
          <w:sz w:val="24"/>
          <w:szCs w:val="24"/>
          <w:highlight w:val="none"/>
        </w:rPr>
        <w:t>。</w:t>
      </w:r>
    </w:p>
    <w:p w14:paraId="5AE08A74">
      <w:pPr>
        <w:pStyle w:val="10"/>
        <w:numPr>
          <w:ins w:id="268" w:author="XH" w:date=""/>
        </w:numPr>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6.</w:t>
      </w:r>
      <w:r>
        <w:rPr>
          <w:rFonts w:hAnsi="宋体"/>
          <w:i w:val="0"/>
          <w:iCs w:val="0"/>
          <w:color w:val="auto"/>
          <w:sz w:val="24"/>
          <w:szCs w:val="24"/>
          <w:highlight w:val="none"/>
        </w:rPr>
        <w:t>承诺本项</w:t>
      </w:r>
      <w:r>
        <w:rPr>
          <w:rFonts w:hint="eastAsia" w:hAnsi="宋体"/>
          <w:i w:val="0"/>
          <w:iCs w:val="0"/>
          <w:color w:val="auto"/>
          <w:sz w:val="24"/>
          <w:szCs w:val="24"/>
          <w:highlight w:val="none"/>
        </w:rPr>
        <w:t>目拟派项目负责人在</w:t>
      </w:r>
      <w:r>
        <w:rPr>
          <w:rFonts w:hAnsi="宋体"/>
          <w:i w:val="0"/>
          <w:iCs w:val="0"/>
          <w:color w:val="auto"/>
          <w:sz w:val="24"/>
          <w:szCs w:val="24"/>
          <w:highlight w:val="none"/>
        </w:rPr>
        <w:t>投标截止</w:t>
      </w:r>
      <w:r>
        <w:rPr>
          <w:rFonts w:hint="eastAsia" w:hAnsi="宋体"/>
          <w:i w:val="0"/>
          <w:iCs w:val="0"/>
          <w:color w:val="auto"/>
          <w:sz w:val="24"/>
          <w:szCs w:val="24"/>
          <w:highlight w:val="none"/>
        </w:rPr>
        <w:t>日无在其他任何在建合同工程上担任项目负责人（包括工程总承包项目中的施工负责人）的情形。</w:t>
      </w:r>
    </w:p>
    <w:p w14:paraId="3583669F">
      <w:pPr>
        <w:pStyle w:val="10"/>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7.承诺我单位在投标前，及时维护更新“浙江省建筑市场监管公共服务系统”相关信息，并对企业资质、人员资格、项目状况、信用评价等信息的真实性、准确性、完整性负责。</w:t>
      </w:r>
    </w:p>
    <w:p w14:paraId="51250D76">
      <w:pPr>
        <w:pStyle w:val="10"/>
        <w:numPr>
          <w:ins w:id="269" w:author="XH" w:date=""/>
        </w:numPr>
        <w:spacing w:line="440" w:lineRule="exact"/>
        <w:ind w:firstLine="480" w:firstLineChars="200"/>
        <w:rPr>
          <w:rFonts w:hAnsi="宋体"/>
          <w:i w:val="0"/>
          <w:iCs w:val="0"/>
          <w:color w:val="auto"/>
          <w:sz w:val="24"/>
          <w:szCs w:val="24"/>
          <w:highlight w:val="none"/>
        </w:rPr>
      </w:pPr>
      <w:r>
        <w:rPr>
          <w:rFonts w:hint="eastAsia" w:hAnsi="宋体"/>
          <w:i w:val="0"/>
          <w:iCs w:val="0"/>
          <w:color w:val="auto"/>
          <w:sz w:val="24"/>
          <w:szCs w:val="24"/>
          <w:highlight w:val="none"/>
        </w:rPr>
        <w:t>8.承诺我单位在投标期间（招标公告发布之日至中标通知书发出之日），资质条件在“</w:t>
      </w:r>
      <w:r>
        <w:rPr>
          <w:rFonts w:hint="eastAsia" w:ascii="Times New Roman" w:hAnsi="宋体"/>
          <w:i w:val="0"/>
          <w:iCs w:val="0"/>
          <w:color w:val="auto"/>
          <w:sz w:val="24"/>
          <w:highlight w:val="none"/>
        </w:rPr>
        <w:t>浙江省建筑市场监管公共服务系统</w:t>
      </w:r>
      <w:r>
        <w:rPr>
          <w:rFonts w:hint="eastAsia" w:hAnsi="宋体"/>
          <w:i w:val="0"/>
          <w:iCs w:val="0"/>
          <w:color w:val="auto"/>
          <w:sz w:val="24"/>
          <w:szCs w:val="24"/>
          <w:highlight w:val="none"/>
        </w:rPr>
        <w:t>”上动态核查结果处于“合格”状态，若为“不合格”状态同意作否决投标处理。</w:t>
      </w:r>
    </w:p>
    <w:p w14:paraId="135A6FBF">
      <w:pPr>
        <w:pStyle w:val="10"/>
        <w:numPr>
          <w:ins w:id="270" w:author="XH" w:date=""/>
        </w:numPr>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9.</w:t>
      </w:r>
      <w:r>
        <w:rPr>
          <w:rFonts w:hAnsi="宋体"/>
          <w:i w:val="0"/>
          <w:iCs w:val="0"/>
          <w:color w:val="auto"/>
          <w:sz w:val="24"/>
          <w:szCs w:val="24"/>
          <w:highlight w:val="none"/>
        </w:rPr>
        <w:t>承诺</w:t>
      </w:r>
      <w:r>
        <w:rPr>
          <w:rFonts w:hint="eastAsia" w:hAnsi="宋体"/>
          <w:i w:val="0"/>
          <w:iCs w:val="0"/>
          <w:color w:val="auto"/>
          <w:sz w:val="24"/>
          <w:szCs w:val="24"/>
          <w:highlight w:val="none"/>
        </w:rPr>
        <w:t>本招标文件要求的人员和我单位</w:t>
      </w:r>
      <w:r>
        <w:rPr>
          <w:rFonts w:hAnsi="宋体"/>
          <w:i w:val="0"/>
          <w:iCs w:val="0"/>
          <w:color w:val="auto"/>
          <w:sz w:val="24"/>
          <w:szCs w:val="24"/>
          <w:highlight w:val="none"/>
        </w:rPr>
        <w:t>没有被人民法院列入限制失信被执行人名单和</w:t>
      </w:r>
      <w:r>
        <w:rPr>
          <w:rFonts w:hint="eastAsia" w:hAnsi="宋体"/>
          <w:i w:val="0"/>
          <w:iCs w:val="0"/>
          <w:color w:val="auto"/>
          <w:sz w:val="24"/>
          <w:szCs w:val="24"/>
          <w:highlight w:val="none"/>
        </w:rPr>
        <w:t>至投标截止时间三年</w:t>
      </w:r>
      <w:r>
        <w:rPr>
          <w:rFonts w:hAnsi="宋体"/>
          <w:i w:val="0"/>
          <w:iCs w:val="0"/>
          <w:color w:val="auto"/>
          <w:sz w:val="24"/>
          <w:szCs w:val="24"/>
          <w:highlight w:val="none"/>
        </w:rPr>
        <w:t>内没有行贿犯罪</w:t>
      </w:r>
      <w:r>
        <w:rPr>
          <w:rFonts w:hint="eastAsia" w:hAnsi="宋体"/>
          <w:i w:val="0"/>
          <w:iCs w:val="0"/>
          <w:color w:val="auto"/>
          <w:sz w:val="24"/>
          <w:szCs w:val="24"/>
          <w:highlight w:val="none"/>
        </w:rPr>
        <w:t>记</w:t>
      </w:r>
      <w:r>
        <w:rPr>
          <w:rFonts w:hAnsi="宋体"/>
          <w:i w:val="0"/>
          <w:iCs w:val="0"/>
          <w:color w:val="auto"/>
          <w:sz w:val="24"/>
          <w:szCs w:val="24"/>
          <w:highlight w:val="none"/>
        </w:rPr>
        <w:t>录</w:t>
      </w:r>
      <w:r>
        <w:rPr>
          <w:rFonts w:hint="eastAsia" w:hAnsi="宋体"/>
          <w:i w:val="0"/>
          <w:iCs w:val="0"/>
          <w:color w:val="auto"/>
          <w:sz w:val="24"/>
          <w:szCs w:val="24"/>
          <w:highlight w:val="none"/>
        </w:rPr>
        <w:t>。</w:t>
      </w:r>
    </w:p>
    <w:p w14:paraId="64F9534B">
      <w:pPr>
        <w:pStyle w:val="10"/>
        <w:numPr>
          <w:ins w:id="271" w:author="XH" w:date=""/>
        </w:numPr>
        <w:spacing w:line="440" w:lineRule="exact"/>
        <w:ind w:firstLine="480" w:firstLineChars="200"/>
        <w:rPr>
          <w:rFonts w:hint="eastAsia" w:hAnsi="宋体"/>
          <w:i w:val="0"/>
          <w:iCs w:val="0"/>
          <w:color w:val="auto"/>
          <w:sz w:val="24"/>
          <w:szCs w:val="24"/>
          <w:highlight w:val="none"/>
        </w:rPr>
      </w:pPr>
      <w:r>
        <w:rPr>
          <w:rFonts w:hint="eastAsia" w:hAnsi="宋体"/>
          <w:i w:val="0"/>
          <w:iCs w:val="0"/>
          <w:color w:val="auto"/>
          <w:sz w:val="24"/>
          <w:szCs w:val="24"/>
          <w:highlight w:val="none"/>
        </w:rPr>
        <w:t>10.</w:t>
      </w:r>
      <w:r>
        <w:rPr>
          <w:rFonts w:hAnsi="宋体"/>
          <w:i w:val="0"/>
          <w:iCs w:val="0"/>
          <w:color w:val="auto"/>
          <w:sz w:val="24"/>
          <w:szCs w:val="24"/>
          <w:highlight w:val="none"/>
        </w:rPr>
        <w:t>承诺未被</w:t>
      </w:r>
      <w:r>
        <w:rPr>
          <w:rFonts w:hint="eastAsia" w:hAnsi="宋体"/>
          <w:i w:val="0"/>
          <w:iCs w:val="0"/>
          <w:color w:val="auto"/>
          <w:sz w:val="24"/>
          <w:szCs w:val="24"/>
          <w:highlight w:val="none"/>
        </w:rPr>
        <w:t>有关</w:t>
      </w:r>
      <w:r>
        <w:rPr>
          <w:rFonts w:hAnsi="宋体"/>
          <w:i w:val="0"/>
          <w:iCs w:val="0"/>
          <w:color w:val="auto"/>
          <w:sz w:val="24"/>
          <w:szCs w:val="24"/>
          <w:highlight w:val="none"/>
        </w:rPr>
        <w:t>行政主管部门</w:t>
      </w:r>
      <w:r>
        <w:rPr>
          <w:rFonts w:hint="eastAsia" w:hAnsi="宋体"/>
          <w:i w:val="0"/>
          <w:iCs w:val="0"/>
          <w:color w:val="auto"/>
          <w:sz w:val="24"/>
          <w:szCs w:val="24"/>
          <w:highlight w:val="none"/>
        </w:rPr>
        <w:t>列入严重失信黑名单(严重违法失信企业名单、联合惩戒名单)</w:t>
      </w:r>
      <w:r>
        <w:rPr>
          <w:rFonts w:hAnsi="宋体"/>
          <w:i w:val="0"/>
          <w:iCs w:val="0"/>
          <w:color w:val="auto"/>
          <w:sz w:val="24"/>
          <w:szCs w:val="24"/>
          <w:highlight w:val="none"/>
        </w:rPr>
        <w:t>或限制参加投标</w:t>
      </w:r>
      <w:r>
        <w:rPr>
          <w:rFonts w:hint="eastAsia" w:hAnsi="宋体"/>
          <w:i w:val="0"/>
          <w:iCs w:val="0"/>
          <w:color w:val="auto"/>
          <w:sz w:val="24"/>
          <w:szCs w:val="24"/>
          <w:highlight w:val="none"/>
        </w:rPr>
        <w:t>。</w:t>
      </w:r>
    </w:p>
    <w:p w14:paraId="1A0042A5">
      <w:pPr>
        <w:pStyle w:val="17"/>
        <w:widowControl/>
        <w:spacing w:line="440" w:lineRule="exact"/>
        <w:ind w:right="150" w:firstLine="480" w:firstLineChars="200"/>
        <w:rPr>
          <w:i w:val="0"/>
          <w:iCs w:val="0"/>
          <w:color w:val="auto"/>
          <w:highlight w:val="none"/>
        </w:rPr>
      </w:pPr>
      <w:r>
        <w:rPr>
          <w:i w:val="0"/>
          <w:iCs w:val="0"/>
          <w:color w:val="auto"/>
          <w:highlight w:val="none"/>
        </w:rPr>
        <w:t>11.若我单位中标，承诺在本工程实施过程中若变更拟派项目负责人，拟派项目负责人在变更之日起六个月之内将不参与浙江省行政区域范围内工程投标。</w:t>
      </w:r>
    </w:p>
    <w:p w14:paraId="78928C68">
      <w:pPr>
        <w:pStyle w:val="17"/>
        <w:widowControl/>
        <w:spacing w:line="440" w:lineRule="exact"/>
        <w:ind w:right="150" w:firstLine="480" w:firstLineChars="200"/>
        <w:rPr>
          <w:i w:val="0"/>
          <w:iCs w:val="0"/>
          <w:color w:val="auto"/>
          <w:highlight w:val="none"/>
        </w:rPr>
      </w:pPr>
      <w:r>
        <w:rPr>
          <w:i w:val="0"/>
          <w:iCs w:val="0"/>
          <w:color w:val="auto"/>
          <w:highlight w:val="none"/>
        </w:rPr>
        <w:t>12.</w:t>
      </w:r>
      <w:r>
        <w:rPr>
          <w:i w:val="0"/>
          <w:iCs w:val="0"/>
          <w:color w:val="auto"/>
          <w:highlight w:val="none"/>
          <w:shd w:val="clear" w:color="auto" w:fill="FFFFFF"/>
        </w:rPr>
        <w:t>我单位直接负责本项目投标的主管人</w:t>
      </w:r>
      <w:r>
        <w:rPr>
          <w:i w:val="0"/>
          <w:iCs w:val="0"/>
          <w:color w:val="auto"/>
          <w:highlight w:val="none"/>
        </w:rPr>
        <w:t>员为</w:t>
      </w:r>
      <w:r>
        <w:rPr>
          <w:i w:val="0"/>
          <w:iCs w:val="0"/>
          <w:color w:val="auto"/>
          <w:highlight w:val="none"/>
          <w:u w:val="single"/>
        </w:rPr>
        <w:t>法定代表人</w:t>
      </w:r>
      <w:r>
        <w:rPr>
          <w:i w:val="0"/>
          <w:iCs w:val="0"/>
          <w:color w:val="auto"/>
          <w:highlight w:val="none"/>
          <w:u w:val="single"/>
          <w:shd w:val="clear" w:color="auto" w:fill="FFFFFF"/>
        </w:rPr>
        <w:t xml:space="preserve">             </w:t>
      </w:r>
      <w:r>
        <w:rPr>
          <w:i w:val="0"/>
          <w:iCs w:val="0"/>
          <w:color w:val="auto"/>
          <w:highlight w:val="none"/>
          <w:shd w:val="clear" w:color="auto" w:fill="FFFFFF"/>
        </w:rPr>
        <w:t>（身份证号码：</w:t>
      </w:r>
      <w:r>
        <w:rPr>
          <w:i w:val="0"/>
          <w:iCs w:val="0"/>
          <w:color w:val="auto"/>
          <w:highlight w:val="none"/>
          <w:u w:val="single"/>
          <w:shd w:val="clear" w:color="auto" w:fill="FFFFFF"/>
        </w:rPr>
        <w:t xml:space="preserve">           </w:t>
      </w:r>
      <w:r>
        <w:rPr>
          <w:i w:val="0"/>
          <w:iCs w:val="0"/>
          <w:color w:val="auto"/>
          <w:highlight w:val="none"/>
          <w:shd w:val="clear" w:color="auto" w:fill="FFFFFF"/>
        </w:rPr>
        <w:t xml:space="preserve">  ，联系手机号码：</w:t>
      </w:r>
      <w:r>
        <w:rPr>
          <w:i w:val="0"/>
          <w:iCs w:val="0"/>
          <w:color w:val="auto"/>
          <w:highlight w:val="none"/>
          <w:u w:val="single"/>
          <w:shd w:val="clear" w:color="auto" w:fill="FFFFFF"/>
        </w:rPr>
        <w:t xml:space="preserve"> （必须为本人实名办理的手机号码）    </w:t>
      </w:r>
      <w:r>
        <w:rPr>
          <w:i w:val="0"/>
          <w:iCs w:val="0"/>
          <w:color w:val="auto"/>
          <w:highlight w:val="none"/>
          <w:shd w:val="clear" w:color="auto" w:fill="FFFFFF"/>
        </w:rPr>
        <w:t xml:space="preserve"> ）；我单位与本项目投标相关的直接责任人员为</w:t>
      </w:r>
      <w:r>
        <w:rPr>
          <w:i w:val="0"/>
          <w:iCs w:val="0"/>
          <w:color w:val="auto"/>
          <w:highlight w:val="none"/>
          <w:u w:val="single"/>
          <w:shd w:val="clear" w:color="auto" w:fill="FFFFFF"/>
        </w:rPr>
        <w:t xml:space="preserve">本次投标委托授权代表           </w:t>
      </w:r>
      <w:r>
        <w:rPr>
          <w:i w:val="0"/>
          <w:iCs w:val="0"/>
          <w:color w:val="auto"/>
          <w:highlight w:val="none"/>
          <w:shd w:val="clear" w:color="auto" w:fill="FFFFFF"/>
        </w:rPr>
        <w:t>（身份证号码：</w:t>
      </w:r>
      <w:r>
        <w:rPr>
          <w:i w:val="0"/>
          <w:iCs w:val="0"/>
          <w:color w:val="auto"/>
          <w:highlight w:val="none"/>
          <w:u w:val="single"/>
          <w:shd w:val="clear" w:color="auto" w:fill="FFFFFF"/>
        </w:rPr>
        <w:t xml:space="preserve">              </w:t>
      </w:r>
      <w:r>
        <w:rPr>
          <w:i w:val="0"/>
          <w:iCs w:val="0"/>
          <w:color w:val="auto"/>
          <w:highlight w:val="none"/>
          <w:shd w:val="clear" w:color="auto" w:fill="FFFFFF"/>
        </w:rPr>
        <w:t>联系手机号码：</w:t>
      </w:r>
      <w:r>
        <w:rPr>
          <w:i w:val="0"/>
          <w:iCs w:val="0"/>
          <w:color w:val="auto"/>
          <w:highlight w:val="none"/>
          <w:u w:val="single"/>
          <w:shd w:val="clear" w:color="auto" w:fill="FFFFFF"/>
        </w:rPr>
        <w:t xml:space="preserve">   （必须为本人实名办理的手机号码）             </w:t>
      </w:r>
      <w:r>
        <w:rPr>
          <w:i w:val="0"/>
          <w:iCs w:val="0"/>
          <w:color w:val="auto"/>
          <w:highlight w:val="none"/>
          <w:shd w:val="clear" w:color="auto" w:fill="FFFFFF"/>
        </w:rPr>
        <w:t>）</w:t>
      </w:r>
      <w:r>
        <w:rPr>
          <w:i w:val="0"/>
          <w:iCs w:val="0"/>
          <w:color w:val="auto"/>
          <w:highlight w:val="none"/>
        </w:rPr>
        <w:t xml:space="preserve"> ，上述人员承诺承担相应的法律责任。</w:t>
      </w:r>
    </w:p>
    <w:p w14:paraId="7C942676">
      <w:pPr>
        <w:pStyle w:val="10"/>
        <w:numPr>
          <w:ins w:id="272" w:author="XH" w:date=""/>
        </w:numPr>
        <w:spacing w:line="440" w:lineRule="exact"/>
        <w:ind w:firstLine="480" w:firstLineChars="200"/>
        <w:rPr>
          <w:rFonts w:hAnsi="宋体"/>
          <w:i w:val="0"/>
          <w:iCs w:val="0"/>
          <w:color w:val="auto"/>
          <w:sz w:val="24"/>
          <w:szCs w:val="24"/>
          <w:highlight w:val="none"/>
          <w:u w:val="single"/>
        </w:rPr>
      </w:pPr>
      <w:r>
        <w:rPr>
          <w:rFonts w:hint="eastAsia" w:hAnsi="宋体"/>
          <w:i w:val="0"/>
          <w:iCs w:val="0"/>
          <w:color w:val="auto"/>
          <w:sz w:val="24"/>
          <w:szCs w:val="24"/>
          <w:highlight w:val="none"/>
        </w:rPr>
        <w:t>13.</w:t>
      </w:r>
      <w:r>
        <w:rPr>
          <w:rFonts w:hAnsi="宋体"/>
          <w:i w:val="0"/>
          <w:iCs w:val="0"/>
          <w:color w:val="auto"/>
          <w:sz w:val="24"/>
          <w:szCs w:val="24"/>
          <w:highlight w:val="none"/>
        </w:rPr>
        <w:t>其他：</w:t>
      </w:r>
      <w:r>
        <w:rPr>
          <w:rFonts w:hAnsi="宋体"/>
          <w:i w:val="0"/>
          <w:iCs w:val="0"/>
          <w:color w:val="auto"/>
          <w:sz w:val="24"/>
          <w:szCs w:val="24"/>
          <w:highlight w:val="none"/>
          <w:u w:val="single"/>
        </w:rPr>
        <w:t xml:space="preserve">    （招标人可根据实际情况增加相应的条款）   </w:t>
      </w:r>
      <w:r>
        <w:rPr>
          <w:rFonts w:hint="eastAsia" w:hAnsi="宋体"/>
          <w:i w:val="0"/>
          <w:iCs w:val="0"/>
          <w:color w:val="auto"/>
          <w:sz w:val="24"/>
          <w:szCs w:val="24"/>
          <w:highlight w:val="none"/>
        </w:rPr>
        <w:t>。</w:t>
      </w:r>
    </w:p>
    <w:p w14:paraId="7F77F4ED">
      <w:pPr>
        <w:pStyle w:val="10"/>
        <w:numPr>
          <w:ins w:id="273" w:author="XH" w:date=""/>
        </w:numPr>
        <w:spacing w:line="440" w:lineRule="exact"/>
        <w:ind w:firstLine="480" w:firstLineChars="200"/>
        <w:rPr>
          <w:rFonts w:hint="eastAsia" w:hAnsi="宋体"/>
          <w:i w:val="0"/>
          <w:iCs w:val="0"/>
          <w:color w:val="auto"/>
          <w:spacing w:val="-5"/>
          <w:sz w:val="24"/>
          <w:szCs w:val="24"/>
          <w:highlight w:val="none"/>
        </w:rPr>
      </w:pPr>
      <w:r>
        <w:rPr>
          <w:rFonts w:hint="eastAsia" w:hAnsi="宋体"/>
          <w:i w:val="0"/>
          <w:iCs w:val="0"/>
          <w:color w:val="auto"/>
          <w:sz w:val="24"/>
          <w:szCs w:val="24"/>
          <w:highlight w:val="none"/>
        </w:rPr>
        <w:t>14.以上承诺如有虚假，</w:t>
      </w:r>
      <w:r>
        <w:rPr>
          <w:rFonts w:hint="eastAsia" w:hAnsi="宋体"/>
          <w:i w:val="0"/>
          <w:iCs w:val="0"/>
          <w:color w:val="auto"/>
          <w:spacing w:val="-5"/>
          <w:sz w:val="24"/>
          <w:szCs w:val="24"/>
          <w:highlight w:val="none"/>
        </w:rPr>
        <w:t>愿意接</w:t>
      </w:r>
      <w:r>
        <w:rPr>
          <w:rFonts w:hAnsi="宋体"/>
          <w:i w:val="0"/>
          <w:iCs w:val="0"/>
          <w:color w:val="auto"/>
          <w:spacing w:val="-5"/>
          <w:sz w:val="24"/>
          <w:szCs w:val="24"/>
          <w:highlight w:val="none"/>
        </w:rPr>
        <w:t>受投标保证金不予退还的</w:t>
      </w:r>
      <w:r>
        <w:rPr>
          <w:rFonts w:hint="eastAsia" w:hAnsi="宋体"/>
          <w:i w:val="0"/>
          <w:iCs w:val="0"/>
          <w:color w:val="auto"/>
          <w:spacing w:val="-5"/>
          <w:sz w:val="24"/>
          <w:szCs w:val="24"/>
          <w:highlight w:val="none"/>
        </w:rPr>
        <w:t>处理。给招标人造成损失的，愿意依法承担赔偿责任。如已中标，同意招标人取消我单位中标资格的处理。</w:t>
      </w:r>
    </w:p>
    <w:p w14:paraId="3A992549">
      <w:pPr>
        <w:pStyle w:val="10"/>
        <w:spacing w:line="440" w:lineRule="exact"/>
        <w:ind w:firstLine="460" w:firstLineChars="200"/>
        <w:rPr>
          <w:rFonts w:hint="eastAsia" w:hAnsi="宋体"/>
          <w:i w:val="0"/>
          <w:iCs w:val="0"/>
          <w:color w:val="auto"/>
          <w:spacing w:val="-5"/>
          <w:sz w:val="24"/>
          <w:szCs w:val="24"/>
          <w:highlight w:val="none"/>
        </w:rPr>
      </w:pPr>
      <w:r>
        <w:rPr>
          <w:rFonts w:hint="eastAsia" w:hAnsi="宋体"/>
          <w:i w:val="0"/>
          <w:iCs w:val="0"/>
          <w:color w:val="auto"/>
          <w:spacing w:val="-5"/>
          <w:sz w:val="24"/>
          <w:szCs w:val="24"/>
          <w:highlight w:val="none"/>
        </w:rPr>
        <w:t>本人</w:t>
      </w:r>
      <w:r>
        <w:rPr>
          <w:rFonts w:hint="eastAsia" w:hAnsi="宋体"/>
          <w:i w:val="0"/>
          <w:iCs w:val="0"/>
          <w:color w:val="auto"/>
          <w:spacing w:val="-5"/>
          <w:sz w:val="24"/>
          <w:szCs w:val="24"/>
          <w:highlight w:val="none"/>
          <w:u w:val="single"/>
        </w:rPr>
        <w:t>___</w:t>
      </w:r>
      <w:r>
        <w:rPr>
          <w:rFonts w:hint="eastAsia" w:hAnsi="宋体" w:cs="Courier New"/>
          <w:i w:val="0"/>
          <w:iCs w:val="0"/>
          <w:color w:val="auto"/>
          <w:sz w:val="24"/>
          <w:szCs w:val="24"/>
          <w:highlight w:val="none"/>
          <w:u w:val="single"/>
        </w:rPr>
        <w:t xml:space="preserve">拟派项目负责人（签字）：   </w:t>
      </w:r>
      <w:r>
        <w:rPr>
          <w:rFonts w:hint="eastAsia" w:hAnsi="宋体"/>
          <w:i w:val="0"/>
          <w:iCs w:val="0"/>
          <w:color w:val="auto"/>
          <w:spacing w:val="-5"/>
          <w:sz w:val="24"/>
          <w:szCs w:val="24"/>
          <w:highlight w:val="none"/>
          <w:u w:val="single"/>
        </w:rPr>
        <w:t>__</w:t>
      </w:r>
      <w:r>
        <w:rPr>
          <w:rFonts w:hint="eastAsia" w:hAnsi="宋体"/>
          <w:i w:val="0"/>
          <w:iCs w:val="0"/>
          <w:color w:val="auto"/>
          <w:spacing w:val="-5"/>
          <w:sz w:val="24"/>
          <w:szCs w:val="24"/>
          <w:highlight w:val="none"/>
        </w:rPr>
        <w:t>对所在单位参与本次投标知情,投标中使用的本人相关业绩真实有效。</w:t>
      </w:r>
    </w:p>
    <w:p w14:paraId="2C504381">
      <w:pPr>
        <w:pStyle w:val="10"/>
        <w:spacing w:line="440" w:lineRule="exact"/>
        <w:ind w:firstLine="3120" w:firstLineChars="1300"/>
        <w:rPr>
          <w:rFonts w:hint="eastAsia" w:hAnsi="宋体" w:cs="Courier New"/>
          <w:i w:val="0"/>
          <w:iCs w:val="0"/>
          <w:color w:val="auto"/>
          <w:sz w:val="24"/>
          <w:szCs w:val="24"/>
          <w:highlight w:val="none"/>
        </w:rPr>
      </w:pPr>
    </w:p>
    <w:p w14:paraId="013E4318">
      <w:pPr>
        <w:pStyle w:val="10"/>
        <w:spacing w:line="440" w:lineRule="exact"/>
        <w:ind w:firstLine="3120" w:firstLineChars="1300"/>
        <w:rPr>
          <w:rFonts w:hint="eastAsia" w:hAnsi="宋体" w:cs="Courier New"/>
          <w:i w:val="0"/>
          <w:iCs w:val="0"/>
          <w:color w:val="auto"/>
          <w:sz w:val="24"/>
          <w:szCs w:val="24"/>
          <w:highlight w:val="none"/>
        </w:rPr>
      </w:pPr>
      <w:r>
        <w:rPr>
          <w:rFonts w:hint="eastAsia" w:hAnsi="宋体" w:cs="Courier New"/>
          <w:i w:val="0"/>
          <w:iCs w:val="0"/>
          <w:color w:val="auto"/>
          <w:sz w:val="24"/>
          <w:szCs w:val="24"/>
          <w:highlight w:val="none"/>
        </w:rPr>
        <w:t>法定代表人（签字或盖章）：</w:t>
      </w:r>
    </w:p>
    <w:p w14:paraId="45FC0C70">
      <w:pPr>
        <w:pStyle w:val="10"/>
        <w:spacing w:line="440" w:lineRule="exact"/>
        <w:ind w:firstLine="3120" w:firstLineChars="1300"/>
        <w:rPr>
          <w:rFonts w:hint="eastAsia" w:hAnsi="宋体" w:cs="Courier New"/>
          <w:i w:val="0"/>
          <w:iCs w:val="0"/>
          <w:color w:val="auto"/>
          <w:sz w:val="24"/>
          <w:szCs w:val="24"/>
          <w:highlight w:val="none"/>
        </w:rPr>
      </w:pPr>
      <w:r>
        <w:rPr>
          <w:rFonts w:hint="eastAsia" w:hAnsi="宋体" w:cs="Courier New"/>
          <w:i w:val="0"/>
          <w:iCs w:val="0"/>
          <w:color w:val="auto"/>
          <w:sz w:val="24"/>
          <w:szCs w:val="24"/>
          <w:highlight w:val="none"/>
        </w:rPr>
        <w:t>投标人（单位盖章）：</w:t>
      </w:r>
    </w:p>
    <w:p w14:paraId="55538CED">
      <w:pPr>
        <w:autoSpaceDN/>
        <w:spacing w:line="440" w:lineRule="exact"/>
        <w:jc w:val="both"/>
        <w:rPr>
          <w:rFonts w:hint="eastAsia" w:ascii="宋体" w:hAnsi="宋体"/>
          <w:i w:val="0"/>
          <w:iCs w:val="0"/>
          <w:color w:val="auto"/>
          <w:highlight w:val="none"/>
        </w:rPr>
      </w:pPr>
      <w:r>
        <w:rPr>
          <w:rFonts w:hint="eastAsia" w:ascii="宋体" w:hAnsi="宋体" w:cs="Courier New"/>
          <w:i w:val="0"/>
          <w:iCs w:val="0"/>
          <w:color w:val="auto"/>
          <w:highlight w:val="none"/>
        </w:rPr>
        <w:t xml:space="preserve">                                               </w:t>
      </w:r>
      <w:r>
        <w:rPr>
          <w:rFonts w:ascii="宋体" w:hAnsi="宋体" w:cs="Courier New"/>
          <w:i w:val="0"/>
          <w:iCs w:val="0"/>
          <w:color w:val="auto"/>
          <w:highlight w:val="none"/>
        </w:rPr>
        <w:t>年    月    日</w:t>
      </w:r>
    </w:p>
    <w:p w14:paraId="2129CF37">
      <w:pPr>
        <w:widowControl/>
        <w:autoSpaceDN/>
        <w:rPr>
          <w:i w:val="0"/>
          <w:iCs w:val="0"/>
          <w:color w:val="auto"/>
          <w:sz w:val="28"/>
          <w:szCs w:val="28"/>
          <w:highlight w:val="none"/>
        </w:rPr>
      </w:pPr>
    </w:p>
    <w:p w14:paraId="5C337878">
      <w:pPr>
        <w:widowControl/>
        <w:autoSpaceDN/>
        <w:rPr>
          <w:i w:val="0"/>
          <w:iCs w:val="0"/>
          <w:color w:val="auto"/>
          <w:sz w:val="28"/>
          <w:szCs w:val="28"/>
          <w:highlight w:val="none"/>
        </w:rPr>
      </w:pPr>
    </w:p>
    <w:p w14:paraId="3F35A4F6">
      <w:pPr>
        <w:widowControl/>
        <w:autoSpaceDN/>
        <w:rPr>
          <w:i w:val="0"/>
          <w:iCs w:val="0"/>
          <w:color w:val="auto"/>
          <w:sz w:val="28"/>
          <w:szCs w:val="28"/>
          <w:highlight w:val="none"/>
        </w:rPr>
      </w:pPr>
    </w:p>
    <w:p w14:paraId="0219774E">
      <w:pPr>
        <w:widowControl/>
        <w:autoSpaceDN/>
        <w:rPr>
          <w:i w:val="0"/>
          <w:iCs w:val="0"/>
          <w:color w:val="auto"/>
          <w:sz w:val="28"/>
          <w:szCs w:val="28"/>
          <w:highlight w:val="none"/>
        </w:rPr>
      </w:pPr>
    </w:p>
    <w:p w14:paraId="58A5DE05">
      <w:pPr>
        <w:widowControl/>
        <w:autoSpaceDN/>
        <w:rPr>
          <w:i w:val="0"/>
          <w:iCs w:val="0"/>
          <w:color w:val="auto"/>
          <w:sz w:val="28"/>
          <w:szCs w:val="28"/>
          <w:highlight w:val="none"/>
        </w:rPr>
      </w:pPr>
    </w:p>
    <w:p w14:paraId="40A98DCC">
      <w:pPr>
        <w:widowControl/>
        <w:autoSpaceDN/>
        <w:rPr>
          <w:i w:val="0"/>
          <w:iCs w:val="0"/>
          <w:color w:val="auto"/>
          <w:sz w:val="28"/>
          <w:szCs w:val="28"/>
          <w:highlight w:val="none"/>
        </w:rPr>
      </w:pPr>
    </w:p>
    <w:p w14:paraId="6B75A0A6">
      <w:pPr>
        <w:widowControl/>
        <w:autoSpaceDN/>
        <w:rPr>
          <w:i w:val="0"/>
          <w:iCs w:val="0"/>
          <w:color w:val="auto"/>
          <w:sz w:val="28"/>
          <w:szCs w:val="28"/>
          <w:highlight w:val="none"/>
        </w:rPr>
      </w:pPr>
    </w:p>
    <w:p w14:paraId="020630AC">
      <w:pPr>
        <w:widowControl/>
        <w:autoSpaceDN/>
        <w:rPr>
          <w:i w:val="0"/>
          <w:iCs w:val="0"/>
          <w:color w:val="auto"/>
          <w:sz w:val="28"/>
          <w:szCs w:val="28"/>
          <w:highlight w:val="none"/>
        </w:rPr>
      </w:pPr>
    </w:p>
    <w:p w14:paraId="1AE60EC2">
      <w:pPr>
        <w:widowControl/>
        <w:autoSpaceDN/>
        <w:rPr>
          <w:i w:val="0"/>
          <w:iCs w:val="0"/>
          <w:color w:val="auto"/>
          <w:sz w:val="28"/>
          <w:szCs w:val="28"/>
          <w:highlight w:val="none"/>
        </w:rPr>
      </w:pPr>
    </w:p>
    <w:p w14:paraId="157B70DA">
      <w:pPr>
        <w:jc w:val="center"/>
        <w:rPr>
          <w:b/>
          <w:bCs/>
          <w:i w:val="0"/>
          <w:iCs w:val="0"/>
          <w:color w:val="auto"/>
          <w:sz w:val="36"/>
          <w:highlight w:val="none"/>
        </w:rPr>
      </w:pPr>
      <w:r>
        <w:rPr>
          <w:rFonts w:hint="eastAsia"/>
          <w:b/>
          <w:bCs/>
          <w:i w:val="0"/>
          <w:iCs w:val="0"/>
          <w:color w:val="auto"/>
          <w:sz w:val="36"/>
          <w:highlight w:val="none"/>
        </w:rPr>
        <w:t>法定代表人身份证明书</w:t>
      </w:r>
    </w:p>
    <w:p w14:paraId="586FAB5A">
      <w:pPr>
        <w:jc w:val="center"/>
        <w:rPr>
          <w:b/>
          <w:bCs/>
          <w:i w:val="0"/>
          <w:iCs w:val="0"/>
          <w:color w:val="auto"/>
          <w:sz w:val="36"/>
          <w:highlight w:val="none"/>
        </w:rPr>
      </w:pPr>
    </w:p>
    <w:p w14:paraId="3E046091">
      <w:pPr>
        <w:rPr>
          <w:i w:val="0"/>
          <w:iCs w:val="0"/>
          <w:color w:val="auto"/>
          <w:highlight w:val="none"/>
          <w:u w:val="single"/>
        </w:rPr>
      </w:pPr>
      <w:r>
        <w:rPr>
          <w:rFonts w:hint="eastAsia"/>
          <w:i w:val="0"/>
          <w:iCs w:val="0"/>
          <w:color w:val="auto"/>
          <w:highlight w:val="none"/>
        </w:rPr>
        <w:t>单位名称：</w:t>
      </w:r>
      <w:r>
        <w:rPr>
          <w:i w:val="0"/>
          <w:iCs w:val="0"/>
          <w:color w:val="auto"/>
          <w:highlight w:val="none"/>
          <w:u w:val="single"/>
        </w:rPr>
        <w:t xml:space="preserve">                                    </w:t>
      </w:r>
    </w:p>
    <w:p w14:paraId="43923566">
      <w:pPr>
        <w:rPr>
          <w:i w:val="0"/>
          <w:iCs w:val="0"/>
          <w:color w:val="auto"/>
          <w:highlight w:val="none"/>
          <w:u w:val="single"/>
        </w:rPr>
      </w:pPr>
      <w:r>
        <w:rPr>
          <w:rFonts w:hint="eastAsia"/>
          <w:i w:val="0"/>
          <w:iCs w:val="0"/>
          <w:color w:val="auto"/>
          <w:highlight w:val="none"/>
        </w:rPr>
        <w:t>地</w:t>
      </w:r>
      <w:r>
        <w:rPr>
          <w:i w:val="0"/>
          <w:iCs w:val="0"/>
          <w:color w:val="auto"/>
          <w:highlight w:val="none"/>
        </w:rPr>
        <w:t xml:space="preserve">    </w:t>
      </w:r>
      <w:r>
        <w:rPr>
          <w:rFonts w:hint="eastAsia"/>
          <w:i w:val="0"/>
          <w:iCs w:val="0"/>
          <w:color w:val="auto"/>
          <w:highlight w:val="none"/>
        </w:rPr>
        <w:t>址：</w:t>
      </w:r>
      <w:r>
        <w:rPr>
          <w:i w:val="0"/>
          <w:iCs w:val="0"/>
          <w:color w:val="auto"/>
          <w:highlight w:val="none"/>
          <w:u w:val="single"/>
        </w:rPr>
        <w:t xml:space="preserve">                                     </w:t>
      </w:r>
    </w:p>
    <w:p w14:paraId="718B98CF">
      <w:pPr>
        <w:rPr>
          <w:i w:val="0"/>
          <w:iCs w:val="0"/>
          <w:color w:val="auto"/>
          <w:highlight w:val="none"/>
        </w:rPr>
      </w:pPr>
      <w:r>
        <w:rPr>
          <w:rFonts w:hint="eastAsia"/>
          <w:i w:val="0"/>
          <w:iCs w:val="0"/>
          <w:color w:val="auto"/>
          <w:highlight w:val="none"/>
        </w:rPr>
        <w:t>姓名：</w:t>
      </w:r>
      <w:r>
        <w:rPr>
          <w:i w:val="0"/>
          <w:iCs w:val="0"/>
          <w:color w:val="auto"/>
          <w:highlight w:val="none"/>
          <w:u w:val="single"/>
        </w:rPr>
        <w:t xml:space="preserve">        </w:t>
      </w:r>
      <w:r>
        <w:rPr>
          <w:rFonts w:hint="eastAsia"/>
          <w:i w:val="0"/>
          <w:iCs w:val="0"/>
          <w:color w:val="auto"/>
          <w:highlight w:val="none"/>
        </w:rPr>
        <w:t>性别：</w:t>
      </w:r>
      <w:r>
        <w:rPr>
          <w:i w:val="0"/>
          <w:iCs w:val="0"/>
          <w:color w:val="auto"/>
          <w:highlight w:val="none"/>
          <w:u w:val="single"/>
        </w:rPr>
        <w:t xml:space="preserve">      </w:t>
      </w:r>
      <w:r>
        <w:rPr>
          <w:rFonts w:hint="eastAsia"/>
          <w:i w:val="0"/>
          <w:iCs w:val="0"/>
          <w:color w:val="auto"/>
          <w:highlight w:val="none"/>
        </w:rPr>
        <w:t>年龄：</w:t>
      </w:r>
      <w:r>
        <w:rPr>
          <w:i w:val="0"/>
          <w:iCs w:val="0"/>
          <w:color w:val="auto"/>
          <w:highlight w:val="none"/>
          <w:u w:val="single"/>
        </w:rPr>
        <w:t xml:space="preserve">      </w:t>
      </w:r>
      <w:r>
        <w:rPr>
          <w:rFonts w:hint="eastAsia"/>
          <w:i w:val="0"/>
          <w:iCs w:val="0"/>
          <w:color w:val="auto"/>
          <w:highlight w:val="none"/>
        </w:rPr>
        <w:t>职务：</w:t>
      </w:r>
      <w:r>
        <w:rPr>
          <w:i w:val="0"/>
          <w:iCs w:val="0"/>
          <w:color w:val="auto"/>
          <w:highlight w:val="none"/>
          <w:u w:val="single"/>
        </w:rPr>
        <w:t xml:space="preserve">      </w:t>
      </w:r>
      <w:r>
        <w:rPr>
          <w:rFonts w:hint="eastAsia"/>
          <w:i w:val="0"/>
          <w:iCs w:val="0"/>
          <w:color w:val="auto"/>
          <w:highlight w:val="none"/>
        </w:rPr>
        <w:t>系</w:t>
      </w:r>
      <w:r>
        <w:rPr>
          <w:i w:val="0"/>
          <w:iCs w:val="0"/>
          <w:color w:val="auto"/>
          <w:highlight w:val="none"/>
          <w:u w:val="single"/>
        </w:rPr>
        <w:t xml:space="preserve">     </w:t>
      </w:r>
      <w:r>
        <w:rPr>
          <w:rFonts w:hint="eastAsia"/>
          <w:i w:val="0"/>
          <w:iCs w:val="0"/>
          <w:color w:val="auto"/>
          <w:highlight w:val="none"/>
          <w:u w:val="single"/>
        </w:rPr>
        <w:t xml:space="preserve">  </w:t>
      </w:r>
      <w:r>
        <w:rPr>
          <w:i w:val="0"/>
          <w:iCs w:val="0"/>
          <w:color w:val="auto"/>
          <w:highlight w:val="none"/>
          <w:u w:val="single"/>
        </w:rPr>
        <w:t xml:space="preserve">  </w:t>
      </w:r>
      <w:r>
        <w:rPr>
          <w:rFonts w:hint="eastAsia"/>
          <w:i w:val="0"/>
          <w:iCs w:val="0"/>
          <w:color w:val="auto"/>
          <w:highlight w:val="none"/>
        </w:rPr>
        <w:t>的法定代表人。</w:t>
      </w:r>
    </w:p>
    <w:p w14:paraId="3ED12502">
      <w:pPr>
        <w:tabs>
          <w:tab w:val="left" w:pos="482"/>
          <w:tab w:val="left" w:pos="2183"/>
          <w:tab w:val="left" w:pos="3884"/>
          <w:tab w:val="left" w:pos="5585"/>
        </w:tabs>
        <w:snapToGrid w:val="0"/>
        <w:rPr>
          <w:rFonts w:hint="eastAsia" w:ascii="宋体" w:hAnsi="宋体" w:cs="宋体"/>
          <w:i w:val="0"/>
          <w:iCs w:val="0"/>
          <w:color w:val="auto"/>
          <w:highlight w:val="none"/>
        </w:rPr>
      </w:pPr>
    </w:p>
    <w:p w14:paraId="6AAF3DDF">
      <w:pPr>
        <w:tabs>
          <w:tab w:val="left" w:pos="482"/>
          <w:tab w:val="left" w:pos="2183"/>
          <w:tab w:val="left" w:pos="3884"/>
          <w:tab w:val="left" w:pos="5585"/>
        </w:tabs>
        <w:adjustRightInd/>
        <w:ind w:firstLine="480" w:firstLineChars="200"/>
        <w:rPr>
          <w:rFonts w:ascii="宋体" w:hAnsi="宋体" w:cs="宋体"/>
          <w:i w:val="0"/>
          <w:iCs w:val="0"/>
          <w:color w:val="auto"/>
          <w:highlight w:val="none"/>
        </w:rPr>
      </w:pPr>
      <w:r>
        <w:rPr>
          <w:rFonts w:hint="eastAsia" w:ascii="宋体" w:hAnsi="宋体" w:cs="宋体"/>
          <w:i w:val="0"/>
          <w:iCs w:val="0"/>
          <w:color w:val="auto"/>
          <w:highlight w:val="none"/>
        </w:rPr>
        <w:t>附</w:t>
      </w:r>
    </w:p>
    <w:tbl>
      <w:tblPr>
        <w:tblStyle w:val="21"/>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1DB7B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47F34D7D">
            <w:pPr>
              <w:keepNext w:val="0"/>
              <w:keepLines w:val="0"/>
              <w:suppressLineNumbers w:val="0"/>
              <w:tabs>
                <w:tab w:val="left" w:leader="middleDot" w:pos="8400"/>
              </w:tabs>
              <w:snapToGrid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法定代表人身份证正面复印件粘贴处</w:t>
            </w:r>
          </w:p>
        </w:tc>
      </w:tr>
      <w:tr w14:paraId="4B89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7F6077FC">
            <w:pPr>
              <w:keepNext w:val="0"/>
              <w:keepLines w:val="0"/>
              <w:suppressLineNumbers w:val="0"/>
              <w:tabs>
                <w:tab w:val="left" w:leader="middleDot" w:pos="8400"/>
              </w:tabs>
              <w:snapToGrid w:val="0"/>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法定代表人身份证背面复印件粘贴处</w:t>
            </w:r>
          </w:p>
        </w:tc>
      </w:tr>
    </w:tbl>
    <w:p w14:paraId="45A67089">
      <w:pPr>
        <w:adjustRightInd/>
        <w:rPr>
          <w:i w:val="0"/>
          <w:iCs w:val="0"/>
          <w:color w:val="auto"/>
          <w:highlight w:val="none"/>
        </w:rPr>
      </w:pPr>
      <w:r>
        <w:rPr>
          <w:rFonts w:hint="eastAsia"/>
          <w:i w:val="0"/>
          <w:iCs w:val="0"/>
          <w:color w:val="auto"/>
          <w:highlight w:val="none"/>
        </w:rPr>
        <w:t>特此证明。</w:t>
      </w:r>
    </w:p>
    <w:p w14:paraId="58421E3E">
      <w:pPr>
        <w:adjustRightInd/>
        <w:ind w:firstLine="4560" w:firstLineChars="1900"/>
        <w:rPr>
          <w:i w:val="0"/>
          <w:iCs w:val="0"/>
          <w:color w:val="auto"/>
          <w:highlight w:val="none"/>
          <w:u w:val="single"/>
        </w:rPr>
      </w:pPr>
      <w:r>
        <w:rPr>
          <w:rFonts w:hint="eastAsia"/>
          <w:i w:val="0"/>
          <w:iCs w:val="0"/>
          <w:color w:val="auto"/>
          <w:highlight w:val="none"/>
        </w:rPr>
        <w:t>投标人：</w:t>
      </w:r>
      <w:r>
        <w:rPr>
          <w:i w:val="0"/>
          <w:iCs w:val="0"/>
          <w:color w:val="auto"/>
          <w:highlight w:val="none"/>
          <w:u w:val="single"/>
        </w:rPr>
        <w:t xml:space="preserve">           </w:t>
      </w:r>
      <w:r>
        <w:rPr>
          <w:rFonts w:hint="eastAsia"/>
          <w:i w:val="0"/>
          <w:iCs w:val="0"/>
          <w:color w:val="auto"/>
          <w:highlight w:val="none"/>
          <w:u w:val="single"/>
        </w:rPr>
        <w:t>（单位盖章）</w:t>
      </w:r>
      <w:r>
        <w:rPr>
          <w:i w:val="0"/>
          <w:iCs w:val="0"/>
          <w:color w:val="auto"/>
          <w:highlight w:val="none"/>
          <w:u w:val="single"/>
        </w:rPr>
        <w:t xml:space="preserve">         </w:t>
      </w:r>
    </w:p>
    <w:p w14:paraId="3D3B652E">
      <w:pPr>
        <w:adjustRightInd/>
        <w:ind w:firstLine="4560" w:firstLineChars="1900"/>
        <w:rPr>
          <w:i w:val="0"/>
          <w:iCs w:val="0"/>
          <w:color w:val="auto"/>
          <w:highlight w:val="none"/>
        </w:rPr>
      </w:pPr>
      <w:r>
        <w:rPr>
          <w:rFonts w:hint="eastAsia"/>
          <w:i w:val="0"/>
          <w:iCs w:val="0"/>
          <w:color w:val="auto"/>
          <w:highlight w:val="none"/>
        </w:rPr>
        <w:t>日</w:t>
      </w:r>
      <w:r>
        <w:rPr>
          <w:i w:val="0"/>
          <w:iCs w:val="0"/>
          <w:color w:val="auto"/>
          <w:highlight w:val="none"/>
        </w:rPr>
        <w:t xml:space="preserve">    </w:t>
      </w:r>
      <w:r>
        <w:rPr>
          <w:rFonts w:hint="eastAsia"/>
          <w:i w:val="0"/>
          <w:iCs w:val="0"/>
          <w:color w:val="auto"/>
          <w:highlight w:val="none"/>
        </w:rPr>
        <w:t>期：</w:t>
      </w:r>
      <w:r>
        <w:rPr>
          <w:i w:val="0"/>
          <w:iCs w:val="0"/>
          <w:color w:val="auto"/>
          <w:highlight w:val="none"/>
          <w:u w:val="single"/>
        </w:rPr>
        <w:t xml:space="preserve">  </w:t>
      </w:r>
      <w:r>
        <w:rPr>
          <w:rFonts w:hint="eastAsia"/>
          <w:i w:val="0"/>
          <w:iCs w:val="0"/>
          <w:color w:val="auto"/>
          <w:highlight w:val="none"/>
          <w:u w:val="single"/>
        </w:rPr>
        <w:t xml:space="preserve"> </w:t>
      </w:r>
      <w:r>
        <w:rPr>
          <w:i w:val="0"/>
          <w:iCs w:val="0"/>
          <w:color w:val="auto"/>
          <w:highlight w:val="none"/>
          <w:u w:val="single"/>
        </w:rPr>
        <w:t xml:space="preserve">   </w:t>
      </w:r>
      <w:r>
        <w:rPr>
          <w:rFonts w:hint="eastAsia"/>
          <w:i w:val="0"/>
          <w:iCs w:val="0"/>
          <w:color w:val="auto"/>
          <w:highlight w:val="none"/>
        </w:rPr>
        <w:t>年</w:t>
      </w:r>
      <w:r>
        <w:rPr>
          <w:i w:val="0"/>
          <w:iCs w:val="0"/>
          <w:color w:val="auto"/>
          <w:highlight w:val="none"/>
          <w:u w:val="single"/>
        </w:rPr>
        <w:t xml:space="preserve">      </w:t>
      </w:r>
      <w:r>
        <w:rPr>
          <w:rFonts w:hint="eastAsia"/>
          <w:i w:val="0"/>
          <w:iCs w:val="0"/>
          <w:color w:val="auto"/>
          <w:highlight w:val="none"/>
        </w:rPr>
        <w:t>月</w:t>
      </w:r>
      <w:r>
        <w:rPr>
          <w:i w:val="0"/>
          <w:iCs w:val="0"/>
          <w:color w:val="auto"/>
          <w:highlight w:val="none"/>
          <w:u w:val="single"/>
        </w:rPr>
        <w:t xml:space="preserve">      </w:t>
      </w:r>
      <w:r>
        <w:rPr>
          <w:rFonts w:hint="eastAsia"/>
          <w:i w:val="0"/>
          <w:iCs w:val="0"/>
          <w:color w:val="auto"/>
          <w:highlight w:val="none"/>
        </w:rPr>
        <w:t>日</w:t>
      </w:r>
    </w:p>
    <w:p w14:paraId="51C5F999">
      <w:pPr>
        <w:rPr>
          <w:rFonts w:ascii="宋体" w:hAnsi="宋体" w:cs="宋体"/>
          <w:i w:val="0"/>
          <w:iCs w:val="0"/>
          <w:color w:val="auto"/>
          <w:szCs w:val="21"/>
          <w:highlight w:val="none"/>
        </w:rPr>
      </w:pPr>
    </w:p>
    <w:p w14:paraId="4AE1FEF7">
      <w:pPr>
        <w:adjustRightInd/>
        <w:rPr>
          <w:i w:val="0"/>
          <w:iCs w:val="0"/>
          <w:color w:val="auto"/>
          <w:sz w:val="28"/>
          <w:szCs w:val="28"/>
          <w:highlight w:val="none"/>
        </w:rPr>
      </w:pPr>
      <w:r>
        <w:rPr>
          <w:rFonts w:hint="eastAsia" w:ascii="宋体" w:hAnsi="宋体"/>
          <w:i w:val="0"/>
          <w:iCs w:val="0"/>
          <w:color w:val="auto"/>
          <w:highlight w:val="none"/>
        </w:rPr>
        <w:t>（注：此证明书格式供参考，各地可根据实际需求更改</w:t>
      </w:r>
      <w:r>
        <w:rPr>
          <w:rFonts w:hint="eastAsia"/>
          <w:i w:val="0"/>
          <w:iCs w:val="0"/>
          <w:color w:val="auto"/>
          <w:sz w:val="28"/>
          <w:szCs w:val="28"/>
          <w:highlight w:val="none"/>
        </w:rPr>
        <w:t>）</w:t>
      </w:r>
    </w:p>
    <w:p w14:paraId="2D37204D">
      <w:pPr>
        <w:jc w:val="center"/>
        <w:rPr>
          <w:rFonts w:ascii="Calibri" w:hAnsi="Calibri"/>
          <w:b/>
          <w:bCs/>
          <w:i w:val="0"/>
          <w:iCs w:val="0"/>
          <w:color w:val="auto"/>
          <w:sz w:val="36"/>
          <w:szCs w:val="36"/>
          <w:highlight w:val="none"/>
        </w:rPr>
      </w:pPr>
      <w:r>
        <w:rPr>
          <w:i w:val="0"/>
          <w:iCs w:val="0"/>
          <w:color w:val="auto"/>
          <w:sz w:val="28"/>
          <w:szCs w:val="28"/>
          <w:highlight w:val="none"/>
        </w:rPr>
        <w:br w:type="page"/>
      </w:r>
      <w:r>
        <w:rPr>
          <w:rFonts w:hint="eastAsia" w:ascii="Calibri" w:hAnsi="Calibri"/>
          <w:b/>
          <w:bCs/>
          <w:i w:val="0"/>
          <w:iCs w:val="0"/>
          <w:color w:val="auto"/>
          <w:sz w:val="36"/>
          <w:szCs w:val="36"/>
          <w:highlight w:val="none"/>
        </w:rPr>
        <w:t>授权委托书</w:t>
      </w:r>
    </w:p>
    <w:p w14:paraId="4EF35471">
      <w:pPr>
        <w:jc w:val="center"/>
        <w:rPr>
          <w:rFonts w:ascii="Calibri" w:hAnsi="Calibri"/>
          <w:b/>
          <w:bCs/>
          <w:i w:val="0"/>
          <w:iCs w:val="0"/>
          <w:color w:val="auto"/>
          <w:sz w:val="36"/>
          <w:szCs w:val="36"/>
          <w:highlight w:val="none"/>
        </w:rPr>
      </w:pPr>
    </w:p>
    <w:p w14:paraId="441ABDD0">
      <w:pPr>
        <w:adjustRightInd/>
        <w:ind w:firstLine="480" w:firstLineChars="200"/>
        <w:jc w:val="both"/>
        <w:rPr>
          <w:rFonts w:hint="eastAsia"/>
          <w:i w:val="0"/>
          <w:iCs w:val="0"/>
          <w:color w:val="auto"/>
          <w:sz w:val="28"/>
          <w:szCs w:val="28"/>
          <w:highlight w:val="none"/>
        </w:rPr>
      </w:pPr>
      <w:r>
        <w:rPr>
          <w:rFonts w:hint="eastAsia" w:ascii="宋体" w:hAnsi="宋体" w:cs="宋体"/>
          <w:i w:val="0"/>
          <w:iCs w:val="0"/>
          <w:color w:val="auto"/>
          <w:highlight w:val="none"/>
        </w:rPr>
        <w:t>本授权委托书声明：我</w:t>
      </w:r>
      <w:r>
        <w:rPr>
          <w:rFonts w:ascii="宋体" w:hAnsi="宋体" w:cs="宋体"/>
          <w:i w:val="0"/>
          <w:iCs w:val="0"/>
          <w:color w:val="auto"/>
          <w:highlight w:val="none"/>
          <w:u w:val="single"/>
        </w:rPr>
        <w:t xml:space="preserve">      （姓名） </w:t>
      </w:r>
      <w:r>
        <w:rPr>
          <w:rFonts w:hint="eastAsia" w:ascii="宋体" w:hAnsi="宋体" w:cs="宋体"/>
          <w:i w:val="0"/>
          <w:iCs w:val="0"/>
          <w:color w:val="auto"/>
          <w:highlight w:val="none"/>
        </w:rPr>
        <w:t>系</w:t>
      </w:r>
      <w:r>
        <w:rPr>
          <w:rFonts w:ascii="宋体" w:hAnsi="宋体" w:cs="宋体"/>
          <w:i w:val="0"/>
          <w:iCs w:val="0"/>
          <w:color w:val="auto"/>
          <w:highlight w:val="none"/>
          <w:u w:val="single"/>
        </w:rPr>
        <w:t xml:space="preserve">      （投标单位名称） </w:t>
      </w:r>
      <w:r>
        <w:rPr>
          <w:rFonts w:hint="eastAsia" w:ascii="宋体" w:hAnsi="宋体" w:cs="宋体"/>
          <w:i w:val="0"/>
          <w:iCs w:val="0"/>
          <w:color w:val="auto"/>
          <w:highlight w:val="none"/>
        </w:rPr>
        <w:t>的法定代表人，现授权委托</w:t>
      </w:r>
      <w:r>
        <w:rPr>
          <w:rFonts w:ascii="宋体" w:hAnsi="宋体" w:cs="宋体"/>
          <w:i w:val="0"/>
          <w:iCs w:val="0"/>
          <w:color w:val="auto"/>
          <w:highlight w:val="none"/>
          <w:u w:val="single"/>
        </w:rPr>
        <w:t xml:space="preserve">  （姓名） </w:t>
      </w:r>
      <w:r>
        <w:rPr>
          <w:rFonts w:hint="eastAsia" w:ascii="宋体" w:hAnsi="宋体" w:cs="宋体"/>
          <w:i w:val="0"/>
          <w:iCs w:val="0"/>
          <w:color w:val="auto"/>
          <w:highlight w:val="none"/>
        </w:rPr>
        <w:t>在</w:t>
      </w:r>
      <w:r>
        <w:rPr>
          <w:rFonts w:ascii="宋体" w:hAnsi="宋体" w:cs="宋体"/>
          <w:i w:val="0"/>
          <w:iCs w:val="0"/>
          <w:color w:val="auto"/>
          <w:highlight w:val="none"/>
          <w:u w:val="single"/>
        </w:rPr>
        <w:t xml:space="preserve">   </w:t>
      </w:r>
      <w:r>
        <w:rPr>
          <w:rFonts w:hint="eastAsia" w:ascii="宋体" w:hAnsi="宋体" w:cs="宋体"/>
          <w:i w:val="0"/>
          <w:iCs w:val="0"/>
          <w:color w:val="auto"/>
          <w:highlight w:val="none"/>
        </w:rPr>
        <w:t>年</w:t>
      </w:r>
      <w:r>
        <w:rPr>
          <w:rFonts w:ascii="宋体" w:hAnsi="宋体" w:cs="宋体"/>
          <w:i w:val="0"/>
          <w:iCs w:val="0"/>
          <w:color w:val="auto"/>
          <w:highlight w:val="none"/>
          <w:u w:val="single"/>
        </w:rPr>
        <w:t xml:space="preserve">  月  </w:t>
      </w:r>
      <w:r>
        <w:rPr>
          <w:rFonts w:hint="eastAsia" w:ascii="宋体" w:hAnsi="宋体" w:cs="宋体"/>
          <w:i w:val="0"/>
          <w:iCs w:val="0"/>
          <w:color w:val="auto"/>
          <w:highlight w:val="none"/>
        </w:rPr>
        <w:t>日至</w:t>
      </w:r>
      <w:r>
        <w:rPr>
          <w:rFonts w:ascii="宋体" w:hAnsi="宋体" w:cs="宋体"/>
          <w:i w:val="0"/>
          <w:iCs w:val="0"/>
          <w:color w:val="auto"/>
          <w:highlight w:val="none"/>
          <w:u w:val="single"/>
        </w:rPr>
        <w:t xml:space="preserve">     </w:t>
      </w:r>
      <w:r>
        <w:rPr>
          <w:rFonts w:hint="eastAsia" w:ascii="宋体" w:hAnsi="宋体" w:cs="宋体"/>
          <w:i w:val="0"/>
          <w:iCs w:val="0"/>
          <w:color w:val="auto"/>
          <w:highlight w:val="none"/>
        </w:rPr>
        <w:t>年</w:t>
      </w:r>
      <w:r>
        <w:rPr>
          <w:rFonts w:ascii="宋体" w:hAnsi="宋体" w:cs="宋体"/>
          <w:i w:val="0"/>
          <w:iCs w:val="0"/>
          <w:color w:val="auto"/>
          <w:highlight w:val="none"/>
          <w:u w:val="single"/>
        </w:rPr>
        <w:t xml:space="preserve">  </w:t>
      </w:r>
      <w:r>
        <w:rPr>
          <w:rFonts w:hint="eastAsia" w:ascii="宋体" w:hAnsi="宋体" w:cs="宋体"/>
          <w:i w:val="0"/>
          <w:iCs w:val="0"/>
          <w:color w:val="auto"/>
          <w:highlight w:val="none"/>
        </w:rPr>
        <w:t>月</w:t>
      </w:r>
      <w:r>
        <w:rPr>
          <w:rFonts w:ascii="宋体" w:hAnsi="宋体" w:cs="宋体"/>
          <w:i w:val="0"/>
          <w:iCs w:val="0"/>
          <w:color w:val="auto"/>
          <w:highlight w:val="none"/>
          <w:u w:val="single"/>
        </w:rPr>
        <w:t xml:space="preserve">  </w:t>
      </w:r>
      <w:r>
        <w:rPr>
          <w:rFonts w:hint="eastAsia" w:ascii="宋体" w:hAnsi="宋体" w:cs="宋体"/>
          <w:i w:val="0"/>
          <w:iCs w:val="0"/>
          <w:color w:val="auto"/>
          <w:highlight w:val="none"/>
        </w:rPr>
        <w:t>日（代理时限）为我公司的代理人，以本公司的名义参加</w:t>
      </w:r>
      <w:r>
        <w:rPr>
          <w:rFonts w:ascii="宋体" w:hAnsi="宋体" w:cs="宋体"/>
          <w:i w:val="0"/>
          <w:iCs w:val="0"/>
          <w:color w:val="auto"/>
          <w:highlight w:val="none"/>
          <w:u w:val="single"/>
        </w:rPr>
        <w:t xml:space="preserve">     工程 </w:t>
      </w:r>
      <w:r>
        <w:rPr>
          <w:rFonts w:hint="eastAsia" w:ascii="宋体" w:hAnsi="宋体" w:cs="宋体"/>
          <w:i w:val="0"/>
          <w:iCs w:val="0"/>
          <w:color w:val="auto"/>
          <w:highlight w:val="none"/>
        </w:rPr>
        <w:t>的投标活动。代理人在代理时间内参加投标、开标、询标过程中所签署的一切文件和处理与之相关的一切事务，本人均予以承认，并承诺诚信投标。</w:t>
      </w:r>
    </w:p>
    <w:p w14:paraId="70D98777">
      <w:pPr>
        <w:pStyle w:val="48"/>
        <w:adjustRightInd/>
        <w:ind w:firstLine="480" w:firstLineChars="200"/>
        <w:jc w:val="both"/>
        <w:rPr>
          <w:rFonts w:ascii="宋体" w:hAnsi="宋体" w:cs="宋体"/>
          <w:i w:val="0"/>
          <w:iCs w:val="0"/>
          <w:color w:val="auto"/>
          <w:highlight w:val="none"/>
        </w:rPr>
      </w:pPr>
      <w:r>
        <w:rPr>
          <w:rFonts w:hint="eastAsia" w:ascii="宋体" w:hAnsi="宋体" w:cs="宋体"/>
          <w:i w:val="0"/>
          <w:iCs w:val="0"/>
          <w:color w:val="auto"/>
          <w:highlight w:val="none"/>
        </w:rPr>
        <w:t>代理人无权转委托。特此委托。</w:t>
      </w:r>
    </w:p>
    <w:p w14:paraId="223FDAC0">
      <w:pPr>
        <w:tabs>
          <w:tab w:val="left" w:pos="482"/>
          <w:tab w:val="left" w:pos="2183"/>
          <w:tab w:val="left" w:pos="3884"/>
          <w:tab w:val="left" w:pos="5585"/>
        </w:tabs>
        <w:adjustRightInd/>
        <w:ind w:firstLine="480" w:firstLineChars="200"/>
        <w:rPr>
          <w:rFonts w:ascii="宋体" w:hAnsi="宋体" w:cs="宋体"/>
          <w:i w:val="0"/>
          <w:iCs w:val="0"/>
          <w:color w:val="auto"/>
          <w:highlight w:val="none"/>
        </w:rPr>
      </w:pPr>
      <w:r>
        <w:rPr>
          <w:rFonts w:hint="eastAsia" w:ascii="宋体" w:hAnsi="宋体" w:cs="宋体"/>
          <w:i w:val="0"/>
          <w:iCs w:val="0"/>
          <w:color w:val="auto"/>
          <w:highlight w:val="none"/>
        </w:rPr>
        <w:t>附</w:t>
      </w:r>
    </w:p>
    <w:tbl>
      <w:tblPr>
        <w:tblStyle w:val="21"/>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17F1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14:paraId="2D07DADC">
            <w:pPr>
              <w:keepNext w:val="0"/>
              <w:keepLines w:val="0"/>
              <w:suppressLineNumbers w:val="0"/>
              <w:tabs>
                <w:tab w:val="left" w:leader="middleDot" w:pos="8400"/>
              </w:tabs>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代理人身份证正面复印件粘贴处</w:t>
            </w:r>
          </w:p>
        </w:tc>
      </w:tr>
      <w:tr w14:paraId="2FA3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69425A98">
            <w:pPr>
              <w:keepNext w:val="0"/>
              <w:keepLines w:val="0"/>
              <w:suppressLineNumbers w:val="0"/>
              <w:tabs>
                <w:tab w:val="left" w:leader="middleDot" w:pos="8400"/>
              </w:tabs>
              <w:spacing w:before="0" w:beforeAutospacing="0" w:after="0" w:afterAutospacing="0"/>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代理人身份证背面复印件粘贴处</w:t>
            </w:r>
          </w:p>
        </w:tc>
      </w:tr>
    </w:tbl>
    <w:p w14:paraId="140D7115">
      <w:pPr>
        <w:numPr>
          <w:ins w:id="274" w:author="XH" w:date=""/>
        </w:numPr>
        <w:tabs>
          <w:tab w:val="left" w:leader="middleDot" w:pos="8400"/>
        </w:tabs>
        <w:ind w:firstLine="3840" w:firstLineChars="1600"/>
        <w:rPr>
          <w:rFonts w:hint="eastAsia" w:ascii="宋体" w:hAnsi="宋体"/>
          <w:i w:val="0"/>
          <w:iCs w:val="0"/>
          <w:color w:val="auto"/>
          <w:highlight w:val="none"/>
        </w:rPr>
      </w:pPr>
    </w:p>
    <w:p w14:paraId="38B80DCA">
      <w:pPr>
        <w:tabs>
          <w:tab w:val="left" w:leader="middleDot" w:pos="8400"/>
        </w:tabs>
        <w:ind w:firstLine="3840" w:firstLineChars="1600"/>
        <w:rPr>
          <w:rFonts w:ascii="宋体" w:hAnsi="宋体"/>
          <w:i w:val="0"/>
          <w:iCs w:val="0"/>
          <w:color w:val="auto"/>
          <w:highlight w:val="none"/>
          <w:u w:val="single"/>
        </w:rPr>
      </w:pPr>
      <w:r>
        <w:rPr>
          <w:rFonts w:hint="eastAsia" w:ascii="宋体" w:hAnsi="宋体"/>
          <w:i w:val="0"/>
          <w:iCs w:val="0"/>
          <w:color w:val="auto"/>
          <w:highlight w:val="none"/>
        </w:rPr>
        <w:t>投标人（单位盖章）：</w:t>
      </w:r>
      <w:r>
        <w:rPr>
          <w:rFonts w:ascii="宋体" w:hAnsi="宋体"/>
          <w:i w:val="0"/>
          <w:iCs w:val="0"/>
          <w:color w:val="auto"/>
          <w:highlight w:val="none"/>
          <w:u w:val="single"/>
        </w:rPr>
        <w:t xml:space="preserve">                      </w:t>
      </w:r>
    </w:p>
    <w:p w14:paraId="17B5554E">
      <w:pPr>
        <w:tabs>
          <w:tab w:val="left" w:leader="middleDot" w:pos="8400"/>
        </w:tabs>
        <w:ind w:firstLine="3840" w:firstLineChars="1600"/>
        <w:rPr>
          <w:rFonts w:ascii="宋体" w:hAnsi="宋体"/>
          <w:i w:val="0"/>
          <w:iCs w:val="0"/>
          <w:color w:val="auto"/>
          <w:highlight w:val="none"/>
          <w:u w:val="single"/>
        </w:rPr>
      </w:pPr>
      <w:r>
        <w:rPr>
          <w:rFonts w:hint="eastAsia" w:ascii="宋体" w:hAnsi="宋体"/>
          <w:i w:val="0"/>
          <w:iCs w:val="0"/>
          <w:color w:val="auto"/>
          <w:highlight w:val="none"/>
        </w:rPr>
        <w:t>法定代表人（签字或盖章）：</w:t>
      </w:r>
      <w:r>
        <w:rPr>
          <w:rFonts w:ascii="宋体" w:hAnsi="宋体"/>
          <w:i w:val="0"/>
          <w:iCs w:val="0"/>
          <w:color w:val="auto"/>
          <w:highlight w:val="none"/>
        </w:rPr>
        <w:t xml:space="preserve"> </w:t>
      </w:r>
      <w:r>
        <w:rPr>
          <w:rFonts w:ascii="宋体" w:hAnsi="宋体"/>
          <w:i w:val="0"/>
          <w:iCs w:val="0"/>
          <w:color w:val="auto"/>
          <w:highlight w:val="none"/>
          <w:u w:val="single"/>
        </w:rPr>
        <w:t xml:space="preserve">       </w:t>
      </w:r>
      <w:r>
        <w:rPr>
          <w:rFonts w:hint="eastAsia" w:ascii="宋体" w:hAnsi="宋体"/>
          <w:i w:val="0"/>
          <w:iCs w:val="0"/>
          <w:color w:val="auto"/>
          <w:highlight w:val="none"/>
          <w:u w:val="single"/>
        </w:rPr>
        <w:t xml:space="preserve"> </w:t>
      </w:r>
      <w:r>
        <w:rPr>
          <w:rFonts w:ascii="宋体" w:hAnsi="宋体"/>
          <w:i w:val="0"/>
          <w:iCs w:val="0"/>
          <w:color w:val="auto"/>
          <w:highlight w:val="none"/>
          <w:u w:val="single"/>
        </w:rPr>
        <w:t xml:space="preserve">       </w:t>
      </w:r>
    </w:p>
    <w:p w14:paraId="518EE848">
      <w:pPr>
        <w:tabs>
          <w:tab w:val="left" w:leader="middleDot" w:pos="8400"/>
        </w:tabs>
        <w:ind w:firstLine="5280" w:firstLineChars="2200"/>
        <w:rPr>
          <w:rFonts w:ascii="宋体" w:hAnsi="宋体"/>
          <w:i w:val="0"/>
          <w:iCs w:val="0"/>
          <w:color w:val="auto"/>
          <w:highlight w:val="none"/>
        </w:rPr>
      </w:pPr>
      <w:r>
        <w:rPr>
          <w:rFonts w:hint="eastAsia" w:ascii="宋体" w:hAnsi="宋体"/>
          <w:i w:val="0"/>
          <w:iCs w:val="0"/>
          <w:color w:val="auto"/>
          <w:highlight w:val="none"/>
        </w:rPr>
        <w:t>日期：</w:t>
      </w:r>
      <w:r>
        <w:rPr>
          <w:rFonts w:ascii="宋体" w:hAnsi="宋体"/>
          <w:i w:val="0"/>
          <w:iCs w:val="0"/>
          <w:color w:val="auto"/>
          <w:highlight w:val="none"/>
          <w:u w:val="single"/>
        </w:rPr>
        <w:t xml:space="preserve">         </w:t>
      </w:r>
      <w:r>
        <w:rPr>
          <w:rFonts w:hint="eastAsia" w:ascii="宋体" w:hAnsi="宋体"/>
          <w:i w:val="0"/>
          <w:iCs w:val="0"/>
          <w:color w:val="auto"/>
          <w:highlight w:val="none"/>
        </w:rPr>
        <w:t>年</w:t>
      </w:r>
      <w:r>
        <w:rPr>
          <w:rFonts w:ascii="宋体" w:hAnsi="宋体"/>
          <w:i w:val="0"/>
          <w:iCs w:val="0"/>
          <w:color w:val="auto"/>
          <w:highlight w:val="none"/>
        </w:rPr>
        <w:t xml:space="preserve"> </w:t>
      </w:r>
      <w:r>
        <w:rPr>
          <w:rFonts w:ascii="宋体" w:hAnsi="宋体"/>
          <w:i w:val="0"/>
          <w:iCs w:val="0"/>
          <w:color w:val="auto"/>
          <w:highlight w:val="none"/>
          <w:u w:val="single"/>
        </w:rPr>
        <w:t xml:space="preserve">   </w:t>
      </w:r>
      <w:r>
        <w:rPr>
          <w:rFonts w:hint="eastAsia" w:ascii="宋体" w:hAnsi="宋体"/>
          <w:i w:val="0"/>
          <w:iCs w:val="0"/>
          <w:color w:val="auto"/>
          <w:highlight w:val="none"/>
        </w:rPr>
        <w:t>月</w:t>
      </w:r>
      <w:r>
        <w:rPr>
          <w:rFonts w:ascii="宋体" w:hAnsi="宋体"/>
          <w:i w:val="0"/>
          <w:iCs w:val="0"/>
          <w:color w:val="auto"/>
          <w:highlight w:val="none"/>
        </w:rPr>
        <w:t xml:space="preserve"> </w:t>
      </w:r>
      <w:r>
        <w:rPr>
          <w:rFonts w:ascii="宋体" w:hAnsi="宋体"/>
          <w:i w:val="0"/>
          <w:iCs w:val="0"/>
          <w:color w:val="auto"/>
          <w:highlight w:val="none"/>
          <w:u w:val="single"/>
        </w:rPr>
        <w:t xml:space="preserve">   </w:t>
      </w:r>
      <w:r>
        <w:rPr>
          <w:rFonts w:hint="eastAsia" w:ascii="宋体" w:hAnsi="宋体"/>
          <w:i w:val="0"/>
          <w:iCs w:val="0"/>
          <w:color w:val="auto"/>
          <w:highlight w:val="none"/>
        </w:rPr>
        <w:t>日</w:t>
      </w:r>
    </w:p>
    <w:p w14:paraId="23D335D3">
      <w:pPr>
        <w:rPr>
          <w:rFonts w:ascii="宋体" w:hAnsi="宋体" w:cs="宋体"/>
          <w:i w:val="0"/>
          <w:iCs w:val="0"/>
          <w:color w:val="auto"/>
          <w:szCs w:val="21"/>
          <w:highlight w:val="none"/>
        </w:rPr>
      </w:pPr>
    </w:p>
    <w:p w14:paraId="2340495D">
      <w:pPr>
        <w:widowControl/>
        <w:autoSpaceDN/>
        <w:rPr>
          <w:rFonts w:ascii="宋体" w:hAnsi="宋体"/>
          <w:bCs/>
          <w:i w:val="0"/>
          <w:iCs w:val="0"/>
          <w:color w:val="auto"/>
          <w:highlight w:val="none"/>
        </w:rPr>
      </w:pPr>
      <w:r>
        <w:rPr>
          <w:rFonts w:hint="eastAsia"/>
          <w:i w:val="0"/>
          <w:iCs w:val="0"/>
          <w:color w:val="auto"/>
          <w:highlight w:val="none"/>
        </w:rPr>
        <w:t>（注：此委托书格式供参考，各地可根据实际需求更改）</w:t>
      </w:r>
      <w:r>
        <w:rPr>
          <w:i w:val="0"/>
          <w:iCs w:val="0"/>
          <w:color w:val="auto"/>
          <w:sz w:val="28"/>
          <w:szCs w:val="28"/>
          <w:highlight w:val="none"/>
        </w:rPr>
        <w:br w:type="page"/>
      </w:r>
    </w:p>
    <w:p w14:paraId="2BEE2804">
      <w:pPr>
        <w:spacing w:line="360" w:lineRule="auto"/>
        <w:jc w:val="center"/>
        <w:rPr>
          <w:rFonts w:ascii="宋体" w:hAnsi="宋体"/>
          <w:b/>
          <w:bCs/>
          <w:i w:val="0"/>
          <w:iCs w:val="0"/>
          <w:color w:val="auto"/>
          <w:highlight w:val="none"/>
        </w:rPr>
      </w:pPr>
      <w:r>
        <w:rPr>
          <w:rFonts w:hint="eastAsia" w:ascii="宋体" w:hAnsi="宋体"/>
          <w:b/>
          <w:bCs/>
          <w:i w:val="0"/>
          <w:iCs w:val="0"/>
          <w:color w:val="auto"/>
          <w:highlight w:val="none"/>
        </w:rPr>
        <w:t>业绩汇总表（资格后审业绩条件的汇总）（若有）</w:t>
      </w:r>
    </w:p>
    <w:tbl>
      <w:tblPr>
        <w:tblStyle w:val="21"/>
        <w:tblW w:w="9061" w:type="dxa"/>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030C93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3A3A2F43">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序号</w:t>
            </w:r>
          </w:p>
        </w:tc>
        <w:tc>
          <w:tcPr>
            <w:tcW w:w="1546" w:type="dxa"/>
            <w:tcBorders>
              <w:top w:val="single" w:color="000000" w:sz="12" w:space="0"/>
              <w:left w:val="nil"/>
              <w:bottom w:val="single" w:color="000000" w:sz="6" w:space="0"/>
              <w:right w:val="single" w:color="000000" w:sz="6" w:space="0"/>
            </w:tcBorders>
            <w:noWrap/>
            <w:vAlign w:val="center"/>
          </w:tcPr>
          <w:p w14:paraId="19CE20D1">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13684925">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项目名称</w:t>
            </w:r>
          </w:p>
        </w:tc>
        <w:tc>
          <w:tcPr>
            <w:tcW w:w="1325" w:type="dxa"/>
            <w:tcBorders>
              <w:top w:val="single" w:color="000000" w:sz="12" w:space="0"/>
              <w:left w:val="nil"/>
              <w:bottom w:val="single" w:color="000000" w:sz="6" w:space="0"/>
              <w:right w:val="single" w:color="000000" w:sz="6" w:space="0"/>
            </w:tcBorders>
            <w:noWrap/>
            <w:vAlign w:val="center"/>
          </w:tcPr>
          <w:p w14:paraId="13EAC871">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42D17094">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38CE070F">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48B779A8">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在投标文件的位置</w:t>
            </w:r>
          </w:p>
        </w:tc>
      </w:tr>
      <w:tr w14:paraId="65F9DC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0F82C6AE">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1</w:t>
            </w:r>
          </w:p>
        </w:tc>
        <w:tc>
          <w:tcPr>
            <w:tcW w:w="1546" w:type="dxa"/>
            <w:tcBorders>
              <w:top w:val="single" w:color="000000" w:sz="6" w:space="0"/>
              <w:left w:val="nil"/>
              <w:bottom w:val="single" w:color="000000" w:sz="6" w:space="0"/>
              <w:right w:val="single" w:color="000000" w:sz="6" w:space="0"/>
            </w:tcBorders>
            <w:noWrap/>
            <w:vAlign w:val="center"/>
          </w:tcPr>
          <w:p w14:paraId="23DD8EFD">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043B12C5">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6B1CE168">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200B9C2F">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18417C14">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53925043">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例如：投标文件第X页</w:t>
            </w:r>
          </w:p>
        </w:tc>
      </w:tr>
      <w:tr w14:paraId="07E4F0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57BFD8BD">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2</w:t>
            </w:r>
          </w:p>
        </w:tc>
        <w:tc>
          <w:tcPr>
            <w:tcW w:w="1546" w:type="dxa"/>
            <w:tcBorders>
              <w:top w:val="single" w:color="000000" w:sz="6" w:space="0"/>
              <w:left w:val="nil"/>
              <w:bottom w:val="single" w:color="000000" w:sz="6" w:space="0"/>
              <w:right w:val="single" w:color="000000" w:sz="6" w:space="0"/>
            </w:tcBorders>
            <w:noWrap/>
            <w:vAlign w:val="center"/>
          </w:tcPr>
          <w:p w14:paraId="2245A698">
            <w:pPr>
              <w:keepNext w:val="0"/>
              <w:keepLines w:val="0"/>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r>
              <w:rPr>
                <w:rFonts w:hint="eastAsia" w:ascii="宋体" w:hAnsi="宋体" w:cs="Times New Roman"/>
                <w:i w:val="0"/>
                <w:iCs w:val="0"/>
                <w:color w:val="auto"/>
                <w:highlight w:val="none"/>
              </w:rPr>
              <w:t>……</w:t>
            </w:r>
          </w:p>
        </w:tc>
        <w:tc>
          <w:tcPr>
            <w:tcW w:w="1075" w:type="dxa"/>
            <w:tcBorders>
              <w:top w:val="single" w:color="000000" w:sz="6" w:space="0"/>
              <w:left w:val="nil"/>
              <w:bottom w:val="single" w:color="000000" w:sz="6" w:space="0"/>
              <w:right w:val="single" w:color="000000" w:sz="6" w:space="0"/>
            </w:tcBorders>
            <w:noWrap/>
            <w:vAlign w:val="center"/>
          </w:tcPr>
          <w:p w14:paraId="162F7711">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325" w:type="dxa"/>
            <w:tcBorders>
              <w:top w:val="single" w:color="000000" w:sz="6" w:space="0"/>
              <w:left w:val="nil"/>
              <w:bottom w:val="single" w:color="000000" w:sz="6" w:space="0"/>
              <w:right w:val="single" w:color="000000" w:sz="6" w:space="0"/>
            </w:tcBorders>
            <w:noWrap/>
            <w:vAlign w:val="center"/>
          </w:tcPr>
          <w:p w14:paraId="690771B6">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675" w:type="dxa"/>
            <w:tcBorders>
              <w:top w:val="single" w:color="000000" w:sz="6" w:space="0"/>
              <w:left w:val="nil"/>
              <w:bottom w:val="single" w:color="000000" w:sz="6" w:space="0"/>
              <w:right w:val="single" w:color="000000" w:sz="6" w:space="0"/>
            </w:tcBorders>
            <w:noWrap/>
            <w:vAlign w:val="center"/>
          </w:tcPr>
          <w:p w14:paraId="73E9AD66">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475" w:type="dxa"/>
            <w:tcBorders>
              <w:top w:val="single" w:color="000000" w:sz="6" w:space="0"/>
              <w:left w:val="nil"/>
              <w:bottom w:val="single" w:color="000000" w:sz="6" w:space="0"/>
              <w:right w:val="single" w:color="000000" w:sz="6" w:space="0"/>
            </w:tcBorders>
            <w:noWrap/>
            <w:vAlign w:val="center"/>
          </w:tcPr>
          <w:p w14:paraId="0F74DEAD">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237" w:type="dxa"/>
            <w:tcBorders>
              <w:top w:val="single" w:color="000000" w:sz="6" w:space="0"/>
              <w:left w:val="nil"/>
              <w:bottom w:val="single" w:color="000000" w:sz="6" w:space="0"/>
              <w:right w:val="single" w:color="000000" w:sz="12" w:space="0"/>
            </w:tcBorders>
            <w:noWrap/>
            <w:vAlign w:val="center"/>
          </w:tcPr>
          <w:p w14:paraId="34BB1536">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r>
      <w:tr w14:paraId="12C8A7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2437FBA3">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546" w:type="dxa"/>
            <w:tcBorders>
              <w:top w:val="single" w:color="000000" w:sz="6" w:space="0"/>
              <w:left w:val="nil"/>
              <w:bottom w:val="single" w:color="000000" w:sz="12" w:space="0"/>
              <w:right w:val="single" w:color="000000" w:sz="6" w:space="0"/>
            </w:tcBorders>
            <w:noWrap/>
            <w:vAlign w:val="center"/>
          </w:tcPr>
          <w:p w14:paraId="694AAF08">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075" w:type="dxa"/>
            <w:tcBorders>
              <w:top w:val="single" w:color="000000" w:sz="6" w:space="0"/>
              <w:left w:val="nil"/>
              <w:bottom w:val="single" w:color="000000" w:sz="12" w:space="0"/>
              <w:right w:val="single" w:color="000000" w:sz="6" w:space="0"/>
            </w:tcBorders>
            <w:noWrap/>
            <w:vAlign w:val="center"/>
          </w:tcPr>
          <w:p w14:paraId="1313A1F5">
            <w:pPr>
              <w:keepNext/>
              <w:keepLines/>
              <w:suppressLineNumbers w:val="0"/>
              <w:kinsoku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325" w:type="dxa"/>
            <w:tcBorders>
              <w:top w:val="single" w:color="000000" w:sz="6" w:space="0"/>
              <w:left w:val="nil"/>
              <w:bottom w:val="single" w:color="000000" w:sz="12" w:space="0"/>
              <w:right w:val="single" w:color="000000" w:sz="6" w:space="0"/>
            </w:tcBorders>
            <w:noWrap/>
            <w:vAlign w:val="center"/>
          </w:tcPr>
          <w:p w14:paraId="281AFA8F">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675" w:type="dxa"/>
            <w:tcBorders>
              <w:top w:val="single" w:color="000000" w:sz="6" w:space="0"/>
              <w:left w:val="nil"/>
              <w:bottom w:val="single" w:color="000000" w:sz="12" w:space="0"/>
              <w:right w:val="single" w:color="000000" w:sz="6" w:space="0"/>
            </w:tcBorders>
            <w:noWrap/>
            <w:vAlign w:val="center"/>
          </w:tcPr>
          <w:p w14:paraId="341859FD">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475" w:type="dxa"/>
            <w:tcBorders>
              <w:top w:val="single" w:color="000000" w:sz="6" w:space="0"/>
              <w:left w:val="nil"/>
              <w:bottom w:val="single" w:color="000000" w:sz="12" w:space="0"/>
              <w:right w:val="single" w:color="000000" w:sz="6" w:space="0"/>
            </w:tcBorders>
            <w:noWrap/>
            <w:vAlign w:val="center"/>
          </w:tcPr>
          <w:p w14:paraId="444176C8">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c>
          <w:tcPr>
            <w:tcW w:w="1237" w:type="dxa"/>
            <w:tcBorders>
              <w:top w:val="single" w:color="000000" w:sz="6" w:space="0"/>
              <w:left w:val="nil"/>
              <w:bottom w:val="single" w:color="000000" w:sz="12" w:space="0"/>
              <w:right w:val="single" w:color="000000" w:sz="12" w:space="0"/>
            </w:tcBorders>
            <w:noWrap/>
            <w:vAlign w:val="center"/>
          </w:tcPr>
          <w:p w14:paraId="441A3727">
            <w:pPr>
              <w:keepNext/>
              <w:keepLines/>
              <w:suppressLineNumbers w:val="0"/>
              <w:spacing w:before="0" w:beforeAutospacing="0" w:after="0" w:afterAutospacing="0" w:line="320" w:lineRule="exact"/>
              <w:ind w:left="0" w:right="0"/>
              <w:jc w:val="center"/>
              <w:rPr>
                <w:rFonts w:hint="default" w:ascii="宋体" w:hAnsi="宋体" w:cs="Times New Roman"/>
                <w:i w:val="0"/>
                <w:iCs w:val="0"/>
                <w:color w:val="auto"/>
                <w:highlight w:val="none"/>
              </w:rPr>
            </w:pPr>
          </w:p>
        </w:tc>
      </w:tr>
    </w:tbl>
    <w:p w14:paraId="2A29BF29">
      <w:pPr>
        <w:spacing w:line="400" w:lineRule="exact"/>
        <w:rPr>
          <w:rFonts w:hint="eastAsia" w:ascii="宋体" w:hAnsi="宋体"/>
          <w:i w:val="0"/>
          <w:iCs w:val="0"/>
          <w:color w:val="auto"/>
          <w:highlight w:val="none"/>
        </w:rPr>
      </w:pPr>
      <w:r>
        <w:rPr>
          <w:rFonts w:hint="eastAsia" w:ascii="宋体" w:hAnsi="宋体"/>
          <w:i w:val="0"/>
          <w:iCs w:val="0"/>
          <w:color w:val="auto"/>
          <w:highlight w:val="none"/>
        </w:rPr>
        <w:t>备注：</w:t>
      </w:r>
      <w:r>
        <w:rPr>
          <w:rFonts w:hint="eastAsia" w:ascii="宋体" w:hAnsi="宋体"/>
          <w:i w:val="0"/>
          <w:iCs w:val="0"/>
          <w:color w:val="auto"/>
          <w:highlight w:val="none"/>
          <w:lang w:val="en-US" w:eastAsia="zh-CN"/>
        </w:rPr>
        <w:t>1、</w:t>
      </w:r>
      <w:r>
        <w:rPr>
          <w:rFonts w:hint="eastAsia" w:ascii="宋体" w:hAnsi="宋体"/>
          <w:i w:val="0"/>
          <w:iCs w:val="0"/>
          <w:color w:val="auto"/>
          <w:highlight w:val="none"/>
        </w:rPr>
        <w:t>不填写此表的不作为评审依据，并附上相关附件</w:t>
      </w:r>
    </w:p>
    <w:p w14:paraId="3BB58253">
      <w:pPr>
        <w:widowControl/>
        <w:autoSpaceDN/>
        <w:ind w:firstLine="720" w:firstLineChars="300"/>
        <w:rPr>
          <w:rFonts w:ascii="Microsoft JhengHei" w:eastAsia="Microsoft JhengHei"/>
          <w:b/>
          <w:bCs/>
          <w:i w:val="0"/>
          <w:iCs w:val="0"/>
          <w:color w:val="auto"/>
          <w:highlight w:val="none"/>
        </w:rPr>
      </w:pPr>
      <w:r>
        <w:rPr>
          <w:rFonts w:hint="eastAsia" w:ascii="宋体" w:hAnsi="宋体"/>
          <w:i w:val="0"/>
          <w:iCs w:val="0"/>
          <w:strike w:val="0"/>
          <w:dstrike w:val="0"/>
          <w:color w:val="auto"/>
          <w:highlight w:val="none"/>
        </w:rPr>
        <w:t>2、评标委员会应当按表格列明的序号先后顺序依次评审且仅评审评审标准要求数量的业绩，超出数量的业绩或未在表格中填写的业绩不作评审。</w:t>
      </w:r>
    </w:p>
    <w:p w14:paraId="3B2ACA3A">
      <w:pPr>
        <w:widowControl/>
        <w:autoSpaceDN/>
        <w:rPr>
          <w:rFonts w:ascii="Microsoft JhengHei" w:eastAsia="Microsoft JhengHei"/>
          <w:b/>
          <w:bCs/>
          <w:i w:val="0"/>
          <w:iCs w:val="0"/>
          <w:color w:val="auto"/>
          <w:highlight w:val="none"/>
        </w:rPr>
      </w:pPr>
    </w:p>
    <w:p w14:paraId="40F45B65">
      <w:pPr>
        <w:widowControl/>
        <w:autoSpaceDN/>
        <w:rPr>
          <w:rFonts w:ascii="Microsoft JhengHei" w:eastAsia="Microsoft JhengHei"/>
          <w:b/>
          <w:bCs/>
          <w:i w:val="0"/>
          <w:iCs w:val="0"/>
          <w:color w:val="auto"/>
          <w:highlight w:val="none"/>
        </w:rPr>
      </w:pPr>
    </w:p>
    <w:p w14:paraId="2B80FDED">
      <w:pPr>
        <w:widowControl/>
        <w:autoSpaceDN/>
        <w:rPr>
          <w:rFonts w:ascii="Microsoft JhengHei" w:eastAsia="Microsoft JhengHei"/>
          <w:b/>
          <w:bCs/>
          <w:i w:val="0"/>
          <w:iCs w:val="0"/>
          <w:color w:val="auto"/>
          <w:highlight w:val="none"/>
        </w:rPr>
      </w:pPr>
    </w:p>
    <w:p w14:paraId="38499890">
      <w:pPr>
        <w:widowControl/>
        <w:autoSpaceDN/>
        <w:rPr>
          <w:rFonts w:ascii="Microsoft JhengHei" w:eastAsia="Microsoft JhengHei"/>
          <w:b/>
          <w:bCs/>
          <w:i w:val="0"/>
          <w:iCs w:val="0"/>
          <w:color w:val="auto"/>
          <w:highlight w:val="none"/>
        </w:rPr>
      </w:pPr>
    </w:p>
    <w:p w14:paraId="685FF94F">
      <w:pPr>
        <w:widowControl/>
        <w:autoSpaceDN/>
        <w:rPr>
          <w:rFonts w:ascii="Microsoft JhengHei" w:eastAsia="Microsoft JhengHei"/>
          <w:b/>
          <w:bCs/>
          <w:i w:val="0"/>
          <w:iCs w:val="0"/>
          <w:color w:val="auto"/>
          <w:highlight w:val="none"/>
        </w:rPr>
      </w:pPr>
    </w:p>
    <w:p w14:paraId="01969A04">
      <w:pPr>
        <w:widowControl/>
        <w:autoSpaceDN/>
        <w:rPr>
          <w:rFonts w:ascii="Microsoft JhengHei" w:eastAsia="Microsoft JhengHei"/>
          <w:b/>
          <w:bCs/>
          <w:i w:val="0"/>
          <w:iCs w:val="0"/>
          <w:color w:val="auto"/>
          <w:highlight w:val="none"/>
        </w:rPr>
      </w:pPr>
    </w:p>
    <w:p w14:paraId="049B7C13">
      <w:pPr>
        <w:widowControl/>
        <w:autoSpaceDN/>
        <w:rPr>
          <w:rFonts w:ascii="Microsoft JhengHei" w:eastAsia="Microsoft JhengHei"/>
          <w:b/>
          <w:bCs/>
          <w:i w:val="0"/>
          <w:iCs w:val="0"/>
          <w:color w:val="auto"/>
          <w:highlight w:val="none"/>
        </w:rPr>
      </w:pPr>
    </w:p>
    <w:p w14:paraId="5ED1642E">
      <w:pPr>
        <w:widowControl/>
        <w:autoSpaceDN/>
        <w:rPr>
          <w:rFonts w:ascii="Microsoft JhengHei" w:eastAsia="Microsoft JhengHei"/>
          <w:b/>
          <w:bCs/>
          <w:i w:val="0"/>
          <w:iCs w:val="0"/>
          <w:color w:val="auto"/>
          <w:highlight w:val="none"/>
        </w:rPr>
      </w:pPr>
    </w:p>
    <w:p w14:paraId="7907071B">
      <w:pPr>
        <w:widowControl/>
        <w:autoSpaceDN/>
        <w:rPr>
          <w:rFonts w:ascii="Microsoft JhengHei" w:eastAsia="Microsoft JhengHei"/>
          <w:b/>
          <w:bCs/>
          <w:i w:val="0"/>
          <w:iCs w:val="0"/>
          <w:color w:val="auto"/>
          <w:highlight w:val="none"/>
        </w:rPr>
      </w:pPr>
    </w:p>
    <w:p w14:paraId="2DE6AB93">
      <w:pPr>
        <w:ind w:left="14" w:hanging="14"/>
        <w:jc w:val="center"/>
        <w:rPr>
          <w:rFonts w:ascii="宋体" w:hAnsi="宋体" w:cs="宋体"/>
          <w:i w:val="0"/>
          <w:iCs w:val="0"/>
          <w:strike w:val="0"/>
          <w:dstrike w:val="0"/>
          <w:color w:val="auto"/>
          <w:sz w:val="33"/>
          <w:szCs w:val="33"/>
          <w:highlight w:val="none"/>
        </w:rPr>
      </w:pPr>
      <w:r>
        <w:rPr>
          <w:rFonts w:ascii="宋体" w:hAnsi="宋体" w:cs="宋体"/>
          <w:b/>
          <w:bCs/>
          <w:i w:val="0"/>
          <w:iCs w:val="0"/>
          <w:strike w:val="0"/>
          <w:dstrike w:val="0"/>
          <w:color w:val="auto"/>
          <w:spacing w:val="-14"/>
          <w:sz w:val="33"/>
          <w:szCs w:val="33"/>
          <w:highlight w:val="none"/>
        </w:rPr>
        <w:t>联合体协议书</w:t>
      </w:r>
    </w:p>
    <w:p w14:paraId="545D437A">
      <w:pPr>
        <w:ind w:left="10" w:hanging="10"/>
        <w:jc w:val="center"/>
        <w:rPr>
          <w:rFonts w:ascii="Arial"/>
          <w:i w:val="0"/>
          <w:iCs w:val="0"/>
          <w:strike w:val="0"/>
          <w:dstrike w:val="0"/>
          <w:color w:val="auto"/>
          <w:sz w:val="21"/>
          <w:highlight w:val="none"/>
        </w:rPr>
      </w:pPr>
      <w:r>
        <w:rPr>
          <w:rFonts w:ascii="宋体" w:hAnsi="宋体" w:cs="宋体"/>
          <w:i w:val="0"/>
          <w:iCs w:val="0"/>
          <w:strike w:val="0"/>
          <w:dstrike w:val="0"/>
          <w:color w:val="auto"/>
          <w:highlight w:val="none"/>
        </w:rPr>
        <w:t>(格式供参考)</w:t>
      </w:r>
    </w:p>
    <w:p w14:paraId="301AC1BB">
      <w:pPr>
        <w:widowControl/>
        <w:kinsoku w:val="0"/>
        <w:snapToGrid w:val="0"/>
        <w:ind w:firstLine="457" w:firstLineChars="194"/>
        <w:textAlignment w:val="baseline"/>
        <w:rPr>
          <w:rFonts w:hint="eastAsia" w:ascii="宋体" w:hAnsi="宋体" w:cs="宋体"/>
          <w:i w:val="0"/>
          <w:iCs w:val="0"/>
          <w:strike w:val="0"/>
          <w:dstrike w:val="0"/>
          <w:color w:val="auto"/>
          <w:spacing w:val="-2"/>
          <w:highlight w:val="none"/>
        </w:rPr>
      </w:pPr>
      <w:r>
        <w:rPr>
          <w:rFonts w:ascii="宋体" w:hAnsi="宋体" w:cs="宋体"/>
          <w:i w:val="0"/>
          <w:iCs w:val="0"/>
          <w:strike w:val="0"/>
          <w:dstrike w:val="0"/>
          <w:color w:val="auto"/>
          <w:spacing w:val="-2"/>
          <w:highlight w:val="none"/>
          <w:u w:val="single"/>
        </w:rPr>
        <w:t>(所有成员单位名称)</w:t>
      </w:r>
      <w:r>
        <w:rPr>
          <w:rFonts w:hint="eastAsia" w:ascii="宋体" w:hAnsi="宋体" w:cs="宋体"/>
          <w:i w:val="0"/>
          <w:iCs w:val="0"/>
          <w:strike w:val="0"/>
          <w:dstrike w:val="0"/>
          <w:color w:val="auto"/>
          <w:spacing w:val="-2"/>
          <w:highlight w:val="none"/>
          <w:u w:val="single"/>
        </w:rPr>
        <w:t xml:space="preserve">  </w:t>
      </w:r>
      <w:r>
        <w:rPr>
          <w:rFonts w:ascii="宋体" w:hAnsi="宋体" w:cs="宋体"/>
          <w:i w:val="0"/>
          <w:iCs w:val="0"/>
          <w:strike w:val="0"/>
          <w:dstrike w:val="0"/>
          <w:color w:val="auto"/>
          <w:spacing w:val="-2"/>
          <w:highlight w:val="none"/>
        </w:rPr>
        <w:t>自愿组成(联合体名称)联合体，共同参加</w:t>
      </w:r>
      <w:r>
        <w:rPr>
          <w:rFonts w:ascii="宋体" w:hAnsi="宋体" w:cs="宋体"/>
          <w:i w:val="0"/>
          <w:iCs w:val="0"/>
          <w:strike w:val="0"/>
          <w:dstrike w:val="0"/>
          <w:color w:val="auto"/>
          <w:spacing w:val="-2"/>
          <w:highlight w:val="none"/>
          <w:u w:val="single"/>
        </w:rPr>
        <w:t>(</w:t>
      </w:r>
      <w:r>
        <w:rPr>
          <w:rFonts w:hint="eastAsia" w:ascii="宋体" w:hAnsi="宋体" w:cs="宋体"/>
          <w:i w:val="0"/>
          <w:iCs w:val="0"/>
          <w:strike w:val="0"/>
          <w:dstrike w:val="0"/>
          <w:color w:val="auto"/>
          <w:spacing w:val="-2"/>
          <w:highlight w:val="none"/>
          <w:u w:val="single"/>
        </w:rPr>
        <w:t>工程</w:t>
      </w:r>
      <w:r>
        <w:rPr>
          <w:rFonts w:ascii="宋体" w:hAnsi="宋体" w:cs="宋体"/>
          <w:i w:val="0"/>
          <w:iCs w:val="0"/>
          <w:strike w:val="0"/>
          <w:dstrike w:val="0"/>
          <w:color w:val="auto"/>
          <w:spacing w:val="-2"/>
          <w:highlight w:val="none"/>
          <w:u w:val="single"/>
        </w:rPr>
        <w:t>名称)</w:t>
      </w:r>
      <w:r>
        <w:rPr>
          <w:rFonts w:ascii="宋体" w:hAnsi="宋体" w:cs="宋体"/>
          <w:i w:val="0"/>
          <w:iCs w:val="0"/>
          <w:strike w:val="0"/>
          <w:dstrike w:val="0"/>
          <w:color w:val="auto"/>
          <w:spacing w:val="-2"/>
          <w:highlight w:val="none"/>
        </w:rPr>
        <w:t>投标。现就联合体投标事宜订立如下协议</w:t>
      </w:r>
      <w:r>
        <w:rPr>
          <w:rFonts w:hint="eastAsia" w:ascii="宋体" w:hAnsi="宋体" w:cs="宋体"/>
          <w:i w:val="0"/>
          <w:iCs w:val="0"/>
          <w:strike w:val="0"/>
          <w:dstrike w:val="0"/>
          <w:color w:val="auto"/>
          <w:spacing w:val="-2"/>
          <w:highlight w:val="none"/>
        </w:rPr>
        <w:t>：</w:t>
      </w:r>
    </w:p>
    <w:p w14:paraId="4CCEB3B1">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ascii="宋体" w:hAnsi="宋体" w:cs="宋体"/>
          <w:i w:val="0"/>
          <w:iCs w:val="0"/>
          <w:strike w:val="0"/>
          <w:dstrike w:val="0"/>
          <w:color w:val="auto"/>
          <w:spacing w:val="-2"/>
          <w:highlight w:val="none"/>
        </w:rPr>
        <w:t>1</w:t>
      </w:r>
      <w:r>
        <w:rPr>
          <w:rFonts w:hint="eastAsia" w:ascii="宋体" w:hAnsi="宋体" w:cs="宋体"/>
          <w:i w:val="0"/>
          <w:iCs w:val="0"/>
          <w:strike w:val="0"/>
          <w:dstrike w:val="0"/>
          <w:color w:val="auto"/>
          <w:spacing w:val="-2"/>
          <w:highlight w:val="none"/>
        </w:rPr>
        <w:t>.</w:t>
      </w:r>
      <w:r>
        <w:rPr>
          <w:rFonts w:ascii="宋体" w:hAnsi="宋体" w:cs="宋体"/>
          <w:i w:val="0"/>
          <w:iCs w:val="0"/>
          <w:strike w:val="0"/>
          <w:dstrike w:val="0"/>
          <w:color w:val="auto"/>
          <w:spacing w:val="-2"/>
          <w:highlight w:val="none"/>
          <w:u w:val="single"/>
        </w:rPr>
        <w:t>(某成员单位名称)</w:t>
      </w:r>
      <w:r>
        <w:rPr>
          <w:rFonts w:ascii="宋体" w:hAnsi="宋体" w:cs="宋体"/>
          <w:i w:val="0"/>
          <w:iCs w:val="0"/>
          <w:strike w:val="0"/>
          <w:dstrike w:val="0"/>
          <w:color w:val="auto"/>
          <w:spacing w:val="-2"/>
          <w:highlight w:val="none"/>
        </w:rPr>
        <w:t>为联合体牵头人。</w:t>
      </w:r>
    </w:p>
    <w:p w14:paraId="257F4C11">
      <w:pPr>
        <w:widowControl/>
        <w:kinsoku w:val="0"/>
        <w:snapToGrid w:val="0"/>
        <w:ind w:firstLine="457" w:firstLineChars="194"/>
        <w:jc w:val="both"/>
        <w:textAlignment w:val="baseline"/>
        <w:rPr>
          <w:rFonts w:hint="eastAsia" w:ascii="宋体" w:hAnsi="宋体"/>
          <w:i w:val="0"/>
          <w:iCs w:val="0"/>
          <w:strike w:val="0"/>
          <w:dstrike w:val="0"/>
          <w:color w:val="auto"/>
          <w:highlight w:val="none"/>
        </w:rPr>
      </w:pPr>
      <w:r>
        <w:rPr>
          <w:rFonts w:ascii="宋体" w:hAnsi="宋体" w:cs="宋体"/>
          <w:i w:val="0"/>
          <w:iCs w:val="0"/>
          <w:strike w:val="0"/>
          <w:dstrike w:val="0"/>
          <w:color w:val="auto"/>
          <w:spacing w:val="-2"/>
          <w:highlight w:val="none"/>
        </w:rPr>
        <w:t>2</w:t>
      </w:r>
      <w:r>
        <w:rPr>
          <w:rFonts w:hint="eastAsia" w:ascii="宋体" w:hAnsi="宋体" w:cs="宋体"/>
          <w:i w:val="0"/>
          <w:iCs w:val="0"/>
          <w:strike w:val="0"/>
          <w:dstrike w:val="0"/>
          <w:color w:val="auto"/>
          <w:spacing w:val="-2"/>
          <w:highlight w:val="none"/>
        </w:rPr>
        <w:t>.</w:t>
      </w:r>
      <w:r>
        <w:rPr>
          <w:rFonts w:hint="eastAsia" w:ascii="宋体" w:hAnsi="宋体"/>
          <w:i w:val="0"/>
          <w:iCs w:val="0"/>
          <w:strike w:val="0"/>
          <w:dstrike w:val="0"/>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38A1DFD4">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ascii="宋体" w:hAnsi="宋体" w:cs="宋体"/>
          <w:i w:val="0"/>
          <w:iCs w:val="0"/>
          <w:strike w:val="0"/>
          <w:dstrike w:val="0"/>
          <w:color w:val="auto"/>
          <w:spacing w:val="-2"/>
          <w:highlight w:val="none"/>
        </w:rPr>
        <w:t>3</w:t>
      </w:r>
      <w:r>
        <w:rPr>
          <w:rFonts w:hint="eastAsia" w:ascii="宋体" w:hAnsi="宋体" w:cs="宋体"/>
          <w:i w:val="0"/>
          <w:iCs w:val="0"/>
          <w:strike w:val="0"/>
          <w:dstrike w:val="0"/>
          <w:color w:val="auto"/>
          <w:spacing w:val="-2"/>
          <w:highlight w:val="none"/>
        </w:rPr>
        <w:t>.</w:t>
      </w:r>
      <w:r>
        <w:rPr>
          <w:rFonts w:ascii="宋体" w:hAnsi="宋体" w:cs="宋体"/>
          <w:i w:val="0"/>
          <w:iCs w:val="0"/>
          <w:strike w:val="0"/>
          <w:dstrike w:val="0"/>
          <w:color w:val="auto"/>
          <w:spacing w:val="-2"/>
          <w:highlight w:val="none"/>
        </w:rPr>
        <w:t>联合体将按照招标文件的各项要求，递交投标文件，履行合同，并对招标人承担连带责任。</w:t>
      </w:r>
    </w:p>
    <w:p w14:paraId="2E22C60E">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ascii="宋体" w:hAnsi="宋体" w:cs="宋体"/>
          <w:i w:val="0"/>
          <w:iCs w:val="0"/>
          <w:strike w:val="0"/>
          <w:dstrike w:val="0"/>
          <w:color w:val="auto"/>
          <w:spacing w:val="-2"/>
          <w:highlight w:val="none"/>
        </w:rPr>
        <w:t>4</w:t>
      </w:r>
      <w:r>
        <w:rPr>
          <w:rFonts w:hint="eastAsia" w:ascii="宋体" w:hAnsi="宋体" w:cs="宋体"/>
          <w:i w:val="0"/>
          <w:iCs w:val="0"/>
          <w:strike w:val="0"/>
          <w:dstrike w:val="0"/>
          <w:color w:val="auto"/>
          <w:spacing w:val="-2"/>
          <w:highlight w:val="none"/>
        </w:rPr>
        <w:t>.</w:t>
      </w:r>
      <w:r>
        <w:rPr>
          <w:rFonts w:ascii="宋体" w:hAnsi="宋体" w:cs="宋体"/>
          <w:i w:val="0"/>
          <w:iCs w:val="0"/>
          <w:strike w:val="0"/>
          <w:dstrike w:val="0"/>
          <w:color w:val="auto"/>
          <w:spacing w:val="-2"/>
          <w:highlight w:val="none"/>
        </w:rPr>
        <w:t>联合体各成员单位内部的职责分工</w:t>
      </w:r>
      <w:r>
        <w:rPr>
          <w:rFonts w:hint="eastAsia" w:ascii="宋体" w:hAnsi="宋体" w:cs="宋体"/>
          <w:i w:val="0"/>
          <w:iCs w:val="0"/>
          <w:strike w:val="0"/>
          <w:dstrike w:val="0"/>
          <w:color w:val="auto"/>
          <w:spacing w:val="-2"/>
          <w:highlight w:val="none"/>
        </w:rPr>
        <w:t>和具体合作量化指标如下表：</w:t>
      </w:r>
    </w:p>
    <w:tbl>
      <w:tblPr>
        <w:tblStyle w:val="21"/>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1"/>
        <w:gridCol w:w="1818"/>
        <w:gridCol w:w="1511"/>
        <w:gridCol w:w="1375"/>
      </w:tblGrid>
      <w:tr w14:paraId="65CC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4B7519BC">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名称</w:t>
            </w:r>
          </w:p>
        </w:tc>
        <w:tc>
          <w:tcPr>
            <w:tcW w:w="1006" w:type="pct"/>
            <w:tcBorders>
              <w:top w:val="single" w:color="auto" w:sz="8" w:space="0"/>
            </w:tcBorders>
            <w:noWrap w:val="0"/>
            <w:vAlign w:val="center"/>
          </w:tcPr>
          <w:p w14:paraId="7A937BFC">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联合体牵头人</w:t>
            </w:r>
          </w:p>
        </w:tc>
        <w:tc>
          <w:tcPr>
            <w:tcW w:w="836" w:type="pct"/>
            <w:tcBorders>
              <w:top w:val="single" w:color="auto" w:sz="8" w:space="0"/>
            </w:tcBorders>
            <w:noWrap w:val="0"/>
            <w:vAlign w:val="center"/>
          </w:tcPr>
          <w:p w14:paraId="7A12CF28">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成员1</w:t>
            </w:r>
          </w:p>
        </w:tc>
        <w:tc>
          <w:tcPr>
            <w:tcW w:w="761" w:type="pct"/>
            <w:tcBorders>
              <w:top w:val="single" w:color="auto" w:sz="8" w:space="0"/>
              <w:right w:val="single" w:color="auto" w:sz="8" w:space="0"/>
            </w:tcBorders>
            <w:noWrap w:val="0"/>
            <w:vAlign w:val="center"/>
          </w:tcPr>
          <w:p w14:paraId="63622E52">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成员N</w:t>
            </w:r>
          </w:p>
        </w:tc>
      </w:tr>
      <w:tr w14:paraId="384A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443001BA">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职责分工（工作内容）</w:t>
            </w:r>
            <w:r>
              <w:rPr>
                <w:rFonts w:hint="eastAsia" w:ascii="宋体" w:hAnsi="宋体" w:eastAsia="Times New Roman" w:cs="宋体"/>
                <w:i w:val="0"/>
                <w:iCs w:val="0"/>
                <w:strike w:val="0"/>
                <w:dstrike w:val="0"/>
                <w:color w:val="auto"/>
                <w:spacing w:val="-2"/>
                <w:highlight w:val="none"/>
              </w:rPr>
              <w:t>，必填项写，未填写的按照未附联合体协议书处理。</w:t>
            </w:r>
          </w:p>
        </w:tc>
        <w:tc>
          <w:tcPr>
            <w:tcW w:w="1006" w:type="pct"/>
            <w:tcBorders>
              <w:top w:val="single" w:color="auto" w:sz="8" w:space="0"/>
            </w:tcBorders>
            <w:noWrap w:val="0"/>
            <w:vAlign w:val="center"/>
          </w:tcPr>
          <w:p w14:paraId="7921B43E">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tcBorders>
              <w:top w:val="single" w:color="auto" w:sz="8" w:space="0"/>
            </w:tcBorders>
            <w:noWrap w:val="0"/>
            <w:vAlign w:val="center"/>
          </w:tcPr>
          <w:p w14:paraId="2B0DB054">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top w:val="single" w:color="auto" w:sz="8" w:space="0"/>
              <w:right w:val="single" w:color="auto" w:sz="8" w:space="0"/>
            </w:tcBorders>
            <w:noWrap w:val="0"/>
            <w:vAlign w:val="center"/>
          </w:tcPr>
          <w:p w14:paraId="4445231A">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48BD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left w:val="single" w:color="auto" w:sz="8" w:space="0"/>
            </w:tcBorders>
            <w:noWrap w:val="0"/>
            <w:vAlign w:val="center"/>
          </w:tcPr>
          <w:p w14:paraId="59DB91A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highlight w:val="none"/>
              </w:rPr>
            </w:pPr>
            <w:r>
              <w:rPr>
                <w:rFonts w:hint="eastAsia" w:ascii="宋体" w:hAnsi="宋体" w:cs="宋体"/>
                <w:i w:val="0"/>
                <w:iCs w:val="0"/>
                <w:strike w:val="0"/>
                <w:dstrike w:val="0"/>
                <w:color w:val="auto"/>
                <w:highlight w:val="none"/>
              </w:rPr>
              <w:t>合同价格比例</w:t>
            </w:r>
          </w:p>
          <w:p w14:paraId="125DF42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r>
              <w:rPr>
                <w:rFonts w:hint="eastAsia" w:ascii="宋体" w:hAnsi="宋体" w:cs="宋体"/>
                <w:i w:val="0"/>
                <w:iCs w:val="0"/>
                <w:strike w:val="0"/>
                <w:dstrike w:val="0"/>
                <w:color w:val="auto"/>
                <w:highlight w:val="none"/>
              </w:rPr>
              <w:t>（根据职责分工及投标报价计算）</w:t>
            </w:r>
          </w:p>
        </w:tc>
        <w:tc>
          <w:tcPr>
            <w:tcW w:w="1006" w:type="pct"/>
            <w:noWrap w:val="0"/>
            <w:vAlign w:val="center"/>
          </w:tcPr>
          <w:p w14:paraId="50F749D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2891191B">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24B8A299">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596F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727E8E9E">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highlight w:val="none"/>
              </w:rPr>
            </w:pPr>
            <w:r>
              <w:rPr>
                <w:rFonts w:hint="eastAsia" w:ascii="宋体" w:hAnsi="宋体" w:eastAsia="Times New Roman" w:cs="宋体"/>
                <w:i w:val="0"/>
                <w:iCs w:val="0"/>
                <w:strike w:val="0"/>
                <w:dstrike w:val="0"/>
                <w:color w:val="auto"/>
                <w:highlight w:val="none"/>
              </w:rPr>
              <w:t>拟派项目班组名单</w:t>
            </w:r>
          </w:p>
        </w:tc>
        <w:tc>
          <w:tcPr>
            <w:tcW w:w="1006" w:type="pct"/>
            <w:noWrap w:val="0"/>
            <w:vAlign w:val="center"/>
          </w:tcPr>
          <w:p w14:paraId="1D90C677">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25866478">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57847069">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62C7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1CE30AF2">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highlight w:val="none"/>
              </w:rPr>
            </w:pPr>
            <w:r>
              <w:rPr>
                <w:rFonts w:hint="eastAsia" w:ascii="宋体" w:hAnsi="宋体" w:cs="宋体"/>
                <w:i w:val="0"/>
                <w:iCs w:val="0"/>
                <w:strike w:val="0"/>
                <w:dstrike w:val="0"/>
                <w:color w:val="auto"/>
                <w:highlight w:val="none"/>
              </w:rPr>
              <w:t>违约责任</w:t>
            </w:r>
          </w:p>
        </w:tc>
        <w:tc>
          <w:tcPr>
            <w:tcW w:w="1006" w:type="pct"/>
            <w:noWrap w:val="0"/>
            <w:vAlign w:val="center"/>
          </w:tcPr>
          <w:p w14:paraId="1560DA22">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242D9988">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5648992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4D88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A6567E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highlight w:val="none"/>
              </w:rPr>
            </w:pPr>
            <w:r>
              <w:rPr>
                <w:rFonts w:hint="eastAsia" w:ascii="宋体" w:hAnsi="宋体" w:eastAsia="Times New Roman" w:cs="宋体"/>
                <w:i w:val="0"/>
                <w:iCs w:val="0"/>
                <w:strike w:val="0"/>
                <w:dstrike w:val="0"/>
                <w:color w:val="auto"/>
                <w:highlight w:val="none"/>
              </w:rPr>
              <w:t>权利义务</w:t>
            </w:r>
          </w:p>
        </w:tc>
        <w:tc>
          <w:tcPr>
            <w:tcW w:w="1006" w:type="pct"/>
            <w:noWrap w:val="0"/>
            <w:vAlign w:val="center"/>
          </w:tcPr>
          <w:p w14:paraId="3103BB95">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0B8D2792">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6AD06C1C">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1686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0C4A61ED">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highlight w:val="none"/>
              </w:rPr>
            </w:pPr>
            <w:r>
              <w:rPr>
                <w:rFonts w:hint="eastAsia" w:ascii="宋体" w:hAnsi="宋体" w:cs="宋体"/>
                <w:i w:val="0"/>
                <w:iCs w:val="0"/>
                <w:strike w:val="0"/>
                <w:dstrike w:val="0"/>
                <w:color w:val="auto"/>
                <w:highlight w:val="none"/>
              </w:rPr>
              <w:t>企业负责人带班检查的分配和频次</w:t>
            </w:r>
          </w:p>
        </w:tc>
        <w:tc>
          <w:tcPr>
            <w:tcW w:w="1006" w:type="pct"/>
            <w:noWrap w:val="0"/>
            <w:vAlign w:val="center"/>
          </w:tcPr>
          <w:p w14:paraId="73A9AAD3">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227372C0">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173B2B49">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00791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14A4140D">
            <w:pPr>
              <w:keepNext w:val="0"/>
              <w:keepLines w:val="0"/>
              <w:widowControl/>
              <w:suppressLineNumbers w:val="0"/>
              <w:tabs>
                <w:tab w:val="center" w:pos="2117"/>
                <w:tab w:val="left" w:pos="3367"/>
              </w:tabs>
              <w:kinsoku w:val="0"/>
              <w:snapToGrid w:val="0"/>
              <w:spacing w:before="0" w:beforeAutospacing="0" w:after="0" w:afterAutospacing="0"/>
              <w:ind w:left="0" w:right="0"/>
              <w:jc w:val="center"/>
              <w:textAlignment w:val="baseline"/>
              <w:rPr>
                <w:rFonts w:hint="default" w:ascii="宋体" w:hAnsi="宋体" w:eastAsia="Times New Roman" w:cs="宋体"/>
                <w:i w:val="0"/>
                <w:iCs w:val="0"/>
                <w:strike w:val="0"/>
                <w:dstrike w:val="0"/>
                <w:color w:val="auto"/>
                <w:highlight w:val="none"/>
              </w:rPr>
            </w:pPr>
            <w:r>
              <w:rPr>
                <w:rFonts w:hint="eastAsia" w:ascii="宋体" w:hAnsi="宋体" w:eastAsia="Times New Roman" w:cs="宋体"/>
                <w:i w:val="0"/>
                <w:iCs w:val="0"/>
                <w:strike w:val="0"/>
                <w:dstrike w:val="0"/>
                <w:color w:val="auto"/>
                <w:highlight w:val="none"/>
              </w:rPr>
              <w:t>质量安全管理分工</w:t>
            </w:r>
          </w:p>
        </w:tc>
        <w:tc>
          <w:tcPr>
            <w:tcW w:w="1006" w:type="pct"/>
            <w:noWrap w:val="0"/>
            <w:vAlign w:val="center"/>
          </w:tcPr>
          <w:p w14:paraId="28994040">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4F0FB12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23B2E024">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4B5E9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62BC75A1">
            <w:pPr>
              <w:keepNext w:val="0"/>
              <w:keepLines w:val="0"/>
              <w:widowControl/>
              <w:suppressLineNumbers w:val="0"/>
              <w:tabs>
                <w:tab w:val="center" w:pos="2117"/>
                <w:tab w:val="left" w:pos="3367"/>
              </w:tabs>
              <w:kinsoku w:val="0"/>
              <w:snapToGrid w:val="0"/>
              <w:spacing w:before="0" w:beforeAutospacing="0" w:after="0" w:afterAutospacing="0"/>
              <w:ind w:left="0" w:right="0"/>
              <w:textAlignment w:val="baseline"/>
              <w:rPr>
                <w:rFonts w:hint="eastAsia" w:ascii="宋体" w:hAnsi="宋体" w:cs="宋体"/>
                <w:i w:val="0"/>
                <w:iCs w:val="0"/>
                <w:strike w:val="0"/>
                <w:dstrike w:val="0"/>
                <w:color w:val="auto"/>
                <w:spacing w:val="-2"/>
                <w:highlight w:val="none"/>
              </w:rPr>
            </w:pPr>
            <w:r>
              <w:rPr>
                <w:rFonts w:hint="eastAsia" w:ascii="宋体" w:hAnsi="宋体" w:eastAsia="Times New Roman" w:cs="宋体"/>
                <w:i w:val="0"/>
                <w:iCs w:val="0"/>
                <w:strike w:val="0"/>
                <w:dstrike w:val="0"/>
                <w:color w:val="auto"/>
                <w:highlight w:val="none"/>
              </w:rPr>
              <w:tab/>
            </w:r>
            <w:r>
              <w:rPr>
                <w:rFonts w:hint="eastAsia" w:ascii="宋体" w:hAnsi="宋体" w:cs="宋体"/>
                <w:i w:val="0"/>
                <w:iCs w:val="0"/>
                <w:strike w:val="0"/>
                <w:dstrike w:val="0"/>
                <w:color w:val="auto"/>
                <w:highlight w:val="none"/>
              </w:rPr>
              <w:t>保修责任分担</w:t>
            </w:r>
            <w:r>
              <w:rPr>
                <w:rFonts w:hint="eastAsia" w:ascii="宋体" w:hAnsi="宋体" w:eastAsia="Times New Roman" w:cs="宋体"/>
                <w:i w:val="0"/>
                <w:iCs w:val="0"/>
                <w:strike w:val="0"/>
                <w:dstrike w:val="0"/>
                <w:color w:val="auto"/>
                <w:highlight w:val="none"/>
              </w:rPr>
              <w:tab/>
            </w:r>
          </w:p>
        </w:tc>
        <w:tc>
          <w:tcPr>
            <w:tcW w:w="1006" w:type="pct"/>
            <w:noWrap w:val="0"/>
            <w:vAlign w:val="center"/>
          </w:tcPr>
          <w:p w14:paraId="5577CECB">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30D96732">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489FF5C6">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r w14:paraId="3E71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AA6CE8C">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i w:val="0"/>
                <w:iCs w:val="0"/>
                <w:strike w:val="0"/>
                <w:dstrike w:val="0"/>
                <w:color w:val="auto"/>
                <w:highlight w:val="none"/>
                <w:lang w:val="en"/>
              </w:rPr>
            </w:pPr>
            <w:r>
              <w:rPr>
                <w:rFonts w:hint="default" w:ascii="宋体" w:hAnsi="宋体" w:eastAsia="Times New Roman" w:cs="宋体"/>
                <w:i w:val="0"/>
                <w:iCs w:val="0"/>
                <w:strike w:val="0"/>
                <w:dstrike w:val="0"/>
                <w:color w:val="auto"/>
                <w:highlight w:val="none"/>
                <w:lang w:val="en"/>
              </w:rPr>
              <w:t>......</w:t>
            </w:r>
          </w:p>
        </w:tc>
        <w:tc>
          <w:tcPr>
            <w:tcW w:w="1006" w:type="pct"/>
            <w:noWrap w:val="0"/>
            <w:vAlign w:val="center"/>
          </w:tcPr>
          <w:p w14:paraId="646FDC77">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836" w:type="pct"/>
            <w:noWrap w:val="0"/>
            <w:vAlign w:val="center"/>
          </w:tcPr>
          <w:p w14:paraId="0C23807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c>
          <w:tcPr>
            <w:tcW w:w="761" w:type="pct"/>
            <w:tcBorders>
              <w:right w:val="single" w:color="auto" w:sz="8" w:space="0"/>
            </w:tcBorders>
            <w:noWrap w:val="0"/>
            <w:vAlign w:val="center"/>
          </w:tcPr>
          <w:p w14:paraId="3E64C5BE">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i w:val="0"/>
                <w:iCs w:val="0"/>
                <w:strike w:val="0"/>
                <w:dstrike w:val="0"/>
                <w:color w:val="auto"/>
                <w:spacing w:val="-2"/>
                <w:highlight w:val="none"/>
              </w:rPr>
            </w:pPr>
          </w:p>
        </w:tc>
      </w:tr>
    </w:tbl>
    <w:p w14:paraId="6E238471">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5</w:t>
      </w:r>
      <w:r>
        <w:rPr>
          <w:rFonts w:ascii="宋体" w:hAnsi="宋体" w:cs="宋体"/>
          <w:i w:val="0"/>
          <w:iCs w:val="0"/>
          <w:strike w:val="0"/>
          <w:dstrike w:val="0"/>
          <w:color w:val="auto"/>
          <w:spacing w:val="-2"/>
          <w:highlight w:val="none"/>
          <w:lang w:val="en"/>
        </w:rPr>
        <w:t>.</w:t>
      </w:r>
      <w:r>
        <w:rPr>
          <w:rFonts w:ascii="宋体" w:hAnsi="宋体" w:cs="宋体"/>
          <w:i w:val="0"/>
          <w:iCs w:val="0"/>
          <w:strike w:val="0"/>
          <w:dstrike w:val="0"/>
          <w:color w:val="auto"/>
          <w:spacing w:val="-2"/>
          <w:highlight w:val="none"/>
        </w:rPr>
        <w:t>本协议书自签署之日起生效。</w:t>
      </w:r>
      <w:r>
        <w:rPr>
          <w:rFonts w:hint="eastAsia" w:ascii="宋体" w:hAnsi="宋体" w:cs="宋体"/>
          <w:i w:val="0"/>
          <w:iCs w:val="0"/>
          <w:strike w:val="0"/>
          <w:dstrike w:val="0"/>
          <w:color w:val="auto"/>
          <w:spacing w:val="-2"/>
          <w:highlight w:val="none"/>
        </w:rPr>
        <w:t>联合体中标后，本联合体协议是合同的附件，对联合体各成员单位有合同约束力。</w:t>
      </w:r>
    </w:p>
    <w:p w14:paraId="0EA8262C">
      <w:pPr>
        <w:widowControl/>
        <w:kinsoku w:val="0"/>
        <w:snapToGrid w:val="0"/>
        <w:ind w:firstLine="457" w:firstLineChars="194"/>
        <w:textAlignment w:val="baseline"/>
        <w:rPr>
          <w:rFonts w:ascii="宋体" w:hAnsi="宋体" w:cs="宋体"/>
          <w:i w:val="0"/>
          <w:iCs w:val="0"/>
          <w:strike w:val="0"/>
          <w:dstrike w:val="0"/>
          <w:color w:val="auto"/>
          <w:spacing w:val="-2"/>
          <w:highlight w:val="none"/>
        </w:rPr>
      </w:pPr>
      <w:r>
        <w:rPr>
          <w:rFonts w:hint="eastAsia" w:ascii="宋体" w:hAnsi="宋体" w:cs="宋体"/>
          <w:i w:val="0"/>
          <w:iCs w:val="0"/>
          <w:strike w:val="0"/>
          <w:dstrike w:val="0"/>
          <w:color w:val="auto"/>
          <w:spacing w:val="-2"/>
          <w:highlight w:val="none"/>
        </w:rPr>
        <w:t>6</w:t>
      </w:r>
      <w:r>
        <w:rPr>
          <w:rFonts w:ascii="宋体" w:hAnsi="宋体" w:cs="宋体"/>
          <w:i w:val="0"/>
          <w:iCs w:val="0"/>
          <w:strike w:val="0"/>
          <w:dstrike w:val="0"/>
          <w:color w:val="auto"/>
          <w:spacing w:val="-2"/>
          <w:highlight w:val="none"/>
          <w:lang w:val="en"/>
        </w:rPr>
        <w:t>.</w:t>
      </w:r>
      <w:r>
        <w:rPr>
          <w:rFonts w:ascii="宋体" w:hAnsi="宋体" w:cs="宋体"/>
          <w:i w:val="0"/>
          <w:iCs w:val="0"/>
          <w:strike w:val="0"/>
          <w:dstrike w:val="0"/>
          <w:color w:val="auto"/>
          <w:spacing w:val="-2"/>
          <w:highlight w:val="none"/>
        </w:rPr>
        <w:t>本协议书一式</w:t>
      </w:r>
      <w:r>
        <w:rPr>
          <w:rFonts w:hint="eastAsia" w:ascii="宋体" w:hAnsi="宋体" w:cs="宋体"/>
          <w:i w:val="0"/>
          <w:iCs w:val="0"/>
          <w:strike w:val="0"/>
          <w:dstrike w:val="0"/>
          <w:color w:val="auto"/>
          <w:spacing w:val="-2"/>
          <w:highlight w:val="none"/>
          <w:u w:val="single"/>
        </w:rPr>
        <w:t xml:space="preserve">   </w:t>
      </w:r>
      <w:r>
        <w:rPr>
          <w:rFonts w:ascii="宋体" w:hAnsi="宋体" w:cs="宋体"/>
          <w:i w:val="0"/>
          <w:iCs w:val="0"/>
          <w:strike w:val="0"/>
          <w:dstrike w:val="0"/>
          <w:color w:val="auto"/>
          <w:spacing w:val="-2"/>
          <w:highlight w:val="none"/>
        </w:rPr>
        <w:t>份，招标人和联合体</w:t>
      </w:r>
      <w:r>
        <w:rPr>
          <w:rFonts w:hint="eastAsia" w:ascii="宋体" w:hAnsi="宋体" w:cs="宋体"/>
          <w:i w:val="0"/>
          <w:iCs w:val="0"/>
          <w:strike w:val="0"/>
          <w:dstrike w:val="0"/>
          <w:color w:val="auto"/>
          <w:spacing w:val="-2"/>
          <w:highlight w:val="none"/>
        </w:rPr>
        <w:t>各</w:t>
      </w:r>
      <w:r>
        <w:rPr>
          <w:rFonts w:ascii="宋体" w:hAnsi="宋体" w:cs="宋体"/>
          <w:i w:val="0"/>
          <w:iCs w:val="0"/>
          <w:strike w:val="0"/>
          <w:dstrike w:val="0"/>
          <w:color w:val="auto"/>
          <w:spacing w:val="-2"/>
          <w:highlight w:val="none"/>
        </w:rPr>
        <w:t>成员各执一份。</w:t>
      </w:r>
    </w:p>
    <w:p w14:paraId="568DF7FA">
      <w:pPr>
        <w:widowControl/>
        <w:tabs>
          <w:tab w:val="left" w:pos="8770"/>
          <w:tab w:val="left" w:pos="8780"/>
        </w:tabs>
        <w:kinsoku w:val="0"/>
        <w:snapToGrid w:val="0"/>
        <w:ind w:left="2890"/>
        <w:jc w:val="both"/>
        <w:textAlignment w:val="baseline"/>
        <w:rPr>
          <w:rFonts w:hint="eastAsia" w:ascii="宋体" w:hAnsi="宋体" w:cs="宋体"/>
          <w:i w:val="0"/>
          <w:iCs w:val="0"/>
          <w:strike w:val="0"/>
          <w:dstrike w:val="0"/>
          <w:color w:val="auto"/>
          <w:spacing w:val="-25"/>
          <w:highlight w:val="none"/>
        </w:rPr>
      </w:pPr>
    </w:p>
    <w:p w14:paraId="0C37BC16">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highlight w:val="none"/>
        </w:rPr>
      </w:pPr>
      <w:r>
        <w:rPr>
          <w:rFonts w:ascii="宋体" w:hAnsi="宋体" w:cs="宋体"/>
          <w:i w:val="0"/>
          <w:iCs w:val="0"/>
          <w:strike w:val="0"/>
          <w:dstrike w:val="0"/>
          <w:color w:val="auto"/>
          <w:spacing w:val="-25"/>
          <w:highlight w:val="none"/>
        </w:rPr>
        <w:t>牵头人名称</w:t>
      </w:r>
      <w:r>
        <w:rPr>
          <w:rFonts w:hint="eastAsia" w:ascii="宋体" w:hAnsi="宋体" w:cs="宋体"/>
          <w:i w:val="0"/>
          <w:iCs w:val="0"/>
          <w:strike w:val="0"/>
          <w:dstrike w:val="0"/>
          <w:color w:val="auto"/>
          <w:spacing w:val="-25"/>
          <w:highlight w:val="none"/>
        </w:rPr>
        <w:t xml:space="preserve"> ：</w:t>
      </w:r>
      <w:r>
        <w:rPr>
          <w:rFonts w:ascii="宋体" w:hAnsi="宋体" w:cs="宋体"/>
          <w:i w:val="0"/>
          <w:iCs w:val="0"/>
          <w:strike w:val="0"/>
          <w:dstrike w:val="0"/>
          <w:color w:val="auto"/>
          <w:spacing w:val="14"/>
          <w:highlight w:val="none"/>
          <w:u w:val="single"/>
        </w:rPr>
        <w:t xml:space="preserve">        </w:t>
      </w:r>
      <w:r>
        <w:rPr>
          <w:rFonts w:ascii="宋体" w:hAnsi="宋体" w:cs="宋体"/>
          <w:i w:val="0"/>
          <w:iCs w:val="0"/>
          <w:strike w:val="0"/>
          <w:dstrike w:val="0"/>
          <w:color w:val="auto"/>
          <w:spacing w:val="-25"/>
          <w:highlight w:val="none"/>
          <w:u w:val="single"/>
        </w:rPr>
        <w:t>(</w:t>
      </w:r>
      <w:r>
        <w:rPr>
          <w:rFonts w:ascii="宋体" w:hAnsi="宋体" w:cs="宋体"/>
          <w:i w:val="0"/>
          <w:iCs w:val="0"/>
          <w:strike w:val="0"/>
          <w:dstrike w:val="0"/>
          <w:color w:val="auto"/>
          <w:spacing w:val="31"/>
          <w:highlight w:val="none"/>
          <w:u w:val="single"/>
        </w:rPr>
        <w:t xml:space="preserve"> </w:t>
      </w:r>
      <w:r>
        <w:rPr>
          <w:rFonts w:ascii="宋体" w:hAnsi="宋体" w:cs="宋体"/>
          <w:i w:val="0"/>
          <w:iCs w:val="0"/>
          <w:strike w:val="0"/>
          <w:dstrike w:val="0"/>
          <w:color w:val="auto"/>
          <w:spacing w:val="-25"/>
          <w:highlight w:val="none"/>
          <w:u w:val="single"/>
        </w:rPr>
        <w:t>单</w:t>
      </w:r>
      <w:r>
        <w:rPr>
          <w:rFonts w:ascii="宋体" w:hAnsi="宋体" w:cs="宋体"/>
          <w:i w:val="0"/>
          <w:iCs w:val="0"/>
          <w:strike w:val="0"/>
          <w:dstrike w:val="0"/>
          <w:color w:val="auto"/>
          <w:spacing w:val="25"/>
          <w:highlight w:val="none"/>
          <w:u w:val="single"/>
        </w:rPr>
        <w:t xml:space="preserve"> </w:t>
      </w:r>
      <w:r>
        <w:rPr>
          <w:rFonts w:ascii="宋体" w:hAnsi="宋体" w:cs="宋体"/>
          <w:i w:val="0"/>
          <w:iCs w:val="0"/>
          <w:strike w:val="0"/>
          <w:dstrike w:val="0"/>
          <w:color w:val="auto"/>
          <w:spacing w:val="-25"/>
          <w:highlight w:val="none"/>
          <w:u w:val="single"/>
        </w:rPr>
        <w:t>位</w:t>
      </w:r>
      <w:r>
        <w:rPr>
          <w:rFonts w:ascii="宋体" w:hAnsi="宋体" w:cs="宋体"/>
          <w:i w:val="0"/>
          <w:iCs w:val="0"/>
          <w:strike w:val="0"/>
          <w:dstrike w:val="0"/>
          <w:color w:val="auto"/>
          <w:spacing w:val="26"/>
          <w:highlight w:val="none"/>
          <w:u w:val="single"/>
        </w:rPr>
        <w:t xml:space="preserve"> </w:t>
      </w:r>
      <w:r>
        <w:rPr>
          <w:rFonts w:ascii="宋体" w:hAnsi="宋体" w:cs="宋体"/>
          <w:i w:val="0"/>
          <w:iCs w:val="0"/>
          <w:strike w:val="0"/>
          <w:dstrike w:val="0"/>
          <w:color w:val="auto"/>
          <w:spacing w:val="-25"/>
          <w:highlight w:val="none"/>
          <w:u w:val="single"/>
        </w:rPr>
        <w:t>盖</w:t>
      </w:r>
      <w:r>
        <w:rPr>
          <w:rFonts w:ascii="宋体" w:hAnsi="宋体" w:cs="宋体"/>
          <w:i w:val="0"/>
          <w:iCs w:val="0"/>
          <w:strike w:val="0"/>
          <w:dstrike w:val="0"/>
          <w:color w:val="auto"/>
          <w:spacing w:val="34"/>
          <w:highlight w:val="none"/>
          <w:u w:val="single"/>
        </w:rPr>
        <w:t xml:space="preserve"> </w:t>
      </w:r>
      <w:r>
        <w:rPr>
          <w:rFonts w:ascii="宋体" w:hAnsi="宋体" w:cs="宋体"/>
          <w:i w:val="0"/>
          <w:iCs w:val="0"/>
          <w:strike w:val="0"/>
          <w:dstrike w:val="0"/>
          <w:color w:val="auto"/>
          <w:spacing w:val="-25"/>
          <w:highlight w:val="none"/>
          <w:u w:val="single"/>
        </w:rPr>
        <w:t>章</w:t>
      </w:r>
      <w:r>
        <w:rPr>
          <w:rFonts w:ascii="宋体" w:hAnsi="宋体" w:cs="宋体"/>
          <w:i w:val="0"/>
          <w:iCs w:val="0"/>
          <w:strike w:val="0"/>
          <w:dstrike w:val="0"/>
          <w:color w:val="auto"/>
          <w:spacing w:val="27"/>
          <w:highlight w:val="none"/>
          <w:u w:val="single"/>
        </w:rPr>
        <w:t xml:space="preserve"> </w:t>
      </w:r>
      <w:r>
        <w:rPr>
          <w:rFonts w:ascii="宋体" w:hAnsi="宋体" w:cs="宋体"/>
          <w:i w:val="0"/>
          <w:iCs w:val="0"/>
          <w:strike w:val="0"/>
          <w:dstrike w:val="0"/>
          <w:color w:val="auto"/>
          <w:spacing w:val="-25"/>
          <w:highlight w:val="none"/>
          <w:u w:val="single"/>
        </w:rPr>
        <w:t>)</w:t>
      </w:r>
      <w:r>
        <w:rPr>
          <w:rFonts w:ascii="宋体" w:hAnsi="宋体" w:cs="宋体"/>
          <w:i w:val="0"/>
          <w:iCs w:val="0"/>
          <w:strike w:val="0"/>
          <w:dstrike w:val="0"/>
          <w:color w:val="auto"/>
          <w:highlight w:val="none"/>
          <w:u w:val="single"/>
        </w:rPr>
        <w:tab/>
      </w:r>
      <w:r>
        <w:rPr>
          <w:rFonts w:ascii="宋体" w:hAnsi="宋体" w:cs="宋体"/>
          <w:i w:val="0"/>
          <w:iCs w:val="0"/>
          <w:strike w:val="0"/>
          <w:dstrike w:val="0"/>
          <w:color w:val="auto"/>
          <w:highlight w:val="none"/>
        </w:rPr>
        <w:t xml:space="preserve"> </w:t>
      </w:r>
    </w:p>
    <w:p w14:paraId="6E55F0A7">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spacing w:val="11"/>
          <w:highlight w:val="none"/>
        </w:rPr>
      </w:pPr>
    </w:p>
    <w:p w14:paraId="78337088">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highlight w:val="none"/>
        </w:rPr>
      </w:pPr>
      <w:r>
        <w:rPr>
          <w:rFonts w:ascii="宋体" w:hAnsi="宋体" w:cs="宋体"/>
          <w:i w:val="0"/>
          <w:iCs w:val="0"/>
          <w:strike w:val="0"/>
          <w:dstrike w:val="0"/>
          <w:color w:val="auto"/>
          <w:spacing w:val="11"/>
          <w:highlight w:val="none"/>
        </w:rPr>
        <w:t>法定代表人或其委托代理人(签字或盖章):</w:t>
      </w:r>
      <w:r>
        <w:rPr>
          <w:rFonts w:hint="eastAsia" w:ascii="宋体" w:hAnsi="宋体" w:cs="宋体"/>
          <w:i w:val="0"/>
          <w:iCs w:val="0"/>
          <w:strike w:val="0"/>
          <w:dstrike w:val="0"/>
          <w:color w:val="auto"/>
          <w:spacing w:val="11"/>
          <w:highlight w:val="none"/>
          <w:u w:val="single"/>
        </w:rPr>
        <w:t xml:space="preserve">        </w:t>
      </w:r>
    </w:p>
    <w:p w14:paraId="26D60146">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spacing w:val="-24"/>
          <w:highlight w:val="none"/>
        </w:rPr>
      </w:pPr>
    </w:p>
    <w:p w14:paraId="0EC5FA2E">
      <w:pPr>
        <w:widowControl/>
        <w:tabs>
          <w:tab w:val="left" w:pos="8770"/>
          <w:tab w:val="left" w:pos="8780"/>
        </w:tabs>
        <w:kinsoku w:val="0"/>
        <w:snapToGrid w:val="0"/>
        <w:ind w:left="2890"/>
        <w:jc w:val="both"/>
        <w:textAlignment w:val="baseline"/>
        <w:rPr>
          <w:rFonts w:ascii="宋体" w:hAnsi="宋体" w:cs="宋体"/>
          <w:i w:val="0"/>
          <w:iCs w:val="0"/>
          <w:strike w:val="0"/>
          <w:dstrike w:val="0"/>
          <w:color w:val="auto"/>
          <w:highlight w:val="none"/>
        </w:rPr>
      </w:pPr>
      <w:r>
        <w:rPr>
          <w:rFonts w:ascii="宋体" w:hAnsi="宋体" w:cs="宋体"/>
          <w:i w:val="0"/>
          <w:iCs w:val="0"/>
          <w:strike w:val="0"/>
          <w:dstrike w:val="0"/>
          <w:color w:val="auto"/>
          <w:spacing w:val="-24"/>
          <w:highlight w:val="none"/>
        </w:rPr>
        <w:t>成员名称</w:t>
      </w:r>
      <w:r>
        <w:rPr>
          <w:rFonts w:hint="eastAsia" w:ascii="宋体" w:hAnsi="宋体" w:cs="宋体"/>
          <w:i w:val="0"/>
          <w:iCs w:val="0"/>
          <w:strike w:val="0"/>
          <w:dstrike w:val="0"/>
          <w:color w:val="auto"/>
          <w:spacing w:val="-24"/>
          <w:highlight w:val="none"/>
        </w:rPr>
        <w:t xml:space="preserve"> </w:t>
      </w:r>
      <w:r>
        <w:rPr>
          <w:rFonts w:ascii="宋体" w:hAnsi="宋体" w:cs="宋体"/>
          <w:i w:val="0"/>
          <w:iCs w:val="0"/>
          <w:strike w:val="0"/>
          <w:dstrike w:val="0"/>
          <w:color w:val="auto"/>
          <w:spacing w:val="-24"/>
          <w:highlight w:val="none"/>
        </w:rPr>
        <w:t>：</w:t>
      </w:r>
      <w:r>
        <w:rPr>
          <w:rFonts w:ascii="宋体" w:hAnsi="宋体" w:cs="宋体"/>
          <w:i w:val="0"/>
          <w:iCs w:val="0"/>
          <w:strike w:val="0"/>
          <w:dstrike w:val="0"/>
          <w:color w:val="auto"/>
          <w:spacing w:val="5"/>
          <w:highlight w:val="none"/>
          <w:u w:val="single"/>
        </w:rPr>
        <w:t xml:space="preserve">    </w:t>
      </w:r>
      <w:r>
        <w:rPr>
          <w:rFonts w:hint="eastAsia" w:ascii="宋体" w:hAnsi="宋体" w:cs="宋体"/>
          <w:i w:val="0"/>
          <w:iCs w:val="0"/>
          <w:strike w:val="0"/>
          <w:dstrike w:val="0"/>
          <w:color w:val="auto"/>
          <w:spacing w:val="5"/>
          <w:highlight w:val="none"/>
          <w:u w:val="single"/>
        </w:rPr>
        <w:t xml:space="preserve">         </w:t>
      </w:r>
      <w:r>
        <w:rPr>
          <w:rFonts w:ascii="宋体" w:hAnsi="宋体" w:cs="宋体"/>
          <w:i w:val="0"/>
          <w:iCs w:val="0"/>
          <w:strike w:val="0"/>
          <w:dstrike w:val="0"/>
          <w:color w:val="auto"/>
          <w:spacing w:val="5"/>
          <w:highlight w:val="none"/>
          <w:u w:val="single"/>
        </w:rPr>
        <w:t xml:space="preserve">      </w:t>
      </w:r>
      <w:r>
        <w:rPr>
          <w:rFonts w:ascii="宋体" w:hAnsi="宋体" w:cs="宋体"/>
          <w:i w:val="0"/>
          <w:iCs w:val="0"/>
          <w:strike w:val="0"/>
          <w:dstrike w:val="0"/>
          <w:color w:val="auto"/>
          <w:spacing w:val="-24"/>
          <w:highlight w:val="none"/>
          <w:u w:val="single"/>
        </w:rPr>
        <w:t>(</w:t>
      </w:r>
      <w:r>
        <w:rPr>
          <w:rFonts w:ascii="宋体" w:hAnsi="宋体" w:cs="宋体"/>
          <w:i w:val="0"/>
          <w:iCs w:val="0"/>
          <w:strike w:val="0"/>
          <w:dstrike w:val="0"/>
          <w:color w:val="auto"/>
          <w:spacing w:val="13"/>
          <w:highlight w:val="none"/>
          <w:u w:val="single"/>
        </w:rPr>
        <w:t xml:space="preserve"> </w:t>
      </w:r>
      <w:r>
        <w:rPr>
          <w:rFonts w:ascii="宋体" w:hAnsi="宋体" w:cs="宋体"/>
          <w:i w:val="0"/>
          <w:iCs w:val="0"/>
          <w:strike w:val="0"/>
          <w:dstrike w:val="0"/>
          <w:color w:val="auto"/>
          <w:spacing w:val="-24"/>
          <w:highlight w:val="none"/>
          <w:u w:val="single"/>
        </w:rPr>
        <w:t>单</w:t>
      </w:r>
      <w:r>
        <w:rPr>
          <w:rFonts w:ascii="宋体" w:hAnsi="宋体" w:cs="宋体"/>
          <w:i w:val="0"/>
          <w:iCs w:val="0"/>
          <w:strike w:val="0"/>
          <w:dstrike w:val="0"/>
          <w:color w:val="auto"/>
          <w:spacing w:val="9"/>
          <w:highlight w:val="none"/>
          <w:u w:val="single"/>
        </w:rPr>
        <w:t xml:space="preserve"> </w:t>
      </w:r>
      <w:r>
        <w:rPr>
          <w:rFonts w:ascii="宋体" w:hAnsi="宋体" w:cs="宋体"/>
          <w:i w:val="0"/>
          <w:iCs w:val="0"/>
          <w:strike w:val="0"/>
          <w:dstrike w:val="0"/>
          <w:color w:val="auto"/>
          <w:spacing w:val="-24"/>
          <w:highlight w:val="none"/>
          <w:u w:val="single"/>
        </w:rPr>
        <w:t>位</w:t>
      </w:r>
      <w:r>
        <w:rPr>
          <w:rFonts w:ascii="宋体" w:hAnsi="宋体" w:cs="宋体"/>
          <w:i w:val="0"/>
          <w:iCs w:val="0"/>
          <w:strike w:val="0"/>
          <w:dstrike w:val="0"/>
          <w:color w:val="auto"/>
          <w:spacing w:val="10"/>
          <w:highlight w:val="none"/>
          <w:u w:val="single"/>
        </w:rPr>
        <w:t xml:space="preserve"> </w:t>
      </w:r>
      <w:r>
        <w:rPr>
          <w:rFonts w:ascii="宋体" w:hAnsi="宋体" w:cs="宋体"/>
          <w:i w:val="0"/>
          <w:iCs w:val="0"/>
          <w:strike w:val="0"/>
          <w:dstrike w:val="0"/>
          <w:color w:val="auto"/>
          <w:spacing w:val="-24"/>
          <w:highlight w:val="none"/>
          <w:u w:val="single"/>
        </w:rPr>
        <w:t>盖</w:t>
      </w:r>
      <w:r>
        <w:rPr>
          <w:rFonts w:ascii="宋体" w:hAnsi="宋体" w:cs="宋体"/>
          <w:i w:val="0"/>
          <w:iCs w:val="0"/>
          <w:strike w:val="0"/>
          <w:dstrike w:val="0"/>
          <w:color w:val="auto"/>
          <w:spacing w:val="18"/>
          <w:highlight w:val="none"/>
          <w:u w:val="single"/>
        </w:rPr>
        <w:t xml:space="preserve"> </w:t>
      </w:r>
      <w:r>
        <w:rPr>
          <w:rFonts w:ascii="宋体" w:hAnsi="宋体" w:cs="宋体"/>
          <w:i w:val="0"/>
          <w:iCs w:val="0"/>
          <w:strike w:val="0"/>
          <w:dstrike w:val="0"/>
          <w:color w:val="auto"/>
          <w:spacing w:val="-24"/>
          <w:highlight w:val="none"/>
          <w:u w:val="single"/>
        </w:rPr>
        <w:t>章</w:t>
      </w:r>
      <w:r>
        <w:rPr>
          <w:rFonts w:ascii="宋体" w:hAnsi="宋体" w:cs="宋体"/>
          <w:i w:val="0"/>
          <w:iCs w:val="0"/>
          <w:strike w:val="0"/>
          <w:dstrike w:val="0"/>
          <w:color w:val="auto"/>
          <w:spacing w:val="10"/>
          <w:highlight w:val="none"/>
          <w:u w:val="single"/>
        </w:rPr>
        <w:t xml:space="preserve"> </w:t>
      </w:r>
      <w:r>
        <w:rPr>
          <w:rFonts w:ascii="宋体" w:hAnsi="宋体" w:cs="宋体"/>
          <w:i w:val="0"/>
          <w:iCs w:val="0"/>
          <w:strike w:val="0"/>
          <w:dstrike w:val="0"/>
          <w:color w:val="auto"/>
          <w:spacing w:val="-24"/>
          <w:highlight w:val="none"/>
          <w:u w:val="single"/>
        </w:rPr>
        <w:t>)</w:t>
      </w:r>
      <w:r>
        <w:rPr>
          <w:rFonts w:ascii="宋体" w:hAnsi="宋体" w:cs="宋体"/>
          <w:i w:val="0"/>
          <w:iCs w:val="0"/>
          <w:strike w:val="0"/>
          <w:dstrike w:val="0"/>
          <w:color w:val="auto"/>
          <w:highlight w:val="none"/>
          <w:u w:val="single"/>
        </w:rPr>
        <w:t xml:space="preserve">       </w:t>
      </w:r>
    </w:p>
    <w:p w14:paraId="2A49E5B2">
      <w:pPr>
        <w:widowControl/>
        <w:kinsoku w:val="0"/>
        <w:snapToGrid w:val="0"/>
        <w:ind w:left="2890"/>
        <w:textAlignment w:val="baseline"/>
        <w:rPr>
          <w:rFonts w:ascii="宋体" w:hAnsi="宋体" w:cs="宋体"/>
          <w:i w:val="0"/>
          <w:iCs w:val="0"/>
          <w:strike w:val="0"/>
          <w:dstrike w:val="0"/>
          <w:color w:val="auto"/>
          <w:spacing w:val="11"/>
          <w:highlight w:val="none"/>
        </w:rPr>
      </w:pPr>
    </w:p>
    <w:p w14:paraId="5158B0CE">
      <w:pPr>
        <w:widowControl/>
        <w:tabs>
          <w:tab w:val="left" w:pos="6790"/>
        </w:tabs>
        <w:kinsoku w:val="0"/>
        <w:snapToGrid w:val="0"/>
        <w:ind w:left="5469" w:hanging="9"/>
        <w:textAlignment w:val="baseline"/>
        <w:rPr>
          <w:rFonts w:hint="eastAsia"/>
          <w:i w:val="0"/>
          <w:iCs w:val="0"/>
          <w:strike w:val="0"/>
          <w:dstrike w:val="0"/>
          <w:color w:val="auto"/>
          <w:highlight w:val="none"/>
        </w:rPr>
      </w:pPr>
      <w:r>
        <w:rPr>
          <w:rFonts w:ascii="宋体" w:hAnsi="宋体" w:cs="宋体"/>
          <w:i w:val="0"/>
          <w:iCs w:val="0"/>
          <w:strike w:val="0"/>
          <w:dstrike w:val="0"/>
          <w:color w:val="auto"/>
          <w:highlight w:val="none"/>
          <w:u w:val="single"/>
        </w:rPr>
        <w:tab/>
      </w:r>
      <w:r>
        <w:rPr>
          <w:rFonts w:ascii="宋体" w:hAnsi="宋体" w:cs="宋体"/>
          <w:i w:val="0"/>
          <w:iCs w:val="0"/>
          <w:strike w:val="0"/>
          <w:dstrike w:val="0"/>
          <w:color w:val="auto"/>
          <w:spacing w:val="-99"/>
          <w:highlight w:val="none"/>
        </w:rPr>
        <w:t xml:space="preserve"> </w:t>
      </w:r>
      <w:r>
        <w:rPr>
          <w:rFonts w:ascii="宋体" w:hAnsi="宋体" w:cs="宋体"/>
          <w:i w:val="0"/>
          <w:iCs w:val="0"/>
          <w:strike w:val="0"/>
          <w:dstrike w:val="0"/>
          <w:color w:val="auto"/>
          <w:spacing w:val="-29"/>
          <w:highlight w:val="none"/>
        </w:rPr>
        <w:t>年</w:t>
      </w:r>
      <w:r>
        <w:rPr>
          <w:rFonts w:ascii="宋体" w:hAnsi="宋体" w:cs="宋体"/>
          <w:i w:val="0"/>
          <w:iCs w:val="0"/>
          <w:strike w:val="0"/>
          <w:dstrike w:val="0"/>
          <w:color w:val="auto"/>
          <w:spacing w:val="-110"/>
          <w:highlight w:val="none"/>
        </w:rPr>
        <w:t xml:space="preserve"> </w:t>
      </w:r>
      <w:r>
        <w:rPr>
          <w:rFonts w:ascii="宋体" w:hAnsi="宋体" w:cs="宋体"/>
          <w:i w:val="0"/>
          <w:iCs w:val="0"/>
          <w:strike w:val="0"/>
          <w:dstrike w:val="0"/>
          <w:color w:val="auto"/>
          <w:spacing w:val="27"/>
          <w:highlight w:val="none"/>
          <w:u w:val="single"/>
        </w:rPr>
        <w:t xml:space="preserve">    </w:t>
      </w:r>
      <w:r>
        <w:rPr>
          <w:rFonts w:ascii="宋体" w:hAnsi="宋体" w:cs="宋体"/>
          <w:i w:val="0"/>
          <w:iCs w:val="0"/>
          <w:strike w:val="0"/>
          <w:dstrike w:val="0"/>
          <w:color w:val="auto"/>
          <w:spacing w:val="-98"/>
          <w:highlight w:val="none"/>
        </w:rPr>
        <w:t xml:space="preserve"> </w:t>
      </w:r>
      <w:r>
        <w:rPr>
          <w:rFonts w:ascii="宋体" w:hAnsi="宋体" w:cs="宋体"/>
          <w:i w:val="0"/>
          <w:iCs w:val="0"/>
          <w:strike w:val="0"/>
          <w:dstrike w:val="0"/>
          <w:color w:val="auto"/>
          <w:spacing w:val="-29"/>
          <w:highlight w:val="none"/>
        </w:rPr>
        <w:t>月</w:t>
      </w:r>
      <w:r>
        <w:rPr>
          <w:rFonts w:ascii="宋体" w:hAnsi="宋体" w:cs="宋体"/>
          <w:i w:val="0"/>
          <w:iCs w:val="0"/>
          <w:strike w:val="0"/>
          <w:dstrike w:val="0"/>
          <w:color w:val="auto"/>
          <w:spacing w:val="26"/>
          <w:highlight w:val="none"/>
          <w:u w:val="single"/>
        </w:rPr>
        <w:t xml:space="preserve"> </w:t>
      </w:r>
      <w:r>
        <w:rPr>
          <w:rFonts w:hint="eastAsia" w:ascii="宋体" w:hAnsi="宋体" w:cs="宋体"/>
          <w:i w:val="0"/>
          <w:iCs w:val="0"/>
          <w:strike w:val="0"/>
          <w:dstrike w:val="0"/>
          <w:color w:val="auto"/>
          <w:spacing w:val="26"/>
          <w:highlight w:val="none"/>
          <w:u w:val="single"/>
        </w:rPr>
        <w:t xml:space="preserve">  </w:t>
      </w:r>
      <w:r>
        <w:rPr>
          <w:rFonts w:ascii="宋体" w:hAnsi="宋体" w:cs="宋体"/>
          <w:i w:val="0"/>
          <w:iCs w:val="0"/>
          <w:strike w:val="0"/>
          <w:dstrike w:val="0"/>
          <w:color w:val="auto"/>
          <w:spacing w:val="26"/>
          <w:highlight w:val="none"/>
          <w:u w:val="single"/>
        </w:rPr>
        <w:t xml:space="preserve"> </w:t>
      </w:r>
      <w:r>
        <w:rPr>
          <w:rFonts w:ascii="宋体" w:hAnsi="宋体" w:cs="宋体"/>
          <w:i w:val="0"/>
          <w:iCs w:val="0"/>
          <w:strike w:val="0"/>
          <w:dstrike w:val="0"/>
          <w:color w:val="auto"/>
          <w:spacing w:val="-29"/>
          <w:highlight w:val="none"/>
        </w:rPr>
        <w:t>日</w:t>
      </w:r>
    </w:p>
    <w:p w14:paraId="6F7A15E5">
      <w:pPr>
        <w:spacing w:line="480" w:lineRule="auto"/>
        <w:ind w:firstLine="2891" w:firstLineChars="800"/>
        <w:jc w:val="both"/>
        <w:rPr>
          <w:i w:val="0"/>
          <w:iCs w:val="0"/>
          <w:color w:val="auto"/>
          <w:highlight w:val="none"/>
        </w:rPr>
      </w:pPr>
      <w:r>
        <w:rPr>
          <w:rFonts w:hint="eastAsia" w:ascii="宋体" w:hAnsi="宋体"/>
          <w:b/>
          <w:bCs/>
          <w:i w:val="0"/>
          <w:iCs w:val="0"/>
          <w:color w:val="auto"/>
          <w:sz w:val="36"/>
          <w:szCs w:val="36"/>
          <w:highlight w:val="none"/>
        </w:rPr>
        <w:t>投标保证金</w:t>
      </w:r>
    </w:p>
    <w:p w14:paraId="436F63A2">
      <w:pPr>
        <w:tabs>
          <w:tab w:val="left" w:pos="312"/>
        </w:tabs>
        <w:spacing w:before="156" w:beforeLines="50" w:after="156" w:afterLines="50"/>
        <w:jc w:val="both"/>
        <w:rPr>
          <w:rFonts w:hint="eastAsia"/>
          <w:bCs/>
          <w:i w:val="0"/>
          <w:iCs w:val="0"/>
          <w:color w:val="auto"/>
          <w:highlight w:val="none"/>
        </w:rPr>
      </w:pPr>
      <w:r>
        <w:rPr>
          <w:rFonts w:hint="eastAsia"/>
          <w:bCs/>
          <w:i w:val="0"/>
          <w:iCs w:val="0"/>
          <w:color w:val="auto"/>
          <w:highlight w:val="none"/>
        </w:rPr>
        <w:t>1.采用转账形式缴纳的，提供银行转账凭证（记录）及基本账户开户证明。</w:t>
      </w:r>
    </w:p>
    <w:p w14:paraId="1D9EF137">
      <w:pPr>
        <w:tabs>
          <w:tab w:val="left" w:pos="312"/>
        </w:tabs>
        <w:spacing w:before="156" w:beforeLines="50" w:after="156" w:afterLines="50"/>
        <w:jc w:val="both"/>
        <w:rPr>
          <w:rFonts w:hint="eastAsia"/>
          <w:bCs/>
          <w:i w:val="0"/>
          <w:iCs w:val="0"/>
          <w:color w:val="auto"/>
          <w:highlight w:val="none"/>
        </w:rPr>
      </w:pPr>
      <w:r>
        <w:rPr>
          <w:rFonts w:hint="eastAsia"/>
          <w:bCs/>
          <w:i w:val="0"/>
          <w:iCs w:val="0"/>
          <w:color w:val="auto"/>
          <w:highlight w:val="none"/>
        </w:rPr>
        <w:t>2.采用银行保函或投标保险保单或担保保函的，提供保函、购买保险或办理保函、担保等保证金相关费用从投标人基本账户转出的凭证、基本账户开户证明。</w:t>
      </w:r>
    </w:p>
    <w:p w14:paraId="70475797">
      <w:pPr>
        <w:tabs>
          <w:tab w:val="left" w:pos="312"/>
        </w:tabs>
        <w:spacing w:before="156" w:beforeLines="50"/>
        <w:jc w:val="both"/>
        <w:rPr>
          <w:rFonts w:hint="eastAsia"/>
          <w:bCs/>
          <w:i w:val="0"/>
          <w:iCs w:val="0"/>
          <w:color w:val="auto"/>
          <w:highlight w:val="none"/>
        </w:rPr>
      </w:pPr>
    </w:p>
    <w:p w14:paraId="5C192FF4">
      <w:pPr>
        <w:tabs>
          <w:tab w:val="left" w:pos="312"/>
        </w:tabs>
        <w:spacing w:before="156" w:beforeLines="50"/>
        <w:jc w:val="both"/>
        <w:rPr>
          <w:rFonts w:hint="eastAsia"/>
          <w:bCs/>
          <w:i w:val="0"/>
          <w:iCs w:val="0"/>
          <w:color w:val="auto"/>
          <w:highlight w:val="none"/>
        </w:rPr>
      </w:pPr>
    </w:p>
    <w:p w14:paraId="4698FBB8">
      <w:pPr>
        <w:tabs>
          <w:tab w:val="left" w:pos="312"/>
        </w:tabs>
        <w:spacing w:before="156" w:beforeLines="50"/>
        <w:jc w:val="both"/>
        <w:rPr>
          <w:rFonts w:hint="eastAsia"/>
          <w:bCs/>
          <w:i w:val="0"/>
          <w:iCs w:val="0"/>
          <w:color w:val="auto"/>
          <w:highlight w:val="none"/>
        </w:rPr>
      </w:pPr>
    </w:p>
    <w:p w14:paraId="43DA14A2">
      <w:pPr>
        <w:tabs>
          <w:tab w:val="left" w:pos="312"/>
        </w:tabs>
        <w:spacing w:before="156" w:beforeLines="50"/>
        <w:jc w:val="both"/>
        <w:rPr>
          <w:rFonts w:hint="eastAsia"/>
          <w:bCs/>
          <w:i w:val="0"/>
          <w:iCs w:val="0"/>
          <w:color w:val="auto"/>
          <w:highlight w:val="none"/>
        </w:rPr>
      </w:pPr>
    </w:p>
    <w:p w14:paraId="32EED7FD">
      <w:pPr>
        <w:tabs>
          <w:tab w:val="left" w:pos="312"/>
        </w:tabs>
        <w:spacing w:before="156" w:beforeLines="50"/>
        <w:jc w:val="both"/>
        <w:rPr>
          <w:rFonts w:hint="eastAsia"/>
          <w:bCs/>
          <w:i w:val="0"/>
          <w:iCs w:val="0"/>
          <w:color w:val="auto"/>
          <w:highlight w:val="none"/>
        </w:rPr>
      </w:pPr>
    </w:p>
    <w:p w14:paraId="5B1E08EF">
      <w:pPr>
        <w:tabs>
          <w:tab w:val="left" w:pos="312"/>
        </w:tabs>
        <w:spacing w:before="156" w:beforeLines="50"/>
        <w:jc w:val="both"/>
        <w:rPr>
          <w:rFonts w:hint="eastAsia"/>
          <w:bCs/>
          <w:i w:val="0"/>
          <w:iCs w:val="0"/>
          <w:color w:val="auto"/>
          <w:highlight w:val="none"/>
        </w:rPr>
      </w:pPr>
    </w:p>
    <w:p w14:paraId="4C80BA38">
      <w:pPr>
        <w:tabs>
          <w:tab w:val="left" w:pos="312"/>
        </w:tabs>
        <w:spacing w:before="156" w:beforeLines="50"/>
        <w:jc w:val="both"/>
        <w:rPr>
          <w:rFonts w:hint="eastAsia"/>
          <w:bCs/>
          <w:i w:val="0"/>
          <w:iCs w:val="0"/>
          <w:color w:val="auto"/>
          <w:highlight w:val="none"/>
        </w:rPr>
      </w:pPr>
    </w:p>
    <w:p w14:paraId="69E4D2D8">
      <w:pPr>
        <w:tabs>
          <w:tab w:val="left" w:pos="312"/>
        </w:tabs>
        <w:spacing w:before="156" w:beforeLines="50"/>
        <w:jc w:val="both"/>
        <w:rPr>
          <w:rFonts w:hint="eastAsia"/>
          <w:bCs/>
          <w:i w:val="0"/>
          <w:iCs w:val="0"/>
          <w:color w:val="auto"/>
          <w:highlight w:val="none"/>
        </w:rPr>
      </w:pPr>
    </w:p>
    <w:p w14:paraId="214A6E9A">
      <w:pPr>
        <w:tabs>
          <w:tab w:val="left" w:pos="312"/>
        </w:tabs>
        <w:spacing w:before="156" w:beforeLines="50"/>
        <w:jc w:val="both"/>
        <w:rPr>
          <w:rFonts w:hint="eastAsia"/>
          <w:bCs/>
          <w:i w:val="0"/>
          <w:iCs w:val="0"/>
          <w:color w:val="auto"/>
          <w:highlight w:val="none"/>
        </w:rPr>
      </w:pPr>
    </w:p>
    <w:p w14:paraId="4C689B3E">
      <w:pPr>
        <w:tabs>
          <w:tab w:val="left" w:pos="312"/>
        </w:tabs>
        <w:spacing w:before="156" w:beforeLines="50"/>
        <w:jc w:val="both"/>
        <w:rPr>
          <w:rFonts w:hint="eastAsia"/>
          <w:bCs/>
          <w:i w:val="0"/>
          <w:iCs w:val="0"/>
          <w:color w:val="auto"/>
          <w:highlight w:val="none"/>
        </w:rPr>
      </w:pPr>
    </w:p>
    <w:p w14:paraId="1A6EA1D6">
      <w:pPr>
        <w:tabs>
          <w:tab w:val="left" w:pos="312"/>
        </w:tabs>
        <w:spacing w:before="156" w:beforeLines="50"/>
        <w:jc w:val="both"/>
        <w:rPr>
          <w:rFonts w:hint="eastAsia"/>
          <w:bCs/>
          <w:i w:val="0"/>
          <w:iCs w:val="0"/>
          <w:color w:val="auto"/>
          <w:highlight w:val="none"/>
        </w:rPr>
      </w:pPr>
    </w:p>
    <w:p w14:paraId="078AF01E">
      <w:pPr>
        <w:tabs>
          <w:tab w:val="left" w:pos="312"/>
        </w:tabs>
        <w:spacing w:before="156" w:beforeLines="50"/>
        <w:jc w:val="both"/>
        <w:rPr>
          <w:rFonts w:hint="eastAsia"/>
          <w:bCs/>
          <w:i w:val="0"/>
          <w:iCs w:val="0"/>
          <w:color w:val="auto"/>
          <w:highlight w:val="none"/>
        </w:rPr>
      </w:pPr>
    </w:p>
    <w:p w14:paraId="587DF870">
      <w:pPr>
        <w:tabs>
          <w:tab w:val="left" w:pos="312"/>
        </w:tabs>
        <w:spacing w:before="156" w:beforeLines="50"/>
        <w:jc w:val="both"/>
        <w:rPr>
          <w:rFonts w:hint="eastAsia"/>
          <w:bCs/>
          <w:i w:val="0"/>
          <w:iCs w:val="0"/>
          <w:color w:val="auto"/>
          <w:highlight w:val="none"/>
        </w:rPr>
      </w:pPr>
    </w:p>
    <w:p w14:paraId="3F42763A">
      <w:pPr>
        <w:tabs>
          <w:tab w:val="left" w:pos="312"/>
        </w:tabs>
        <w:spacing w:before="156" w:beforeLines="50"/>
        <w:jc w:val="both"/>
        <w:rPr>
          <w:rFonts w:hint="eastAsia"/>
          <w:bCs/>
          <w:i w:val="0"/>
          <w:iCs w:val="0"/>
          <w:color w:val="auto"/>
          <w:highlight w:val="none"/>
        </w:rPr>
      </w:pPr>
    </w:p>
    <w:p w14:paraId="3E833E81">
      <w:pPr>
        <w:tabs>
          <w:tab w:val="left" w:pos="312"/>
        </w:tabs>
        <w:spacing w:before="156" w:beforeLines="50"/>
        <w:jc w:val="both"/>
        <w:rPr>
          <w:rFonts w:hint="eastAsia"/>
          <w:bCs/>
          <w:i w:val="0"/>
          <w:iCs w:val="0"/>
          <w:color w:val="auto"/>
          <w:highlight w:val="none"/>
        </w:rPr>
      </w:pPr>
    </w:p>
    <w:p w14:paraId="5F023DE4">
      <w:pPr>
        <w:tabs>
          <w:tab w:val="left" w:pos="312"/>
        </w:tabs>
        <w:spacing w:before="156" w:beforeLines="50"/>
        <w:jc w:val="both"/>
        <w:rPr>
          <w:rFonts w:hint="eastAsia"/>
          <w:bCs/>
          <w:i w:val="0"/>
          <w:iCs w:val="0"/>
          <w:color w:val="auto"/>
          <w:highlight w:val="none"/>
        </w:rPr>
      </w:pPr>
    </w:p>
    <w:p w14:paraId="5323DF29">
      <w:pPr>
        <w:tabs>
          <w:tab w:val="left" w:pos="312"/>
        </w:tabs>
        <w:spacing w:before="156" w:beforeLines="50"/>
        <w:jc w:val="both"/>
        <w:rPr>
          <w:rFonts w:hint="eastAsia"/>
          <w:bCs/>
          <w:i w:val="0"/>
          <w:iCs w:val="0"/>
          <w:color w:val="auto"/>
          <w:highlight w:val="none"/>
        </w:rPr>
      </w:pPr>
    </w:p>
    <w:p w14:paraId="0CD2B6BC">
      <w:pPr>
        <w:tabs>
          <w:tab w:val="left" w:pos="312"/>
        </w:tabs>
        <w:spacing w:before="156" w:beforeLines="50"/>
        <w:jc w:val="both"/>
        <w:rPr>
          <w:rFonts w:hint="eastAsia"/>
          <w:bCs/>
          <w:i w:val="0"/>
          <w:iCs w:val="0"/>
          <w:color w:val="auto"/>
          <w:highlight w:val="none"/>
        </w:rPr>
      </w:pPr>
    </w:p>
    <w:p w14:paraId="09F9AC81">
      <w:pPr>
        <w:tabs>
          <w:tab w:val="left" w:pos="312"/>
        </w:tabs>
        <w:spacing w:before="156" w:beforeLines="50"/>
        <w:jc w:val="both"/>
        <w:rPr>
          <w:rFonts w:hint="eastAsia"/>
          <w:bCs/>
          <w:i w:val="0"/>
          <w:iCs w:val="0"/>
          <w:color w:val="auto"/>
          <w:highlight w:val="none"/>
        </w:rPr>
      </w:pPr>
    </w:p>
    <w:p w14:paraId="7A6171C8">
      <w:pPr>
        <w:tabs>
          <w:tab w:val="left" w:pos="312"/>
        </w:tabs>
        <w:spacing w:before="156" w:beforeLines="50"/>
        <w:jc w:val="both"/>
        <w:rPr>
          <w:rFonts w:hint="eastAsia"/>
          <w:bCs/>
          <w:i w:val="0"/>
          <w:iCs w:val="0"/>
          <w:color w:val="auto"/>
          <w:highlight w:val="none"/>
        </w:rPr>
      </w:pPr>
    </w:p>
    <w:p w14:paraId="46CB5685">
      <w:pPr>
        <w:tabs>
          <w:tab w:val="left" w:pos="312"/>
        </w:tabs>
        <w:spacing w:before="156" w:beforeLines="50"/>
        <w:jc w:val="both"/>
        <w:rPr>
          <w:rFonts w:hint="eastAsia"/>
          <w:bCs/>
          <w:i w:val="0"/>
          <w:iCs w:val="0"/>
          <w:color w:val="auto"/>
          <w:highlight w:val="none"/>
        </w:rPr>
      </w:pPr>
    </w:p>
    <w:p w14:paraId="78582429">
      <w:pPr>
        <w:jc w:val="center"/>
        <w:rPr>
          <w:rFonts w:hint="eastAsia" w:ascii="宋体" w:hAnsi="宋体"/>
          <w:b/>
          <w:bCs/>
          <w:i w:val="0"/>
          <w:iCs w:val="0"/>
          <w:color w:val="auto"/>
          <w:sz w:val="28"/>
          <w:szCs w:val="28"/>
          <w:highlight w:val="none"/>
        </w:rPr>
      </w:pPr>
    </w:p>
    <w:p w14:paraId="6FBC962B">
      <w:pPr>
        <w:jc w:val="center"/>
        <w:rPr>
          <w:rFonts w:hint="eastAsia" w:ascii="宋体" w:hAnsi="宋体"/>
          <w:b/>
          <w:bCs/>
          <w:i w:val="0"/>
          <w:iCs w:val="0"/>
          <w:color w:val="auto"/>
          <w:sz w:val="28"/>
          <w:szCs w:val="28"/>
          <w:highlight w:val="none"/>
        </w:rPr>
      </w:pPr>
      <w:r>
        <w:rPr>
          <w:rFonts w:hint="eastAsia" w:ascii="宋体" w:hAnsi="宋体"/>
          <w:b/>
          <w:bCs/>
          <w:i w:val="0"/>
          <w:iCs w:val="0"/>
          <w:color w:val="auto"/>
          <w:sz w:val="28"/>
          <w:szCs w:val="28"/>
          <w:highlight w:val="none"/>
        </w:rPr>
        <w:t>投标保函</w:t>
      </w:r>
    </w:p>
    <w:p w14:paraId="24BF55CA">
      <w:pPr>
        <w:jc w:val="center"/>
        <w:rPr>
          <w:rFonts w:hint="eastAsia" w:ascii="方正仿宋" w:hAnsi="新宋体" w:eastAsia="方正仿宋"/>
          <w:i w:val="0"/>
          <w:iCs w:val="0"/>
          <w:color w:val="auto"/>
          <w:sz w:val="28"/>
          <w:szCs w:val="28"/>
          <w:highlight w:val="none"/>
        </w:rPr>
      </w:pPr>
      <w:r>
        <w:rPr>
          <w:rFonts w:ascii="方正仿宋" w:hAnsi="新宋体" w:eastAsia="方正仿宋"/>
          <w:i w:val="0"/>
          <w:iCs w:val="0"/>
          <w:color w:val="auto"/>
          <w:sz w:val="28"/>
          <w:szCs w:val="28"/>
          <w:highlight w:val="none"/>
        </w:rPr>
        <w:t>编号</w:t>
      </w:r>
      <w:r>
        <w:rPr>
          <w:rFonts w:hint="eastAsia" w:ascii="方正仿宋" w:hAnsi="新宋体" w:eastAsia="方正仿宋"/>
          <w:i w:val="0"/>
          <w:iCs w:val="0"/>
          <w:color w:val="auto"/>
          <w:sz w:val="28"/>
          <w:szCs w:val="28"/>
          <w:highlight w:val="none"/>
        </w:rPr>
        <w:t>：</w:t>
      </w:r>
    </w:p>
    <w:p w14:paraId="07D47E49">
      <w:pPr>
        <w:jc w:val="both"/>
        <w:rPr>
          <w:rFonts w:ascii="方正仿宋"/>
          <w:i w:val="0"/>
          <w:iCs w:val="0"/>
          <w:color w:val="auto"/>
          <w:highlight w:val="none"/>
        </w:rPr>
      </w:pPr>
      <w:r>
        <w:rPr>
          <w:rFonts w:hint="eastAsia" w:ascii="方正仿宋"/>
          <w:i w:val="0"/>
          <w:iCs w:val="0"/>
          <w:color w:val="auto"/>
          <w:highlight w:val="none"/>
        </w:rPr>
        <w:t xml:space="preserve">致 </w:t>
      </w:r>
      <w:r>
        <w:rPr>
          <w:rFonts w:ascii="方正仿宋"/>
          <w:i w:val="0"/>
          <w:iCs w:val="0"/>
          <w:color w:val="auto"/>
          <w:highlight w:val="none"/>
          <w:u w:val="single"/>
        </w:rPr>
        <w:t xml:space="preserve">     </w:t>
      </w:r>
      <w:r>
        <w:rPr>
          <w:rFonts w:hint="eastAsia" w:ascii="方正仿宋"/>
          <w:i w:val="0"/>
          <w:iCs w:val="0"/>
          <w:color w:val="auto"/>
          <w:highlight w:val="none"/>
          <w:u w:val="single"/>
        </w:rPr>
        <w:t>招标</w:t>
      </w:r>
      <w:r>
        <w:rPr>
          <w:rFonts w:ascii="方正仿宋"/>
          <w:i w:val="0"/>
          <w:iCs w:val="0"/>
          <w:color w:val="auto"/>
          <w:highlight w:val="none"/>
          <w:u w:val="single"/>
        </w:rPr>
        <w:t>人</w:t>
      </w:r>
      <w:r>
        <w:rPr>
          <w:rFonts w:hint="eastAsia" w:ascii="方正仿宋"/>
          <w:i w:val="0"/>
          <w:iCs w:val="0"/>
          <w:color w:val="auto"/>
          <w:highlight w:val="none"/>
          <w:u w:val="single"/>
        </w:rPr>
        <w:t xml:space="preserve">        </w:t>
      </w:r>
      <w:r>
        <w:rPr>
          <w:rFonts w:hint="eastAsia" w:ascii="方正仿宋"/>
          <w:i w:val="0"/>
          <w:iCs w:val="0"/>
          <w:color w:val="auto"/>
          <w:highlight w:val="none"/>
        </w:rPr>
        <w:t>：</w:t>
      </w:r>
    </w:p>
    <w:p w14:paraId="360C6F37">
      <w:pPr>
        <w:ind w:firstLine="480" w:firstLineChars="200"/>
        <w:jc w:val="both"/>
        <w:rPr>
          <w:rFonts w:ascii="方正仿宋"/>
          <w:i w:val="0"/>
          <w:iCs w:val="0"/>
          <w:color w:val="auto"/>
          <w:highlight w:val="none"/>
        </w:rPr>
      </w:pPr>
      <w:r>
        <w:rPr>
          <w:rFonts w:hint="eastAsia" w:ascii="方正仿宋"/>
          <w:i w:val="0"/>
          <w:iCs w:val="0"/>
          <w:color w:val="auto"/>
          <w:highlight w:val="none"/>
        </w:rPr>
        <w:t>鉴于：</w:t>
      </w:r>
      <w:r>
        <w:rPr>
          <w:rFonts w:ascii="方正仿宋"/>
          <w:i w:val="0"/>
          <w:iCs w:val="0"/>
          <w:color w:val="auto"/>
          <w:highlight w:val="none"/>
          <w:u w:val="single"/>
        </w:rPr>
        <w:t xml:space="preserve">             </w:t>
      </w:r>
      <w:r>
        <w:rPr>
          <w:rFonts w:hint="eastAsia" w:ascii="方正仿宋"/>
          <w:i w:val="0"/>
          <w:iCs w:val="0"/>
          <w:color w:val="auto"/>
          <w:highlight w:val="none"/>
        </w:rPr>
        <w:t>（以下简称“投标人”）根据贵方发出的编号为</w:t>
      </w:r>
      <w:r>
        <w:rPr>
          <w:rFonts w:ascii="方正仿宋"/>
          <w:i w:val="0"/>
          <w:iCs w:val="0"/>
          <w:color w:val="auto"/>
          <w:highlight w:val="none"/>
          <w:u w:val="single"/>
        </w:rPr>
        <w:t xml:space="preserve">          </w:t>
      </w:r>
      <w:r>
        <w:rPr>
          <w:rFonts w:hint="eastAsia" w:ascii="方正仿宋"/>
          <w:i w:val="0"/>
          <w:iCs w:val="0"/>
          <w:color w:val="auto"/>
          <w:highlight w:val="none"/>
        </w:rPr>
        <w:t>的招标文件拟向贵方投标承接</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项目。根据招标文件，投标人需向贵方提交投标保函。</w:t>
      </w:r>
    </w:p>
    <w:p w14:paraId="3FC81243">
      <w:pPr>
        <w:ind w:firstLine="480" w:firstLineChars="200"/>
        <w:jc w:val="both"/>
        <w:rPr>
          <w:rFonts w:ascii="方正仿宋"/>
          <w:i w:val="0"/>
          <w:iCs w:val="0"/>
          <w:color w:val="auto"/>
          <w:highlight w:val="none"/>
        </w:rPr>
      </w:pPr>
      <w:r>
        <w:rPr>
          <w:rFonts w:hint="eastAsia" w:ascii="方正仿宋"/>
          <w:i w:val="0"/>
          <w:iCs w:val="0"/>
          <w:color w:val="auto"/>
          <w:highlight w:val="none"/>
        </w:rPr>
        <w:t>根据投标</w:t>
      </w:r>
      <w:r>
        <w:rPr>
          <w:rFonts w:ascii="方正仿宋"/>
          <w:i w:val="0"/>
          <w:iCs w:val="0"/>
          <w:color w:val="auto"/>
          <w:highlight w:val="none"/>
        </w:rPr>
        <w:t>人</w:t>
      </w:r>
      <w:r>
        <w:rPr>
          <w:rFonts w:hint="eastAsia" w:ascii="方正仿宋"/>
          <w:i w:val="0"/>
          <w:iCs w:val="0"/>
          <w:color w:val="auto"/>
          <w:highlight w:val="none"/>
        </w:rPr>
        <w:t>的申请，我行（下称“保证人”）在此向贵方（下称“受益人”）开立不可撤销，担保金额累计不超过</w:t>
      </w:r>
      <w:r>
        <w:rPr>
          <w:rFonts w:hint="eastAsia" w:ascii="方正仿宋"/>
          <w:i w:val="0"/>
          <w:iCs w:val="0"/>
          <w:color w:val="auto"/>
          <w:highlight w:val="none"/>
          <w:u w:val="single"/>
        </w:rPr>
        <w:t>______</w:t>
      </w:r>
      <w:r>
        <w:rPr>
          <w:rFonts w:hint="eastAsia" w:ascii="方正仿宋"/>
          <w:i w:val="0"/>
          <w:iCs w:val="0"/>
          <w:color w:val="auto"/>
          <w:highlight w:val="none"/>
        </w:rPr>
        <w:t>（币种）</w:t>
      </w:r>
      <w:r>
        <w:rPr>
          <w:rFonts w:ascii="方正仿宋"/>
          <w:i w:val="0"/>
          <w:iCs w:val="0"/>
          <w:color w:val="auto"/>
          <w:highlight w:val="none"/>
          <w:u w:val="single"/>
        </w:rPr>
        <w:t xml:space="preserve">      </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元（大写）</w:t>
      </w:r>
      <w:r>
        <w:rPr>
          <w:rFonts w:ascii="方正仿宋"/>
          <w:i w:val="0"/>
          <w:iCs w:val="0"/>
          <w:color w:val="auto"/>
          <w:highlight w:val="none"/>
          <w:u w:val="single"/>
        </w:rPr>
        <w:t xml:space="preserve">                       </w:t>
      </w:r>
      <w:r>
        <w:rPr>
          <w:rFonts w:hint="eastAsia" w:ascii="方正仿宋"/>
          <w:i w:val="0"/>
          <w:iCs w:val="0"/>
          <w:color w:val="auto"/>
          <w:highlight w:val="none"/>
        </w:rPr>
        <w:t>的投标保函（下称“本保函”）。</w:t>
      </w:r>
    </w:p>
    <w:p w14:paraId="5E22DEE4">
      <w:pPr>
        <w:ind w:firstLine="480" w:firstLineChars="200"/>
        <w:jc w:val="both"/>
        <w:rPr>
          <w:rFonts w:ascii="方正仿宋"/>
          <w:i w:val="0"/>
          <w:iCs w:val="0"/>
          <w:color w:val="auto"/>
          <w:highlight w:val="none"/>
        </w:rPr>
      </w:pPr>
      <w:r>
        <w:rPr>
          <w:rFonts w:hint="eastAsia" w:ascii="方正仿宋"/>
          <w:i w:val="0"/>
          <w:iCs w:val="0"/>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477A0AA5">
      <w:pPr>
        <w:ind w:firstLine="480" w:firstLineChars="200"/>
        <w:jc w:val="both"/>
        <w:rPr>
          <w:rFonts w:ascii="方正仿宋"/>
          <w:i w:val="0"/>
          <w:iCs w:val="0"/>
          <w:color w:val="auto"/>
          <w:highlight w:val="none"/>
        </w:rPr>
      </w:pPr>
      <w:r>
        <w:rPr>
          <w:rFonts w:hint="eastAsia" w:ascii="方正仿宋"/>
          <w:i w:val="0"/>
          <w:iCs w:val="0"/>
          <w:color w:val="auto"/>
          <w:highlight w:val="none"/>
        </w:rPr>
        <w:t xml:space="preserve">付款通知应满足以下要求： </w:t>
      </w:r>
    </w:p>
    <w:p w14:paraId="6F262E59">
      <w:pPr>
        <w:ind w:firstLine="480" w:firstLineChars="200"/>
        <w:jc w:val="both"/>
        <w:rPr>
          <w:rFonts w:ascii="方正仿宋"/>
          <w:i w:val="0"/>
          <w:iCs w:val="0"/>
          <w:color w:val="auto"/>
          <w:highlight w:val="none"/>
        </w:rPr>
      </w:pPr>
      <w:r>
        <w:rPr>
          <w:rFonts w:hint="eastAsia" w:ascii="方正仿宋"/>
          <w:i w:val="0"/>
          <w:iCs w:val="0"/>
          <w:color w:val="auto"/>
          <w:highlight w:val="none"/>
        </w:rPr>
        <w:t>1.经受益人有权签字人签字、加盖受益人公章；</w:t>
      </w:r>
    </w:p>
    <w:p w14:paraId="77632E21">
      <w:pPr>
        <w:ind w:firstLine="480" w:firstLineChars="200"/>
        <w:jc w:val="both"/>
        <w:rPr>
          <w:rFonts w:ascii="方正仿宋"/>
          <w:i w:val="0"/>
          <w:iCs w:val="0"/>
          <w:color w:val="auto"/>
          <w:highlight w:val="none"/>
        </w:rPr>
      </w:pPr>
      <w:r>
        <w:rPr>
          <w:rFonts w:hint="eastAsia" w:ascii="方正仿宋"/>
          <w:i w:val="0"/>
          <w:iCs w:val="0"/>
          <w:color w:val="auto"/>
          <w:highlight w:val="none"/>
        </w:rPr>
        <w:t>2.载明投标人存</w:t>
      </w:r>
      <w:r>
        <w:rPr>
          <w:rFonts w:ascii="方正仿宋"/>
          <w:i w:val="0"/>
          <w:iCs w:val="0"/>
          <w:color w:val="auto"/>
          <w:highlight w:val="none"/>
        </w:rPr>
        <w:t>在</w:t>
      </w:r>
      <w:r>
        <w:rPr>
          <w:rFonts w:hint="eastAsia" w:ascii="方正仿宋"/>
          <w:i w:val="0"/>
          <w:iCs w:val="0"/>
          <w:color w:val="auto"/>
          <w:highlight w:val="none"/>
        </w:rPr>
        <w:t>下列投</w:t>
      </w:r>
      <w:r>
        <w:rPr>
          <w:rFonts w:ascii="方正仿宋"/>
          <w:i w:val="0"/>
          <w:iCs w:val="0"/>
          <w:color w:val="auto"/>
          <w:highlight w:val="none"/>
        </w:rPr>
        <w:t>标保证金</w:t>
      </w:r>
      <w:r>
        <w:rPr>
          <w:rFonts w:hint="eastAsia" w:ascii="方正仿宋"/>
          <w:i w:val="0"/>
          <w:iCs w:val="0"/>
          <w:color w:val="auto"/>
          <w:highlight w:val="none"/>
        </w:rPr>
        <w:t>不</w:t>
      </w:r>
      <w:r>
        <w:rPr>
          <w:rFonts w:ascii="方正仿宋"/>
          <w:i w:val="0"/>
          <w:iCs w:val="0"/>
          <w:color w:val="auto"/>
          <w:highlight w:val="none"/>
        </w:rPr>
        <w:t>予退还</w:t>
      </w:r>
      <w:r>
        <w:rPr>
          <w:rFonts w:hint="eastAsia" w:ascii="方正仿宋"/>
          <w:i w:val="0"/>
          <w:iCs w:val="0"/>
          <w:color w:val="auto"/>
          <w:highlight w:val="none"/>
        </w:rPr>
        <w:t xml:space="preserve">情形之一： </w:t>
      </w:r>
    </w:p>
    <w:p w14:paraId="114A3D9D">
      <w:pPr>
        <w:ind w:firstLine="480" w:firstLineChars="200"/>
        <w:jc w:val="both"/>
        <w:rPr>
          <w:rFonts w:ascii="方正仿宋"/>
          <w:i w:val="0"/>
          <w:iCs w:val="0"/>
          <w:color w:val="auto"/>
          <w:highlight w:val="none"/>
        </w:rPr>
      </w:pPr>
      <w:r>
        <w:rPr>
          <w:rFonts w:hint="eastAsia" w:ascii="方正仿宋"/>
          <w:i w:val="0"/>
          <w:iCs w:val="0"/>
          <w:color w:val="auto"/>
          <w:highlight w:val="none"/>
        </w:rPr>
        <w:t>（1）投标截止后在投标有效期内撤销投标文件；</w:t>
      </w:r>
      <w:r>
        <w:rPr>
          <w:rFonts w:ascii="方正仿宋"/>
          <w:i w:val="0"/>
          <w:iCs w:val="0"/>
          <w:color w:val="auto"/>
          <w:highlight w:val="none"/>
        </w:rPr>
        <w:t xml:space="preserve"> </w:t>
      </w:r>
    </w:p>
    <w:p w14:paraId="5B4F598C">
      <w:pPr>
        <w:ind w:firstLine="480" w:firstLineChars="200"/>
        <w:jc w:val="both"/>
        <w:rPr>
          <w:rFonts w:ascii="方正仿宋"/>
          <w:i w:val="0"/>
          <w:iCs w:val="0"/>
          <w:color w:val="auto"/>
          <w:highlight w:val="none"/>
        </w:rPr>
      </w:pPr>
      <w:r>
        <w:rPr>
          <w:rFonts w:hint="eastAsia" w:ascii="方正仿宋"/>
          <w:i w:val="0"/>
          <w:iCs w:val="0"/>
          <w:color w:val="auto"/>
          <w:highlight w:val="none"/>
        </w:rPr>
        <w:t>（2）中标后，在招标文件规定的时间内无正当理由不与受益人订立合同，或签订合同时向受益人提出附加条件；</w:t>
      </w:r>
      <w:r>
        <w:rPr>
          <w:rFonts w:ascii="方正仿宋"/>
          <w:i w:val="0"/>
          <w:iCs w:val="0"/>
          <w:color w:val="auto"/>
          <w:highlight w:val="none"/>
        </w:rPr>
        <w:t xml:space="preserve"> </w:t>
      </w:r>
    </w:p>
    <w:p w14:paraId="4D1E3DEC">
      <w:pPr>
        <w:ind w:firstLine="480" w:firstLineChars="200"/>
        <w:jc w:val="both"/>
        <w:rPr>
          <w:rFonts w:ascii="方正仿宋"/>
          <w:i w:val="0"/>
          <w:iCs w:val="0"/>
          <w:color w:val="auto"/>
          <w:highlight w:val="none"/>
        </w:rPr>
      </w:pPr>
      <w:r>
        <w:rPr>
          <w:rFonts w:hint="eastAsia" w:ascii="方正仿宋"/>
          <w:i w:val="0"/>
          <w:iCs w:val="0"/>
          <w:color w:val="auto"/>
          <w:highlight w:val="none"/>
        </w:rPr>
        <w:t>（3）中标后不按照招标文件要求提交履约保证金或履约保函（保险） ；</w:t>
      </w:r>
      <w:r>
        <w:rPr>
          <w:rFonts w:ascii="方正仿宋"/>
          <w:i w:val="0"/>
          <w:iCs w:val="0"/>
          <w:color w:val="auto"/>
          <w:highlight w:val="none"/>
        </w:rPr>
        <w:t xml:space="preserve"> </w:t>
      </w:r>
    </w:p>
    <w:p w14:paraId="2C08797F">
      <w:pPr>
        <w:ind w:firstLine="480" w:firstLineChars="200"/>
        <w:jc w:val="both"/>
        <w:rPr>
          <w:rFonts w:ascii="方正仿宋"/>
          <w:i w:val="0"/>
          <w:iCs w:val="0"/>
          <w:color w:val="auto"/>
          <w:highlight w:val="none"/>
        </w:rPr>
      </w:pPr>
      <w:r>
        <w:rPr>
          <w:rFonts w:hint="eastAsia" w:ascii="方正仿宋"/>
          <w:i w:val="0"/>
          <w:iCs w:val="0"/>
          <w:color w:val="auto"/>
          <w:highlight w:val="none"/>
        </w:rPr>
        <w:t>（4）存在招标文件规定的不予退还投标保证金的其他情形。</w:t>
      </w:r>
      <w:r>
        <w:rPr>
          <w:rFonts w:ascii="方正仿宋"/>
          <w:i w:val="0"/>
          <w:iCs w:val="0"/>
          <w:color w:val="auto"/>
          <w:highlight w:val="none"/>
        </w:rPr>
        <w:t xml:space="preserve"> </w:t>
      </w:r>
    </w:p>
    <w:p w14:paraId="4B54A14A">
      <w:pPr>
        <w:ind w:firstLine="480" w:firstLineChars="200"/>
        <w:jc w:val="both"/>
        <w:rPr>
          <w:rFonts w:ascii="方正仿宋"/>
          <w:i w:val="0"/>
          <w:iCs w:val="0"/>
          <w:color w:val="auto"/>
          <w:highlight w:val="none"/>
        </w:rPr>
      </w:pPr>
      <w:r>
        <w:rPr>
          <w:rFonts w:hint="eastAsia" w:ascii="方正仿宋"/>
          <w:i w:val="0"/>
          <w:iCs w:val="0"/>
          <w:color w:val="auto"/>
          <w:highlight w:val="none"/>
        </w:rPr>
        <w:t>3.载明要求支付的金额及</w:t>
      </w:r>
      <w:r>
        <w:rPr>
          <w:rFonts w:ascii="方正仿宋"/>
          <w:i w:val="0"/>
          <w:iCs w:val="0"/>
          <w:color w:val="auto"/>
          <w:highlight w:val="none"/>
        </w:rPr>
        <w:t>付款方式</w:t>
      </w:r>
      <w:r>
        <w:rPr>
          <w:rFonts w:hint="eastAsia" w:ascii="方正仿宋"/>
          <w:i w:val="0"/>
          <w:iCs w:val="0"/>
          <w:color w:val="auto"/>
          <w:highlight w:val="none"/>
        </w:rPr>
        <w:t>；</w:t>
      </w:r>
    </w:p>
    <w:p w14:paraId="0E85D336">
      <w:pPr>
        <w:ind w:firstLine="480" w:firstLineChars="200"/>
        <w:jc w:val="both"/>
        <w:rPr>
          <w:rFonts w:ascii="方正仿宋"/>
          <w:i w:val="0"/>
          <w:iCs w:val="0"/>
          <w:color w:val="auto"/>
          <w:highlight w:val="none"/>
        </w:rPr>
      </w:pPr>
      <w:r>
        <w:rPr>
          <w:rFonts w:hint="eastAsia" w:ascii="方正仿宋"/>
          <w:i w:val="0"/>
          <w:iCs w:val="0"/>
          <w:color w:val="auto"/>
          <w:highlight w:val="none"/>
        </w:rPr>
        <w:t>4.付款通知必须在本保函有效期内到达以下地址：</w:t>
      </w:r>
      <w:r>
        <w:rPr>
          <w:rFonts w:ascii="方正仿宋"/>
          <w:i w:val="0"/>
          <w:iCs w:val="0"/>
          <w:color w:val="auto"/>
          <w:highlight w:val="none"/>
          <w:u w:val="single"/>
        </w:rPr>
        <w:t>__________</w:t>
      </w:r>
      <w:r>
        <w:rPr>
          <w:rFonts w:hint="eastAsia" w:ascii="方正仿宋"/>
          <w:i w:val="0"/>
          <w:iCs w:val="0"/>
          <w:color w:val="auto"/>
          <w:highlight w:val="none"/>
          <w:u w:val="single"/>
        </w:rPr>
        <w:t xml:space="preserve"> </w:t>
      </w:r>
      <w:r>
        <w:rPr>
          <w:rFonts w:hint="eastAsia" w:ascii="方正仿宋"/>
          <w:i w:val="0"/>
          <w:iCs w:val="0"/>
          <w:color w:val="auto"/>
          <w:highlight w:val="none"/>
        </w:rPr>
        <w:t>。</w:t>
      </w:r>
    </w:p>
    <w:p w14:paraId="498EEFB3">
      <w:pPr>
        <w:ind w:firstLine="480" w:firstLineChars="200"/>
        <w:jc w:val="both"/>
        <w:rPr>
          <w:rFonts w:ascii="方正仿宋"/>
          <w:i w:val="0"/>
          <w:iCs w:val="0"/>
          <w:color w:val="auto"/>
          <w:highlight w:val="none"/>
        </w:rPr>
      </w:pPr>
      <w:r>
        <w:rPr>
          <w:rFonts w:hint="eastAsia" w:ascii="方正仿宋"/>
          <w:i w:val="0"/>
          <w:iCs w:val="0"/>
          <w:color w:val="auto"/>
          <w:highlight w:val="none"/>
        </w:rPr>
        <w:t>二、本保函一经开立即生效，有效期自开立之日起至</w:t>
      </w:r>
      <w:r>
        <w:rPr>
          <w:rFonts w:ascii="方正仿宋"/>
          <w:i w:val="0"/>
          <w:iCs w:val="0"/>
          <w:color w:val="auto"/>
          <w:highlight w:val="none"/>
          <w:u w:val="single"/>
        </w:rPr>
        <w:t xml:space="preserve">   </w:t>
      </w:r>
      <w:r>
        <w:rPr>
          <w:rFonts w:hint="eastAsia" w:ascii="方正仿宋"/>
          <w:i w:val="0"/>
          <w:iCs w:val="0"/>
          <w:color w:val="auto"/>
          <w:highlight w:val="none"/>
          <w:u w:val="single"/>
        </w:rPr>
        <w:t xml:space="preserve">  年   月   日</w:t>
      </w:r>
      <w:r>
        <w:rPr>
          <w:rFonts w:hint="eastAsia" w:ascii="方正仿宋"/>
          <w:i w:val="0"/>
          <w:iCs w:val="0"/>
          <w:color w:val="auto"/>
          <w:highlight w:val="none"/>
        </w:rPr>
        <w:t>止。</w:t>
      </w:r>
    </w:p>
    <w:p w14:paraId="70014843">
      <w:pPr>
        <w:ind w:firstLine="480" w:firstLineChars="200"/>
        <w:jc w:val="both"/>
        <w:rPr>
          <w:rFonts w:ascii="方正仿宋"/>
          <w:i w:val="0"/>
          <w:iCs w:val="0"/>
          <w:color w:val="auto"/>
          <w:highlight w:val="none"/>
        </w:rPr>
      </w:pPr>
      <w:r>
        <w:rPr>
          <w:rFonts w:hint="eastAsia" w:ascii="方正仿宋"/>
          <w:i w:val="0"/>
          <w:iCs w:val="0"/>
          <w:color w:val="auto"/>
          <w:highlight w:val="none"/>
        </w:rPr>
        <w:t>三、受益人将主合同项下债权转让第三人时需经保证人书面同意，否则保证人在本保函项下的担保责任自动解除。</w:t>
      </w:r>
    </w:p>
    <w:p w14:paraId="5D5568BF">
      <w:pPr>
        <w:ind w:firstLine="480" w:firstLineChars="200"/>
        <w:jc w:val="both"/>
        <w:rPr>
          <w:rFonts w:ascii="方正仿宋"/>
          <w:i w:val="0"/>
          <w:iCs w:val="0"/>
          <w:color w:val="auto"/>
          <w:highlight w:val="none"/>
        </w:rPr>
      </w:pPr>
      <w:r>
        <w:rPr>
          <w:rFonts w:hint="eastAsia" w:ascii="方正仿宋"/>
          <w:i w:val="0"/>
          <w:iCs w:val="0"/>
          <w:color w:val="auto"/>
          <w:highlight w:val="none"/>
        </w:rPr>
        <w:t>四、未经保证人书面同意，本保函不得转让、质押。</w:t>
      </w:r>
    </w:p>
    <w:p w14:paraId="476E58DC">
      <w:pPr>
        <w:ind w:firstLine="480" w:firstLineChars="200"/>
        <w:jc w:val="both"/>
        <w:rPr>
          <w:rFonts w:hint="eastAsia" w:ascii="方正仿宋"/>
          <w:i w:val="0"/>
          <w:iCs w:val="0"/>
          <w:color w:val="auto"/>
          <w:highlight w:val="none"/>
        </w:rPr>
      </w:pPr>
      <w:r>
        <w:rPr>
          <w:rFonts w:hint="eastAsia" w:ascii="方正仿宋"/>
          <w:i w:val="0"/>
          <w:iCs w:val="0"/>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i w:val="0"/>
          <w:iCs w:val="0"/>
          <w:color w:val="auto"/>
          <w:highlight w:val="none"/>
        </w:rPr>
        <w:t>住所地</w:t>
      </w:r>
      <w:r>
        <w:rPr>
          <w:rFonts w:hint="eastAsia" w:ascii="方正仿宋"/>
          <w:i w:val="0"/>
          <w:iCs w:val="0"/>
          <w:color w:val="auto"/>
          <w:highlight w:val="none"/>
        </w:rPr>
        <w:t>有管辖权的法院提起诉讼。</w:t>
      </w:r>
    </w:p>
    <w:p w14:paraId="651F26E2">
      <w:pPr>
        <w:ind w:firstLine="480" w:firstLineChars="200"/>
        <w:rPr>
          <w:rFonts w:hint="eastAsia" w:ascii="方正仿宋"/>
          <w:i w:val="0"/>
          <w:iCs w:val="0"/>
          <w:color w:val="auto"/>
          <w:highlight w:val="none"/>
        </w:rPr>
      </w:pPr>
    </w:p>
    <w:p w14:paraId="2631331B">
      <w:pPr>
        <w:rPr>
          <w:rFonts w:hint="eastAsia" w:ascii="方正仿宋"/>
          <w:i w:val="0"/>
          <w:iCs w:val="0"/>
          <w:color w:val="auto"/>
          <w:highlight w:val="none"/>
        </w:rPr>
      </w:pPr>
      <w:r>
        <w:rPr>
          <w:rFonts w:ascii="方正仿宋"/>
          <w:i w:val="0"/>
          <w:iCs w:val="0"/>
          <w:color w:val="auto"/>
          <w:highlight w:val="none"/>
        </w:rPr>
        <w:t xml:space="preserve">    </w:t>
      </w: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保证人：</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（签章）</w:t>
      </w:r>
    </w:p>
    <w:p w14:paraId="088000A1">
      <w:pPr>
        <w:rPr>
          <w:rFonts w:hint="eastAsia" w:ascii="方正仿宋"/>
          <w:i w:val="0"/>
          <w:iCs w:val="0"/>
          <w:color w:val="auto"/>
          <w:highlight w:val="none"/>
        </w:rPr>
      </w:pPr>
    </w:p>
    <w:p w14:paraId="25B47843">
      <w:pPr>
        <w:tabs>
          <w:tab w:val="left" w:pos="567"/>
          <w:tab w:val="left" w:pos="993"/>
        </w:tabs>
        <w:ind w:right="560"/>
        <w:rPr>
          <w:rFonts w:hint="eastAsia" w:ascii="方正仿宋"/>
          <w:i w:val="0"/>
          <w:iCs w:val="0"/>
          <w:color w:val="auto"/>
          <w:highlight w:val="none"/>
        </w:rPr>
      </w:pP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 xml:space="preserve">               开具日期： </w:t>
      </w:r>
      <w:r>
        <w:rPr>
          <w:rFonts w:ascii="方正仿宋"/>
          <w:i w:val="0"/>
          <w:iCs w:val="0"/>
          <w:color w:val="auto"/>
          <w:highlight w:val="none"/>
          <w:u w:val="single"/>
        </w:rPr>
        <w:t xml:space="preserve">     </w:t>
      </w:r>
      <w:r>
        <w:rPr>
          <w:rFonts w:hint="eastAsia" w:ascii="方正仿宋"/>
          <w:i w:val="0"/>
          <w:iCs w:val="0"/>
          <w:color w:val="auto"/>
          <w:highlight w:val="none"/>
        </w:rPr>
        <w:t>年</w:t>
      </w:r>
      <w:r>
        <w:rPr>
          <w:rFonts w:ascii="方正仿宋"/>
          <w:i w:val="0"/>
          <w:iCs w:val="0"/>
          <w:color w:val="auto"/>
          <w:highlight w:val="none"/>
          <w:u w:val="single"/>
        </w:rPr>
        <w:t xml:space="preserve">   </w:t>
      </w:r>
      <w:r>
        <w:rPr>
          <w:rFonts w:hint="eastAsia" w:ascii="方正仿宋"/>
          <w:i w:val="0"/>
          <w:iCs w:val="0"/>
          <w:color w:val="auto"/>
          <w:highlight w:val="none"/>
        </w:rPr>
        <w:t>月</w:t>
      </w:r>
      <w:r>
        <w:rPr>
          <w:rFonts w:ascii="方正仿宋"/>
          <w:i w:val="0"/>
          <w:iCs w:val="0"/>
          <w:color w:val="auto"/>
          <w:highlight w:val="none"/>
          <w:u w:val="single"/>
        </w:rPr>
        <w:t xml:space="preserve">   </w:t>
      </w:r>
      <w:r>
        <w:rPr>
          <w:rFonts w:hint="eastAsia" w:ascii="方正仿宋"/>
          <w:i w:val="0"/>
          <w:iCs w:val="0"/>
          <w:color w:val="auto"/>
          <w:highlight w:val="none"/>
        </w:rPr>
        <w:t xml:space="preserve">日   </w:t>
      </w:r>
    </w:p>
    <w:p w14:paraId="77A4A673">
      <w:pPr>
        <w:tabs>
          <w:tab w:val="left" w:pos="567"/>
          <w:tab w:val="left" w:pos="993"/>
        </w:tabs>
        <w:ind w:right="560"/>
        <w:rPr>
          <w:rFonts w:hint="eastAsia" w:ascii="方正仿宋"/>
          <w:b/>
          <w:bCs/>
          <w:i w:val="0"/>
          <w:iCs w:val="0"/>
          <w:color w:val="auto"/>
          <w:highlight w:val="none"/>
        </w:rPr>
      </w:pPr>
    </w:p>
    <w:p w14:paraId="70CDDEE9">
      <w:pPr>
        <w:tabs>
          <w:tab w:val="left" w:pos="567"/>
          <w:tab w:val="left" w:pos="993"/>
        </w:tabs>
        <w:ind w:right="560"/>
        <w:rPr>
          <w:rFonts w:hint="eastAsia" w:ascii="方正仿宋"/>
          <w:b/>
          <w:bCs/>
          <w:i w:val="0"/>
          <w:iCs w:val="0"/>
          <w:color w:val="auto"/>
          <w:highlight w:val="none"/>
        </w:rPr>
      </w:pPr>
    </w:p>
    <w:p w14:paraId="61AEFE4D">
      <w:pPr>
        <w:tabs>
          <w:tab w:val="left" w:pos="567"/>
          <w:tab w:val="left" w:pos="993"/>
        </w:tabs>
        <w:ind w:right="560"/>
        <w:rPr>
          <w:rFonts w:hint="eastAsia" w:ascii="方正仿宋"/>
          <w:b/>
          <w:bCs/>
          <w:i w:val="0"/>
          <w:iCs w:val="0"/>
          <w:color w:val="auto"/>
          <w:highlight w:val="none"/>
        </w:rPr>
      </w:pPr>
    </w:p>
    <w:p w14:paraId="5BF2501F">
      <w:pPr>
        <w:tabs>
          <w:tab w:val="left" w:pos="567"/>
          <w:tab w:val="left" w:pos="993"/>
        </w:tabs>
        <w:ind w:right="560"/>
        <w:rPr>
          <w:rFonts w:hint="eastAsia"/>
          <w:i w:val="0"/>
          <w:iCs w:val="0"/>
          <w:color w:val="auto"/>
          <w:sz w:val="28"/>
          <w:szCs w:val="28"/>
          <w:highlight w:val="none"/>
        </w:rPr>
      </w:pPr>
      <w:r>
        <w:rPr>
          <w:rFonts w:hint="eastAsia" w:ascii="方正仿宋"/>
          <w:b/>
          <w:bCs/>
          <w:i w:val="0"/>
          <w:iCs w:val="0"/>
          <w:color w:val="auto"/>
          <w:highlight w:val="none"/>
        </w:rPr>
        <w:t>注：以上格式与电子交易平台开具的保函格式不一致的，以平台开具的为准。</w:t>
      </w:r>
    </w:p>
    <w:p w14:paraId="3883840A">
      <w:pPr>
        <w:pStyle w:val="10"/>
        <w:spacing w:line="360" w:lineRule="auto"/>
        <w:rPr>
          <w:rFonts w:hint="eastAsia" w:hAnsi="宋体" w:cs="宋体"/>
          <w:i w:val="0"/>
          <w:iCs w:val="0"/>
          <w:snapToGrid w:val="0"/>
          <w:color w:val="auto"/>
          <w:kern w:val="32"/>
          <w:sz w:val="32"/>
          <w:szCs w:val="32"/>
          <w:highlight w:val="none"/>
        </w:rPr>
        <w:sectPr>
          <w:type w:val="continuous"/>
          <w:pgSz w:w="11906" w:h="16838"/>
          <w:pgMar w:top="2041" w:right="1588" w:bottom="1985" w:left="1474" w:header="851" w:footer="1531" w:gutter="0"/>
          <w:cols w:space="720" w:num="1"/>
          <w:docGrid w:type="lines" w:linePitch="312" w:charSpace="0"/>
        </w:sectPr>
      </w:pPr>
    </w:p>
    <w:p w14:paraId="332E3CFD">
      <w:pPr>
        <w:tabs>
          <w:tab w:val="left" w:pos="567"/>
          <w:tab w:val="left" w:pos="993"/>
        </w:tabs>
        <w:spacing w:line="360" w:lineRule="auto"/>
        <w:ind w:right="560"/>
        <w:rPr>
          <w:rFonts w:hint="eastAsia" w:ascii="方正仿宋"/>
          <w:b/>
          <w:bCs/>
          <w:i w:val="0"/>
          <w:iCs w:val="0"/>
          <w:color w:val="auto"/>
          <w:highlight w:val="none"/>
        </w:rPr>
      </w:pPr>
      <w:r>
        <w:rPr>
          <w:rFonts w:hint="eastAsia" w:ascii="方正仿宋"/>
          <w:b/>
          <w:bCs/>
          <w:i w:val="0"/>
          <w:iCs w:val="0"/>
          <w:color w:val="auto"/>
          <w:highlight w:val="none"/>
        </w:rPr>
        <w:t>附件：</w:t>
      </w:r>
    </w:p>
    <w:p w14:paraId="1EA3B9BB">
      <w:pPr>
        <w:adjustRightInd/>
        <w:spacing w:line="360" w:lineRule="auto"/>
        <w:ind w:firstLine="600" w:firstLineChars="200"/>
        <w:jc w:val="both"/>
        <w:rPr>
          <w:rFonts w:hint="eastAsia" w:hAnsi="宋体"/>
          <w:i w:val="0"/>
          <w:iCs w:val="0"/>
          <w:color w:val="auto"/>
          <w:sz w:val="30"/>
          <w:szCs w:val="30"/>
          <w:highlight w:val="none"/>
        </w:rPr>
      </w:pPr>
      <w:r>
        <w:rPr>
          <w:rFonts w:hint="eastAsia" w:hAnsi="宋体"/>
          <w:i w:val="0"/>
          <w:iCs w:val="0"/>
          <w:color w:val="auto"/>
          <w:sz w:val="30"/>
          <w:szCs w:val="30"/>
          <w:highlight w:val="none"/>
        </w:rPr>
        <w:t>评标基准价计算采用方法一、方法三、方法五，供招标人在开标现场随机确定其中一种；各区县市招投标主管部门也可在此基础上视情增加其余计算方法。</w:t>
      </w:r>
    </w:p>
    <w:p w14:paraId="6C517A1D">
      <w:pPr>
        <w:adjustRightInd/>
        <w:spacing w:line="360" w:lineRule="auto"/>
        <w:ind w:firstLine="480" w:firstLineChars="200"/>
        <w:jc w:val="both"/>
        <w:rPr>
          <w:rFonts w:hint="eastAsia" w:hAnsi="宋体"/>
          <w:i w:val="0"/>
          <w:iCs w:val="0"/>
          <w:color w:val="auto"/>
          <w:highlight w:val="none"/>
        </w:rPr>
      </w:pPr>
    </w:p>
    <w:p w14:paraId="40F0FFAA">
      <w:pPr>
        <w:pStyle w:val="10"/>
        <w:spacing w:line="360" w:lineRule="auto"/>
        <w:rPr>
          <w:rFonts w:hint="eastAsia" w:hAnsi="宋体" w:cs="宋体"/>
          <w:i w:val="0"/>
          <w:iCs w:val="0"/>
          <w:snapToGrid w:val="0"/>
          <w:color w:val="auto"/>
          <w:kern w:val="32"/>
          <w:sz w:val="32"/>
          <w:szCs w:val="32"/>
          <w:highlight w:val="none"/>
        </w:rPr>
      </w:pPr>
      <w:r>
        <w:rPr>
          <w:rFonts w:hint="eastAsia" w:hAnsi="宋体" w:cs="宋体"/>
          <w:i w:val="0"/>
          <w:iCs w:val="0"/>
          <w:snapToGrid w:val="0"/>
          <w:color w:val="auto"/>
          <w:kern w:val="32"/>
          <w:sz w:val="32"/>
          <w:szCs w:val="32"/>
          <w:highlight w:val="none"/>
        </w:rPr>
        <w:sym w:font="Wingdings 2" w:char="0052"/>
      </w:r>
      <w:r>
        <w:rPr>
          <w:rFonts w:hint="eastAsia" w:hAnsi="宋体" w:cs="宋体"/>
          <w:i w:val="0"/>
          <w:iCs w:val="0"/>
          <w:snapToGrid w:val="0"/>
          <w:color w:val="auto"/>
          <w:kern w:val="32"/>
          <w:sz w:val="32"/>
          <w:szCs w:val="32"/>
          <w:highlight w:val="none"/>
        </w:rPr>
        <w:t>方法一</w:t>
      </w:r>
    </w:p>
    <w:p w14:paraId="701941E7">
      <w:pPr>
        <w:spacing w:line="360" w:lineRule="auto"/>
        <w:rPr>
          <w:rFonts w:hint="eastAsia" w:ascii="宋体" w:hAnsi="宋体" w:cs="宋体"/>
          <w:i w:val="0"/>
          <w:iCs w:val="0"/>
          <w:snapToGrid w:val="0"/>
          <w:color w:val="auto"/>
          <w:kern w:val="32"/>
          <w:highlight w:val="none"/>
        </w:rPr>
      </w:pPr>
      <w:r>
        <w:rPr>
          <w:rFonts w:hint="eastAsia" w:ascii="宋体" w:hAnsi="宋体"/>
          <w:i w:val="0"/>
          <w:iCs w:val="0"/>
          <w:color w:val="auto"/>
          <w:highlight w:val="none"/>
        </w:rPr>
        <w:t>（1）评标基准价计算范围:见评标办法。</w:t>
      </w:r>
    </w:p>
    <w:p w14:paraId="40B927A0">
      <w:pPr>
        <w:pStyle w:val="10"/>
        <w:spacing w:line="360" w:lineRule="auto"/>
        <w:rPr>
          <w:rFonts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（2）评标基准价计算：</w:t>
      </w:r>
    </w:p>
    <w:p w14:paraId="093BF3C4">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评标基准价 = 经评审的各有效合理投标价格算术平均值×（1+浮动率C）×投标价格权重B + 招标控制价 ×（1－浮动率A）×（1－投标价格权重B）</w:t>
      </w:r>
    </w:p>
    <w:p w14:paraId="54FDE9D8">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经评审的各有效合理投标价格算术平均值的计算方法为所有有效合理投标报价去掉最高和最低报价后的平均值（当有效投标报价在3家及以下时，算术平均值则为全部有效合理投标报价的平均值）。</w:t>
      </w:r>
    </w:p>
    <w:p w14:paraId="54AFF794">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各有效投标报价与评标基准价进行比较，按以下公式求出百分比K值（有效投标报价高于或低于评标基准价不足一个百分点的，按直线插入法计算，保留两位小数，第三位四舍五入）：</w:t>
      </w:r>
    </w:p>
    <w:p w14:paraId="6BD7A952">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K=（有效投标报价—评标基准价）÷评标基准价*100%</w:t>
      </w:r>
    </w:p>
    <w:p w14:paraId="7DCA1101">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当K值等于零时，得满分；</w:t>
      </w:r>
    </w:p>
    <w:p w14:paraId="071B4CFA">
      <w:pPr>
        <w:pStyle w:val="10"/>
        <w:spacing w:line="360" w:lineRule="auto"/>
        <w:ind w:firstLine="480" w:firstLineChars="200"/>
        <w:rPr>
          <w:rFonts w:hint="eastAsia" w:hAnsi="宋体" w:cs="宋体"/>
          <w:i w:val="0"/>
          <w:iCs w:val="0"/>
          <w:snapToGrid w:val="0"/>
          <w:color w:val="auto"/>
          <w:kern w:val="32"/>
          <w:sz w:val="32"/>
          <w:szCs w:val="32"/>
          <w:highlight w:val="none"/>
        </w:rPr>
      </w:pPr>
      <w:r>
        <w:rPr>
          <w:rFonts w:hint="eastAsia" w:hAnsi="宋体" w:cs="宋体"/>
          <w:i w:val="0"/>
          <w:iCs w:val="0"/>
          <w:snapToGrid w:val="0"/>
          <w:color w:val="auto"/>
          <w:kern w:val="32"/>
          <w:sz w:val="24"/>
          <w:szCs w:val="24"/>
          <w:highlight w:val="none"/>
        </w:rPr>
        <w:t>当K值大于零时，K值每增1%，在总分上扣</w:t>
      </w:r>
      <w:r>
        <w:rPr>
          <w:rFonts w:hint="eastAsia" w:hAnsi="宋体" w:cs="宋体"/>
          <w:i w:val="0"/>
          <w:iCs w:val="0"/>
          <w:snapToGrid w:val="0"/>
          <w:color w:val="auto"/>
          <w:kern w:val="32"/>
          <w:sz w:val="24"/>
          <w:szCs w:val="24"/>
          <w:highlight w:val="none"/>
          <w:u w:val="single"/>
        </w:rPr>
        <w:t xml:space="preserve">  </w:t>
      </w:r>
      <w:r>
        <w:rPr>
          <w:rFonts w:hint="eastAsia" w:hAnsi="宋体" w:cs="宋体"/>
          <w:i w:val="0"/>
          <w:iCs w:val="0"/>
          <w:snapToGrid w:val="0"/>
          <w:color w:val="auto"/>
          <w:kern w:val="32"/>
          <w:sz w:val="24"/>
          <w:szCs w:val="24"/>
          <w:highlight w:val="none"/>
          <w:u w:val="single"/>
          <w:lang w:val="en-US" w:eastAsia="zh-CN"/>
        </w:rPr>
        <w:t>2</w:t>
      </w:r>
      <w:r>
        <w:rPr>
          <w:rFonts w:hint="eastAsia" w:hAnsi="宋体" w:cs="宋体"/>
          <w:i w:val="0"/>
          <w:iCs w:val="0"/>
          <w:snapToGrid w:val="0"/>
          <w:color w:val="auto"/>
          <w:kern w:val="32"/>
          <w:sz w:val="24"/>
          <w:szCs w:val="24"/>
          <w:highlight w:val="none"/>
          <w:u w:val="single"/>
        </w:rPr>
        <w:t xml:space="preserve"> </w:t>
      </w:r>
      <w:r>
        <w:rPr>
          <w:rFonts w:hint="eastAsia" w:hAnsi="宋体" w:cs="宋体"/>
          <w:i w:val="0"/>
          <w:iCs w:val="0"/>
          <w:snapToGrid w:val="0"/>
          <w:color w:val="auto"/>
          <w:kern w:val="32"/>
          <w:sz w:val="24"/>
          <w:szCs w:val="24"/>
          <w:highlight w:val="none"/>
        </w:rPr>
        <w:t>分；</w:t>
      </w:r>
      <w:r>
        <w:rPr>
          <w:rFonts w:hint="eastAsia" w:hAnsi="宋体" w:cs="宋体"/>
          <w:i w:val="0"/>
          <w:iCs w:val="0"/>
          <w:snapToGrid w:val="0"/>
          <w:color w:val="auto"/>
          <w:kern w:val="32"/>
          <w:sz w:val="32"/>
          <w:szCs w:val="32"/>
          <w:highlight w:val="none"/>
        </w:rPr>
        <w:t>　</w:t>
      </w:r>
    </w:p>
    <w:p w14:paraId="4DB1603E">
      <w:pPr>
        <w:pStyle w:val="10"/>
        <w:spacing w:line="360" w:lineRule="auto"/>
        <w:ind w:firstLine="480" w:firstLineChars="200"/>
        <w:rPr>
          <w:rFonts w:hint="eastAsia" w:hAnsi="宋体" w:cs="宋体"/>
          <w:i w:val="0"/>
          <w:iCs w:val="0"/>
          <w:snapToGrid w:val="0"/>
          <w:color w:val="auto"/>
          <w:kern w:val="32"/>
          <w:sz w:val="24"/>
          <w:szCs w:val="24"/>
          <w:highlight w:val="none"/>
        </w:rPr>
      </w:pPr>
      <w:r>
        <w:rPr>
          <w:rFonts w:hint="eastAsia" w:hAnsi="宋体" w:cs="宋体"/>
          <w:i w:val="0"/>
          <w:iCs w:val="0"/>
          <w:snapToGrid w:val="0"/>
          <w:color w:val="auto"/>
          <w:kern w:val="32"/>
          <w:sz w:val="24"/>
          <w:szCs w:val="24"/>
          <w:highlight w:val="none"/>
        </w:rPr>
        <w:t>当K值小于零时，K值每减1%，在总分上扣</w:t>
      </w:r>
      <w:r>
        <w:rPr>
          <w:rFonts w:hint="eastAsia" w:hAnsi="宋体" w:cs="宋体"/>
          <w:i w:val="0"/>
          <w:iCs w:val="0"/>
          <w:snapToGrid w:val="0"/>
          <w:color w:val="auto"/>
          <w:kern w:val="32"/>
          <w:sz w:val="24"/>
          <w:szCs w:val="24"/>
          <w:highlight w:val="none"/>
          <w:u w:val="single"/>
        </w:rPr>
        <w:t xml:space="preserve">  </w:t>
      </w:r>
      <w:r>
        <w:rPr>
          <w:rFonts w:hint="eastAsia" w:hAnsi="宋体" w:cs="宋体"/>
          <w:i w:val="0"/>
          <w:iCs w:val="0"/>
          <w:snapToGrid w:val="0"/>
          <w:color w:val="auto"/>
          <w:kern w:val="32"/>
          <w:sz w:val="24"/>
          <w:szCs w:val="24"/>
          <w:highlight w:val="none"/>
          <w:u w:val="single"/>
          <w:lang w:val="en-US" w:eastAsia="zh-CN"/>
        </w:rPr>
        <w:t>1</w:t>
      </w:r>
      <w:r>
        <w:rPr>
          <w:rFonts w:hint="eastAsia" w:hAnsi="宋体" w:cs="宋体"/>
          <w:i w:val="0"/>
          <w:iCs w:val="0"/>
          <w:snapToGrid w:val="0"/>
          <w:color w:val="auto"/>
          <w:kern w:val="32"/>
          <w:sz w:val="24"/>
          <w:szCs w:val="24"/>
          <w:highlight w:val="none"/>
          <w:u w:val="single"/>
        </w:rPr>
        <w:t xml:space="preserve"> </w:t>
      </w:r>
      <w:r>
        <w:rPr>
          <w:rFonts w:hint="eastAsia" w:hAnsi="宋体" w:cs="宋体"/>
          <w:i w:val="0"/>
          <w:iCs w:val="0"/>
          <w:snapToGrid w:val="0"/>
          <w:color w:val="auto"/>
          <w:kern w:val="32"/>
          <w:sz w:val="24"/>
          <w:szCs w:val="24"/>
          <w:highlight w:val="none"/>
        </w:rPr>
        <w:t>分。</w:t>
      </w:r>
    </w:p>
    <w:tbl>
      <w:tblPr>
        <w:tblStyle w:val="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77A92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noWrap w:val="0"/>
            <w:vAlign w:val="center"/>
          </w:tcPr>
          <w:p w14:paraId="04521470">
            <w:pPr>
              <w:keepNext w:val="0"/>
              <w:keepLines w:val="0"/>
              <w:suppressLineNumbers w:val="0"/>
              <w:spacing w:before="0" w:beforeAutospacing="0" w:after="0" w:afterAutospacing="0" w:line="360" w:lineRule="auto"/>
              <w:ind w:left="0" w:right="0"/>
              <w:jc w:val="center"/>
              <w:rPr>
                <w:rFonts w:hint="eastAsia" w:ascii="宋体" w:hAnsi="宋体" w:cs="宋体"/>
                <w:i w:val="0"/>
                <w:iCs w:val="0"/>
                <w:color w:val="auto"/>
                <w:highlight w:val="none"/>
              </w:rPr>
            </w:pPr>
            <w:r>
              <w:rPr>
                <w:rFonts w:hint="eastAsia" w:ascii="宋体" w:hAnsi="宋体" w:cs="宋体"/>
                <w:i w:val="0"/>
                <w:iCs w:val="0"/>
                <w:color w:val="auto"/>
                <w:highlight w:val="none"/>
              </w:rPr>
              <w:t>工程类型</w:t>
            </w:r>
          </w:p>
        </w:tc>
        <w:tc>
          <w:tcPr>
            <w:tcW w:w="11287" w:type="dxa"/>
            <w:noWrap w:val="0"/>
            <w:vAlign w:val="center"/>
          </w:tcPr>
          <w:p w14:paraId="358A6762">
            <w:pPr>
              <w:keepNext w:val="0"/>
              <w:keepLines w:val="0"/>
              <w:suppressLineNumbers w:val="0"/>
              <w:spacing w:before="0" w:beforeAutospacing="0" w:after="0" w:afterAutospacing="0" w:line="360" w:lineRule="auto"/>
              <w:ind w:left="0" w:right="0"/>
              <w:jc w:val="center"/>
              <w:rPr>
                <w:rFonts w:hint="eastAsia" w:ascii="宋体" w:hAnsi="宋体" w:cs="宋体"/>
                <w:i w:val="0"/>
                <w:iCs w:val="0"/>
                <w:color w:val="auto"/>
                <w:highlight w:val="none"/>
              </w:rPr>
            </w:pPr>
            <w:r>
              <w:rPr>
                <w:rFonts w:hint="eastAsia" w:ascii="宋体" w:hAnsi="宋体" w:cs="宋体"/>
                <w:i w:val="0"/>
                <w:iCs w:val="0"/>
                <w:color w:val="auto"/>
                <w:highlight w:val="none"/>
              </w:rPr>
              <w:t>商务标评标基准价确定方式</w:t>
            </w:r>
          </w:p>
        </w:tc>
      </w:tr>
      <w:tr w14:paraId="1C141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noWrap w:val="0"/>
            <w:vAlign w:val="center"/>
          </w:tcPr>
          <w:p w14:paraId="34E95818">
            <w:pPr>
              <w:keepNext w:val="0"/>
              <w:keepLines w:val="0"/>
              <w:suppressLineNumbers w:val="0"/>
              <w:spacing w:before="0" w:beforeAutospacing="0" w:after="0" w:afterAutospacing="0" w:line="360" w:lineRule="auto"/>
              <w:ind w:left="0" w:right="0"/>
              <w:rPr>
                <w:rFonts w:hint="eastAsia" w:ascii="宋体" w:hAnsi="宋体" w:cs="宋体"/>
                <w:i w:val="0"/>
                <w:iCs w:val="0"/>
                <w:color w:val="auto"/>
                <w:highlight w:val="none"/>
              </w:rPr>
            </w:pPr>
            <w:r>
              <w:rPr>
                <w:rFonts w:hint="eastAsia" w:ascii="宋体" w:hAnsi="宋体" w:cs="宋体"/>
                <w:i w:val="0"/>
                <w:iCs w:val="0"/>
                <w:color w:val="auto"/>
                <w:highlight w:val="none"/>
              </w:rPr>
              <w:t>评标基准价 =经评审的各有效合理投标价格算术平均值×（1+浮动率C）×投标价格权重B + 招标控制价 ×（1－浮动率A）×（1－投标价格权重B）。</w:t>
            </w:r>
          </w:p>
          <w:p w14:paraId="686B591B">
            <w:pPr>
              <w:keepNext w:val="0"/>
              <w:keepLines w:val="0"/>
              <w:suppressLineNumbers w:val="0"/>
              <w:spacing w:before="0" w:beforeAutospacing="0" w:after="0" w:afterAutospacing="0" w:line="360" w:lineRule="auto"/>
              <w:ind w:left="0" w:right="0"/>
              <w:rPr>
                <w:rFonts w:hint="eastAsia" w:ascii="宋体" w:hAnsi="宋体" w:cs="宋体"/>
                <w:i w:val="0"/>
                <w:iCs w:val="0"/>
                <w:color w:val="auto"/>
                <w:highlight w:val="none"/>
              </w:rPr>
            </w:pPr>
            <w:r>
              <w:rPr>
                <w:rFonts w:hint="eastAsia" w:ascii="宋体" w:hAnsi="宋体" w:cs="宋体"/>
                <w:i w:val="0"/>
                <w:iCs w:val="0"/>
                <w:color w:val="auto"/>
                <w:highlight w:val="none"/>
              </w:rPr>
              <w:t>设经评审的各有效合理投标价格算术平均值与招标控制价的下浮率为F，根据F的数值范围分别确定浮动率A。</w:t>
            </w:r>
          </w:p>
          <w:p w14:paraId="366AAEDC">
            <w:pPr>
              <w:keepNext w:val="0"/>
              <w:keepLines w:val="0"/>
              <w:suppressLineNumbers w:val="0"/>
              <w:spacing w:before="0" w:beforeAutospacing="0" w:after="0" w:afterAutospacing="0" w:line="360" w:lineRule="auto"/>
              <w:ind w:left="0" w:right="0"/>
              <w:rPr>
                <w:rFonts w:hint="eastAsia" w:ascii="宋体" w:hAnsi="宋体" w:cs="宋体"/>
                <w:i w:val="0"/>
                <w:iCs w:val="0"/>
                <w:color w:val="auto"/>
                <w:highlight w:val="none"/>
              </w:rPr>
            </w:pPr>
            <w:r>
              <w:rPr>
                <w:rFonts w:hint="eastAsia" w:ascii="宋体" w:hAnsi="宋体" w:cs="宋体"/>
                <w:i w:val="0"/>
                <w:iCs w:val="0"/>
                <w:color w:val="auto"/>
                <w:highlight w:val="none"/>
              </w:rPr>
              <w:t>投标价格权重B的确定：40%、42%、44%、46%、48%、50%、52%、54%、56%、58%、60%十一档数值。</w:t>
            </w:r>
          </w:p>
          <w:p w14:paraId="4DFF3D1D">
            <w:pPr>
              <w:keepNext w:val="0"/>
              <w:keepLines w:val="0"/>
              <w:suppressLineNumbers w:val="0"/>
              <w:spacing w:before="0" w:beforeAutospacing="0" w:after="0" w:afterAutospacing="0" w:line="360" w:lineRule="auto"/>
              <w:ind w:left="0" w:right="0"/>
              <w:rPr>
                <w:rFonts w:hint="eastAsia" w:ascii="宋体" w:hAnsi="宋体" w:cs="宋体"/>
                <w:i w:val="0"/>
                <w:iCs w:val="0"/>
                <w:color w:val="auto"/>
                <w:highlight w:val="none"/>
              </w:rPr>
            </w:pPr>
            <w:r>
              <w:rPr>
                <w:rFonts w:hint="eastAsia" w:ascii="宋体" w:hAnsi="宋体" w:cs="宋体"/>
                <w:i w:val="0"/>
                <w:iCs w:val="0"/>
                <w:color w:val="auto"/>
                <w:highlight w:val="none"/>
              </w:rPr>
              <w:t>各投标价格的算术平均值浮动率C的确定：－1.5%、－1.0%、－0.5%、0%、0.5%、1.0%、1.5%七档数值。</w:t>
            </w:r>
          </w:p>
        </w:tc>
      </w:tr>
      <w:tr w14:paraId="4B704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5D2275EE">
            <w:pPr>
              <w:keepNext w:val="0"/>
              <w:keepLines w:val="0"/>
              <w:suppressLineNumbers w:val="0"/>
              <w:spacing w:before="0" w:beforeAutospacing="0" w:after="0" w:afterAutospacing="0" w:line="360" w:lineRule="auto"/>
              <w:ind w:left="0" w:right="0"/>
              <w:jc w:val="center"/>
              <w:rPr>
                <w:rFonts w:hint="eastAsia" w:ascii="宋体" w:hAnsi="宋体" w:cs="宋体"/>
                <w:i w:val="0"/>
                <w:iCs w:val="0"/>
                <w:color w:val="auto"/>
                <w:highlight w:val="none"/>
              </w:rPr>
            </w:pPr>
            <w:r>
              <w:rPr>
                <w:rFonts w:hint="eastAsia" w:ascii="宋体" w:hAnsi="宋体" w:cs="宋体"/>
                <w:i w:val="0"/>
                <w:iCs w:val="0"/>
                <w:color w:val="auto"/>
                <w:highlight w:val="none"/>
              </w:rPr>
              <w:t>建筑工程项目（仿古建筑）</w:t>
            </w:r>
          </w:p>
        </w:tc>
        <w:tc>
          <w:tcPr>
            <w:tcW w:w="11287" w:type="dxa"/>
            <w:noWrap w:val="0"/>
            <w:vAlign w:val="center"/>
          </w:tcPr>
          <w:p w14:paraId="56588632">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color w:val="auto"/>
                <w:highlight w:val="none"/>
              </w:rPr>
            </w:pPr>
            <w:r>
              <w:rPr>
                <w:rFonts w:hint="eastAsia" w:ascii="宋体" w:hAnsi="宋体" w:cs="宋体"/>
                <w:i w:val="0"/>
                <w:iCs w:val="0"/>
                <w:color w:val="auto"/>
                <w:highlight w:val="none"/>
              </w:rPr>
              <w:t>1.F≤5%      A取6.5%、7%、7.5%、8%、8.5%、9%、9.5%、10%、10.5%、11%、11.5%十一档数值；</w:t>
            </w:r>
          </w:p>
          <w:p w14:paraId="3B577E1F">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color w:val="auto"/>
                <w:highlight w:val="none"/>
              </w:rPr>
            </w:pPr>
            <w:r>
              <w:rPr>
                <w:rFonts w:hint="eastAsia" w:ascii="宋体" w:hAnsi="宋体" w:cs="宋体"/>
                <w:i w:val="0"/>
                <w:iCs w:val="0"/>
                <w:color w:val="auto"/>
                <w:highlight w:val="none"/>
              </w:rPr>
              <w:t>2.5%&lt;F≤10%  A取4.5%、5%、5.5%、6%、6.5%、7%、7.5%、8%、8.5%、9%、9.5%十一档数值；</w:t>
            </w:r>
          </w:p>
          <w:p w14:paraId="1E36AE2E">
            <w:pPr>
              <w:keepNext w:val="0"/>
              <w:keepLines w:val="0"/>
              <w:suppressLineNumbers w:val="0"/>
              <w:spacing w:before="0" w:beforeAutospacing="0" w:after="0" w:afterAutospacing="0" w:line="360" w:lineRule="auto"/>
              <w:ind w:left="0" w:right="0"/>
              <w:rPr>
                <w:rFonts w:hint="eastAsia" w:ascii="宋体" w:hAnsi="宋体" w:cs="宋体"/>
                <w:b/>
                <w:i w:val="0"/>
                <w:iCs w:val="0"/>
                <w:color w:val="auto"/>
                <w:highlight w:val="none"/>
              </w:rPr>
            </w:pPr>
            <w:r>
              <w:rPr>
                <w:rFonts w:hint="eastAsia" w:ascii="宋体" w:hAnsi="宋体" w:cs="宋体"/>
                <w:i w:val="0"/>
                <w:iCs w:val="0"/>
                <w:color w:val="auto"/>
                <w:highlight w:val="none"/>
              </w:rPr>
              <w:t xml:space="preserve">    3.F&gt;10%      A取2.5%、3%、3.5%、4%、4.5%、5%、5.5%、6%、6.5%、7%、7.5%十一档数值；</w:t>
            </w:r>
          </w:p>
        </w:tc>
      </w:tr>
      <w:tr w14:paraId="3EFBB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21917230">
            <w:pPr>
              <w:keepNext w:val="0"/>
              <w:keepLines w:val="0"/>
              <w:suppressLineNumbers w:val="0"/>
              <w:spacing w:before="0" w:beforeAutospacing="0" w:after="0" w:afterAutospacing="0" w:line="360" w:lineRule="auto"/>
              <w:ind w:left="0" w:right="0"/>
              <w:jc w:val="center"/>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市政公用项目</w:t>
            </w:r>
          </w:p>
        </w:tc>
        <w:tc>
          <w:tcPr>
            <w:tcW w:w="11287" w:type="dxa"/>
            <w:noWrap w:val="0"/>
            <w:vAlign w:val="center"/>
          </w:tcPr>
          <w:p w14:paraId="6B3AB19D">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1.</w:t>
            </w:r>
            <w:r>
              <w:rPr>
                <w:rFonts w:hint="eastAsia" w:ascii="宋体" w:hAnsi="宋体" w:cs="宋体"/>
                <w:i w:val="0"/>
                <w:iCs w:val="0"/>
                <w:strike/>
                <w:dstrike w:val="0"/>
                <w:color w:val="auto"/>
                <w:spacing w:val="-4"/>
                <w:highlight w:val="none"/>
              </w:rPr>
              <w:t>F≤8%     A取11.5%、12%、12.5%、13%、13.5%、14%、14.5%、15%、15.5%、16%、16.5%十一档数值；</w:t>
            </w:r>
          </w:p>
          <w:p w14:paraId="1364216A">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2.</w:t>
            </w:r>
            <w:r>
              <w:rPr>
                <w:rFonts w:hint="eastAsia" w:ascii="宋体" w:hAnsi="宋体" w:cs="宋体"/>
                <w:i w:val="0"/>
                <w:iCs w:val="0"/>
                <w:strike/>
                <w:dstrike w:val="0"/>
                <w:color w:val="auto"/>
                <w:spacing w:val="-4"/>
                <w:highlight w:val="none"/>
              </w:rPr>
              <w:t>8%&lt;F≤15% A取9%、9.5%、10%、10.5%、11%、11.5%、12%、12.5%、13%、13.5%、14%取十一档数值；</w:t>
            </w:r>
          </w:p>
          <w:p w14:paraId="7B55FA5C">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3.F&gt;15%     A取6.5%、7%、7.5%、8%、8.5%、9%、9.5%、10%、10.5%、11%、11.5%取十一档数值；</w:t>
            </w:r>
          </w:p>
        </w:tc>
      </w:tr>
      <w:tr w14:paraId="59572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35749512">
            <w:pPr>
              <w:keepNext w:val="0"/>
              <w:keepLines w:val="0"/>
              <w:suppressLineNumbers w:val="0"/>
              <w:spacing w:before="0" w:beforeAutospacing="0" w:after="0" w:afterAutospacing="0" w:line="360" w:lineRule="auto"/>
              <w:ind w:left="0" w:right="0"/>
              <w:jc w:val="center"/>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园林绿化项目</w:t>
            </w:r>
          </w:p>
          <w:p w14:paraId="2A541035">
            <w:pPr>
              <w:keepNext w:val="0"/>
              <w:keepLines w:val="0"/>
              <w:suppressLineNumbers w:val="0"/>
              <w:spacing w:before="0" w:beforeAutospacing="0" w:after="0" w:afterAutospacing="0" w:line="360" w:lineRule="auto"/>
              <w:ind w:left="0" w:right="0"/>
              <w:jc w:val="center"/>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（以绿化</w:t>
            </w:r>
          </w:p>
          <w:p w14:paraId="34A46754">
            <w:pPr>
              <w:keepNext w:val="0"/>
              <w:keepLines w:val="0"/>
              <w:suppressLineNumbers w:val="0"/>
              <w:spacing w:before="0" w:beforeAutospacing="0" w:after="0" w:afterAutospacing="0" w:line="360" w:lineRule="auto"/>
              <w:ind w:left="0" w:right="0"/>
              <w:jc w:val="center"/>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为主）</w:t>
            </w:r>
          </w:p>
        </w:tc>
        <w:tc>
          <w:tcPr>
            <w:tcW w:w="11287" w:type="dxa"/>
            <w:noWrap w:val="0"/>
            <w:vAlign w:val="center"/>
          </w:tcPr>
          <w:p w14:paraId="7B1104E9">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 xml:space="preserve">1.F≤10%   </w:t>
            </w:r>
            <w:r>
              <w:rPr>
                <w:rFonts w:hint="eastAsia" w:ascii="宋体" w:hAnsi="宋体" w:cs="宋体"/>
                <w:i w:val="0"/>
                <w:iCs w:val="0"/>
                <w:strike/>
                <w:dstrike w:val="0"/>
                <w:color w:val="auto"/>
                <w:spacing w:val="-4"/>
                <w:highlight w:val="none"/>
              </w:rPr>
              <w:t>A取13.5%、14%、14.5%、15%、15.5%、16%、16.5%、17%、17.5%、18%、18.5%十一档数值；</w:t>
            </w:r>
          </w:p>
          <w:p w14:paraId="036E7F87">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 xml:space="preserve">2.10%&lt;F≤20%  </w:t>
            </w:r>
            <w:r>
              <w:rPr>
                <w:rFonts w:hint="eastAsia" w:ascii="宋体" w:hAnsi="宋体" w:cs="宋体"/>
                <w:i w:val="0"/>
                <w:iCs w:val="0"/>
                <w:strike/>
                <w:dstrike w:val="0"/>
                <w:color w:val="auto"/>
                <w:spacing w:val="-8"/>
                <w:highlight w:val="none"/>
              </w:rPr>
              <w:t>A取9.5%、10%、10.5%、11%、11.5%、12%、12.5%、13%、13.5%、14%、14.5%十一档数值；</w:t>
            </w:r>
          </w:p>
          <w:p w14:paraId="38C8D77A">
            <w:pPr>
              <w:keepNext w:val="0"/>
              <w:keepLines w:val="0"/>
              <w:suppressLineNumbers w:val="0"/>
              <w:spacing w:before="0" w:beforeAutospacing="0" w:after="0" w:afterAutospacing="0" w:line="360" w:lineRule="auto"/>
              <w:ind w:left="0" w:right="0" w:firstLine="480" w:firstLineChars="200"/>
              <w:rPr>
                <w:rFonts w:hint="eastAsia" w:ascii="宋体" w:hAnsi="宋体" w:cs="宋体"/>
                <w:i w:val="0"/>
                <w:iCs w:val="0"/>
                <w:strike/>
                <w:dstrike w:val="0"/>
                <w:color w:val="auto"/>
                <w:highlight w:val="none"/>
              </w:rPr>
            </w:pPr>
            <w:r>
              <w:rPr>
                <w:rFonts w:hint="eastAsia" w:ascii="宋体" w:hAnsi="宋体" w:cs="宋体"/>
                <w:i w:val="0"/>
                <w:iCs w:val="0"/>
                <w:strike/>
                <w:dstrike w:val="0"/>
                <w:color w:val="auto"/>
                <w:highlight w:val="none"/>
              </w:rPr>
              <w:t xml:space="preserve">3.F&gt;20%       A取6.5%、7%、7.5%、8%、8.5%、9%、9.5%、10%、10.5%、11%、11.5%十一档数值； </w:t>
            </w:r>
          </w:p>
        </w:tc>
      </w:tr>
    </w:tbl>
    <w:p w14:paraId="6C263D2E">
      <w:pPr>
        <w:spacing w:line="360" w:lineRule="auto"/>
        <w:rPr>
          <w:rFonts w:hint="eastAsia" w:ascii="宋体" w:hAnsi="宋体" w:cs="宋体"/>
          <w:i w:val="0"/>
          <w:iCs w:val="0"/>
          <w:color w:val="auto"/>
          <w:highlight w:val="none"/>
        </w:rPr>
      </w:pPr>
      <w:r>
        <w:rPr>
          <w:rFonts w:hint="eastAsia" w:ascii="宋体" w:hAnsi="宋体" w:cs="宋体"/>
          <w:i w:val="0"/>
          <w:iCs w:val="0"/>
          <w:color w:val="auto"/>
          <w:highlight w:val="none"/>
        </w:rPr>
        <w:t>备注：1.浮动率A和权重B和浮动率C按招标文件约定由招标人代表分别在规定数值中随机抽取；</w:t>
      </w:r>
    </w:p>
    <w:p w14:paraId="75DAC0CE">
      <w:pPr>
        <w:spacing w:line="360" w:lineRule="auto"/>
        <w:ind w:firstLine="720" w:firstLineChars="300"/>
        <w:rPr>
          <w:rFonts w:hint="eastAsia" w:ascii="宋体" w:hAnsi="宋体" w:cs="宋体"/>
          <w:i w:val="0"/>
          <w:iCs w:val="0"/>
          <w:color w:val="auto"/>
          <w:highlight w:val="none"/>
        </w:rPr>
        <w:sectPr>
          <w:pgSz w:w="16838" w:h="11906" w:orient="landscape"/>
          <w:pgMar w:top="1474" w:right="2041" w:bottom="1588" w:left="1985" w:header="851" w:footer="1531" w:gutter="0"/>
          <w:cols w:space="720" w:num="1"/>
          <w:docGrid w:type="lines" w:linePitch="312" w:charSpace="0"/>
        </w:sectPr>
      </w:pPr>
      <w:r>
        <w:rPr>
          <w:rFonts w:hint="eastAsia" w:ascii="宋体" w:hAnsi="宋体" w:cs="宋体"/>
          <w:i w:val="0"/>
          <w:iCs w:val="0"/>
          <w:color w:val="auto"/>
          <w:highlight w:val="none"/>
        </w:rPr>
        <w:t>2.F值保留两位小数，第三位四舍五入。</w:t>
      </w:r>
    </w:p>
    <w:p w14:paraId="4895BF47">
      <w:pPr>
        <w:pStyle w:val="10"/>
        <w:spacing w:line="600" w:lineRule="exact"/>
        <w:rPr>
          <w:rFonts w:hint="eastAsia" w:ascii="仿宋_GB2312" w:hAnsi="宋体" w:eastAsia="仿宋_GB2312" w:cs="宋体"/>
          <w:i w:val="0"/>
          <w:iCs w:val="0"/>
          <w:snapToGrid w:val="0"/>
          <w:color w:val="auto"/>
          <w:kern w:val="32"/>
          <w:sz w:val="32"/>
          <w:szCs w:val="32"/>
          <w:highlight w:val="none"/>
        </w:rPr>
      </w:pPr>
      <w:r>
        <w:rPr>
          <w:rFonts w:hint="eastAsia" w:ascii="仿宋_GB2312" w:hAnsi="宋体" w:eastAsia="仿宋_GB2312" w:cs="宋体"/>
          <w:i w:val="0"/>
          <w:iCs w:val="0"/>
          <w:snapToGrid w:val="0"/>
          <w:color w:val="auto"/>
          <w:kern w:val="32"/>
          <w:sz w:val="32"/>
          <w:szCs w:val="32"/>
          <w:highlight w:val="none"/>
        </w:rPr>
        <w:sym w:font="Wingdings 2" w:char="0052"/>
      </w:r>
      <w:r>
        <w:rPr>
          <w:rFonts w:hint="eastAsia" w:ascii="仿宋_GB2312" w:hAnsi="宋体" w:eastAsia="仿宋_GB2312" w:cs="宋体"/>
          <w:i w:val="0"/>
          <w:iCs w:val="0"/>
          <w:snapToGrid w:val="0"/>
          <w:color w:val="auto"/>
          <w:kern w:val="32"/>
          <w:sz w:val="32"/>
          <w:szCs w:val="32"/>
          <w:highlight w:val="none"/>
        </w:rPr>
        <w:t>方法三</w:t>
      </w:r>
    </w:p>
    <w:p w14:paraId="02F54534">
      <w:pPr>
        <w:spacing w:line="360" w:lineRule="auto"/>
        <w:rPr>
          <w:rFonts w:ascii="宋体" w:hAnsi="宋体"/>
          <w:i w:val="0"/>
          <w:iCs w:val="0"/>
          <w:color w:val="auto"/>
          <w:highlight w:val="none"/>
        </w:rPr>
      </w:pPr>
      <w:r>
        <w:rPr>
          <w:rFonts w:ascii="宋体" w:hAnsi="宋体"/>
          <w:i w:val="0"/>
          <w:iCs w:val="0"/>
          <w:color w:val="auto"/>
          <w:highlight w:val="none"/>
        </w:rPr>
        <w:t>（</w:t>
      </w:r>
      <w:r>
        <w:rPr>
          <w:rFonts w:hint="eastAsia" w:ascii="宋体" w:hAnsi="宋体"/>
          <w:i w:val="0"/>
          <w:iCs w:val="0"/>
          <w:color w:val="auto"/>
          <w:highlight w:val="none"/>
        </w:rPr>
        <w:t>1</w:t>
      </w:r>
      <w:r>
        <w:rPr>
          <w:rFonts w:ascii="宋体" w:hAnsi="宋体"/>
          <w:i w:val="0"/>
          <w:iCs w:val="0"/>
          <w:color w:val="auto"/>
          <w:highlight w:val="none"/>
        </w:rPr>
        <w:t>）</w:t>
      </w:r>
      <w:r>
        <w:rPr>
          <w:rFonts w:hint="eastAsia" w:ascii="宋体" w:hAnsi="宋体"/>
          <w:i w:val="0"/>
          <w:iCs w:val="0"/>
          <w:color w:val="auto"/>
          <w:highlight w:val="none"/>
        </w:rPr>
        <w:t>评标基准价计算范围:见评标办法。</w:t>
      </w:r>
    </w:p>
    <w:p w14:paraId="4654C0D2">
      <w:pPr>
        <w:spacing w:line="360" w:lineRule="auto"/>
        <w:rPr>
          <w:rFonts w:ascii="宋体" w:hAnsi="宋体"/>
          <w:i w:val="0"/>
          <w:iCs w:val="0"/>
          <w:color w:val="auto"/>
          <w:highlight w:val="none"/>
        </w:rPr>
      </w:pPr>
      <w:r>
        <w:rPr>
          <w:rFonts w:ascii="宋体" w:hAnsi="宋体"/>
          <w:i w:val="0"/>
          <w:iCs w:val="0"/>
          <w:color w:val="auto"/>
          <w:highlight w:val="none"/>
        </w:rPr>
        <w:t>（2）报价平均值：</w:t>
      </w:r>
    </w:p>
    <w:p w14:paraId="7D234B19">
      <w:pPr>
        <w:spacing w:line="360" w:lineRule="auto"/>
        <w:ind w:firstLine="480" w:firstLineChars="200"/>
        <w:rPr>
          <w:rFonts w:ascii="宋体" w:hAnsi="宋体"/>
          <w:i w:val="0"/>
          <w:iCs w:val="0"/>
          <w:color w:val="auto"/>
          <w:highlight w:val="none"/>
        </w:rPr>
      </w:pPr>
      <w:r>
        <w:rPr>
          <w:rFonts w:ascii="宋体" w:hAnsi="宋体"/>
          <w:i w:val="0"/>
          <w:iCs w:val="0"/>
          <w:color w:val="auto"/>
          <w:highlight w:val="none"/>
        </w:rPr>
        <w:t xml:space="preserve">进入评分范围的所有投标人的评标价的算术平均值为报价平均值(投标评标价在 </w:t>
      </w:r>
      <w:r>
        <w:rPr>
          <w:rFonts w:ascii="宋体" w:hAnsi="宋体"/>
          <w:i w:val="0"/>
          <w:iCs w:val="0"/>
          <w:color w:val="auto"/>
          <w:highlight w:val="none"/>
          <w:u w:val="single"/>
        </w:rPr>
        <w:t xml:space="preserve">5 </w:t>
      </w:r>
      <w:r>
        <w:rPr>
          <w:rFonts w:ascii="宋体" w:hAnsi="宋体"/>
          <w:i w:val="0"/>
          <w:iCs w:val="0"/>
          <w:color w:val="auto"/>
          <w:highlight w:val="none"/>
        </w:rPr>
        <w:t>个至</w:t>
      </w:r>
      <w:r>
        <w:rPr>
          <w:rFonts w:ascii="宋体" w:hAnsi="宋体"/>
          <w:i w:val="0"/>
          <w:iCs w:val="0"/>
          <w:color w:val="auto"/>
          <w:highlight w:val="none"/>
          <w:u w:val="single"/>
        </w:rPr>
        <w:t xml:space="preserve"> 7 </w:t>
      </w:r>
      <w:r>
        <w:rPr>
          <w:rFonts w:ascii="宋体" w:hAnsi="宋体"/>
          <w:i w:val="0"/>
          <w:iCs w:val="0"/>
          <w:color w:val="auto"/>
          <w:highlight w:val="none"/>
        </w:rPr>
        <w:t>个时，去除一个最高价和一个最低价；投标评标价在</w:t>
      </w:r>
      <w:r>
        <w:rPr>
          <w:rFonts w:ascii="宋体" w:hAnsi="宋体"/>
          <w:i w:val="0"/>
          <w:iCs w:val="0"/>
          <w:color w:val="auto"/>
          <w:highlight w:val="none"/>
          <w:u w:val="single"/>
        </w:rPr>
        <w:t xml:space="preserve"> 8 </w:t>
      </w:r>
      <w:r>
        <w:rPr>
          <w:rFonts w:ascii="宋体" w:hAnsi="宋体"/>
          <w:i w:val="0"/>
          <w:iCs w:val="0"/>
          <w:color w:val="auto"/>
          <w:highlight w:val="none"/>
        </w:rPr>
        <w:t>个及以上时，去除一个最高、次高价和一个最低、次低价)。</w:t>
      </w:r>
    </w:p>
    <w:p w14:paraId="2EF90154">
      <w:pPr>
        <w:spacing w:line="360" w:lineRule="auto"/>
        <w:rPr>
          <w:rFonts w:ascii="宋体" w:hAnsi="宋体"/>
          <w:i w:val="0"/>
          <w:iCs w:val="0"/>
          <w:color w:val="auto"/>
          <w:highlight w:val="none"/>
        </w:rPr>
      </w:pPr>
      <w:r>
        <w:rPr>
          <w:rFonts w:ascii="宋体" w:hAnsi="宋体"/>
          <w:i w:val="0"/>
          <w:iCs w:val="0"/>
          <w:color w:val="auto"/>
          <w:highlight w:val="none"/>
        </w:rPr>
        <w:t>（3）评标基准</w:t>
      </w:r>
      <w:r>
        <w:rPr>
          <w:rFonts w:hint="eastAsia" w:ascii="宋体" w:hAnsi="宋体"/>
          <w:i w:val="0"/>
          <w:iCs w:val="0"/>
          <w:color w:val="auto"/>
          <w:highlight w:val="none"/>
        </w:rPr>
        <w:t>价</w:t>
      </w:r>
      <w:r>
        <w:rPr>
          <w:rFonts w:ascii="宋体" w:hAnsi="宋体"/>
          <w:i w:val="0"/>
          <w:iCs w:val="0"/>
          <w:color w:val="auto"/>
          <w:highlight w:val="none"/>
        </w:rPr>
        <w:t>：</w:t>
      </w:r>
    </w:p>
    <w:p w14:paraId="434289DD">
      <w:pPr>
        <w:spacing w:line="360" w:lineRule="auto"/>
        <w:ind w:firstLine="480" w:firstLineChars="200"/>
        <w:rPr>
          <w:rFonts w:hint="eastAsia" w:ascii="宋体" w:hAnsi="宋体"/>
          <w:i w:val="0"/>
          <w:iCs w:val="0"/>
          <w:color w:val="auto"/>
          <w:highlight w:val="none"/>
        </w:rPr>
      </w:pPr>
      <w:r>
        <w:rPr>
          <w:rFonts w:ascii="宋体" w:hAnsi="宋体"/>
          <w:i w:val="0"/>
          <w:iCs w:val="0"/>
          <w:color w:val="auto"/>
          <w:highlight w:val="none"/>
        </w:rPr>
        <w:t>由招标人代表从</w:t>
      </w:r>
      <w:r>
        <w:rPr>
          <w:rFonts w:hint="eastAsia" w:ascii="宋体" w:hAnsi="宋体"/>
          <w:i w:val="0"/>
          <w:iCs w:val="0"/>
          <w:color w:val="auto"/>
          <w:highlight w:val="none"/>
          <w:u w:val="single"/>
        </w:rPr>
        <w:t xml:space="preserve"> 1.5、2</w:t>
      </w:r>
      <w:r>
        <w:rPr>
          <w:rFonts w:hint="eastAsia" w:ascii="宋体" w:hAnsi="宋体"/>
          <w:i w:val="0"/>
          <w:iCs w:val="0"/>
          <w:color w:val="auto"/>
          <w:highlight w:val="none"/>
          <w:u w:val="single"/>
          <w:lang w:val="en-US" w:eastAsia="zh-CN"/>
        </w:rPr>
        <w:t>.0、2.5、3.0、3.5</w:t>
      </w:r>
      <w:r>
        <w:rPr>
          <w:rFonts w:hint="eastAsia" w:ascii="宋体" w:hAnsi="宋体"/>
          <w:i w:val="0"/>
          <w:iCs w:val="0"/>
          <w:color w:val="auto"/>
          <w:highlight w:val="none"/>
          <w:u w:val="single"/>
        </w:rPr>
        <w:t xml:space="preserve"> </w:t>
      </w:r>
      <w:r>
        <w:rPr>
          <w:rFonts w:ascii="宋体" w:hAnsi="宋体"/>
          <w:i w:val="0"/>
          <w:iCs w:val="0"/>
          <w:color w:val="auto"/>
          <w:highlight w:val="none"/>
        </w:rPr>
        <w:t>中随机抽取一个百分数，作为下浮值；（招标人在</w:t>
      </w:r>
      <w:r>
        <w:rPr>
          <w:rFonts w:ascii="宋体" w:hAnsi="宋体"/>
          <w:i w:val="0"/>
          <w:iCs w:val="0"/>
          <w:color w:val="auto"/>
          <w:highlight w:val="none"/>
          <w:u w:val="single"/>
        </w:rPr>
        <w:t xml:space="preserve"> 0、0.5、1、1.5、2、2.5、.……、4</w:t>
      </w:r>
      <w:r>
        <w:rPr>
          <w:rFonts w:hint="eastAsia" w:ascii="宋体" w:hAnsi="宋体"/>
          <w:i w:val="0"/>
          <w:iCs w:val="0"/>
          <w:color w:val="auto"/>
          <w:highlight w:val="none"/>
          <w:u w:val="single"/>
        </w:rPr>
        <w:t>.5</w:t>
      </w:r>
      <w:r>
        <w:rPr>
          <w:rFonts w:ascii="宋体" w:hAnsi="宋体"/>
          <w:i w:val="0"/>
          <w:iCs w:val="0"/>
          <w:color w:val="auto"/>
          <w:highlight w:val="none"/>
          <w:u w:val="single"/>
        </w:rPr>
        <w:t>，5</w:t>
      </w:r>
      <w:r>
        <w:rPr>
          <w:rFonts w:ascii="宋体" w:hAnsi="宋体"/>
          <w:i w:val="0"/>
          <w:iCs w:val="0"/>
          <w:color w:val="auto"/>
          <w:highlight w:val="none"/>
        </w:rPr>
        <w:t xml:space="preserve"> 等 </w:t>
      </w:r>
      <w:r>
        <w:rPr>
          <w:rFonts w:ascii="宋体" w:hAnsi="宋体"/>
          <w:i w:val="0"/>
          <w:iCs w:val="0"/>
          <w:color w:val="auto"/>
          <w:highlight w:val="none"/>
          <w:u w:val="single"/>
        </w:rPr>
        <w:t>1</w:t>
      </w:r>
      <w:r>
        <w:rPr>
          <w:rFonts w:hint="eastAsia" w:ascii="宋体" w:hAnsi="宋体"/>
          <w:i w:val="0"/>
          <w:iCs w:val="0"/>
          <w:color w:val="auto"/>
          <w:highlight w:val="none"/>
          <w:u w:val="single"/>
        </w:rPr>
        <w:t>1</w:t>
      </w:r>
      <w:r>
        <w:rPr>
          <w:rFonts w:ascii="宋体" w:hAnsi="宋体"/>
          <w:i w:val="0"/>
          <w:iCs w:val="0"/>
          <w:color w:val="auto"/>
          <w:highlight w:val="none"/>
          <w:u w:val="single"/>
        </w:rPr>
        <w:t xml:space="preserve"> </w:t>
      </w:r>
      <w:r>
        <w:rPr>
          <w:rFonts w:ascii="宋体" w:hAnsi="宋体"/>
          <w:i w:val="0"/>
          <w:iCs w:val="0"/>
          <w:color w:val="auto"/>
          <w:highlight w:val="none"/>
        </w:rPr>
        <w:t>个数中,确定一个由其中</w:t>
      </w:r>
      <w:r>
        <w:rPr>
          <w:rFonts w:ascii="宋体" w:hAnsi="宋体"/>
          <w:i w:val="0"/>
          <w:iCs w:val="0"/>
          <w:color w:val="auto"/>
          <w:highlight w:val="none"/>
          <w:u w:val="single"/>
        </w:rPr>
        <w:t xml:space="preserve"> 5 </w:t>
      </w:r>
      <w:r>
        <w:rPr>
          <w:rFonts w:ascii="宋体" w:hAnsi="宋体"/>
          <w:i w:val="0"/>
          <w:iCs w:val="0"/>
          <w:color w:val="auto"/>
          <w:highlight w:val="none"/>
        </w:rPr>
        <w:t>个</w:t>
      </w:r>
      <w:r>
        <w:rPr>
          <w:rFonts w:hint="eastAsia" w:ascii="宋体" w:hAnsi="宋体"/>
          <w:i w:val="0"/>
          <w:iCs w:val="0"/>
          <w:color w:val="auto"/>
          <w:highlight w:val="none"/>
        </w:rPr>
        <w:t>连续</w:t>
      </w:r>
      <w:r>
        <w:rPr>
          <w:rFonts w:ascii="宋体" w:hAnsi="宋体"/>
          <w:i w:val="0"/>
          <w:iCs w:val="0"/>
          <w:color w:val="auto"/>
          <w:highlight w:val="none"/>
        </w:rPr>
        <w:t>数组成的等差数列，在编制招标文件时填入），</w:t>
      </w:r>
      <w:r>
        <w:rPr>
          <w:rFonts w:hint="eastAsia" w:ascii="宋体" w:hAnsi="宋体"/>
          <w:i w:val="0"/>
          <w:iCs w:val="0"/>
          <w:color w:val="auto"/>
          <w:highlight w:val="none"/>
        </w:rPr>
        <w:t>计算公式：</w:t>
      </w:r>
    </w:p>
    <w:p w14:paraId="10F1C3E4">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评标基准价=报价平均值*（1-下浮值）</w:t>
      </w:r>
    </w:p>
    <w:p w14:paraId="441551CD">
      <w:pPr>
        <w:ind w:firstLine="480" w:firstLineChars="200"/>
        <w:rPr>
          <w:rFonts w:hint="eastAsia" w:ascii="宋体" w:hAnsi="宋体"/>
          <w:i w:val="0"/>
          <w:iCs w:val="0"/>
          <w:color w:val="auto"/>
          <w:highlight w:val="none"/>
        </w:rPr>
      </w:pPr>
      <w:r>
        <w:rPr>
          <w:rFonts w:hint="eastAsia" w:ascii="宋体" w:hAnsi="宋体"/>
          <w:i w:val="0"/>
          <w:iCs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0A37055A">
      <w:pPr>
        <w:rPr>
          <w:rFonts w:hint="eastAsia" w:ascii="宋体" w:hAnsi="宋体"/>
          <w:i w:val="0"/>
          <w:iCs w:val="0"/>
          <w:color w:val="auto"/>
          <w:highlight w:val="none"/>
        </w:rPr>
      </w:pPr>
      <w:r>
        <w:rPr>
          <w:rFonts w:hint="eastAsia" w:ascii="宋体" w:hAnsi="宋体"/>
          <w:i w:val="0"/>
          <w:iCs w:val="0"/>
          <w:color w:val="auto"/>
          <w:highlight w:val="none"/>
        </w:rPr>
        <w:t>K=（有效投标报价—评标基准价）÷评标基准价*100%</w:t>
      </w:r>
    </w:p>
    <w:p w14:paraId="2D39389A">
      <w:pPr>
        <w:rPr>
          <w:rFonts w:hint="eastAsia" w:ascii="宋体" w:hAnsi="宋体"/>
          <w:i w:val="0"/>
          <w:iCs w:val="0"/>
          <w:color w:val="auto"/>
          <w:highlight w:val="none"/>
        </w:rPr>
      </w:pPr>
      <w:r>
        <w:rPr>
          <w:rFonts w:hint="eastAsia" w:ascii="宋体" w:hAnsi="宋体"/>
          <w:i w:val="0"/>
          <w:iCs w:val="0"/>
          <w:color w:val="auto"/>
          <w:highlight w:val="none"/>
        </w:rPr>
        <w:t>当K值等于零时，得满分；</w:t>
      </w:r>
    </w:p>
    <w:p w14:paraId="6737E88D">
      <w:pPr>
        <w:rPr>
          <w:rFonts w:hint="eastAsia" w:ascii="宋体" w:hAnsi="宋体"/>
          <w:i w:val="0"/>
          <w:iCs w:val="0"/>
          <w:color w:val="auto"/>
          <w:highlight w:val="none"/>
        </w:rPr>
      </w:pPr>
      <w:r>
        <w:rPr>
          <w:rFonts w:hint="eastAsia" w:ascii="宋体" w:hAnsi="宋体"/>
          <w:i w:val="0"/>
          <w:iCs w:val="0"/>
          <w:color w:val="auto"/>
          <w:highlight w:val="none"/>
        </w:rPr>
        <w:t>当K值大于零时，K值每增1%，在总分上扣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2</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7BB32175">
      <w:pPr>
        <w:rPr>
          <w:rFonts w:ascii="宋体" w:hAnsi="宋体"/>
          <w:i w:val="0"/>
          <w:iCs w:val="0"/>
          <w:color w:val="auto"/>
          <w:highlight w:val="none"/>
        </w:rPr>
      </w:pPr>
      <w:r>
        <w:rPr>
          <w:rFonts w:hint="eastAsia" w:ascii="宋体" w:hAnsi="宋体"/>
          <w:i w:val="0"/>
          <w:iCs w:val="0"/>
          <w:color w:val="auto"/>
          <w:highlight w:val="none"/>
        </w:rPr>
        <w:t>当K值小于零时，K值每减1%，在总分上扣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618C221D">
      <w:pPr>
        <w:rPr>
          <w:rFonts w:ascii="宋体" w:hAnsi="宋体"/>
          <w:i w:val="0"/>
          <w:iCs w:val="0"/>
          <w:color w:val="auto"/>
          <w:highlight w:val="none"/>
        </w:rPr>
      </w:pPr>
    </w:p>
    <w:p w14:paraId="0AE88B84">
      <w:pPr>
        <w:rPr>
          <w:rFonts w:ascii="宋体" w:hAnsi="宋体"/>
          <w:i w:val="0"/>
          <w:iCs w:val="0"/>
          <w:color w:val="auto"/>
          <w:highlight w:val="none"/>
        </w:rPr>
      </w:pPr>
    </w:p>
    <w:p w14:paraId="4EC1D9BC">
      <w:pPr>
        <w:rPr>
          <w:rFonts w:ascii="宋体" w:hAnsi="宋体"/>
          <w:i w:val="0"/>
          <w:iCs w:val="0"/>
          <w:color w:val="auto"/>
          <w:highlight w:val="none"/>
        </w:rPr>
      </w:pPr>
    </w:p>
    <w:p w14:paraId="0B0F429A">
      <w:pPr>
        <w:rPr>
          <w:rFonts w:ascii="宋体" w:hAnsi="宋体"/>
          <w:i w:val="0"/>
          <w:iCs w:val="0"/>
          <w:color w:val="auto"/>
          <w:highlight w:val="none"/>
        </w:rPr>
      </w:pPr>
    </w:p>
    <w:p w14:paraId="7F2D74B5">
      <w:pPr>
        <w:rPr>
          <w:rFonts w:ascii="宋体" w:hAnsi="宋体"/>
          <w:i w:val="0"/>
          <w:iCs w:val="0"/>
          <w:color w:val="auto"/>
          <w:highlight w:val="none"/>
        </w:rPr>
      </w:pPr>
    </w:p>
    <w:p w14:paraId="321A9909">
      <w:pPr>
        <w:rPr>
          <w:rFonts w:ascii="宋体" w:hAnsi="宋体"/>
          <w:i w:val="0"/>
          <w:iCs w:val="0"/>
          <w:color w:val="auto"/>
          <w:highlight w:val="none"/>
        </w:rPr>
      </w:pPr>
    </w:p>
    <w:p w14:paraId="21BB0725">
      <w:pPr>
        <w:rPr>
          <w:rFonts w:ascii="宋体" w:hAnsi="宋体"/>
          <w:i w:val="0"/>
          <w:iCs w:val="0"/>
          <w:color w:val="auto"/>
          <w:highlight w:val="none"/>
        </w:rPr>
      </w:pPr>
    </w:p>
    <w:p w14:paraId="3027F72C">
      <w:pPr>
        <w:rPr>
          <w:rFonts w:ascii="宋体" w:hAnsi="宋体"/>
          <w:i w:val="0"/>
          <w:iCs w:val="0"/>
          <w:color w:val="auto"/>
          <w:highlight w:val="none"/>
        </w:rPr>
      </w:pPr>
    </w:p>
    <w:p w14:paraId="2F006C60">
      <w:pPr>
        <w:rPr>
          <w:rFonts w:ascii="宋体" w:hAnsi="宋体"/>
          <w:i w:val="0"/>
          <w:iCs w:val="0"/>
          <w:color w:val="auto"/>
          <w:highlight w:val="none"/>
        </w:rPr>
      </w:pPr>
    </w:p>
    <w:p w14:paraId="35D47299">
      <w:pPr>
        <w:rPr>
          <w:rFonts w:ascii="宋体" w:hAnsi="宋体"/>
          <w:i w:val="0"/>
          <w:iCs w:val="0"/>
          <w:color w:val="auto"/>
          <w:highlight w:val="none"/>
        </w:rPr>
      </w:pPr>
    </w:p>
    <w:p w14:paraId="71160678">
      <w:pPr>
        <w:rPr>
          <w:rFonts w:ascii="宋体" w:hAnsi="宋体"/>
          <w:i w:val="0"/>
          <w:iCs w:val="0"/>
          <w:color w:val="auto"/>
          <w:highlight w:val="none"/>
        </w:rPr>
      </w:pPr>
    </w:p>
    <w:p w14:paraId="6CDBB20E">
      <w:pPr>
        <w:rPr>
          <w:rFonts w:ascii="宋体" w:hAnsi="宋体"/>
          <w:i w:val="0"/>
          <w:iCs w:val="0"/>
          <w:color w:val="auto"/>
          <w:highlight w:val="none"/>
        </w:rPr>
      </w:pPr>
    </w:p>
    <w:p w14:paraId="76C755C6">
      <w:pPr>
        <w:rPr>
          <w:rFonts w:ascii="宋体" w:hAnsi="宋体"/>
          <w:i w:val="0"/>
          <w:iCs w:val="0"/>
          <w:color w:val="auto"/>
          <w:highlight w:val="none"/>
        </w:rPr>
      </w:pPr>
    </w:p>
    <w:p w14:paraId="525C9810">
      <w:pPr>
        <w:rPr>
          <w:rFonts w:ascii="宋体" w:hAnsi="宋体"/>
          <w:i w:val="0"/>
          <w:iCs w:val="0"/>
          <w:color w:val="auto"/>
          <w:highlight w:val="none"/>
        </w:rPr>
      </w:pPr>
    </w:p>
    <w:p w14:paraId="1C1198AF">
      <w:pPr>
        <w:rPr>
          <w:rFonts w:ascii="宋体" w:hAnsi="宋体"/>
          <w:i w:val="0"/>
          <w:iCs w:val="0"/>
          <w:color w:val="auto"/>
          <w:highlight w:val="none"/>
        </w:rPr>
      </w:pPr>
    </w:p>
    <w:p w14:paraId="420B5EE8">
      <w:pPr>
        <w:rPr>
          <w:rFonts w:ascii="宋体" w:hAnsi="宋体"/>
          <w:i w:val="0"/>
          <w:iCs w:val="0"/>
          <w:color w:val="auto"/>
          <w:highlight w:val="none"/>
        </w:rPr>
      </w:pPr>
    </w:p>
    <w:p w14:paraId="59D5A37F">
      <w:pPr>
        <w:rPr>
          <w:rFonts w:ascii="宋体" w:hAnsi="宋体"/>
          <w:i w:val="0"/>
          <w:iCs w:val="0"/>
          <w:color w:val="auto"/>
          <w:highlight w:val="none"/>
        </w:rPr>
      </w:pPr>
    </w:p>
    <w:p w14:paraId="120D9A1E">
      <w:pPr>
        <w:rPr>
          <w:rFonts w:ascii="宋体" w:hAnsi="宋体"/>
          <w:i w:val="0"/>
          <w:iCs w:val="0"/>
          <w:color w:val="auto"/>
          <w:highlight w:val="none"/>
        </w:rPr>
      </w:pPr>
    </w:p>
    <w:p w14:paraId="32839AA6">
      <w:pPr>
        <w:rPr>
          <w:rFonts w:hint="eastAsia" w:ascii="宋体" w:hAnsi="宋体"/>
          <w:i w:val="0"/>
          <w:iCs w:val="0"/>
          <w:color w:val="auto"/>
          <w:highlight w:val="none"/>
        </w:rPr>
      </w:pPr>
    </w:p>
    <w:p w14:paraId="2D7A8F8E">
      <w:pPr>
        <w:rPr>
          <w:rFonts w:ascii="宋体" w:hAnsi="宋体"/>
          <w:i w:val="0"/>
          <w:iCs w:val="0"/>
          <w:color w:val="auto"/>
          <w:highlight w:val="none"/>
        </w:rPr>
      </w:pPr>
    </w:p>
    <w:p w14:paraId="44D60710">
      <w:pPr>
        <w:pStyle w:val="10"/>
        <w:spacing w:line="600" w:lineRule="exact"/>
        <w:rPr>
          <w:rFonts w:ascii="仿宋_GB2312" w:hAnsi="宋体" w:eastAsia="仿宋_GB2312" w:cs="宋体"/>
          <w:i w:val="0"/>
          <w:iCs w:val="0"/>
          <w:snapToGrid w:val="0"/>
          <w:color w:val="auto"/>
          <w:kern w:val="32"/>
          <w:sz w:val="32"/>
          <w:szCs w:val="32"/>
          <w:highlight w:val="none"/>
        </w:rPr>
      </w:pPr>
      <w:r>
        <w:rPr>
          <w:rFonts w:hint="eastAsia" w:ascii="仿宋_GB2312" w:hAnsi="宋体" w:eastAsia="仿宋_GB2312" w:cs="宋体"/>
          <w:i w:val="0"/>
          <w:iCs w:val="0"/>
          <w:snapToGrid w:val="0"/>
          <w:color w:val="auto"/>
          <w:kern w:val="32"/>
          <w:sz w:val="32"/>
          <w:szCs w:val="32"/>
          <w:highlight w:val="none"/>
        </w:rPr>
        <w:sym w:font="Wingdings 2" w:char="0052"/>
      </w:r>
      <w:r>
        <w:rPr>
          <w:rFonts w:hint="eastAsia" w:ascii="仿宋_GB2312" w:hAnsi="宋体" w:eastAsia="仿宋_GB2312" w:cs="宋体"/>
          <w:i w:val="0"/>
          <w:iCs w:val="0"/>
          <w:snapToGrid w:val="0"/>
          <w:color w:val="auto"/>
          <w:kern w:val="32"/>
          <w:sz w:val="32"/>
          <w:szCs w:val="32"/>
          <w:highlight w:val="none"/>
        </w:rPr>
        <w:t>方法五</w:t>
      </w:r>
    </w:p>
    <w:p w14:paraId="306D836C">
      <w:pPr>
        <w:spacing w:line="360" w:lineRule="auto"/>
        <w:rPr>
          <w:rFonts w:hint="eastAsia" w:ascii="宋体" w:hAnsi="宋体"/>
          <w:i w:val="0"/>
          <w:iCs w:val="0"/>
          <w:color w:val="auto"/>
          <w:highlight w:val="none"/>
        </w:rPr>
      </w:pPr>
      <w:r>
        <w:rPr>
          <w:rFonts w:hint="eastAsia" w:ascii="宋体" w:hAnsi="宋体"/>
          <w:i w:val="0"/>
          <w:iCs w:val="0"/>
          <w:color w:val="auto"/>
          <w:highlight w:val="none"/>
        </w:rPr>
        <w:t>（1）所有进入评标基准价计算范围的投标文件在0-1之间随机抽取一个权重系数。</w:t>
      </w:r>
    </w:p>
    <w:p w14:paraId="72E95117">
      <w:pPr>
        <w:spacing w:line="360" w:lineRule="auto"/>
        <w:ind w:firstLine="480" w:firstLineChars="200"/>
        <w:rPr>
          <w:rFonts w:ascii="宋体" w:hAnsi="宋体"/>
          <w:i w:val="0"/>
          <w:iCs w:val="0"/>
          <w:color w:val="auto"/>
          <w:highlight w:val="none"/>
        </w:rPr>
      </w:pPr>
      <w:r>
        <w:rPr>
          <w:rFonts w:hint="eastAsia" w:ascii="宋体" w:hAnsi="宋体"/>
          <w:i w:val="0"/>
          <w:iCs w:val="0"/>
          <w:color w:val="auto"/>
          <w:highlight w:val="none"/>
        </w:rPr>
        <w:t>权重系数抽取办法：①权重系数由系统随机抽取，由招标人（代理机构）负责操作，系统按照进入评标基准价计算范围的投标单位数量（N个）随机抽取N个权重系数并按1-N编号排序（权重系数从0.01-0.99之间，步长为0.01的99个数字中间随机抽取）。</w:t>
      </w:r>
    </w:p>
    <w:p w14:paraId="70DB3DD3">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②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3433E9B7">
      <w:pPr>
        <w:spacing w:line="360" w:lineRule="auto"/>
        <w:rPr>
          <w:rFonts w:hint="eastAsia" w:ascii="宋体" w:hAnsi="宋体"/>
          <w:i w:val="0"/>
          <w:iCs w:val="0"/>
          <w:color w:val="auto"/>
          <w:highlight w:val="none"/>
        </w:rPr>
      </w:pPr>
      <w:r>
        <w:rPr>
          <w:rFonts w:hint="eastAsia" w:ascii="宋体" w:hAnsi="宋体"/>
          <w:i w:val="0"/>
          <w:iCs w:val="0"/>
          <w:color w:val="auto"/>
          <w:highlight w:val="none"/>
        </w:rPr>
        <w:t>（2）评标基准价计算范围:见评标办法。</w:t>
      </w:r>
    </w:p>
    <w:p w14:paraId="40BC52E7">
      <w:pPr>
        <w:spacing w:line="360" w:lineRule="auto"/>
        <w:rPr>
          <w:rFonts w:hint="eastAsia" w:ascii="宋体" w:hAnsi="宋体"/>
          <w:i w:val="0"/>
          <w:iCs w:val="0"/>
          <w:color w:val="auto"/>
          <w:highlight w:val="none"/>
        </w:rPr>
      </w:pPr>
      <w:r>
        <w:rPr>
          <w:rFonts w:hint="eastAsia" w:ascii="宋体" w:hAnsi="宋体"/>
          <w:i w:val="0"/>
          <w:iCs w:val="0"/>
          <w:color w:val="auto"/>
          <w:highlight w:val="none"/>
        </w:rPr>
        <w:t>（3）评标基准价：</w:t>
      </w:r>
    </w:p>
    <w:p w14:paraId="3A7435B2">
      <w:pPr>
        <w:spacing w:line="360" w:lineRule="auto"/>
        <w:ind w:firstLine="480" w:firstLineChars="200"/>
        <w:rPr>
          <w:rFonts w:hint="eastAsia" w:ascii="宋体" w:hAnsi="宋体"/>
          <w:i w:val="0"/>
          <w:iCs w:val="0"/>
          <w:color w:val="auto"/>
          <w:highlight w:val="none"/>
        </w:rPr>
      </w:pPr>
      <w:r>
        <w:rPr>
          <w:rFonts w:hint="eastAsia" w:ascii="宋体" w:hAnsi="宋体"/>
          <w:i w:val="0"/>
          <w:iCs w:val="0"/>
          <w:color w:val="auto"/>
          <w:highlight w:val="none"/>
        </w:rPr>
        <w:t>进入评分范围的投标评标价（C1、C2、…Cn），与对应的权重系数（A1、A2、…An）进行加权平均计算得出评标基准价，计算公式：</w:t>
      </w:r>
    </w:p>
    <w:p w14:paraId="132DA74F">
      <w:pPr>
        <w:spacing w:line="360" w:lineRule="auto"/>
        <w:rPr>
          <w:rFonts w:hint="eastAsia" w:ascii="宋体" w:hAnsi="宋体"/>
          <w:i w:val="0"/>
          <w:iCs w:val="0"/>
          <w:color w:val="auto"/>
          <w:highlight w:val="none"/>
        </w:rPr>
      </w:pPr>
    </w:p>
    <w:tbl>
      <w:tblPr>
        <w:tblStyle w:val="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15FE6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noWrap w:val="0"/>
            <w:vAlign w:val="top"/>
          </w:tcPr>
          <w:p w14:paraId="0613DFB7">
            <w:pPr>
              <w:keepNext w:val="0"/>
              <w:keepLines w:val="0"/>
              <w:suppressLineNumbers w:val="0"/>
              <w:spacing w:before="0" w:beforeAutospacing="0" w:after="0" w:afterAutospacing="0" w:line="360" w:lineRule="auto"/>
              <w:ind w:left="0" w:right="0" w:firstLine="1440" w:firstLineChars="600"/>
              <w:rPr>
                <w:rFonts w:hint="eastAsia" w:ascii="宋体" w:hAnsi="宋体" w:cs="Times New Roman"/>
                <w:i w:val="0"/>
                <w:iCs w:val="0"/>
                <w:color w:val="auto"/>
                <w:highlight w:val="none"/>
              </w:rPr>
            </w:pPr>
            <w:r>
              <w:rPr>
                <w:rFonts w:hint="eastAsia" w:ascii="宋体" w:hAnsi="宋体" w:cs="Times New Roman"/>
                <w:i w:val="0"/>
                <w:iCs w:val="0"/>
                <w:color w:val="auto"/>
                <w:highlight w:val="none"/>
              </w:rPr>
              <w:t>（C1×A1）+（C2×A2）+…（Cn×An）</w:t>
            </w:r>
          </w:p>
          <w:p w14:paraId="0548AF29">
            <w:pPr>
              <w:keepNext w:val="0"/>
              <w:keepLines w:val="0"/>
              <w:suppressLineNumbers w:val="0"/>
              <w:spacing w:before="0" w:beforeAutospacing="0" w:after="0" w:afterAutospacing="0" w:line="360" w:lineRule="auto"/>
              <w:ind w:left="1680" w:right="0" w:hanging="1680" w:hangingChars="700"/>
              <w:rPr>
                <w:rFonts w:hint="eastAsia" w:ascii="宋体" w:hAnsi="宋体" w:cs="Times New Roman"/>
                <w:i w:val="0"/>
                <w:iCs w:val="0"/>
                <w:color w:val="auto"/>
                <w:highlight w:val="none"/>
              </w:rPr>
            </w:pPr>
            <w:r>
              <w:rPr>
                <w:rFonts w:hint="eastAsia" w:ascii="宋体" w:hAnsi="宋体" w:cs="Times New Roman"/>
                <w:i w:val="0"/>
                <w:iCs w:val="0"/>
                <w:color w:val="auto"/>
                <w:highlight w:val="none"/>
              </w:rPr>
              <w:t>评标基准价=—————————————————A1+A2+…An</w:t>
            </w:r>
          </w:p>
        </w:tc>
      </w:tr>
    </w:tbl>
    <w:p w14:paraId="304FCB77">
      <w:pPr>
        <w:ind w:firstLine="480" w:firstLineChars="200"/>
        <w:rPr>
          <w:rFonts w:hint="eastAsia" w:ascii="宋体" w:hAnsi="宋体"/>
          <w:i w:val="0"/>
          <w:iCs w:val="0"/>
          <w:color w:val="auto"/>
          <w:highlight w:val="none"/>
        </w:rPr>
      </w:pPr>
      <w:r>
        <w:rPr>
          <w:rFonts w:hint="eastAsia" w:ascii="宋体" w:hAnsi="宋体"/>
          <w:i w:val="0"/>
          <w:iCs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65704D44">
      <w:pPr>
        <w:rPr>
          <w:rFonts w:hint="eastAsia" w:ascii="宋体" w:hAnsi="宋体"/>
          <w:i w:val="0"/>
          <w:iCs w:val="0"/>
          <w:color w:val="auto"/>
          <w:highlight w:val="none"/>
        </w:rPr>
      </w:pPr>
      <w:r>
        <w:rPr>
          <w:rFonts w:hint="eastAsia" w:ascii="宋体" w:hAnsi="宋体"/>
          <w:i w:val="0"/>
          <w:iCs w:val="0"/>
          <w:color w:val="auto"/>
          <w:highlight w:val="none"/>
        </w:rPr>
        <w:t>K=（有效投标报价—评标基准价）÷评标基准价*100%</w:t>
      </w:r>
    </w:p>
    <w:p w14:paraId="2D734E38">
      <w:pPr>
        <w:rPr>
          <w:rFonts w:hint="eastAsia" w:ascii="宋体" w:hAnsi="宋体"/>
          <w:i w:val="0"/>
          <w:iCs w:val="0"/>
          <w:color w:val="auto"/>
          <w:highlight w:val="none"/>
        </w:rPr>
      </w:pPr>
      <w:r>
        <w:rPr>
          <w:rFonts w:hint="eastAsia" w:ascii="宋体" w:hAnsi="宋体"/>
          <w:i w:val="0"/>
          <w:iCs w:val="0"/>
          <w:color w:val="auto"/>
          <w:highlight w:val="none"/>
        </w:rPr>
        <w:t>当K值等于零时，得满分；</w:t>
      </w:r>
    </w:p>
    <w:p w14:paraId="0D835FA0">
      <w:pPr>
        <w:rPr>
          <w:rFonts w:hint="eastAsia" w:ascii="宋体" w:hAnsi="宋体"/>
          <w:i w:val="0"/>
          <w:iCs w:val="0"/>
          <w:color w:val="auto"/>
          <w:highlight w:val="none"/>
        </w:rPr>
      </w:pPr>
      <w:r>
        <w:rPr>
          <w:rFonts w:hint="eastAsia" w:ascii="宋体" w:hAnsi="宋体"/>
          <w:i w:val="0"/>
          <w:iCs w:val="0"/>
          <w:color w:val="auto"/>
          <w:highlight w:val="none"/>
        </w:rPr>
        <w:t>当K值大于零时，K值每增1%，在总分上扣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2</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　</w:t>
      </w:r>
    </w:p>
    <w:p w14:paraId="74855C3A">
      <w:pPr>
        <w:rPr>
          <w:rFonts w:ascii="宋体" w:hAnsi="宋体"/>
          <w:i w:val="0"/>
          <w:iCs w:val="0"/>
          <w:color w:val="auto"/>
          <w:highlight w:val="none"/>
        </w:rPr>
      </w:pPr>
      <w:r>
        <w:rPr>
          <w:rFonts w:hint="eastAsia" w:ascii="宋体" w:hAnsi="宋体"/>
          <w:i w:val="0"/>
          <w:iCs w:val="0"/>
          <w:color w:val="auto"/>
          <w:highlight w:val="none"/>
        </w:rPr>
        <w:t>当K值小于零时，K值每减1%，在总分上扣</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分。</w:t>
      </w:r>
    </w:p>
    <w:p w14:paraId="11F8253A">
      <w:pPr>
        <w:rPr>
          <w:rFonts w:ascii="宋体" w:hAnsi="宋体"/>
          <w:i/>
          <w:color w:val="auto"/>
          <w:highlight w:val="none"/>
        </w:rPr>
      </w:pPr>
    </w:p>
    <w:p w14:paraId="02EA27BD">
      <w:pPr>
        <w:rPr>
          <w:rFonts w:ascii="宋体" w:hAnsi="宋体"/>
          <w:i/>
          <w:color w:val="auto"/>
          <w:highlight w:val="none"/>
        </w:rPr>
      </w:pPr>
    </w:p>
    <w:p w14:paraId="35012A95">
      <w:pPr>
        <w:rPr>
          <w:rFonts w:ascii="宋体" w:hAnsi="宋体"/>
          <w:i/>
          <w:color w:val="auto"/>
          <w:highlight w:val="none"/>
        </w:rPr>
      </w:pPr>
    </w:p>
    <w:p w14:paraId="38E1CBBC">
      <w:pPr>
        <w:rPr>
          <w:rFonts w:ascii="宋体" w:hAnsi="宋体"/>
          <w:i/>
          <w:color w:val="auto"/>
          <w:highlight w:val="none"/>
        </w:rPr>
      </w:pPr>
    </w:p>
    <w:p w14:paraId="59EE6CEA">
      <w:pPr>
        <w:rPr>
          <w:rFonts w:ascii="宋体" w:hAnsi="宋体"/>
          <w:i/>
          <w:color w:val="auto"/>
          <w:highlight w:val="none"/>
        </w:rPr>
      </w:pPr>
    </w:p>
    <w:p w14:paraId="501FCBE2">
      <w:pPr>
        <w:rPr>
          <w:rFonts w:ascii="宋体" w:hAnsi="宋体"/>
          <w:i/>
          <w:color w:val="auto"/>
          <w:highlight w:val="none"/>
        </w:rPr>
      </w:pPr>
    </w:p>
    <w:p w14:paraId="445EA75C">
      <w:pPr>
        <w:rPr>
          <w:rFonts w:ascii="宋体" w:hAnsi="宋体"/>
          <w:i/>
          <w:color w:val="auto"/>
          <w:highlight w:val="none"/>
        </w:rPr>
      </w:pPr>
    </w:p>
    <w:p w14:paraId="5E9D6CB7">
      <w:pPr>
        <w:rPr>
          <w:i/>
          <w:color w:val="auto"/>
          <w:highlight w:val="none"/>
        </w:rPr>
      </w:pPr>
    </w:p>
    <w:sectPr>
      <w:type w:val="continuous"/>
      <w:pgSz w:w="11907" w:h="16839"/>
      <w:pgMar w:top="1440" w:right="1559"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华文仿宋"/>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简体">
    <w:altName w:val="Arial Unicode MS"/>
    <w:panose1 w:val="02000000000000000000"/>
    <w:charset w:val="86"/>
    <w:family w:val="script"/>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公文黑体">
    <w:altName w:val="黑体"/>
    <w:panose1 w:val="02000500000000000000"/>
    <w:charset w:val="00"/>
    <w:family w:val="auto"/>
    <w:pitch w:val="default"/>
    <w:sig w:usb0="00000000" w:usb1="00000000" w:usb2="00000000" w:usb3="00000000" w:csb0="00040001" w:csb1="00000000"/>
  </w:font>
  <w:font w:name="ËÎÌå">
    <w:altName w:val="华文仿宋"/>
    <w:panose1 w:val="00000000000000000000"/>
    <w:charset w:val="00"/>
    <w:family w:val="auto"/>
    <w:pitch w:val="default"/>
    <w:sig w:usb0="00000000" w:usb1="00000000" w:usb2="00000000" w:usb3="00000000" w:csb0="00040001" w:csb1="00000000"/>
  </w:font>
  <w:font w:name="小标宋">
    <w:altName w:val="Arial Unicode MS"/>
    <w:panose1 w:val="03000509000000000000"/>
    <w:charset w:val="86"/>
    <w:family w:val="script"/>
    <w:pitch w:val="default"/>
    <w:sig w:usb0="00000000" w:usb1="00000000" w:usb2="00000010" w:usb3="00000000" w:csb0="00040000" w:csb1="00000000"/>
  </w:font>
  <w:font w:name="方正仿宋">
    <w:altName w:val="仿宋"/>
    <w:panose1 w:val="00000000000000000000"/>
    <w:charset w:val="86"/>
    <w:family w:val="script"/>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33D5D">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BA4041">
                          <w:pPr>
                            <w:pStyle w:val="12"/>
                          </w:pPr>
                          <w:r>
                            <w:fldChar w:fldCharType="begin"/>
                          </w:r>
                          <w:r>
                            <w:instrText xml:space="preserve"> PAGE  \* MERGEFORMAT </w:instrText>
                          </w:r>
                          <w:r>
                            <w:fldChar w:fldCharType="separate"/>
                          </w:r>
                          <w:r>
                            <w:t>151</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14:paraId="42BA4041">
                    <w:pPr>
                      <w:pStyle w:val="12"/>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95F49"/>
    <w:multiLevelType w:val="singleLevel"/>
    <w:tmpl w:val="8B695F49"/>
    <w:lvl w:ilvl="0" w:tentative="0">
      <w:start w:val="1"/>
      <w:numFmt w:val="decimal"/>
      <w:suff w:val="nothing"/>
      <w:lvlText w:val="（%1）"/>
      <w:lvlJc w:val="left"/>
    </w:lvl>
  </w:abstractNum>
  <w:abstractNum w:abstractNumId="1">
    <w:nsid w:val="9186A77A"/>
    <w:multiLevelType w:val="singleLevel"/>
    <w:tmpl w:val="9186A77A"/>
    <w:lvl w:ilvl="0" w:tentative="0">
      <w:start w:val="1"/>
      <w:numFmt w:val="decimal"/>
      <w:suff w:val="nothing"/>
      <w:lvlText w:val="（%1）"/>
      <w:lvlJc w:val="left"/>
    </w:lvl>
  </w:abstractNum>
  <w:abstractNum w:abstractNumId="2">
    <w:nsid w:val="BE27F6C2"/>
    <w:multiLevelType w:val="singleLevel"/>
    <w:tmpl w:val="BE27F6C2"/>
    <w:lvl w:ilvl="0" w:tentative="0">
      <w:start w:val="1"/>
      <w:numFmt w:val="decimal"/>
      <w:lvlText w:val="%1."/>
      <w:lvlJc w:val="left"/>
      <w:pPr>
        <w:tabs>
          <w:tab w:val="left" w:pos="312"/>
        </w:tabs>
      </w:pPr>
    </w:lvl>
  </w:abstractNum>
  <w:abstractNum w:abstractNumId="3">
    <w:nsid w:val="E92E73E3"/>
    <w:multiLevelType w:val="singleLevel"/>
    <w:tmpl w:val="E92E73E3"/>
    <w:lvl w:ilvl="0" w:tentative="0">
      <w:start w:val="2"/>
      <w:numFmt w:val="decimal"/>
      <w:suff w:val="nothing"/>
      <w:lvlText w:val="%1）"/>
      <w:lvlJc w:val="left"/>
    </w:lvl>
  </w:abstractNum>
  <w:abstractNum w:abstractNumId="4">
    <w:nsid w:val="F2CB379B"/>
    <w:multiLevelType w:val="singleLevel"/>
    <w:tmpl w:val="F2CB379B"/>
    <w:lvl w:ilvl="0" w:tentative="0">
      <w:start w:val="2"/>
      <w:numFmt w:val="decimal"/>
      <w:suff w:val="nothing"/>
      <w:lvlText w:val="（%1）"/>
      <w:lvlJc w:val="left"/>
    </w:lvl>
  </w:abstractNum>
  <w:abstractNum w:abstractNumId="5">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6">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7">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8">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9">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10">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1">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2">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3">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4">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6">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7">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8">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9">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0">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1">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2">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3">
    <w:nsid w:val="3B0C692D"/>
    <w:multiLevelType w:val="multilevel"/>
    <w:tmpl w:val="3B0C692D"/>
    <w:lvl w:ilvl="0" w:tentative="0">
      <w:start w:val="1"/>
      <w:numFmt w:val="chineseCountingThousand"/>
      <w:suff w:val="nothing"/>
      <w:lvlText w:val="%1、"/>
      <w:lvlJc w:val="left"/>
      <w:pPr>
        <w:ind w:left="987" w:hanging="420"/>
      </w:pPr>
      <w:rPr>
        <w:rFonts w:hint="eastAsia" w:ascii="宋体" w:hAnsi="宋体" w:eastAsia="宋体"/>
      </w:rPr>
    </w:lvl>
    <w:lvl w:ilvl="1" w:tentative="0">
      <w:start w:val="1"/>
      <w:numFmt w:val="lowerLetter"/>
      <w:lvlText w:val="%2)"/>
      <w:lvlJc w:val="left"/>
      <w:pPr>
        <w:ind w:left="1438" w:hanging="420"/>
      </w:pPr>
      <w:rPr>
        <w:rFonts w:hint="eastAsia" w:ascii="宋体" w:hAnsi="宋体" w:eastAsia="宋体"/>
      </w:rPr>
    </w:lvl>
    <w:lvl w:ilvl="2" w:tentative="0">
      <w:start w:val="1"/>
      <w:numFmt w:val="lowerRoman"/>
      <w:lvlText w:val="%3."/>
      <w:lvlJc w:val="right"/>
      <w:pPr>
        <w:ind w:left="1858" w:hanging="420"/>
      </w:pPr>
      <w:rPr>
        <w:rFonts w:hint="eastAsia" w:ascii="宋体" w:hAnsi="宋体" w:eastAsia="宋体"/>
      </w:rPr>
    </w:lvl>
    <w:lvl w:ilvl="3" w:tentative="0">
      <w:start w:val="1"/>
      <w:numFmt w:val="decimal"/>
      <w:lvlText w:val="%4."/>
      <w:lvlJc w:val="left"/>
      <w:pPr>
        <w:ind w:left="2278" w:hanging="420"/>
      </w:pPr>
      <w:rPr>
        <w:rFonts w:hint="eastAsia" w:ascii="宋体" w:hAnsi="宋体" w:eastAsia="宋体"/>
      </w:rPr>
    </w:lvl>
    <w:lvl w:ilvl="4" w:tentative="0">
      <w:start w:val="1"/>
      <w:numFmt w:val="lowerLetter"/>
      <w:lvlText w:val="%5)"/>
      <w:lvlJc w:val="left"/>
      <w:pPr>
        <w:ind w:left="2698" w:hanging="420"/>
      </w:pPr>
      <w:rPr>
        <w:rFonts w:hint="eastAsia" w:ascii="宋体" w:hAnsi="宋体" w:eastAsia="宋体"/>
      </w:rPr>
    </w:lvl>
    <w:lvl w:ilvl="5" w:tentative="0">
      <w:start w:val="1"/>
      <w:numFmt w:val="lowerRoman"/>
      <w:lvlText w:val="%6."/>
      <w:lvlJc w:val="right"/>
      <w:pPr>
        <w:ind w:left="3118" w:hanging="420"/>
      </w:pPr>
      <w:rPr>
        <w:rFonts w:hint="eastAsia" w:ascii="宋体" w:hAnsi="宋体" w:eastAsia="宋体"/>
      </w:rPr>
    </w:lvl>
    <w:lvl w:ilvl="6" w:tentative="0">
      <w:start w:val="1"/>
      <w:numFmt w:val="decimal"/>
      <w:lvlText w:val="%7."/>
      <w:lvlJc w:val="left"/>
      <w:pPr>
        <w:ind w:left="3538" w:hanging="420"/>
      </w:pPr>
      <w:rPr>
        <w:rFonts w:hint="eastAsia" w:ascii="宋体" w:hAnsi="宋体" w:eastAsia="宋体"/>
      </w:rPr>
    </w:lvl>
    <w:lvl w:ilvl="7" w:tentative="0">
      <w:start w:val="1"/>
      <w:numFmt w:val="lowerLetter"/>
      <w:lvlText w:val="%8)"/>
      <w:lvlJc w:val="left"/>
      <w:pPr>
        <w:ind w:left="3958" w:hanging="420"/>
      </w:pPr>
      <w:rPr>
        <w:rFonts w:hint="eastAsia" w:ascii="宋体" w:hAnsi="宋体" w:eastAsia="宋体"/>
      </w:rPr>
    </w:lvl>
    <w:lvl w:ilvl="8" w:tentative="0">
      <w:start w:val="1"/>
      <w:numFmt w:val="lowerRoman"/>
      <w:lvlText w:val="%9."/>
      <w:lvlJc w:val="right"/>
      <w:pPr>
        <w:ind w:left="4378" w:hanging="420"/>
      </w:pPr>
      <w:rPr>
        <w:rFonts w:hint="eastAsia" w:ascii="宋体" w:hAnsi="宋体" w:eastAsia="宋体"/>
      </w:rPr>
    </w:lvl>
  </w:abstractNum>
  <w:abstractNum w:abstractNumId="24">
    <w:nsid w:val="3CBB2E1A"/>
    <w:multiLevelType w:val="singleLevel"/>
    <w:tmpl w:val="3CBB2E1A"/>
    <w:lvl w:ilvl="0" w:tentative="0">
      <w:start w:val="1"/>
      <w:numFmt w:val="decimal"/>
      <w:suff w:val="nothing"/>
      <w:lvlText w:val="（%1）"/>
      <w:lvlJc w:val="left"/>
    </w:lvl>
  </w:abstractNum>
  <w:abstractNum w:abstractNumId="25">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8">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9">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0">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31">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2">
    <w:nsid w:val="5FEFB3C3"/>
    <w:multiLevelType w:val="singleLevel"/>
    <w:tmpl w:val="5FEFB3C3"/>
    <w:lvl w:ilvl="0" w:tentative="0">
      <w:start w:val="1"/>
      <w:numFmt w:val="decimal"/>
      <w:suff w:val="nothing"/>
      <w:lvlText w:val="（%1）"/>
      <w:lvlJc w:val="left"/>
    </w:lvl>
  </w:abstractNum>
  <w:abstractNum w:abstractNumId="33">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4">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35">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6">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8">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0">
    <w:nsid w:val="75B56F99"/>
    <w:multiLevelType w:val="multilevel"/>
    <w:tmpl w:val="75B56F99"/>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2.%3 "/>
      <w:lvlJc w:val="left"/>
      <w:pPr>
        <w:ind w:left="1134" w:hanging="567"/>
      </w:pPr>
      <w:rPr>
        <w:rFonts w:hint="eastAsia" w:ascii="宋体" w:hAnsi="宋体" w:eastAsia="宋体"/>
        <w:sz w:val="24"/>
        <w:szCs w:val="24"/>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1">
    <w:nsid w:val="7770557B"/>
    <w:multiLevelType w:val="multilevel"/>
    <w:tmpl w:val="7770557B"/>
    <w:lvl w:ilvl="0" w:tentative="0">
      <w:start w:val="1"/>
      <w:numFmt w:val="decimal"/>
      <w:suff w:val="nothing"/>
      <w:lvlText w:val="%1."/>
      <w:lvlJc w:val="left"/>
      <w:pPr>
        <w:ind w:left="846" w:hanging="420"/>
      </w:pPr>
      <w:rPr>
        <w:rFonts w:hint="default" w:ascii="宋体" w:hAnsi="宋体" w:eastAsia="宋体"/>
        <w:color w:val="auto"/>
        <w:highlight w:val="none"/>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42">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3">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44">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1"/>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num>
  <w:num w:numId="39">
    <w:abstractNumId w:val="32"/>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交易管理处">
    <w15:presenceInfo w15:providerId="None" w15:userId="交易管理处"/>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HorizontalSpacing w:val="1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N2RhOWFjYjNiZGQyZDFlOWQ0NjI3NmM0ODZhNTMifQ=="/>
  </w:docVars>
  <w:rsids>
    <w:rsidRoot w:val="001D609D"/>
    <w:rsid w:val="00003D9C"/>
    <w:rsid w:val="00014FF0"/>
    <w:rsid w:val="00025F0D"/>
    <w:rsid w:val="000500B9"/>
    <w:rsid w:val="00066227"/>
    <w:rsid w:val="00081C33"/>
    <w:rsid w:val="000A04F8"/>
    <w:rsid w:val="000A1B87"/>
    <w:rsid w:val="000A553F"/>
    <w:rsid w:val="000D191D"/>
    <w:rsid w:val="000F3B37"/>
    <w:rsid w:val="001230A8"/>
    <w:rsid w:val="00127566"/>
    <w:rsid w:val="0013166D"/>
    <w:rsid w:val="00136FDB"/>
    <w:rsid w:val="00145AB5"/>
    <w:rsid w:val="00165AAA"/>
    <w:rsid w:val="00184882"/>
    <w:rsid w:val="0018747E"/>
    <w:rsid w:val="001A58EB"/>
    <w:rsid w:val="001B7BD9"/>
    <w:rsid w:val="001D45F8"/>
    <w:rsid w:val="001D609D"/>
    <w:rsid w:val="001D65A2"/>
    <w:rsid w:val="001E70E6"/>
    <w:rsid w:val="001F01F1"/>
    <w:rsid w:val="001F042E"/>
    <w:rsid w:val="00212527"/>
    <w:rsid w:val="0021567E"/>
    <w:rsid w:val="00217316"/>
    <w:rsid w:val="00220DFC"/>
    <w:rsid w:val="00220F64"/>
    <w:rsid w:val="002219CA"/>
    <w:rsid w:val="0024563A"/>
    <w:rsid w:val="00247B86"/>
    <w:rsid w:val="00255D44"/>
    <w:rsid w:val="00283844"/>
    <w:rsid w:val="00283D05"/>
    <w:rsid w:val="002D6336"/>
    <w:rsid w:val="002F1F4C"/>
    <w:rsid w:val="002F4C54"/>
    <w:rsid w:val="00305E6E"/>
    <w:rsid w:val="00320CA0"/>
    <w:rsid w:val="00327294"/>
    <w:rsid w:val="0033481A"/>
    <w:rsid w:val="00343A1C"/>
    <w:rsid w:val="003454BD"/>
    <w:rsid w:val="00352B3D"/>
    <w:rsid w:val="00354611"/>
    <w:rsid w:val="0035795E"/>
    <w:rsid w:val="003665CD"/>
    <w:rsid w:val="003920E9"/>
    <w:rsid w:val="00392877"/>
    <w:rsid w:val="00396121"/>
    <w:rsid w:val="003B3FA4"/>
    <w:rsid w:val="003C2A06"/>
    <w:rsid w:val="003C497B"/>
    <w:rsid w:val="003C7747"/>
    <w:rsid w:val="003D218B"/>
    <w:rsid w:val="003F0245"/>
    <w:rsid w:val="003F378C"/>
    <w:rsid w:val="00421A23"/>
    <w:rsid w:val="00431DEE"/>
    <w:rsid w:val="00453959"/>
    <w:rsid w:val="00455E7A"/>
    <w:rsid w:val="00472E54"/>
    <w:rsid w:val="0048211B"/>
    <w:rsid w:val="00485F6C"/>
    <w:rsid w:val="00487D8C"/>
    <w:rsid w:val="00490BD8"/>
    <w:rsid w:val="00491BF9"/>
    <w:rsid w:val="004C34B6"/>
    <w:rsid w:val="004C467C"/>
    <w:rsid w:val="004D7168"/>
    <w:rsid w:val="00500F17"/>
    <w:rsid w:val="00507158"/>
    <w:rsid w:val="00524253"/>
    <w:rsid w:val="005275A0"/>
    <w:rsid w:val="005336F0"/>
    <w:rsid w:val="00535B95"/>
    <w:rsid w:val="00555C7B"/>
    <w:rsid w:val="0055646B"/>
    <w:rsid w:val="00566C3B"/>
    <w:rsid w:val="00572D37"/>
    <w:rsid w:val="00591999"/>
    <w:rsid w:val="00591A18"/>
    <w:rsid w:val="005979B5"/>
    <w:rsid w:val="005A22DD"/>
    <w:rsid w:val="005A6409"/>
    <w:rsid w:val="005A6415"/>
    <w:rsid w:val="005E0695"/>
    <w:rsid w:val="005E25FD"/>
    <w:rsid w:val="005F63CD"/>
    <w:rsid w:val="006118FF"/>
    <w:rsid w:val="00662E83"/>
    <w:rsid w:val="006734E7"/>
    <w:rsid w:val="00676688"/>
    <w:rsid w:val="00691B55"/>
    <w:rsid w:val="006B1DF8"/>
    <w:rsid w:val="006B297D"/>
    <w:rsid w:val="006B437F"/>
    <w:rsid w:val="006E4034"/>
    <w:rsid w:val="006F192A"/>
    <w:rsid w:val="006F5894"/>
    <w:rsid w:val="007007DA"/>
    <w:rsid w:val="007009B7"/>
    <w:rsid w:val="007108C0"/>
    <w:rsid w:val="0072049F"/>
    <w:rsid w:val="0073741C"/>
    <w:rsid w:val="00737DDB"/>
    <w:rsid w:val="00745701"/>
    <w:rsid w:val="00752FFB"/>
    <w:rsid w:val="00765F5E"/>
    <w:rsid w:val="00767A2B"/>
    <w:rsid w:val="00786BD5"/>
    <w:rsid w:val="007A1FFB"/>
    <w:rsid w:val="007C24AA"/>
    <w:rsid w:val="007C5707"/>
    <w:rsid w:val="007E7BAE"/>
    <w:rsid w:val="00824F4A"/>
    <w:rsid w:val="008405AB"/>
    <w:rsid w:val="008621D1"/>
    <w:rsid w:val="0087517E"/>
    <w:rsid w:val="0089420D"/>
    <w:rsid w:val="008C621B"/>
    <w:rsid w:val="008D1432"/>
    <w:rsid w:val="008D2222"/>
    <w:rsid w:val="008E4E70"/>
    <w:rsid w:val="00911987"/>
    <w:rsid w:val="00920CBB"/>
    <w:rsid w:val="00923886"/>
    <w:rsid w:val="00930C99"/>
    <w:rsid w:val="009351ED"/>
    <w:rsid w:val="00936D1F"/>
    <w:rsid w:val="00943FCF"/>
    <w:rsid w:val="00944384"/>
    <w:rsid w:val="00970417"/>
    <w:rsid w:val="0098394C"/>
    <w:rsid w:val="00992A44"/>
    <w:rsid w:val="009A310F"/>
    <w:rsid w:val="009C1F8C"/>
    <w:rsid w:val="009C6961"/>
    <w:rsid w:val="009D414F"/>
    <w:rsid w:val="009E0B7E"/>
    <w:rsid w:val="009E5597"/>
    <w:rsid w:val="009E7B5B"/>
    <w:rsid w:val="009F3035"/>
    <w:rsid w:val="00A17778"/>
    <w:rsid w:val="00A30DF9"/>
    <w:rsid w:val="00A32277"/>
    <w:rsid w:val="00A3614B"/>
    <w:rsid w:val="00A41723"/>
    <w:rsid w:val="00A50F60"/>
    <w:rsid w:val="00A63772"/>
    <w:rsid w:val="00A73F74"/>
    <w:rsid w:val="00A8707D"/>
    <w:rsid w:val="00AA662E"/>
    <w:rsid w:val="00AB55AC"/>
    <w:rsid w:val="00AC518F"/>
    <w:rsid w:val="00AF18DF"/>
    <w:rsid w:val="00AF3996"/>
    <w:rsid w:val="00B01687"/>
    <w:rsid w:val="00B26521"/>
    <w:rsid w:val="00B27AFD"/>
    <w:rsid w:val="00B32CFE"/>
    <w:rsid w:val="00B46A3D"/>
    <w:rsid w:val="00B81375"/>
    <w:rsid w:val="00B905C8"/>
    <w:rsid w:val="00B90940"/>
    <w:rsid w:val="00B96040"/>
    <w:rsid w:val="00BB4668"/>
    <w:rsid w:val="00BC4F1B"/>
    <w:rsid w:val="00BC58B2"/>
    <w:rsid w:val="00BD269E"/>
    <w:rsid w:val="00BE79E4"/>
    <w:rsid w:val="00C27D54"/>
    <w:rsid w:val="00C37AC8"/>
    <w:rsid w:val="00C45652"/>
    <w:rsid w:val="00C458C1"/>
    <w:rsid w:val="00C64B45"/>
    <w:rsid w:val="00C93F56"/>
    <w:rsid w:val="00C972A9"/>
    <w:rsid w:val="00CA0388"/>
    <w:rsid w:val="00CB1A9B"/>
    <w:rsid w:val="00CB4EC6"/>
    <w:rsid w:val="00CD4D67"/>
    <w:rsid w:val="00CD522B"/>
    <w:rsid w:val="00CE0B8F"/>
    <w:rsid w:val="00D21A6D"/>
    <w:rsid w:val="00D46F21"/>
    <w:rsid w:val="00D55089"/>
    <w:rsid w:val="00D707E9"/>
    <w:rsid w:val="00D74F50"/>
    <w:rsid w:val="00D9647E"/>
    <w:rsid w:val="00D974EE"/>
    <w:rsid w:val="00DA0F58"/>
    <w:rsid w:val="00DA5A7A"/>
    <w:rsid w:val="00DE1F73"/>
    <w:rsid w:val="00DF2678"/>
    <w:rsid w:val="00DF3B5F"/>
    <w:rsid w:val="00E57AA6"/>
    <w:rsid w:val="00E73CDC"/>
    <w:rsid w:val="00E83088"/>
    <w:rsid w:val="00E86235"/>
    <w:rsid w:val="00E9559B"/>
    <w:rsid w:val="00ED21E0"/>
    <w:rsid w:val="00ED5A5E"/>
    <w:rsid w:val="00ED644A"/>
    <w:rsid w:val="00F07569"/>
    <w:rsid w:val="00F12966"/>
    <w:rsid w:val="00F17A9F"/>
    <w:rsid w:val="00F255D1"/>
    <w:rsid w:val="00F53F79"/>
    <w:rsid w:val="00F7176F"/>
    <w:rsid w:val="00F84BAD"/>
    <w:rsid w:val="00F9413A"/>
    <w:rsid w:val="00F97E66"/>
    <w:rsid w:val="00FA0589"/>
    <w:rsid w:val="00FE24B0"/>
    <w:rsid w:val="00FF672C"/>
    <w:rsid w:val="01587F2E"/>
    <w:rsid w:val="01687703"/>
    <w:rsid w:val="01CA216C"/>
    <w:rsid w:val="01D60D50"/>
    <w:rsid w:val="025E414C"/>
    <w:rsid w:val="02734614"/>
    <w:rsid w:val="027A76EE"/>
    <w:rsid w:val="0321400D"/>
    <w:rsid w:val="039018FD"/>
    <w:rsid w:val="03DF174C"/>
    <w:rsid w:val="03E34F28"/>
    <w:rsid w:val="03F0452A"/>
    <w:rsid w:val="04945DEB"/>
    <w:rsid w:val="049562D7"/>
    <w:rsid w:val="04CC1BB5"/>
    <w:rsid w:val="053E4A03"/>
    <w:rsid w:val="0591316B"/>
    <w:rsid w:val="05D01BB1"/>
    <w:rsid w:val="06041575"/>
    <w:rsid w:val="061826E9"/>
    <w:rsid w:val="06337FFA"/>
    <w:rsid w:val="065C12E2"/>
    <w:rsid w:val="06936FD0"/>
    <w:rsid w:val="078A45F6"/>
    <w:rsid w:val="07CE322D"/>
    <w:rsid w:val="07E06245"/>
    <w:rsid w:val="08660ADF"/>
    <w:rsid w:val="088807C1"/>
    <w:rsid w:val="08F24482"/>
    <w:rsid w:val="090C1DAC"/>
    <w:rsid w:val="0A895DFE"/>
    <w:rsid w:val="0AB236F6"/>
    <w:rsid w:val="0B0A663E"/>
    <w:rsid w:val="0B7C2B28"/>
    <w:rsid w:val="0BE43618"/>
    <w:rsid w:val="0C2D0F12"/>
    <w:rsid w:val="0C4255DF"/>
    <w:rsid w:val="0C9615EF"/>
    <w:rsid w:val="0D4254CF"/>
    <w:rsid w:val="0DDE1718"/>
    <w:rsid w:val="0DE07EA6"/>
    <w:rsid w:val="0E1409F6"/>
    <w:rsid w:val="0E470BD3"/>
    <w:rsid w:val="0F7D295C"/>
    <w:rsid w:val="0FCA1600"/>
    <w:rsid w:val="10591EE1"/>
    <w:rsid w:val="1079381D"/>
    <w:rsid w:val="107D3C2C"/>
    <w:rsid w:val="10882B58"/>
    <w:rsid w:val="10A2648E"/>
    <w:rsid w:val="10C20520"/>
    <w:rsid w:val="110E5937"/>
    <w:rsid w:val="113D0264"/>
    <w:rsid w:val="13B45831"/>
    <w:rsid w:val="14674F2E"/>
    <w:rsid w:val="14A80187"/>
    <w:rsid w:val="15032E84"/>
    <w:rsid w:val="16A2762F"/>
    <w:rsid w:val="16C368C3"/>
    <w:rsid w:val="16CF5E02"/>
    <w:rsid w:val="16DD47A9"/>
    <w:rsid w:val="17C765C8"/>
    <w:rsid w:val="17D32CE1"/>
    <w:rsid w:val="18C82312"/>
    <w:rsid w:val="18E33133"/>
    <w:rsid w:val="19DC0685"/>
    <w:rsid w:val="1AA029F4"/>
    <w:rsid w:val="1B03607B"/>
    <w:rsid w:val="1B045D62"/>
    <w:rsid w:val="1B931CEF"/>
    <w:rsid w:val="1BAC5276"/>
    <w:rsid w:val="1D6009B9"/>
    <w:rsid w:val="1DA653E3"/>
    <w:rsid w:val="1DCB5271"/>
    <w:rsid w:val="1E9D1863"/>
    <w:rsid w:val="1EFA1343"/>
    <w:rsid w:val="1FF728FD"/>
    <w:rsid w:val="204B449D"/>
    <w:rsid w:val="21502962"/>
    <w:rsid w:val="219559D7"/>
    <w:rsid w:val="2197576B"/>
    <w:rsid w:val="21EF4105"/>
    <w:rsid w:val="22015573"/>
    <w:rsid w:val="2256252A"/>
    <w:rsid w:val="22977A3D"/>
    <w:rsid w:val="23B512A9"/>
    <w:rsid w:val="24150CD0"/>
    <w:rsid w:val="24262DDA"/>
    <w:rsid w:val="242C28E4"/>
    <w:rsid w:val="245509DF"/>
    <w:rsid w:val="24B91023"/>
    <w:rsid w:val="25026BA6"/>
    <w:rsid w:val="252235A1"/>
    <w:rsid w:val="25FF5286"/>
    <w:rsid w:val="263A0E27"/>
    <w:rsid w:val="267A07F6"/>
    <w:rsid w:val="268B1793"/>
    <w:rsid w:val="26E015A2"/>
    <w:rsid w:val="27B91E89"/>
    <w:rsid w:val="27F8559E"/>
    <w:rsid w:val="28127C7D"/>
    <w:rsid w:val="28DB23E5"/>
    <w:rsid w:val="29BB1DC0"/>
    <w:rsid w:val="29CC2F75"/>
    <w:rsid w:val="29F32F48"/>
    <w:rsid w:val="2A276F0B"/>
    <w:rsid w:val="2A421D77"/>
    <w:rsid w:val="2AEF4C89"/>
    <w:rsid w:val="2B5F4AA0"/>
    <w:rsid w:val="2BD50BE2"/>
    <w:rsid w:val="2BF36688"/>
    <w:rsid w:val="2BFC063C"/>
    <w:rsid w:val="2C3242A6"/>
    <w:rsid w:val="2C9642FF"/>
    <w:rsid w:val="2D7120DE"/>
    <w:rsid w:val="2D7B23E8"/>
    <w:rsid w:val="2ECD3243"/>
    <w:rsid w:val="2FBC633C"/>
    <w:rsid w:val="2FBC7A22"/>
    <w:rsid w:val="2FD162F0"/>
    <w:rsid w:val="2FE60B81"/>
    <w:rsid w:val="313305B3"/>
    <w:rsid w:val="31340077"/>
    <w:rsid w:val="31684A32"/>
    <w:rsid w:val="31AD4B3A"/>
    <w:rsid w:val="31B1462B"/>
    <w:rsid w:val="321E1EF1"/>
    <w:rsid w:val="329E0D48"/>
    <w:rsid w:val="32BB7881"/>
    <w:rsid w:val="32EF24A6"/>
    <w:rsid w:val="333F17C2"/>
    <w:rsid w:val="33494E33"/>
    <w:rsid w:val="33B421B0"/>
    <w:rsid w:val="33FD3B57"/>
    <w:rsid w:val="34815D81"/>
    <w:rsid w:val="348635A5"/>
    <w:rsid w:val="34A5064C"/>
    <w:rsid w:val="34A62A9D"/>
    <w:rsid w:val="3507400C"/>
    <w:rsid w:val="358D4D02"/>
    <w:rsid w:val="358D6E84"/>
    <w:rsid w:val="35960E7B"/>
    <w:rsid w:val="359758E5"/>
    <w:rsid w:val="35AF7D4B"/>
    <w:rsid w:val="35D508CD"/>
    <w:rsid w:val="364610BA"/>
    <w:rsid w:val="36513CE6"/>
    <w:rsid w:val="37945684"/>
    <w:rsid w:val="37DA5F5D"/>
    <w:rsid w:val="37EB3DD7"/>
    <w:rsid w:val="38096BD1"/>
    <w:rsid w:val="38217E3E"/>
    <w:rsid w:val="384809FB"/>
    <w:rsid w:val="3855072F"/>
    <w:rsid w:val="386A6542"/>
    <w:rsid w:val="38767A34"/>
    <w:rsid w:val="38A91FFA"/>
    <w:rsid w:val="38B26CC3"/>
    <w:rsid w:val="38C458DA"/>
    <w:rsid w:val="390C0398"/>
    <w:rsid w:val="39386055"/>
    <w:rsid w:val="39535FC7"/>
    <w:rsid w:val="39B06BDA"/>
    <w:rsid w:val="3B3B5231"/>
    <w:rsid w:val="3B972CD6"/>
    <w:rsid w:val="3C2B73F5"/>
    <w:rsid w:val="3C593492"/>
    <w:rsid w:val="3C990195"/>
    <w:rsid w:val="3CB74ABF"/>
    <w:rsid w:val="3E155F41"/>
    <w:rsid w:val="3F2D2DED"/>
    <w:rsid w:val="3F9E3988"/>
    <w:rsid w:val="40395F81"/>
    <w:rsid w:val="403C2422"/>
    <w:rsid w:val="40570CDD"/>
    <w:rsid w:val="42263A5E"/>
    <w:rsid w:val="426630AC"/>
    <w:rsid w:val="428A217B"/>
    <w:rsid w:val="42CF2C61"/>
    <w:rsid w:val="42F818B8"/>
    <w:rsid w:val="442347E8"/>
    <w:rsid w:val="44352E99"/>
    <w:rsid w:val="445F383D"/>
    <w:rsid w:val="44DC0F53"/>
    <w:rsid w:val="44E74ED2"/>
    <w:rsid w:val="45857775"/>
    <w:rsid w:val="45E71D50"/>
    <w:rsid w:val="45F037A5"/>
    <w:rsid w:val="462D7391"/>
    <w:rsid w:val="467D694B"/>
    <w:rsid w:val="469367E2"/>
    <w:rsid w:val="46D87B0C"/>
    <w:rsid w:val="46FB537F"/>
    <w:rsid w:val="471937AD"/>
    <w:rsid w:val="47923498"/>
    <w:rsid w:val="47D97FDF"/>
    <w:rsid w:val="48405B16"/>
    <w:rsid w:val="48472E23"/>
    <w:rsid w:val="48F350D1"/>
    <w:rsid w:val="49203F9B"/>
    <w:rsid w:val="49210F31"/>
    <w:rsid w:val="493B576F"/>
    <w:rsid w:val="494D2A33"/>
    <w:rsid w:val="49972D91"/>
    <w:rsid w:val="49C862B4"/>
    <w:rsid w:val="4A08426D"/>
    <w:rsid w:val="4A5B4CDC"/>
    <w:rsid w:val="4AB44966"/>
    <w:rsid w:val="4B3134FA"/>
    <w:rsid w:val="4B321645"/>
    <w:rsid w:val="4B641758"/>
    <w:rsid w:val="4C8B2099"/>
    <w:rsid w:val="4DC84563"/>
    <w:rsid w:val="4EAA0588"/>
    <w:rsid w:val="4F0363A2"/>
    <w:rsid w:val="52600388"/>
    <w:rsid w:val="5287044A"/>
    <w:rsid w:val="52C7249A"/>
    <w:rsid w:val="53463A85"/>
    <w:rsid w:val="54183C3E"/>
    <w:rsid w:val="549079CA"/>
    <w:rsid w:val="54B47AB9"/>
    <w:rsid w:val="54B729A0"/>
    <w:rsid w:val="54D7233D"/>
    <w:rsid w:val="552568E3"/>
    <w:rsid w:val="56564C6B"/>
    <w:rsid w:val="56B61904"/>
    <w:rsid w:val="56DF1349"/>
    <w:rsid w:val="573064A0"/>
    <w:rsid w:val="57342065"/>
    <w:rsid w:val="573734A5"/>
    <w:rsid w:val="57656544"/>
    <w:rsid w:val="576A2A02"/>
    <w:rsid w:val="57750FC3"/>
    <w:rsid w:val="58543AB8"/>
    <w:rsid w:val="5910027B"/>
    <w:rsid w:val="59D15336"/>
    <w:rsid w:val="59EB5CD1"/>
    <w:rsid w:val="5A0601CC"/>
    <w:rsid w:val="5A881277"/>
    <w:rsid w:val="5A886013"/>
    <w:rsid w:val="5AA318F8"/>
    <w:rsid w:val="5ACA5645"/>
    <w:rsid w:val="5BE07B38"/>
    <w:rsid w:val="5C0C1B0E"/>
    <w:rsid w:val="5C2E3D53"/>
    <w:rsid w:val="5C8A194A"/>
    <w:rsid w:val="5C8F6A67"/>
    <w:rsid w:val="5C9F6CAA"/>
    <w:rsid w:val="5D41041A"/>
    <w:rsid w:val="5DDF3A71"/>
    <w:rsid w:val="5DE31B65"/>
    <w:rsid w:val="5DFE3ECA"/>
    <w:rsid w:val="5E247FF9"/>
    <w:rsid w:val="5E421FE3"/>
    <w:rsid w:val="5E4F4700"/>
    <w:rsid w:val="5ECF6152"/>
    <w:rsid w:val="5EDA3111"/>
    <w:rsid w:val="5EE04437"/>
    <w:rsid w:val="5F235D91"/>
    <w:rsid w:val="5F3B713F"/>
    <w:rsid w:val="5F42509B"/>
    <w:rsid w:val="5F5C33D5"/>
    <w:rsid w:val="5FF358A6"/>
    <w:rsid w:val="5FFC228A"/>
    <w:rsid w:val="600F359C"/>
    <w:rsid w:val="614442C4"/>
    <w:rsid w:val="62347E94"/>
    <w:rsid w:val="623631C9"/>
    <w:rsid w:val="626602B3"/>
    <w:rsid w:val="627249C9"/>
    <w:rsid w:val="62B351E0"/>
    <w:rsid w:val="62C2681E"/>
    <w:rsid w:val="633956CE"/>
    <w:rsid w:val="63F21DB5"/>
    <w:rsid w:val="64195594"/>
    <w:rsid w:val="64405565"/>
    <w:rsid w:val="64405FF3"/>
    <w:rsid w:val="645132B3"/>
    <w:rsid w:val="646E3CD1"/>
    <w:rsid w:val="64AB043A"/>
    <w:rsid w:val="64C5395D"/>
    <w:rsid w:val="64CE07A0"/>
    <w:rsid w:val="64DE7BF1"/>
    <w:rsid w:val="65163702"/>
    <w:rsid w:val="652447F7"/>
    <w:rsid w:val="6598361E"/>
    <w:rsid w:val="660758C0"/>
    <w:rsid w:val="66344907"/>
    <w:rsid w:val="664823AA"/>
    <w:rsid w:val="667711B1"/>
    <w:rsid w:val="67027E61"/>
    <w:rsid w:val="67F446AE"/>
    <w:rsid w:val="68660FEB"/>
    <w:rsid w:val="68C15248"/>
    <w:rsid w:val="68CF3A20"/>
    <w:rsid w:val="6A19339F"/>
    <w:rsid w:val="6A664D83"/>
    <w:rsid w:val="6A706DE0"/>
    <w:rsid w:val="6ABC5045"/>
    <w:rsid w:val="6B302401"/>
    <w:rsid w:val="6B9A46E3"/>
    <w:rsid w:val="6BE83BF1"/>
    <w:rsid w:val="6C2F2A70"/>
    <w:rsid w:val="6C4537CF"/>
    <w:rsid w:val="6CFE5C6F"/>
    <w:rsid w:val="6D702504"/>
    <w:rsid w:val="6E0E1EE1"/>
    <w:rsid w:val="6E886603"/>
    <w:rsid w:val="6EA4149B"/>
    <w:rsid w:val="6F0230C8"/>
    <w:rsid w:val="701D465E"/>
    <w:rsid w:val="70B57B85"/>
    <w:rsid w:val="71221DF9"/>
    <w:rsid w:val="71582D9A"/>
    <w:rsid w:val="719E7B7C"/>
    <w:rsid w:val="71E87880"/>
    <w:rsid w:val="71E87A6E"/>
    <w:rsid w:val="721376D2"/>
    <w:rsid w:val="72796F0B"/>
    <w:rsid w:val="73646050"/>
    <w:rsid w:val="73A95AB5"/>
    <w:rsid w:val="73C5726C"/>
    <w:rsid w:val="741778F4"/>
    <w:rsid w:val="745D0412"/>
    <w:rsid w:val="745F43B5"/>
    <w:rsid w:val="74776B79"/>
    <w:rsid w:val="74C337A0"/>
    <w:rsid w:val="74D3697B"/>
    <w:rsid w:val="74FF4135"/>
    <w:rsid w:val="75AD0232"/>
    <w:rsid w:val="75DE00BA"/>
    <w:rsid w:val="7637071C"/>
    <w:rsid w:val="765406AD"/>
    <w:rsid w:val="76550172"/>
    <w:rsid w:val="76630D90"/>
    <w:rsid w:val="76A826ED"/>
    <w:rsid w:val="76BF2BE4"/>
    <w:rsid w:val="771A18F7"/>
    <w:rsid w:val="772F05CC"/>
    <w:rsid w:val="77492442"/>
    <w:rsid w:val="77CB0E43"/>
    <w:rsid w:val="78544BD2"/>
    <w:rsid w:val="78B533C1"/>
    <w:rsid w:val="79580CB7"/>
    <w:rsid w:val="7A0F24D0"/>
    <w:rsid w:val="7A656824"/>
    <w:rsid w:val="7A8A00F0"/>
    <w:rsid w:val="7ADA324A"/>
    <w:rsid w:val="7B58695E"/>
    <w:rsid w:val="7B9E17FB"/>
    <w:rsid w:val="7BEE393F"/>
    <w:rsid w:val="7BFA5257"/>
    <w:rsid w:val="7C6638EC"/>
    <w:rsid w:val="7C9849FC"/>
    <w:rsid w:val="7D085755"/>
    <w:rsid w:val="7D4F479B"/>
    <w:rsid w:val="7D6361EF"/>
    <w:rsid w:val="7D753554"/>
    <w:rsid w:val="7E2458E7"/>
    <w:rsid w:val="7E2B41F0"/>
    <w:rsid w:val="7E2E067F"/>
    <w:rsid w:val="7E4E5E7A"/>
    <w:rsid w:val="7E78312A"/>
    <w:rsid w:val="7F853311"/>
    <w:rsid w:val="7FAA0D0F"/>
    <w:rsid w:val="7FD1770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qFormat="1" w:uiPriority="99" w:semiHidden="0" w:name="toc 6"/>
    <w:lsdException w:uiPriority="39" w:name="toc 7"/>
    <w:lsdException w:uiPriority="39" w:name="toc 8"/>
    <w:lsdException w:uiPriority="39" w:name="toc 9"/>
    <w:lsdException w:qFormat="1"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29"/>
    <w:qFormat/>
    <w:uiPriority w:val="99"/>
    <w:pPr>
      <w:spacing w:before="100" w:beforeAutospacing="1" w:after="100" w:afterAutospacing="1" w:line="360" w:lineRule="auto"/>
      <w:ind w:left="3"/>
      <w:jc w:val="center"/>
      <w:outlineLvl w:val="0"/>
    </w:pPr>
    <w:rPr>
      <w:rFonts w:ascii="Times New Roman" w:hAnsi="Times New Roman" w:eastAsia="黑体"/>
      <w:bCs/>
      <w:kern w:val="44"/>
      <w:sz w:val="44"/>
      <w:szCs w:val="44"/>
    </w:rPr>
  </w:style>
  <w:style w:type="paragraph" w:styleId="3">
    <w:name w:val="heading 2"/>
    <w:basedOn w:val="1"/>
    <w:next w:val="1"/>
    <w:qFormat/>
    <w:uiPriority w:val="0"/>
    <w:pPr>
      <w:ind w:left="3"/>
      <w:outlineLvl w:val="1"/>
    </w:pPr>
    <w:rPr>
      <w:rFonts w:ascii="Cambria" w:hAnsi="Cambria"/>
      <w:b/>
      <w:bCs/>
      <w:sz w:val="32"/>
      <w:szCs w:val="32"/>
    </w:rPr>
  </w:style>
  <w:style w:type="paragraph" w:styleId="4">
    <w:name w:val="heading 3"/>
    <w:basedOn w:val="1"/>
    <w:next w:val="1"/>
    <w:link w:val="30"/>
    <w:qFormat/>
    <w:uiPriority w:val="99"/>
    <w:pPr>
      <w:spacing w:before="100" w:beforeAutospacing="1" w:after="100" w:afterAutospacing="1"/>
      <w:ind w:left="100"/>
      <w:outlineLvl w:val="2"/>
    </w:pPr>
    <w:rPr>
      <w:rFonts w:ascii="Times New Roman" w:hAnsi="Times New Roman"/>
      <w:b/>
      <w:bCs/>
      <w:sz w:val="32"/>
      <w:szCs w:val="32"/>
    </w:rPr>
  </w:style>
  <w:style w:type="paragraph" w:styleId="5">
    <w:name w:val="heading 4"/>
    <w:basedOn w:val="1"/>
    <w:next w:val="1"/>
    <w:link w:val="31"/>
    <w:qFormat/>
    <w:uiPriority w:val="99"/>
    <w:pPr>
      <w:spacing w:before="100" w:beforeAutospacing="1" w:after="100" w:afterAutospacing="1"/>
      <w:ind w:left="237"/>
      <w:outlineLvl w:val="3"/>
    </w:pPr>
    <w:rPr>
      <w:rFonts w:ascii="Cambria" w:hAnsi="Cambria"/>
      <w:b/>
      <w:bCs/>
      <w:sz w:val="28"/>
      <w:szCs w:val="28"/>
    </w:rPr>
  </w:style>
  <w:style w:type="character" w:default="1" w:styleId="23">
    <w:name w:val="Default Paragraph Font"/>
    <w:unhideWhenUsed/>
    <w:qFormat/>
    <w:uiPriority w:val="1"/>
  </w:style>
  <w:style w:type="table" w:default="1" w:styleId="21">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Normal Indent"/>
    <w:basedOn w:val="1"/>
    <w:unhideWhenUsed/>
    <w:qFormat/>
    <w:uiPriority w:val="0"/>
    <w:pPr>
      <w:spacing w:line="360" w:lineRule="auto"/>
      <w:ind w:firstLine="420" w:firstLineChars="200"/>
    </w:pPr>
    <w:rPr>
      <w:sz w:val="24"/>
      <w:szCs w:val="24"/>
    </w:rPr>
  </w:style>
  <w:style w:type="paragraph" w:styleId="7">
    <w:name w:val="annotation text"/>
    <w:basedOn w:val="1"/>
    <w:link w:val="32"/>
    <w:unhideWhenUsed/>
    <w:qFormat/>
    <w:uiPriority w:val="99"/>
  </w:style>
  <w:style w:type="paragraph" w:styleId="8">
    <w:name w:val="Body Text 3"/>
    <w:basedOn w:val="1"/>
    <w:link w:val="33"/>
    <w:unhideWhenUsed/>
    <w:qFormat/>
    <w:uiPriority w:val="99"/>
    <w:pPr>
      <w:spacing w:before="100" w:beforeAutospacing="1" w:after="120"/>
    </w:pPr>
    <w:rPr>
      <w:rFonts w:ascii="Times New Roman" w:hAnsi="Times New Roman"/>
      <w:sz w:val="16"/>
      <w:szCs w:val="16"/>
    </w:rPr>
  </w:style>
  <w:style w:type="paragraph" w:styleId="9">
    <w:name w:val="Body Text"/>
    <w:basedOn w:val="1"/>
    <w:link w:val="34"/>
    <w:unhideWhenUsed/>
    <w:qFormat/>
    <w:uiPriority w:val="99"/>
    <w:pPr>
      <w:spacing w:before="100" w:beforeAutospacing="1" w:after="100" w:afterAutospacing="1"/>
      <w:ind w:left="520"/>
    </w:pPr>
    <w:rPr>
      <w:rFonts w:ascii="Times New Roman" w:hAnsi="Times New Roman"/>
    </w:rPr>
  </w:style>
  <w:style w:type="paragraph" w:styleId="10">
    <w:name w:val="Plain Text"/>
    <w:basedOn w:val="1"/>
    <w:link w:val="35"/>
    <w:unhideWhenUsed/>
    <w:qFormat/>
    <w:uiPriority w:val="99"/>
    <w:pPr>
      <w:autoSpaceDN/>
      <w:adjustRightInd/>
      <w:jc w:val="both"/>
    </w:pPr>
    <w:rPr>
      <w:rFonts w:ascii="宋体" w:hAnsi="Courier New"/>
      <w:sz w:val="20"/>
      <w:szCs w:val="20"/>
    </w:rPr>
  </w:style>
  <w:style w:type="paragraph" w:styleId="11">
    <w:name w:val="Balloon Text"/>
    <w:basedOn w:val="1"/>
    <w:link w:val="36"/>
    <w:unhideWhenUsed/>
    <w:qFormat/>
    <w:uiPriority w:val="99"/>
    <w:rPr>
      <w:sz w:val="18"/>
      <w:szCs w:val="18"/>
    </w:rPr>
  </w:style>
  <w:style w:type="paragraph" w:styleId="12">
    <w:name w:val="footer"/>
    <w:basedOn w:val="1"/>
    <w:link w:val="37"/>
    <w:unhideWhenUsed/>
    <w:qFormat/>
    <w:uiPriority w:val="99"/>
    <w:pPr>
      <w:snapToGrid w:val="0"/>
    </w:pPr>
    <w:rPr>
      <w:rFonts w:ascii="Times New Roman" w:hAnsi="Times New Roman"/>
      <w:sz w:val="18"/>
      <w:szCs w:val="18"/>
    </w:rPr>
  </w:style>
  <w:style w:type="paragraph" w:styleId="1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5">
    <w:name w:val="footnote text"/>
    <w:basedOn w:val="1"/>
    <w:qFormat/>
    <w:uiPriority w:val="0"/>
    <w:pPr>
      <w:adjustRightInd w:val="0"/>
      <w:snapToGrid w:val="0"/>
      <w:spacing w:line="420" w:lineRule="atLeast"/>
      <w:ind w:firstLine="454"/>
      <w:jc w:val="left"/>
      <w:textAlignment w:val="baseline"/>
    </w:pPr>
    <w:rPr>
      <w:kern w:val="0"/>
      <w:sz w:val="18"/>
      <w:szCs w:val="20"/>
    </w:rPr>
  </w:style>
  <w:style w:type="paragraph" w:styleId="16">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1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8">
    <w:name w:val="Normal (Web)"/>
    <w:basedOn w:val="1"/>
    <w:qFormat/>
    <w:uiPriority w:val="99"/>
    <w:pPr>
      <w:widowControl/>
      <w:autoSpaceDE/>
      <w:autoSpaceDN/>
      <w:adjustRightInd/>
      <w:spacing w:before="100" w:beforeAutospacing="1" w:after="100" w:afterAutospacing="1"/>
    </w:pPr>
    <w:rPr>
      <w:rFonts w:hint="eastAsia" w:ascii="宋体" w:hAnsi="宋体"/>
    </w:rPr>
  </w:style>
  <w:style w:type="paragraph" w:styleId="19">
    <w:name w:val="annotation subject"/>
    <w:basedOn w:val="7"/>
    <w:next w:val="7"/>
    <w:link w:val="38"/>
    <w:unhideWhenUsed/>
    <w:qFormat/>
    <w:uiPriority w:val="99"/>
    <w:rPr>
      <w:b/>
      <w:bCs/>
    </w:rPr>
  </w:style>
  <w:style w:type="paragraph" w:styleId="20">
    <w:name w:val="Body Text First Indent"/>
    <w:basedOn w:val="9"/>
    <w:next w:val="16"/>
    <w:link w:val="39"/>
    <w:unhideWhenUsed/>
    <w:qFormat/>
    <w:uiPriority w:val="99"/>
    <w:pPr>
      <w:adjustRightInd/>
      <w:ind w:firstLine="420" w:firstLineChars="100"/>
    </w:pPr>
    <w:rPr>
      <w:sz w:val="21"/>
      <w:szCs w:val="21"/>
    </w:rPr>
  </w:style>
  <w:style w:type="table" w:styleId="22">
    <w:name w:val="Table Grid"/>
    <w:basedOn w:val="21"/>
    <w:unhideWhenUsed/>
    <w:qFormat/>
    <w:uiPriority w:val="99"/>
    <w:pPr>
      <w:widowControl w:val="0"/>
      <w:jc w:val="both"/>
    </w:pPr>
    <w:rPr>
      <w:rFonts w:ascii="Times New Roman" w:hAnsi="Times New Roman"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unhideWhenUsed/>
    <w:qFormat/>
    <w:uiPriority w:val="99"/>
    <w:rPr>
      <w:color w:val="800080"/>
      <w:u w:val="single"/>
    </w:rPr>
  </w:style>
  <w:style w:type="character" w:styleId="25">
    <w:name w:val="Emphasis"/>
    <w:qFormat/>
    <w:uiPriority w:val="20"/>
    <w:rPr>
      <w:i/>
    </w:rPr>
  </w:style>
  <w:style w:type="character" w:styleId="26">
    <w:name w:val="Hyperlink"/>
    <w:unhideWhenUsed/>
    <w:qFormat/>
    <w:uiPriority w:val="99"/>
    <w:rPr>
      <w:color w:val="0000FF"/>
      <w:u w:val="single"/>
    </w:rPr>
  </w:style>
  <w:style w:type="character" w:styleId="27">
    <w:name w:val="annotation reference"/>
    <w:unhideWhenUsed/>
    <w:qFormat/>
    <w:uiPriority w:val="99"/>
    <w:rPr>
      <w:sz w:val="21"/>
      <w:szCs w:val="21"/>
    </w:rPr>
  </w:style>
  <w:style w:type="character" w:styleId="28">
    <w:name w:val="footnote reference"/>
    <w:qFormat/>
    <w:uiPriority w:val="0"/>
    <w:rPr>
      <w:vertAlign w:val="superscript"/>
    </w:rPr>
  </w:style>
  <w:style w:type="character" w:customStyle="1" w:styleId="29">
    <w:name w:val="标题 1 Char"/>
    <w:link w:val="2"/>
    <w:qFormat/>
    <w:uiPriority w:val="99"/>
    <w:rPr>
      <w:rFonts w:ascii="Times New Roman" w:hAnsi="Times New Roman" w:eastAsia="黑体" w:cs="Times New Roman"/>
      <w:bCs/>
      <w:kern w:val="44"/>
      <w:sz w:val="44"/>
      <w:szCs w:val="44"/>
    </w:rPr>
  </w:style>
  <w:style w:type="character" w:customStyle="1" w:styleId="30">
    <w:name w:val="标题 3 Char"/>
    <w:link w:val="4"/>
    <w:qFormat/>
    <w:uiPriority w:val="99"/>
    <w:rPr>
      <w:rFonts w:ascii="Times New Roman" w:hAnsi="Times New Roman" w:eastAsia="宋体" w:cs="Times New Roman"/>
      <w:b/>
      <w:bCs/>
      <w:kern w:val="0"/>
      <w:sz w:val="32"/>
      <w:szCs w:val="32"/>
    </w:rPr>
  </w:style>
  <w:style w:type="character" w:customStyle="1" w:styleId="31">
    <w:name w:val="标题 4 Char"/>
    <w:link w:val="5"/>
    <w:qFormat/>
    <w:uiPriority w:val="99"/>
    <w:rPr>
      <w:rFonts w:ascii="Cambria" w:hAnsi="Cambria" w:eastAsia="宋体" w:cs="Times New Roman"/>
      <w:b/>
      <w:bCs/>
      <w:kern w:val="0"/>
      <w:sz w:val="28"/>
      <w:szCs w:val="28"/>
    </w:rPr>
  </w:style>
  <w:style w:type="character" w:customStyle="1" w:styleId="32">
    <w:name w:val="批注文字 Char"/>
    <w:link w:val="7"/>
    <w:qFormat/>
    <w:uiPriority w:val="99"/>
    <w:rPr>
      <w:rFonts w:ascii="Calibri" w:hAnsi="Calibri" w:eastAsia="宋体" w:cs="Times New Roman"/>
      <w:kern w:val="0"/>
      <w:sz w:val="24"/>
      <w:szCs w:val="24"/>
    </w:rPr>
  </w:style>
  <w:style w:type="character" w:customStyle="1" w:styleId="33">
    <w:name w:val="正文文本 3 Char"/>
    <w:link w:val="8"/>
    <w:qFormat/>
    <w:uiPriority w:val="99"/>
    <w:rPr>
      <w:rFonts w:ascii="Times New Roman" w:hAnsi="Times New Roman" w:eastAsia="宋体" w:cs="Times New Roman"/>
      <w:kern w:val="0"/>
      <w:sz w:val="16"/>
      <w:szCs w:val="16"/>
    </w:rPr>
  </w:style>
  <w:style w:type="character" w:customStyle="1" w:styleId="34">
    <w:name w:val="正文文本 Char"/>
    <w:link w:val="9"/>
    <w:qFormat/>
    <w:uiPriority w:val="99"/>
    <w:rPr>
      <w:rFonts w:ascii="Times New Roman" w:hAnsi="Times New Roman" w:eastAsia="宋体" w:cs="Times New Roman"/>
      <w:kern w:val="0"/>
      <w:sz w:val="24"/>
      <w:szCs w:val="24"/>
    </w:rPr>
  </w:style>
  <w:style w:type="character" w:customStyle="1" w:styleId="35">
    <w:name w:val="纯文本 Char"/>
    <w:link w:val="10"/>
    <w:qFormat/>
    <w:uiPriority w:val="99"/>
    <w:rPr>
      <w:rFonts w:ascii="宋体" w:hAnsi="Courier New" w:eastAsia="宋体" w:cs="Times New Roman"/>
      <w:kern w:val="0"/>
      <w:sz w:val="20"/>
      <w:szCs w:val="20"/>
    </w:rPr>
  </w:style>
  <w:style w:type="character" w:customStyle="1" w:styleId="36">
    <w:name w:val="批注框文本 Char"/>
    <w:link w:val="11"/>
    <w:semiHidden/>
    <w:qFormat/>
    <w:uiPriority w:val="99"/>
    <w:rPr>
      <w:sz w:val="18"/>
      <w:szCs w:val="18"/>
    </w:rPr>
  </w:style>
  <w:style w:type="character" w:customStyle="1" w:styleId="37">
    <w:name w:val="页脚 Char"/>
    <w:link w:val="12"/>
    <w:semiHidden/>
    <w:qFormat/>
    <w:uiPriority w:val="99"/>
    <w:rPr>
      <w:rFonts w:ascii="Times New Roman" w:hAnsi="Times New Roman" w:eastAsia="宋体" w:cs="Times New Roman"/>
      <w:kern w:val="0"/>
      <w:sz w:val="18"/>
      <w:szCs w:val="18"/>
    </w:rPr>
  </w:style>
  <w:style w:type="character" w:customStyle="1" w:styleId="38">
    <w:name w:val="批注主题 Char"/>
    <w:link w:val="19"/>
    <w:semiHidden/>
    <w:qFormat/>
    <w:uiPriority w:val="99"/>
    <w:rPr>
      <w:rFonts w:ascii="Calibri" w:hAnsi="Calibri" w:eastAsia="宋体" w:cs="Times New Roman"/>
      <w:b/>
      <w:bCs/>
      <w:kern w:val="0"/>
      <w:sz w:val="24"/>
      <w:szCs w:val="24"/>
    </w:rPr>
  </w:style>
  <w:style w:type="character" w:customStyle="1" w:styleId="39">
    <w:name w:val="正文首行缩进 Char"/>
    <w:link w:val="20"/>
    <w:qFormat/>
    <w:uiPriority w:val="99"/>
    <w:rPr>
      <w:szCs w:val="21"/>
    </w:rPr>
  </w:style>
  <w:style w:type="paragraph" w:customStyle="1" w:styleId="40">
    <w:name w:val="TOC 标题2"/>
    <w:basedOn w:val="2"/>
    <w:next w:val="1"/>
    <w:semiHidden/>
    <w:qFormat/>
    <w:uiPriority w:val="0"/>
    <w:pPr>
      <w:keepNext/>
      <w:keepLines/>
      <w:widowControl/>
      <w:autoSpaceDN/>
      <w:adjustRightInd/>
      <w:spacing w:before="480" w:beforeAutospacing="0" w:line="273" w:lineRule="auto"/>
      <w:ind w:left="0"/>
      <w:jc w:val="left"/>
      <w:outlineLvl w:val="9"/>
    </w:pPr>
    <w:rPr>
      <w:rFonts w:ascii="Cambria" w:hAnsi="Cambria" w:eastAsia="宋体"/>
      <w:b/>
      <w:color w:val="366091"/>
      <w:kern w:val="0"/>
      <w:sz w:val="28"/>
      <w:szCs w:val="28"/>
    </w:rPr>
  </w:style>
  <w:style w:type="paragraph" w:customStyle="1" w:styleId="41">
    <w:name w:val="列出段落1"/>
    <w:basedOn w:val="1"/>
    <w:qFormat/>
    <w:uiPriority w:val="0"/>
    <w:pPr>
      <w:autoSpaceDN/>
      <w:adjustRightInd/>
      <w:ind w:firstLine="420" w:firstLineChars="200"/>
      <w:jc w:val="both"/>
    </w:pPr>
    <w:rPr>
      <w:kern w:val="2"/>
      <w:sz w:val="21"/>
      <w:szCs w:val="21"/>
    </w:rPr>
  </w:style>
  <w:style w:type="paragraph" w:customStyle="1" w:styleId="42">
    <w:name w:val="列出段落2"/>
    <w:basedOn w:val="1"/>
    <w:qFormat/>
    <w:uiPriority w:val="0"/>
  </w:style>
  <w:style w:type="paragraph" w:customStyle="1" w:styleId="43">
    <w:name w:val="内文正文"/>
    <w:basedOn w:val="1"/>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44">
    <w:name w:val="Table Paragraph"/>
    <w:basedOn w:val="1"/>
    <w:qFormat/>
    <w:uiPriority w:val="0"/>
  </w:style>
  <w:style w:type="paragraph" w:customStyle="1" w:styleId="45">
    <w:name w:val="正文，首行缩进:"/>
    <w:basedOn w:val="1"/>
    <w:qFormat/>
    <w:uiPriority w:val="0"/>
    <w:pPr>
      <w:spacing w:line="460" w:lineRule="exact"/>
      <w:ind w:firstLine="480" w:firstLineChars="200"/>
    </w:pPr>
    <w:rPr>
      <w:rFonts w:ascii="宋体" w:hAnsi="宋体" w:cs="宋体"/>
    </w:rPr>
  </w:style>
  <w:style w:type="paragraph" w:customStyle="1" w:styleId="46">
    <w:name w:val="[Normal]"/>
    <w:basedOn w:val="1"/>
    <w:qFormat/>
    <w:uiPriority w:val="0"/>
    <w:pPr>
      <w:widowControl/>
      <w:autoSpaceDE/>
      <w:autoSpaceDN/>
      <w:adjustRightInd/>
    </w:pPr>
    <w:rPr>
      <w:rFonts w:ascii="宋体" w:hAnsi="宋体"/>
    </w:rPr>
  </w:style>
  <w:style w:type="paragraph" w:customStyle="1" w:styleId="47">
    <w:name w:val="样式 正文文本"/>
    <w:basedOn w:val="1"/>
    <w:qFormat/>
    <w:uiPriority w:val="0"/>
    <w:pPr>
      <w:autoSpaceDN/>
      <w:snapToGrid w:val="0"/>
      <w:spacing w:line="400" w:lineRule="exact"/>
      <w:jc w:val="both"/>
    </w:pPr>
    <w:rPr>
      <w:rFonts w:ascii="Arial" w:hAnsi="Arial"/>
      <w:color w:val="000000"/>
      <w:kern w:val="2"/>
      <w:sz w:val="21"/>
      <w:szCs w:val="21"/>
    </w:rPr>
  </w:style>
  <w:style w:type="paragraph" w:customStyle="1" w:styleId="48">
    <w:name w:val="Char Char Char"/>
    <w:basedOn w:val="1"/>
    <w:qFormat/>
    <w:uiPriority w:val="0"/>
    <w:rPr>
      <w:rFonts w:ascii="Tahoma" w:hAnsi="Tahoma"/>
    </w:rPr>
  </w:style>
  <w:style w:type="character" w:customStyle="1" w:styleId="49">
    <w:name w:val="10"/>
    <w:qFormat/>
    <w:uiPriority w:val="0"/>
    <w:rPr>
      <w:rFonts w:hint="default" w:ascii="Times New Roman" w:hAnsi="Times New Roman" w:cs="Times New Roman"/>
    </w:rPr>
  </w:style>
  <w:style w:type="character" w:customStyle="1" w:styleId="50">
    <w:name w:val="15"/>
    <w:qFormat/>
    <w:uiPriority w:val="0"/>
    <w:rPr>
      <w:rFonts w:hint="eastAsia" w:ascii="宋体" w:hAnsi="宋体" w:eastAsia="宋体"/>
      <w:color w:val="000000"/>
      <w:sz w:val="22"/>
      <w:szCs w:val="22"/>
    </w:rPr>
  </w:style>
  <w:style w:type="character" w:customStyle="1" w:styleId="51">
    <w:name w:val="16"/>
    <w:qFormat/>
    <w:uiPriority w:val="0"/>
    <w:rPr>
      <w:rFonts w:hint="eastAsia" w:ascii="宋体" w:hAnsi="宋体" w:eastAsia="宋体"/>
      <w:color w:val="000000"/>
      <w:sz w:val="22"/>
      <w:szCs w:val="22"/>
    </w:rPr>
  </w:style>
  <w:style w:type="character" w:customStyle="1" w:styleId="52">
    <w:name w:val="17"/>
    <w:qFormat/>
    <w:uiPriority w:val="0"/>
    <w:rPr>
      <w:rFonts w:hint="eastAsia" w:ascii="宋体" w:hAnsi="宋体" w:eastAsia="宋体"/>
      <w:color w:val="FF0000"/>
      <w:sz w:val="22"/>
      <w:szCs w:val="22"/>
    </w:rPr>
  </w:style>
  <w:style w:type="character" w:customStyle="1" w:styleId="53">
    <w:name w:val="18"/>
    <w:qFormat/>
    <w:uiPriority w:val="0"/>
    <w:rPr>
      <w:rFonts w:hint="default" w:ascii="Times New Roman" w:hAnsi="Times New Roman" w:cs="Times New Roman"/>
      <w:color w:val="0000FF"/>
      <w:u w:val="single"/>
    </w:rPr>
  </w:style>
  <w:style w:type="character" w:customStyle="1" w:styleId="54">
    <w:name w:val="19"/>
    <w:qFormat/>
    <w:uiPriority w:val="0"/>
    <w:rPr>
      <w:rFonts w:hint="default" w:ascii="Times New Roman" w:hAnsi="Times New Roman" w:cs="Times New Roman"/>
      <w:sz w:val="21"/>
      <w:szCs w:val="21"/>
    </w:rPr>
  </w:style>
  <w:style w:type="paragraph" w:customStyle="1" w:styleId="55">
    <w:name w:val="List Paragraph"/>
    <w:basedOn w:val="1"/>
    <w:qFormat/>
    <w:uiPriority w:val="0"/>
  </w:style>
  <w:style w:type="character" w:customStyle="1" w:styleId="56">
    <w:name w:val="font01"/>
    <w:qFormat/>
    <w:uiPriority w:val="0"/>
    <w:rPr>
      <w:rFonts w:hint="eastAsia" w:ascii="宋体" w:hAnsi="宋体" w:eastAsia="宋体" w:cs="宋体"/>
      <w:color w:val="000000"/>
      <w:sz w:val="22"/>
      <w:szCs w:val="22"/>
      <w:u w:val="none"/>
    </w:rPr>
  </w:style>
  <w:style w:type="character" w:customStyle="1" w:styleId="57">
    <w:name w:val="font21"/>
    <w:qFormat/>
    <w:uiPriority w:val="0"/>
    <w:rPr>
      <w:rFonts w:hint="eastAsia" w:ascii="宋体" w:hAnsi="宋体" w:eastAsia="宋体" w:cs="宋体"/>
      <w:color w:val="FF0000"/>
      <w:sz w:val="22"/>
      <w:szCs w:val="22"/>
      <w:u w:val="none"/>
    </w:rPr>
  </w:style>
  <w:style w:type="character" w:customStyle="1" w:styleId="58">
    <w:name w:val="font11"/>
    <w:qFormat/>
    <w:uiPriority w:val="0"/>
    <w:rPr>
      <w:rFonts w:hint="eastAsia" w:ascii="宋体" w:hAnsi="宋体" w:eastAsia="宋体" w:cs="宋体"/>
      <w:color w:val="000000"/>
      <w:sz w:val="22"/>
      <w:szCs w:val="22"/>
      <w:u w:val="none"/>
    </w:rPr>
  </w:style>
  <w:style w:type="paragraph" w:customStyle="1" w:styleId="59">
    <w:name w:val="Table Text"/>
    <w:basedOn w:val="1"/>
    <w:semiHidden/>
    <w:qFormat/>
    <w:uiPriority w:val="0"/>
    <w:rPr>
      <w:rFonts w:ascii="宋体" w:hAnsi="宋体" w:eastAsia="宋体" w:cs="宋体"/>
      <w:sz w:val="24"/>
      <w:szCs w:val="24"/>
      <w:lang w:val="en-US" w:eastAsia="en-US" w:bidi="ar-SA"/>
    </w:rPr>
  </w:style>
  <w:style w:type="table" w:customStyle="1" w:styleId="60">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61">
    <w:name w:val="WPSOffice手动目录 1"/>
    <w:qFormat/>
    <w:uiPriority w:val="0"/>
    <w:rPr>
      <w:rFonts w:ascii="Times New Roman" w:hAnsi="Times New Roman" w:eastAsia="宋体" w:cs="Times New Roman"/>
      <w:lang w:val="en-US" w:eastAsia="zh-CN" w:bidi="ar-SA"/>
    </w:rPr>
  </w:style>
  <w:style w:type="character" w:customStyle="1" w:styleId="62">
    <w:name w:val="toolbarlabel"/>
    <w:qFormat/>
    <w:uiPriority w:val="0"/>
    <w:rPr>
      <w:color w:val="333333"/>
      <w:sz w:val="18"/>
      <w:szCs w:val="18"/>
    </w:rPr>
  </w:style>
  <w:style w:type="paragraph" w:customStyle="1" w:styleId="63">
    <w:name w:val="Heading1"/>
    <w:basedOn w:val="1"/>
    <w:next w:val="1"/>
    <w:qFormat/>
    <w:uiPriority w:val="0"/>
    <w:pPr>
      <w:keepNext/>
      <w:keepLines/>
      <w:spacing w:before="340" w:after="330" w:line="576" w:lineRule="auto"/>
      <w:textAlignment w:val="baseline"/>
    </w:pPr>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149</Pages>
  <Words>4467</Words>
  <Characters>4616</Characters>
  <Lines>716</Lines>
  <Paragraphs>201</Paragraphs>
  <TotalTime>67</TotalTime>
  <ScaleCrop>false</ScaleCrop>
  <LinksUpToDate>false</LinksUpToDate>
  <CharactersWithSpaces>4616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2024-10-24T15:11:00Z</dcterms:created>
  <dc:creator>Sky123.Org</dc:creator>
  <cp:lastModifiedBy>Administrator</cp:lastModifiedBy>
  <cp:lastPrinted>2026-03-27T05:25:00Z</cp:lastPrinted>
  <dcterms:modified xsi:type="dcterms:W3CDTF">2026-04-07T06:43:31Z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4B0D86FA276D460E9F3AA812EEC650E9_13</vt:lpwstr>
  </property>
  <property fmtid="{D5CDD505-2E9C-101B-9397-08002B2CF9AE}" pid="4" name="KSOTemplateDocerSaveRecord">
    <vt:lpwstr>eyJoZGlkIjoiYmMzMzY4NDllMjNlZGI4ZjkwOGMwOGNjYWY5YjZlOGQiLCJ1c2VySWQiOiI5NjAyNjE0ODkifQ==</vt:lpwstr>
  </property>
</Properties>
</file>