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967B3D">
      <w:pPr>
        <w:spacing w:line="258" w:lineRule="auto"/>
        <w:jc w:val="both"/>
        <w:rPr>
          <w:rFonts w:hint="eastAsia" w:ascii="宋体" w:hAnsi="宋体" w:eastAsia="宋体" w:cs="宋体"/>
          <w:color w:val="auto"/>
          <w:highlight w:val="none"/>
        </w:rPr>
      </w:pPr>
    </w:p>
    <w:p w14:paraId="29D1C3A0">
      <w:pPr>
        <w:spacing w:line="258" w:lineRule="auto"/>
        <w:jc w:val="both"/>
        <w:rPr>
          <w:rFonts w:hint="eastAsia" w:ascii="宋体" w:hAnsi="宋体" w:eastAsia="宋体" w:cs="宋体"/>
          <w:color w:val="auto"/>
          <w:highlight w:val="none"/>
        </w:rPr>
      </w:pPr>
    </w:p>
    <w:p w14:paraId="1A96DE3A">
      <w:pPr>
        <w:spacing w:line="258" w:lineRule="auto"/>
        <w:jc w:val="both"/>
        <w:rPr>
          <w:rFonts w:hint="eastAsia" w:ascii="宋体" w:hAnsi="宋体" w:eastAsia="宋体" w:cs="宋体"/>
          <w:color w:val="auto"/>
          <w:highlight w:val="none"/>
        </w:rPr>
      </w:pPr>
    </w:p>
    <w:p w14:paraId="2DFD1965">
      <w:pPr>
        <w:spacing w:line="258" w:lineRule="auto"/>
        <w:jc w:val="both"/>
        <w:rPr>
          <w:rFonts w:hint="eastAsia" w:ascii="宋体" w:hAnsi="宋体" w:eastAsia="宋体" w:cs="宋体"/>
          <w:color w:val="auto"/>
          <w:highlight w:val="none"/>
        </w:rPr>
      </w:pPr>
    </w:p>
    <w:p w14:paraId="229E8D2D">
      <w:pPr>
        <w:spacing w:line="259" w:lineRule="auto"/>
        <w:jc w:val="both"/>
        <w:rPr>
          <w:rFonts w:hint="eastAsia" w:ascii="宋体" w:hAnsi="宋体" w:eastAsia="宋体" w:cs="宋体"/>
          <w:color w:val="auto"/>
          <w:highlight w:val="none"/>
        </w:rPr>
      </w:pPr>
    </w:p>
    <w:p w14:paraId="39ABB2F9">
      <w:pPr>
        <w:spacing w:line="259" w:lineRule="auto"/>
        <w:jc w:val="both"/>
        <w:rPr>
          <w:rFonts w:hint="eastAsia" w:ascii="宋体" w:hAnsi="宋体" w:eastAsia="宋体" w:cs="宋体"/>
          <w:color w:val="auto"/>
          <w:highlight w:val="none"/>
        </w:rPr>
      </w:pPr>
    </w:p>
    <w:p w14:paraId="5BF38A97">
      <w:pPr>
        <w:pStyle w:val="17"/>
        <w:jc w:val="center"/>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绍兴市房屋建筑和市政基础设施货物</w:t>
      </w:r>
    </w:p>
    <w:p w14:paraId="1A5982D7">
      <w:pPr>
        <w:widowControl w:val="0"/>
        <w:kinsoku/>
        <w:autoSpaceDE/>
        <w:autoSpaceDN/>
        <w:adjustRightInd/>
        <w:snapToGrid/>
        <w:jc w:val="center"/>
        <w:textAlignment w:val="auto"/>
        <w:rPr>
          <w:rFonts w:hint="eastAsia" w:ascii="宋体" w:hAnsi="宋体" w:eastAsia="宋体" w:cs="宋体"/>
          <w:snapToGrid/>
          <w:color w:val="auto"/>
          <w:kern w:val="2"/>
          <w:sz w:val="52"/>
          <w:szCs w:val="52"/>
          <w:highlight w:val="none"/>
        </w:rPr>
      </w:pPr>
      <w:r>
        <w:rPr>
          <w:rFonts w:hint="eastAsia" w:ascii="宋体" w:hAnsi="宋体" w:eastAsia="宋体" w:cs="宋体"/>
          <w:snapToGrid/>
          <w:color w:val="auto"/>
          <w:kern w:val="2"/>
          <w:sz w:val="52"/>
          <w:szCs w:val="52"/>
          <w:highlight w:val="none"/>
        </w:rPr>
        <w:t>招标文件</w:t>
      </w:r>
    </w:p>
    <w:p w14:paraId="5C7A627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0749FC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4126078">
      <w:pPr>
        <w:pStyle w:val="10"/>
        <w:rPr>
          <w:rFonts w:hint="eastAsia" w:ascii="宋体" w:hAnsi="宋体" w:eastAsia="宋体" w:cs="宋体"/>
          <w:color w:val="auto"/>
          <w:highlight w:val="none"/>
        </w:rPr>
      </w:pPr>
    </w:p>
    <w:p w14:paraId="7A4076BD">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r>
        <w:rPr>
          <w:rFonts w:hint="eastAsia" w:ascii="宋体" w:hAnsi="宋体" w:eastAsia="宋体" w:cs="宋体"/>
          <w:snapToGrid/>
          <w:color w:val="auto"/>
          <w:kern w:val="2"/>
          <w:sz w:val="48"/>
          <w:szCs w:val="48"/>
          <w:highlight w:val="none"/>
        </w:rPr>
        <w:t>（2024-01版）20241205</w:t>
      </w:r>
    </w:p>
    <w:p w14:paraId="75944E1B">
      <w:pPr>
        <w:widowControl w:val="0"/>
        <w:kinsoku/>
        <w:autoSpaceDE/>
        <w:autoSpaceDN/>
        <w:adjustRightInd/>
        <w:snapToGrid/>
        <w:jc w:val="center"/>
        <w:textAlignment w:val="auto"/>
        <w:rPr>
          <w:rFonts w:hint="eastAsia" w:ascii="宋体" w:hAnsi="宋体" w:eastAsia="宋体" w:cs="宋体"/>
          <w:snapToGrid/>
          <w:color w:val="auto"/>
          <w:kern w:val="2"/>
          <w:sz w:val="48"/>
          <w:szCs w:val="48"/>
          <w:highlight w:val="none"/>
        </w:rPr>
      </w:pPr>
    </w:p>
    <w:p w14:paraId="274B760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1667C81">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FCF3D64">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7B820BC3">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BBC9BA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7BF10A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9962F2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5D074740">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269A3EAD">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95CCD12">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44DF9968">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1A6931DA">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38FFAEC1">
      <w:pPr>
        <w:widowControl w:val="0"/>
        <w:tabs>
          <w:tab w:val="left" w:pos="6627"/>
        </w:tabs>
        <w:kinsoku/>
        <w:autoSpaceDE/>
        <w:autoSpaceDN/>
        <w:adjustRightInd/>
        <w:snapToGrid/>
        <w:textAlignment w:val="auto"/>
        <w:rPr>
          <w:rFonts w:hint="eastAsia" w:ascii="宋体" w:hAnsi="宋体" w:eastAsia="宋体" w:cs="宋体"/>
          <w:b/>
          <w:snapToGrid/>
          <w:color w:val="auto"/>
          <w:kern w:val="2"/>
          <w:sz w:val="32"/>
          <w:szCs w:val="24"/>
          <w:highlight w:val="none"/>
        </w:rPr>
      </w:pPr>
      <w:r>
        <w:rPr>
          <w:rFonts w:hint="eastAsia" w:ascii="宋体" w:hAnsi="宋体" w:eastAsia="宋体" w:cs="宋体"/>
          <w:b/>
          <w:snapToGrid/>
          <w:color w:val="auto"/>
          <w:kern w:val="2"/>
          <w:sz w:val="32"/>
          <w:szCs w:val="24"/>
          <w:highlight w:val="none"/>
        </w:rPr>
        <w:tab/>
      </w:r>
    </w:p>
    <w:p w14:paraId="22E99CF6">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03D9703F">
      <w:pPr>
        <w:widowControl w:val="0"/>
        <w:kinsoku/>
        <w:autoSpaceDE/>
        <w:autoSpaceDN/>
        <w:adjustRightInd/>
        <w:snapToGrid/>
        <w:jc w:val="center"/>
        <w:textAlignment w:val="auto"/>
        <w:rPr>
          <w:rFonts w:hint="eastAsia" w:ascii="宋体" w:hAnsi="宋体" w:eastAsia="宋体" w:cs="宋体"/>
          <w:b/>
          <w:snapToGrid/>
          <w:color w:val="auto"/>
          <w:kern w:val="2"/>
          <w:sz w:val="32"/>
          <w:szCs w:val="24"/>
          <w:highlight w:val="none"/>
        </w:rPr>
      </w:pPr>
    </w:p>
    <w:p w14:paraId="6161355A">
      <w:pPr>
        <w:widowControl w:val="0"/>
        <w:kinsoku/>
        <w:autoSpaceDE/>
        <w:autoSpaceDN/>
        <w:adjustRightInd/>
        <w:snapToGrid/>
        <w:jc w:val="center"/>
        <w:textAlignment w:val="auto"/>
        <w:rPr>
          <w:rFonts w:hint="eastAsia" w:ascii="宋体" w:hAnsi="宋体" w:eastAsia="宋体" w:cs="宋体"/>
          <w:b/>
          <w:snapToGrid/>
          <w:color w:val="auto"/>
          <w:kern w:val="2"/>
          <w:sz w:val="44"/>
          <w:szCs w:val="44"/>
          <w:highlight w:val="none"/>
        </w:rPr>
      </w:pPr>
      <w:r>
        <w:rPr>
          <w:rFonts w:hint="eastAsia" w:ascii="宋体" w:hAnsi="宋体" w:eastAsia="宋体" w:cs="宋体"/>
          <w:b/>
          <w:snapToGrid/>
          <w:color w:val="auto"/>
          <w:kern w:val="2"/>
          <w:sz w:val="44"/>
          <w:szCs w:val="44"/>
          <w:highlight w:val="none"/>
        </w:rPr>
        <w:t>绍兴市政务服务办公室</w:t>
      </w:r>
    </w:p>
    <w:p w14:paraId="03865475">
      <w:pPr>
        <w:pStyle w:val="10"/>
        <w:rPr>
          <w:rFonts w:hint="eastAsia" w:ascii="宋体" w:hAnsi="宋体" w:eastAsia="宋体" w:cs="宋体"/>
          <w:color w:val="auto"/>
          <w:highlight w:val="none"/>
        </w:rPr>
      </w:pPr>
    </w:p>
    <w:p w14:paraId="643929DC">
      <w:pPr>
        <w:pStyle w:val="10"/>
        <w:jc w:val="center"/>
        <w:rPr>
          <w:rFonts w:hint="eastAsia" w:ascii="宋体" w:hAnsi="宋体" w:eastAsia="宋体" w:cs="宋体"/>
          <w:color w:val="auto"/>
          <w:highlight w:val="none"/>
        </w:rPr>
        <w:sectPr>
          <w:footerReference r:id="rId3" w:type="default"/>
          <w:pgSz w:w="11906" w:h="16839"/>
          <w:pgMar w:top="1417" w:right="1559" w:bottom="1417" w:left="1474" w:header="1134" w:footer="1134" w:gutter="0"/>
          <w:cols w:space="720" w:num="1"/>
        </w:sectPr>
      </w:pPr>
      <w:r>
        <w:rPr>
          <w:rFonts w:hint="eastAsia" w:ascii="宋体" w:hAnsi="宋体" w:eastAsia="宋体" w:cs="宋体"/>
          <w:b/>
          <w:color w:val="auto"/>
          <w:sz w:val="44"/>
          <w:szCs w:val="44"/>
          <w:highlight w:val="none"/>
        </w:rPr>
        <w:t>二〇二四年一月</w:t>
      </w:r>
    </w:p>
    <w:p w14:paraId="76FADA28">
      <w:pPr>
        <w:spacing w:before="336" w:line="225" w:lineRule="auto"/>
        <w:ind w:left="3317"/>
        <w:jc w:val="both"/>
        <w:rPr>
          <w:rFonts w:hint="eastAsia" w:ascii="宋体" w:hAnsi="宋体" w:eastAsia="宋体" w:cs="宋体"/>
          <w:color w:val="auto"/>
          <w:sz w:val="43"/>
          <w:szCs w:val="43"/>
          <w:highlight w:val="none"/>
        </w:rPr>
      </w:pPr>
      <w:r>
        <w:rPr>
          <w:rFonts w:hint="eastAsia" w:ascii="宋体" w:hAnsi="宋体" w:eastAsia="宋体" w:cs="宋体"/>
          <w:color w:val="auto"/>
          <w:sz w:val="43"/>
          <w:szCs w:val="43"/>
          <w:highlight w:val="none"/>
        </w:rPr>
        <w:t>使用指南</w:t>
      </w:r>
    </w:p>
    <w:p w14:paraId="3D10040D">
      <w:pPr>
        <w:spacing w:line="334" w:lineRule="auto"/>
        <w:jc w:val="both"/>
        <w:rPr>
          <w:rFonts w:hint="eastAsia" w:ascii="宋体" w:hAnsi="宋体" w:eastAsia="宋体" w:cs="宋体"/>
          <w:color w:val="auto"/>
          <w:highlight w:val="none"/>
        </w:rPr>
      </w:pPr>
    </w:p>
    <w:p w14:paraId="5167F98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2"/>
          <w:sz w:val="24"/>
          <w:szCs w:val="24"/>
          <w:highlight w:val="none"/>
        </w:rPr>
        <w:t>一、总体要求</w:t>
      </w:r>
    </w:p>
    <w:p w14:paraId="35C2AC01">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1.适用范围。绍兴市行政区域内依法必须招标的建设项目的货物类项目招标，招标人应使用本范本编制招标文件。</w:t>
      </w:r>
    </w:p>
    <w:p w14:paraId="16F23755">
      <w:pPr>
        <w:spacing w:line="440" w:lineRule="exact"/>
        <w:ind w:firstLine="48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2.括号加斜体字部分为提示性内容，招标人选择或填写相关内容后，在定稿的招标文件中应删除。</w:t>
      </w:r>
    </w:p>
    <w:p w14:paraId="30DC6DF3">
      <w:pPr>
        <w:spacing w:line="440" w:lineRule="exact"/>
        <w:ind w:firstLine="46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3.以“□”前缀部分为选择性内容，在定稿的招标文件中招标人应删除未选择的内容。</w:t>
      </w:r>
    </w:p>
    <w:p w14:paraId="67FE277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4.下划线和投标人须知前附表空格部分，由招标人根据招标项目实际情况和国家有关法律法规规定进行填写，文字应采用斜体字；确实不需要填写具体内容的，用“/”标示。</w:t>
      </w:r>
    </w:p>
    <w:p w14:paraId="78DCAA34">
      <w:pPr>
        <w:spacing w:line="440" w:lineRule="exact"/>
        <w:ind w:firstLine="47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5.除可选择部分和下划线部分由招标人根据以上2、3、4三项进行选择或填写外，其他文字不得改动。</w:t>
      </w:r>
    </w:p>
    <w:p w14:paraId="019C7699">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二、招标公告部分</w:t>
      </w:r>
    </w:p>
    <w:p w14:paraId="45BB2B52">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(一)招标项目基本信息</w:t>
      </w:r>
    </w:p>
    <w:p w14:paraId="19140CCD">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1.项目名称、文号。应与项目工可批复或初步设计批复或企业信息赋码表中内容一致。</w:t>
      </w:r>
    </w:p>
    <w:p w14:paraId="52EDF7EF">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2.项目建设规模。应与工可批复或初步设计批复或企业信息赋码表中内容一致，主要包括建筑面积、总投资等内容。</w:t>
      </w:r>
    </w:p>
    <w:p w14:paraId="2D544FB9">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3.建设地址、建成时间、资金来源、投资比例。按工可批复或初步设计批复或企业信息赋码表内容填写。</w:t>
      </w:r>
    </w:p>
    <w:p w14:paraId="7F899768">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4.项目业主。即本招标项目的法人。</w:t>
      </w:r>
    </w:p>
    <w:p w14:paraId="529D19FC">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5.招标人。为组织项目招标活动的主体。</w:t>
      </w:r>
    </w:p>
    <w:p w14:paraId="77DD2591">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6.代理机构。为本次招标提供招标代理服务的机构，自行招标的，括号内的代理内容应删除。</w:t>
      </w:r>
    </w:p>
    <w:p w14:paraId="1D319794">
      <w:pPr>
        <w:spacing w:line="440" w:lineRule="exact"/>
        <w:ind w:firstLine="477"/>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7.标段名称。招标人应合理划分标段，标段名称应恰当反映本次招标内容。</w:t>
      </w:r>
    </w:p>
    <w:p w14:paraId="785C3614">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(二)本次招标内容</w:t>
      </w:r>
    </w:p>
    <w:p w14:paraId="19BE2E70">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1.本次招标内容。尽可能详细说明本次招标项目的招标范围、内容、规模、服务要求等。</w:t>
      </w:r>
    </w:p>
    <w:p w14:paraId="5161AC7E">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估算(或概算)造价。应根据工可批复或初步设计批复或企业信息赋码表内容填写本次招标范围的服务费用造价，批复汇总表不能反映本次招标的估算(或概算)造价的，应根据经批准的估算(或概算)详细文件汇总计算。</w:t>
      </w:r>
    </w:p>
    <w:p w14:paraId="555BE0D7">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(三)投标资格条件、要求</w:t>
      </w:r>
    </w:p>
    <w:p w14:paraId="0DB00D53">
      <w:pPr>
        <w:spacing w:line="440" w:lineRule="exact"/>
        <w:ind w:firstLine="49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1.企业资格要求。根据本次招标内容，设置投标人资格要求。</w:t>
      </w:r>
    </w:p>
    <w:p w14:paraId="502671D5">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2.联合体。根据本次招标的实际情况进行约定。</w:t>
      </w:r>
    </w:p>
    <w:p w14:paraId="2CA27719">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3.无行贿犯罪记录。查询的时间区间为投标截止之日上溯不少于三年。投标人不必提供外证或自证材料，由招标人在定标前在中国裁判文书网查询。</w:t>
      </w:r>
    </w:p>
    <w:p w14:paraId="34DB790C">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招标人可根据招标项目的实际需要及相关法律法规规定，设置合理的资格条件和要求。业绩证明材料要求其所能承载的证明内容应符合业绩要求的具体表述；招标人可选择中标通知书、合同、交货单及业主证明等资料作为业绩证明资料，但应明确如出现载明信息不一致时的资料认定顺序。</w:t>
      </w:r>
    </w:p>
    <w:p w14:paraId="031DF8E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(四)招标文件的获取</w:t>
      </w:r>
    </w:p>
    <w:p w14:paraId="7708349D">
      <w:pPr>
        <w:spacing w:line="440" w:lineRule="exact"/>
        <w:ind w:firstLine="49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1.网上下载时间。招标人应在招标公告及招标文件中明确招标文件发售方式及时间，发售期不得少于5日。截止时间如遇国家法定休假日的，应顺延至法定休假日后的第一个工作日。</w:t>
      </w:r>
    </w:p>
    <w:p w14:paraId="023DFBB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2.疑问提交时间。由招标人依法设定，具体时间应充分考虑投标人获取、阅读招标文件、提出疑问的时间，同时要为答疑预留一定的时间。</w:t>
      </w:r>
    </w:p>
    <w:p w14:paraId="71957BC1">
      <w:pPr>
        <w:spacing w:line="440" w:lineRule="exact"/>
        <w:ind w:firstLine="47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3.补充(答疑、澄清)招标文件发布日期。为招标人最迟可能发出补充文件的时间，充分考虑在投标截止时间前可能发生的变化。</w:t>
      </w:r>
    </w:p>
    <w:p w14:paraId="2C83A791">
      <w:pPr>
        <w:spacing w:line="440" w:lineRule="exact"/>
        <w:ind w:firstLine="47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投标截止时间。投标截止时间。自招标文件发出之日起至投标截止时间不得少于20日。招标人应考虑补充（答疑、澄清）招标文件可能影响投标文件编制内容的，且必须在投标截止时间15日前发布的规定，应适当安排投标截止时间。截止时间如遇国家法定休假日的，应顺延至法定休假日后的第一个工作日。</w:t>
      </w:r>
    </w:p>
    <w:p w14:paraId="2D10B4A4">
      <w:pPr>
        <w:pStyle w:val="62"/>
        <w:spacing w:line="420" w:lineRule="exact"/>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5.投标文件的递交方式为电子网上传输提交形式。招标人应在招标公告（或投标邀请书）及招标文件中明确投标文件递交方式及时间，还应明确是否需要同时递交纸质投标文件。</w:t>
      </w:r>
    </w:p>
    <w:p w14:paraId="6B38FA6C">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三、投标人须知前附表部分</w:t>
      </w:r>
    </w:p>
    <w:p w14:paraId="27825375">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1.条款号1.1.2—1.2.2。与招标公告相关内容填写一致。</w:t>
      </w:r>
    </w:p>
    <w:p w14:paraId="1C635120">
      <w:pPr>
        <w:spacing w:line="440" w:lineRule="exact"/>
        <w:ind w:firstLine="426"/>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2.招标范围。应与招标公告中招标内容一致，具体描述可详见公告。</w:t>
      </w:r>
    </w:p>
    <w:p w14:paraId="3851AEE4">
      <w:pPr>
        <w:spacing w:line="440" w:lineRule="exact"/>
        <w:ind w:firstLine="48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3.交货期。交货期应满足招标的要求，并应当允许投标人提出优于交货期的投标承诺。</w:t>
      </w:r>
    </w:p>
    <w:p w14:paraId="49F07AB7">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4.条款号1.4.1-2.2.1。根据本次招标的具体情况和要求，按示范文本提示内容选择或填写。</w:t>
      </w:r>
    </w:p>
    <w:p w14:paraId="0C035E37">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5.投标截止时间。应与招标公告规定的投标截止时间一致。</w:t>
      </w:r>
    </w:p>
    <w:p w14:paraId="3E0A7042">
      <w:pPr>
        <w:spacing w:line="440" w:lineRule="exact"/>
        <w:ind w:firstLine="48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实质性响应招标文件及评审打分资料。本栏是示范文本特别增加的内容，招标人应将要求投标人提交的所有资料列在本栏，招标文件中不再另附强制性资格条件(审查)表，招标人可根据本次招标的实际需要增减资料项目。</w:t>
      </w:r>
    </w:p>
    <w:p w14:paraId="4180B605">
      <w:pPr>
        <w:spacing w:line="440" w:lineRule="exact"/>
        <w:ind w:firstLine="48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评标办法。招标人应根据本次招标的实际情况合理选定评标办法，谨慎选用经评审的最低投标价法，鼓励选用综合评估法。技术简单或技术规格、性能、制作工艺要求统一的货物，可采用经评审的最低投标价法；技术复杂或技术规格、性能、制作工艺要求难以统一的货物，宜采用综合评估法。</w:t>
      </w:r>
    </w:p>
    <w:p w14:paraId="45B21601">
      <w:pPr>
        <w:spacing w:line="440" w:lineRule="exact"/>
        <w:ind w:firstLine="4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否决投标的情形。招标人在编制招标文件时，应将所有否决投标的情形、以肯定句式集中列入本栏；凡未列入此栏内容的要求，均不得作为否决投标的依据。招标人通过补充文件增加、删除或修改否决投标条款的，应当在补充文件中集中载明调整后完整的否决投标条款。</w:t>
      </w:r>
    </w:p>
    <w:p w14:paraId="67CDFA98">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9.招标人根据实际情况需要补充的其他内容，应集中在第10.4条。</w:t>
      </w:r>
    </w:p>
    <w:p w14:paraId="47358DFE">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四、评标办法部分</w:t>
      </w:r>
    </w:p>
    <w:p w14:paraId="25800CE0">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有否决投标的内容均请列入招标文件投标人须知前附表“否决投标的情形”中，评标办法中不再重复，以免产生矛盾和歧义。评标委员会拟作出否决投标前，应组织相关投标人进行询问核实。招标人应协助评标委员会做好询问核实工作。</w:t>
      </w:r>
    </w:p>
    <w:p w14:paraId="2B2BE984">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采用综合评估法的技术评分内容可根据招标项目的特点设置相应的评审内容和标准，原则上技术含量高的货物，技术评分权重大。可自选评审内容并要求细化每一打分项分值区间不宜超过3分。</w:t>
      </w:r>
    </w:p>
    <w:p w14:paraId="15921F31">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使用的电子招标工具应及时更新，并选择与本项目相匹配的招标工具模式（如：评标办法、电子标书递交方式等）。</w:t>
      </w:r>
    </w:p>
    <w:p w14:paraId="70AC877F">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五、合同文本部分</w:t>
      </w:r>
    </w:p>
    <w:p w14:paraId="26EA26C6">
      <w:pPr>
        <w:spacing w:line="440" w:lineRule="exact"/>
        <w:ind w:firstLine="480" w:firstLineChars="20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合同条款与格式由招标人根据项目实际提供。建议采用国家或行业的示范文本。</w:t>
      </w:r>
    </w:p>
    <w:p w14:paraId="718A4AF0">
      <w:pPr>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六、相关表单部分</w:t>
      </w:r>
    </w:p>
    <w:p w14:paraId="701728EB">
      <w:pPr>
        <w:spacing w:line="440" w:lineRule="exact"/>
        <w:ind w:firstLine="46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投标人前附表设置了“实质性响应招标文件及评审打分资料”栏，在相关表单中无需再设强制性审查表单，以避免前后不一致。</w:t>
      </w:r>
    </w:p>
    <w:p w14:paraId="75A0A37A">
      <w:pPr>
        <w:rPr>
          <w:rFonts w:hint="eastAsia" w:ascii="宋体" w:hAnsi="宋体" w:eastAsia="宋体" w:cs="宋体"/>
          <w:color w:val="auto"/>
          <w:highlight w:val="none"/>
        </w:rPr>
      </w:pPr>
      <w:r>
        <w:rPr>
          <w:rFonts w:hint="eastAsia" w:ascii="宋体" w:hAnsi="宋体" w:eastAsia="宋体" w:cs="宋体"/>
          <w:color w:val="auto"/>
          <w:highlight w:val="none"/>
        </w:rPr>
        <w:br w:type="page"/>
      </w:r>
    </w:p>
    <w:p w14:paraId="4471DF7A">
      <w:pPr>
        <w:jc w:val="both"/>
        <w:rPr>
          <w:rFonts w:hint="eastAsia" w:ascii="宋体" w:hAnsi="宋体" w:eastAsia="宋体" w:cs="宋体"/>
          <w:color w:val="auto"/>
          <w:highlight w:val="none"/>
          <w:lang w:eastAsia="zh-CN"/>
        </w:rPr>
        <w:sectPr>
          <w:pgSz w:w="11906" w:h="16839"/>
          <w:pgMar w:top="1417" w:right="1559" w:bottom="1417" w:left="1474" w:header="1134" w:footer="1134" w:gutter="0"/>
          <w:cols w:space="720" w:num="1"/>
        </w:sectPr>
      </w:pPr>
      <w:r>
        <w:rPr>
          <w:rFonts w:hint="eastAsia" w:ascii="宋体" w:hAnsi="宋体" w:eastAsia="宋体" w:cs="宋体"/>
          <w:color w:val="auto"/>
          <w:highlight w:val="none"/>
          <w:lang w:eastAsia="zh-CN"/>
        </w:rPr>
        <w:drawing>
          <wp:inline distT="0" distB="0" distL="114300" distR="114300">
            <wp:extent cx="5848350" cy="8194040"/>
            <wp:effectExtent l="0" t="0" r="0" b="16510"/>
            <wp:docPr id="1" name="图片 1" descr="6ee497e9a23ef3723f15104739937c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6ee497e9a23ef3723f15104739937c35"/>
                    <pic:cNvPicPr>
                      <a:picLocks noChangeAspect="1"/>
                    </pic:cNvPicPr>
                  </pic:nvPicPr>
                  <pic:blipFill>
                    <a:blip r:embed="rId24"/>
                    <a:stretch>
                      <a:fillRect/>
                    </a:stretch>
                  </pic:blipFill>
                  <pic:spPr>
                    <a:xfrm>
                      <a:off x="0" y="0"/>
                      <a:ext cx="5848350" cy="8194040"/>
                    </a:xfrm>
                    <a:prstGeom prst="rect">
                      <a:avLst/>
                    </a:prstGeom>
                  </pic:spPr>
                </pic:pic>
              </a:graphicData>
            </a:graphic>
          </wp:inline>
        </w:drawing>
      </w:r>
    </w:p>
    <w:p w14:paraId="68EFC138">
      <w:pPr>
        <w:spacing w:line="245" w:lineRule="auto"/>
        <w:jc w:val="both"/>
        <w:rPr>
          <w:rFonts w:hint="eastAsia" w:ascii="宋体" w:hAnsi="宋体" w:eastAsia="宋体" w:cs="宋体"/>
          <w:color w:val="auto"/>
          <w:highlight w:val="none"/>
        </w:rPr>
      </w:pPr>
    </w:p>
    <w:p w14:paraId="1F76C882">
      <w:pPr>
        <w:spacing w:line="245" w:lineRule="auto"/>
        <w:jc w:val="both"/>
        <w:rPr>
          <w:rFonts w:hint="eastAsia" w:ascii="宋体" w:hAnsi="宋体" w:eastAsia="宋体" w:cs="宋体"/>
          <w:color w:val="auto"/>
          <w:highlight w:val="none"/>
        </w:rPr>
      </w:pPr>
    </w:p>
    <w:p w14:paraId="14259398">
      <w:pPr>
        <w:spacing w:line="245" w:lineRule="auto"/>
        <w:jc w:val="both"/>
        <w:rPr>
          <w:rFonts w:hint="eastAsia" w:ascii="宋体" w:hAnsi="宋体" w:eastAsia="宋体" w:cs="宋体"/>
          <w:color w:val="auto"/>
          <w:highlight w:val="none"/>
        </w:rPr>
      </w:pPr>
    </w:p>
    <w:p w14:paraId="2065BF40">
      <w:pPr>
        <w:pStyle w:val="12"/>
        <w:spacing w:line="360" w:lineRule="auto"/>
        <w:jc w:val="both"/>
        <w:rPr>
          <w:rFonts w:hint="eastAsia" w:ascii="宋体" w:hAnsi="宋体" w:eastAsia="宋体" w:cs="宋体"/>
          <w:color w:val="auto"/>
          <w:highlight w:val="none"/>
        </w:rPr>
      </w:pPr>
    </w:p>
    <w:p w14:paraId="0C6A5D38">
      <w:pPr>
        <w:tabs>
          <w:tab w:val="left" w:pos="2909"/>
        </w:tabs>
        <w:spacing w:line="360" w:lineRule="auto"/>
        <w:ind w:left="138"/>
        <w:jc w:val="center"/>
        <w:rPr>
          <w:rFonts w:hint="eastAsia" w:ascii="宋体" w:hAnsi="宋体" w:eastAsia="宋体" w:cs="宋体"/>
          <w:color w:val="auto"/>
          <w:sz w:val="35"/>
          <w:szCs w:val="35"/>
          <w:highlight w:val="none"/>
        </w:rPr>
      </w:pPr>
      <w:r>
        <w:rPr>
          <w:rFonts w:hint="eastAsia" w:ascii="宋体" w:hAnsi="宋体" w:eastAsia="宋体" w:cs="宋体"/>
          <w:color w:val="auto"/>
          <w:sz w:val="35"/>
          <w:szCs w:val="35"/>
          <w:highlight w:val="none"/>
          <w:u w:val="single"/>
          <w:lang w:eastAsia="zh-CN"/>
        </w:rPr>
        <w:t>绍兴文理学院附属医院(绍兴市立医院)二期A地块建设工程净化区域工程项目</w:t>
      </w:r>
      <w:r>
        <w:rPr>
          <w:rFonts w:hint="eastAsia" w:ascii="宋体" w:hAnsi="宋体" w:eastAsia="宋体" w:cs="宋体"/>
          <w:color w:val="auto"/>
          <w:sz w:val="35"/>
          <w:szCs w:val="35"/>
          <w:highlight w:val="none"/>
        </w:rPr>
        <w:t>(货物)采购</w:t>
      </w:r>
    </w:p>
    <w:p w14:paraId="4C15FC1C">
      <w:pPr>
        <w:spacing w:line="249" w:lineRule="auto"/>
        <w:jc w:val="both"/>
        <w:rPr>
          <w:rFonts w:hint="eastAsia" w:ascii="宋体" w:hAnsi="宋体" w:eastAsia="宋体" w:cs="宋体"/>
          <w:color w:val="auto"/>
          <w:highlight w:val="none"/>
        </w:rPr>
      </w:pPr>
    </w:p>
    <w:p w14:paraId="3A8DD6D0">
      <w:pPr>
        <w:spacing w:line="249" w:lineRule="auto"/>
        <w:jc w:val="both"/>
        <w:rPr>
          <w:rFonts w:hint="eastAsia" w:ascii="宋体" w:hAnsi="宋体" w:eastAsia="宋体" w:cs="宋体"/>
          <w:color w:val="auto"/>
          <w:highlight w:val="none"/>
        </w:rPr>
      </w:pPr>
    </w:p>
    <w:p w14:paraId="4F2299BE">
      <w:pPr>
        <w:spacing w:line="249" w:lineRule="auto"/>
        <w:jc w:val="both"/>
        <w:rPr>
          <w:rFonts w:hint="eastAsia" w:ascii="宋体" w:hAnsi="宋体" w:eastAsia="宋体" w:cs="宋体"/>
          <w:color w:val="auto"/>
          <w:highlight w:val="none"/>
        </w:rPr>
      </w:pPr>
    </w:p>
    <w:p w14:paraId="3B1E0479">
      <w:pPr>
        <w:spacing w:line="249" w:lineRule="auto"/>
        <w:jc w:val="both"/>
        <w:rPr>
          <w:rFonts w:hint="eastAsia" w:ascii="宋体" w:hAnsi="宋体" w:eastAsia="宋体" w:cs="宋体"/>
          <w:color w:val="auto"/>
          <w:highlight w:val="none"/>
        </w:rPr>
      </w:pPr>
    </w:p>
    <w:p w14:paraId="42E82136">
      <w:pPr>
        <w:pStyle w:val="12"/>
        <w:jc w:val="both"/>
        <w:rPr>
          <w:rFonts w:hint="eastAsia" w:ascii="宋体" w:hAnsi="宋体" w:eastAsia="宋体" w:cs="宋体"/>
          <w:color w:val="auto"/>
          <w:highlight w:val="none"/>
        </w:rPr>
      </w:pPr>
    </w:p>
    <w:p w14:paraId="7FE266E9">
      <w:pPr>
        <w:pStyle w:val="30"/>
        <w:ind w:firstLine="0"/>
        <w:jc w:val="both"/>
        <w:rPr>
          <w:rFonts w:hint="eastAsia" w:hAnsi="宋体" w:eastAsia="宋体" w:cs="宋体"/>
          <w:color w:val="auto"/>
          <w:spacing w:val="0"/>
          <w:highlight w:val="none"/>
        </w:rPr>
      </w:pPr>
    </w:p>
    <w:p w14:paraId="2B9937CC">
      <w:pPr>
        <w:pStyle w:val="30"/>
        <w:jc w:val="both"/>
        <w:rPr>
          <w:rFonts w:hint="eastAsia" w:hAnsi="宋体" w:eastAsia="宋体" w:cs="宋体"/>
          <w:color w:val="auto"/>
          <w:spacing w:val="0"/>
          <w:highlight w:val="none"/>
        </w:rPr>
      </w:pPr>
    </w:p>
    <w:p w14:paraId="40F0A173">
      <w:pPr>
        <w:spacing w:line="249" w:lineRule="auto"/>
        <w:jc w:val="both"/>
        <w:rPr>
          <w:rFonts w:hint="eastAsia" w:ascii="宋体" w:hAnsi="宋体" w:eastAsia="宋体" w:cs="宋体"/>
          <w:color w:val="auto"/>
          <w:highlight w:val="none"/>
        </w:rPr>
      </w:pPr>
    </w:p>
    <w:p w14:paraId="30D157CA">
      <w:pPr>
        <w:spacing w:line="249" w:lineRule="auto"/>
        <w:jc w:val="both"/>
        <w:rPr>
          <w:rFonts w:hint="eastAsia" w:ascii="宋体" w:hAnsi="宋体" w:eastAsia="宋体" w:cs="宋体"/>
          <w:color w:val="auto"/>
          <w:highlight w:val="none"/>
        </w:rPr>
      </w:pPr>
    </w:p>
    <w:p w14:paraId="6BC58D3C">
      <w:pPr>
        <w:pStyle w:val="12"/>
        <w:jc w:val="both"/>
        <w:rPr>
          <w:rFonts w:hint="eastAsia" w:ascii="宋体" w:hAnsi="宋体" w:eastAsia="宋体" w:cs="宋体"/>
          <w:color w:val="auto"/>
          <w:highlight w:val="none"/>
        </w:rPr>
      </w:pPr>
    </w:p>
    <w:p w14:paraId="2AFE412D">
      <w:pPr>
        <w:pStyle w:val="30"/>
        <w:jc w:val="both"/>
        <w:rPr>
          <w:rFonts w:hint="eastAsia" w:hAnsi="宋体" w:eastAsia="宋体" w:cs="宋体"/>
          <w:color w:val="auto"/>
          <w:spacing w:val="0"/>
          <w:highlight w:val="none"/>
        </w:rPr>
      </w:pPr>
    </w:p>
    <w:p w14:paraId="6A288B68">
      <w:pPr>
        <w:pStyle w:val="30"/>
        <w:jc w:val="both"/>
        <w:rPr>
          <w:rFonts w:hint="eastAsia" w:hAnsi="宋体" w:eastAsia="宋体" w:cs="宋体"/>
          <w:color w:val="auto"/>
          <w:spacing w:val="0"/>
          <w:highlight w:val="none"/>
        </w:rPr>
      </w:pPr>
    </w:p>
    <w:p w14:paraId="33BDDD68">
      <w:pPr>
        <w:spacing w:line="249" w:lineRule="auto"/>
        <w:jc w:val="both"/>
        <w:rPr>
          <w:rFonts w:hint="eastAsia" w:ascii="宋体" w:hAnsi="宋体" w:eastAsia="宋体" w:cs="宋体"/>
          <w:color w:val="auto"/>
          <w:highlight w:val="none"/>
        </w:rPr>
      </w:pPr>
    </w:p>
    <w:p w14:paraId="1D217FEF">
      <w:pPr>
        <w:spacing w:line="249" w:lineRule="auto"/>
        <w:jc w:val="both"/>
        <w:rPr>
          <w:rFonts w:hint="eastAsia" w:ascii="宋体" w:hAnsi="宋体" w:eastAsia="宋体" w:cs="宋体"/>
          <w:color w:val="auto"/>
          <w:highlight w:val="none"/>
        </w:rPr>
      </w:pPr>
    </w:p>
    <w:p w14:paraId="7739C183">
      <w:pPr>
        <w:spacing w:line="251" w:lineRule="auto"/>
        <w:jc w:val="both"/>
        <w:rPr>
          <w:rFonts w:hint="eastAsia" w:ascii="宋体" w:hAnsi="宋体" w:eastAsia="宋体" w:cs="宋体"/>
          <w:color w:val="auto"/>
          <w:highlight w:val="none"/>
        </w:rPr>
      </w:pPr>
    </w:p>
    <w:p w14:paraId="332D1D3D">
      <w:pPr>
        <w:spacing w:before="231" w:line="224" w:lineRule="auto"/>
        <w:jc w:val="center"/>
        <w:rPr>
          <w:rFonts w:hint="eastAsia" w:ascii="宋体" w:hAnsi="宋体" w:eastAsia="宋体" w:cs="宋体"/>
          <w:color w:val="auto"/>
          <w:sz w:val="71"/>
          <w:szCs w:val="71"/>
          <w:highlight w:val="none"/>
        </w:rPr>
      </w:pPr>
      <w:r>
        <w:rPr>
          <w:rFonts w:hint="eastAsia" w:ascii="宋体" w:hAnsi="宋体" w:eastAsia="宋体" w:cs="宋体"/>
          <w:color w:val="auto"/>
          <w:sz w:val="71"/>
          <w:szCs w:val="71"/>
          <w:highlight w:val="none"/>
        </w:rPr>
        <w:t>招标文件</w:t>
      </w:r>
    </w:p>
    <w:p w14:paraId="49E5EAC4">
      <w:pPr>
        <w:spacing w:line="247" w:lineRule="auto"/>
        <w:jc w:val="both"/>
        <w:rPr>
          <w:rFonts w:hint="eastAsia" w:ascii="宋体" w:hAnsi="宋体" w:eastAsia="宋体" w:cs="宋体"/>
          <w:color w:val="auto"/>
          <w:highlight w:val="none"/>
        </w:rPr>
      </w:pPr>
    </w:p>
    <w:p w14:paraId="4E9297F6">
      <w:pPr>
        <w:spacing w:line="247" w:lineRule="auto"/>
        <w:jc w:val="both"/>
        <w:rPr>
          <w:rFonts w:hint="eastAsia" w:ascii="宋体" w:hAnsi="宋体" w:eastAsia="宋体" w:cs="宋体"/>
          <w:color w:val="auto"/>
          <w:highlight w:val="none"/>
        </w:rPr>
      </w:pPr>
    </w:p>
    <w:p w14:paraId="28FB887A">
      <w:pPr>
        <w:spacing w:line="247" w:lineRule="auto"/>
        <w:jc w:val="both"/>
        <w:rPr>
          <w:rFonts w:hint="eastAsia" w:ascii="宋体" w:hAnsi="宋体" w:eastAsia="宋体" w:cs="宋体"/>
          <w:color w:val="auto"/>
          <w:highlight w:val="none"/>
        </w:rPr>
      </w:pPr>
    </w:p>
    <w:p w14:paraId="5BCF01B7">
      <w:pPr>
        <w:spacing w:line="247" w:lineRule="auto"/>
        <w:jc w:val="both"/>
        <w:rPr>
          <w:rFonts w:hint="eastAsia" w:ascii="宋体" w:hAnsi="宋体" w:eastAsia="宋体" w:cs="宋体"/>
          <w:color w:val="auto"/>
          <w:highlight w:val="none"/>
        </w:rPr>
      </w:pPr>
    </w:p>
    <w:p w14:paraId="6F32779F">
      <w:pPr>
        <w:spacing w:line="247" w:lineRule="auto"/>
        <w:jc w:val="both"/>
        <w:rPr>
          <w:rFonts w:hint="eastAsia" w:ascii="宋体" w:hAnsi="宋体" w:eastAsia="宋体" w:cs="宋体"/>
          <w:color w:val="auto"/>
          <w:highlight w:val="none"/>
        </w:rPr>
      </w:pPr>
    </w:p>
    <w:p w14:paraId="4B5DA4E3">
      <w:pPr>
        <w:spacing w:line="247" w:lineRule="auto"/>
        <w:jc w:val="both"/>
        <w:rPr>
          <w:rFonts w:hint="eastAsia" w:ascii="宋体" w:hAnsi="宋体" w:eastAsia="宋体" w:cs="宋体"/>
          <w:color w:val="auto"/>
          <w:highlight w:val="none"/>
        </w:rPr>
      </w:pPr>
    </w:p>
    <w:p w14:paraId="5F6A42A3">
      <w:pPr>
        <w:spacing w:line="248" w:lineRule="auto"/>
        <w:jc w:val="both"/>
        <w:rPr>
          <w:rFonts w:hint="eastAsia" w:ascii="宋体" w:hAnsi="宋体" w:eastAsia="宋体" w:cs="宋体"/>
          <w:color w:val="auto"/>
          <w:highlight w:val="none"/>
        </w:rPr>
      </w:pPr>
    </w:p>
    <w:p w14:paraId="12E837BF">
      <w:pPr>
        <w:spacing w:line="248" w:lineRule="auto"/>
        <w:jc w:val="both"/>
        <w:rPr>
          <w:rFonts w:hint="eastAsia" w:ascii="宋体" w:hAnsi="宋体" w:eastAsia="宋体" w:cs="宋体"/>
          <w:color w:val="auto"/>
          <w:highlight w:val="none"/>
        </w:rPr>
      </w:pPr>
    </w:p>
    <w:p w14:paraId="17041E29">
      <w:pPr>
        <w:spacing w:line="248" w:lineRule="auto"/>
        <w:jc w:val="both"/>
        <w:rPr>
          <w:rFonts w:hint="eastAsia" w:ascii="宋体" w:hAnsi="宋体" w:eastAsia="宋体" w:cs="宋体"/>
          <w:color w:val="auto"/>
          <w:highlight w:val="none"/>
        </w:rPr>
      </w:pPr>
    </w:p>
    <w:p w14:paraId="598518A9">
      <w:pPr>
        <w:spacing w:line="248" w:lineRule="auto"/>
        <w:jc w:val="both"/>
        <w:rPr>
          <w:rFonts w:hint="eastAsia" w:ascii="宋体" w:hAnsi="宋体" w:eastAsia="宋体" w:cs="宋体"/>
          <w:color w:val="auto"/>
          <w:highlight w:val="none"/>
        </w:rPr>
      </w:pPr>
    </w:p>
    <w:p w14:paraId="05BB4025">
      <w:pPr>
        <w:spacing w:line="248" w:lineRule="auto"/>
        <w:jc w:val="both"/>
        <w:rPr>
          <w:rFonts w:hint="eastAsia" w:ascii="宋体" w:hAnsi="宋体" w:eastAsia="宋体" w:cs="宋体"/>
          <w:color w:val="auto"/>
          <w:highlight w:val="none"/>
        </w:rPr>
      </w:pPr>
    </w:p>
    <w:p w14:paraId="5F073B76">
      <w:pPr>
        <w:spacing w:line="248" w:lineRule="auto"/>
        <w:jc w:val="both"/>
        <w:rPr>
          <w:rFonts w:hint="eastAsia" w:ascii="宋体" w:hAnsi="宋体" w:eastAsia="宋体" w:cs="宋体"/>
          <w:color w:val="auto"/>
          <w:highlight w:val="none"/>
        </w:rPr>
      </w:pPr>
    </w:p>
    <w:p w14:paraId="63B1C521">
      <w:pPr>
        <w:spacing w:line="248" w:lineRule="auto"/>
        <w:jc w:val="both"/>
        <w:rPr>
          <w:rFonts w:hint="eastAsia" w:ascii="宋体" w:hAnsi="宋体" w:eastAsia="宋体" w:cs="宋体"/>
          <w:color w:val="auto"/>
          <w:highlight w:val="none"/>
        </w:rPr>
      </w:pPr>
    </w:p>
    <w:p w14:paraId="5805147E">
      <w:pPr>
        <w:spacing w:line="600" w:lineRule="exact"/>
        <w:ind w:left="1626" w:hanging="1260" w:hangingChars="450"/>
        <w:jc w:val="center"/>
        <w:rPr>
          <w:rFonts w:hint="eastAsia" w:ascii="宋体" w:hAnsi="宋体" w:eastAsia="宋体" w:cs="宋体"/>
          <w:b w:val="0"/>
          <w:bCs/>
          <w:color w:val="auto"/>
          <w:sz w:val="28"/>
          <w:szCs w:val="28"/>
          <w:highlight w:val="none"/>
          <w:lang w:eastAsia="zh-CN"/>
        </w:rPr>
      </w:pPr>
      <w:r>
        <w:rPr>
          <w:rFonts w:hint="eastAsia" w:ascii="宋体" w:hAnsi="宋体" w:eastAsia="宋体" w:cs="宋体"/>
          <w:b w:val="0"/>
          <w:bCs/>
          <w:color w:val="auto"/>
          <w:sz w:val="28"/>
          <w:szCs w:val="28"/>
          <w:highlight w:val="none"/>
        </w:rPr>
        <w:t>招标人：</w:t>
      </w:r>
      <w:bookmarkStart w:id="0" w:name="OLE_LINK30"/>
      <w:r>
        <w:rPr>
          <w:rFonts w:hint="eastAsia" w:ascii="宋体" w:hAnsi="宋体" w:eastAsia="宋体" w:cs="宋体"/>
          <w:b w:val="0"/>
          <w:bCs/>
          <w:color w:val="auto"/>
          <w:sz w:val="28"/>
          <w:szCs w:val="28"/>
          <w:highlight w:val="none"/>
          <w:u w:val="single"/>
          <w:lang w:eastAsia="zh-CN"/>
        </w:rPr>
        <w:t>绍兴</w:t>
      </w:r>
      <w:r>
        <w:rPr>
          <w:rFonts w:hint="eastAsia" w:ascii="宋体" w:hAnsi="宋体" w:eastAsia="宋体" w:cs="宋体"/>
          <w:b w:val="0"/>
          <w:bCs/>
          <w:color w:val="auto"/>
          <w:sz w:val="28"/>
          <w:szCs w:val="28"/>
          <w:highlight w:val="none"/>
          <w:u w:val="single"/>
          <w:lang w:val="en-US" w:eastAsia="zh-CN"/>
        </w:rPr>
        <w:t>大学</w:t>
      </w:r>
      <w:r>
        <w:rPr>
          <w:rFonts w:hint="eastAsia" w:ascii="宋体" w:hAnsi="宋体" w:eastAsia="宋体" w:cs="宋体"/>
          <w:b w:val="0"/>
          <w:bCs/>
          <w:color w:val="auto"/>
          <w:sz w:val="28"/>
          <w:szCs w:val="28"/>
          <w:highlight w:val="none"/>
          <w:u w:val="single"/>
          <w:lang w:eastAsia="zh-CN"/>
        </w:rPr>
        <w:t>附属医院</w:t>
      </w:r>
      <w:bookmarkEnd w:id="0"/>
      <w:r>
        <w:rPr>
          <w:rFonts w:hint="eastAsia" w:ascii="宋体" w:hAnsi="宋体" w:eastAsia="宋体" w:cs="宋体"/>
          <w:color w:val="auto"/>
          <w:sz w:val="28"/>
          <w:szCs w:val="28"/>
          <w:highlight w:val="none"/>
        </w:rPr>
        <w:t>(盖章)</w:t>
      </w:r>
    </w:p>
    <w:p w14:paraId="085D74FF">
      <w:pPr>
        <w:spacing w:line="600" w:lineRule="exact"/>
        <w:ind w:left="1626" w:hanging="1260" w:hangingChars="450"/>
        <w:jc w:val="center"/>
        <w:rPr>
          <w:rFonts w:hint="eastAsia" w:ascii="宋体" w:hAnsi="宋体" w:eastAsia="宋体" w:cs="宋体"/>
          <w:color w:val="auto"/>
          <w:sz w:val="28"/>
          <w:szCs w:val="28"/>
          <w:highlight w:val="none"/>
        </w:rPr>
      </w:pPr>
      <w:r>
        <w:rPr>
          <w:rFonts w:hint="eastAsia" w:ascii="宋体" w:hAnsi="宋体" w:eastAsia="宋体" w:cs="宋体"/>
          <w:b w:val="0"/>
          <w:bCs/>
          <w:color w:val="auto"/>
          <w:sz w:val="28"/>
          <w:szCs w:val="28"/>
          <w:highlight w:val="none"/>
        </w:rPr>
        <w:t>代建单位：</w:t>
      </w:r>
      <w:r>
        <w:rPr>
          <w:rFonts w:hint="eastAsia" w:ascii="宋体" w:hAnsi="宋体" w:eastAsia="宋体" w:cs="宋体"/>
          <w:b w:val="0"/>
          <w:bCs/>
          <w:color w:val="auto"/>
          <w:sz w:val="28"/>
          <w:szCs w:val="28"/>
          <w:highlight w:val="none"/>
          <w:u w:val="single"/>
          <w:lang w:eastAsia="zh-CN"/>
        </w:rPr>
        <w:t>绍兴市城发建设有限公司</w:t>
      </w:r>
      <w:r>
        <w:rPr>
          <w:rFonts w:hint="eastAsia" w:ascii="宋体" w:hAnsi="宋体" w:eastAsia="宋体" w:cs="宋体"/>
          <w:color w:val="auto"/>
          <w:sz w:val="28"/>
          <w:szCs w:val="28"/>
          <w:highlight w:val="none"/>
        </w:rPr>
        <w:t>(盖章)</w:t>
      </w:r>
    </w:p>
    <w:p w14:paraId="4AD7112C">
      <w:pPr>
        <w:tabs>
          <w:tab w:val="left" w:pos="3427"/>
        </w:tabs>
        <w:spacing w:line="360"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28"/>
          <w:szCs w:val="28"/>
          <w:highlight w:val="none"/>
          <w:u w:val="single"/>
        </w:rPr>
        <w:t>202</w:t>
      </w:r>
      <w:r>
        <w:rPr>
          <w:rFonts w:hint="eastAsia" w:ascii="宋体" w:hAnsi="宋体" w:eastAsia="宋体" w:cs="宋体"/>
          <w:color w:val="auto"/>
          <w:sz w:val="28"/>
          <w:szCs w:val="28"/>
          <w:highlight w:val="none"/>
          <w:u w:val="single"/>
          <w:lang w:val="en-US" w:eastAsia="zh-CN"/>
        </w:rPr>
        <w:t>6</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31"/>
          <w:szCs w:val="31"/>
          <w:highlight w:val="none"/>
        </w:rPr>
        <w:t>年</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8"/>
          <w:szCs w:val="28"/>
          <w:highlight w:val="none"/>
          <w:u w:val="single"/>
          <w:lang w:val="en-US" w:eastAsia="zh-CN"/>
        </w:rPr>
        <w:t xml:space="preserve">9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31"/>
          <w:szCs w:val="31"/>
          <w:highlight w:val="none"/>
        </w:rPr>
        <w:t>月</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31"/>
          <w:szCs w:val="31"/>
          <w:highlight w:val="none"/>
        </w:rPr>
        <w:t>日</w:t>
      </w:r>
    </w:p>
    <w:p w14:paraId="0196325E">
      <w:pPr>
        <w:jc w:val="both"/>
        <w:rPr>
          <w:rFonts w:hint="eastAsia" w:ascii="宋体" w:hAnsi="宋体" w:eastAsia="宋体" w:cs="宋体"/>
          <w:color w:val="auto"/>
          <w:highlight w:val="none"/>
        </w:rPr>
        <w:sectPr>
          <w:footerReference r:id="rId4" w:type="default"/>
          <w:pgSz w:w="11906" w:h="16839"/>
          <w:pgMar w:top="1418" w:right="1559" w:bottom="1418" w:left="1474" w:header="0" w:footer="0" w:gutter="0"/>
          <w:pgNumType w:start="1"/>
          <w:cols w:space="720" w:num="1"/>
        </w:sectPr>
      </w:pPr>
    </w:p>
    <w:p w14:paraId="43502FD3">
      <w:pPr>
        <w:spacing w:line="245" w:lineRule="auto"/>
        <w:jc w:val="both"/>
        <w:rPr>
          <w:rFonts w:hint="eastAsia" w:ascii="宋体" w:hAnsi="宋体" w:eastAsia="宋体" w:cs="宋体"/>
          <w:color w:val="auto"/>
          <w:highlight w:val="none"/>
        </w:rPr>
      </w:pPr>
    </w:p>
    <w:p w14:paraId="50AB063C">
      <w:pPr>
        <w:spacing w:before="64" w:line="227" w:lineRule="auto"/>
        <w:ind w:left="3498"/>
        <w:jc w:val="both"/>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目录</w:t>
      </w:r>
    </w:p>
    <w:p w14:paraId="0011FB12">
      <w:pPr>
        <w:spacing w:line="269" w:lineRule="auto"/>
        <w:jc w:val="both"/>
        <w:rPr>
          <w:rFonts w:hint="eastAsia" w:ascii="宋体" w:hAnsi="宋体" w:eastAsia="宋体" w:cs="宋体"/>
          <w:color w:val="auto"/>
          <w:highlight w:val="none"/>
        </w:rPr>
      </w:pPr>
    </w:p>
    <w:p w14:paraId="0EA860F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 </w:instrText>
      </w:r>
      <w:r>
        <w:rPr>
          <w:color w:val="auto"/>
          <w:highlight w:val="none"/>
        </w:rPr>
        <w:fldChar w:fldCharType="separate"/>
      </w:r>
      <w:r>
        <w:rPr>
          <w:rFonts w:hint="eastAsia" w:ascii="宋体" w:hAnsi="宋体" w:eastAsia="宋体" w:cs="宋体"/>
          <w:color w:val="auto"/>
          <w:sz w:val="23"/>
          <w:szCs w:val="23"/>
          <w:highlight w:val="none"/>
        </w:rPr>
        <w:t>第一章招标公告</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p>
    <w:p w14:paraId="32BFB0A5">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 </w:instrText>
      </w:r>
      <w:r>
        <w:rPr>
          <w:color w:val="auto"/>
          <w:highlight w:val="none"/>
        </w:rPr>
        <w:fldChar w:fldCharType="separate"/>
      </w:r>
      <w:r>
        <w:rPr>
          <w:rFonts w:hint="eastAsia" w:ascii="宋体" w:hAnsi="宋体" w:eastAsia="宋体" w:cs="宋体"/>
          <w:color w:val="auto"/>
          <w:sz w:val="23"/>
          <w:szCs w:val="23"/>
          <w:highlight w:val="none"/>
        </w:rPr>
        <w:t>第二章投标人须知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3D6EAE1C">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"_bookmark3" </w:instrText>
      </w:r>
      <w:r>
        <w:rPr>
          <w:color w:val="auto"/>
          <w:highlight w:val="none"/>
        </w:rPr>
        <w:fldChar w:fldCharType="separate"/>
      </w:r>
      <w:r>
        <w:rPr>
          <w:rFonts w:hint="eastAsia" w:ascii="宋体" w:hAnsi="宋体" w:eastAsia="宋体" w:cs="宋体"/>
          <w:color w:val="auto"/>
          <w:sz w:val="23"/>
          <w:szCs w:val="23"/>
          <w:highlight w:val="none"/>
        </w:rPr>
        <w:t>第一节投标人须知前附表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p>
    <w:p w14:paraId="0447A408">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"_bookmark4" </w:instrText>
      </w:r>
      <w:r>
        <w:rPr>
          <w:color w:val="auto"/>
          <w:highlight w:val="none"/>
        </w:rPr>
        <w:fldChar w:fldCharType="separate"/>
      </w:r>
      <w:r>
        <w:rPr>
          <w:rFonts w:hint="eastAsia" w:ascii="宋体" w:hAnsi="宋体" w:eastAsia="宋体" w:cs="宋体"/>
          <w:color w:val="auto"/>
          <w:sz w:val="23"/>
          <w:szCs w:val="23"/>
          <w:highlight w:val="none"/>
        </w:rPr>
        <w:t>第二节投标人须知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1</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7F3588E9">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"_bookmark5" </w:instrText>
      </w:r>
      <w:r>
        <w:rPr>
          <w:color w:val="auto"/>
          <w:highlight w:val="none"/>
        </w:rPr>
        <w:fldChar w:fldCharType="separate"/>
      </w:r>
      <w:r>
        <w:rPr>
          <w:rFonts w:hint="eastAsia" w:ascii="宋体" w:hAnsi="宋体" w:eastAsia="宋体" w:cs="宋体"/>
          <w:color w:val="auto"/>
          <w:sz w:val="23"/>
          <w:szCs w:val="23"/>
          <w:highlight w:val="none"/>
        </w:rPr>
        <w:t>附表一：开标记录表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21</w:t>
      </w:r>
    </w:p>
    <w:p w14:paraId="6850CCB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"_bookmark6" </w:instrText>
      </w:r>
      <w:r>
        <w:rPr>
          <w:color w:val="auto"/>
          <w:highlight w:val="none"/>
        </w:rPr>
        <w:fldChar w:fldCharType="separate"/>
      </w:r>
      <w:r>
        <w:rPr>
          <w:rFonts w:hint="eastAsia" w:ascii="宋体" w:hAnsi="宋体" w:eastAsia="宋体" w:cs="宋体"/>
          <w:color w:val="auto"/>
          <w:sz w:val="23"/>
          <w:szCs w:val="23"/>
          <w:highlight w:val="none"/>
        </w:rPr>
        <w:t>附表二：问题澄清通知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22</w:t>
      </w:r>
    </w:p>
    <w:p w14:paraId="79D26C1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"_bookmark7" </w:instrText>
      </w:r>
      <w:r>
        <w:rPr>
          <w:color w:val="auto"/>
          <w:highlight w:val="none"/>
        </w:rPr>
        <w:fldChar w:fldCharType="separate"/>
      </w:r>
      <w:r>
        <w:rPr>
          <w:rFonts w:hint="eastAsia" w:ascii="宋体" w:hAnsi="宋体" w:eastAsia="宋体" w:cs="宋体"/>
          <w:color w:val="auto"/>
          <w:sz w:val="23"/>
          <w:szCs w:val="23"/>
          <w:highlight w:val="none"/>
        </w:rPr>
        <w:t>附表三：问题的澄清</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23</w:t>
      </w:r>
    </w:p>
    <w:p w14:paraId="6BFFEE6E">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"_bookmark8" </w:instrText>
      </w:r>
      <w:r>
        <w:rPr>
          <w:color w:val="auto"/>
          <w:highlight w:val="none"/>
        </w:rPr>
        <w:fldChar w:fldCharType="separate"/>
      </w:r>
      <w:r>
        <w:rPr>
          <w:rFonts w:hint="eastAsia" w:ascii="宋体" w:hAnsi="宋体" w:eastAsia="宋体" w:cs="宋体"/>
          <w:color w:val="auto"/>
          <w:sz w:val="23"/>
          <w:szCs w:val="23"/>
          <w:highlight w:val="none"/>
        </w:rPr>
        <w:t>附表四：中标通知书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24</w:t>
      </w:r>
    </w:p>
    <w:p w14:paraId="27E70220">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"_bookmark10" </w:instrText>
      </w:r>
      <w:r>
        <w:rPr>
          <w:color w:val="auto"/>
          <w:highlight w:val="none"/>
        </w:rPr>
        <w:fldChar w:fldCharType="separate"/>
      </w:r>
      <w:r>
        <w:rPr>
          <w:rFonts w:hint="eastAsia" w:ascii="宋体" w:hAnsi="宋体" w:eastAsia="宋体" w:cs="宋体"/>
          <w:color w:val="auto"/>
          <w:sz w:val="23"/>
          <w:szCs w:val="23"/>
          <w:highlight w:val="none"/>
        </w:rPr>
        <w:t>附表五：确认通知</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25</w:t>
      </w:r>
      <w:r>
        <w:rPr>
          <w:rFonts w:hint="eastAsia" w:ascii="宋体" w:hAnsi="宋体" w:eastAsia="宋体" w:cs="宋体"/>
          <w:color w:val="auto"/>
          <w:sz w:val="23"/>
          <w:szCs w:val="23"/>
          <w:highlight w:val="none"/>
        </w:rPr>
        <w:fldChar w:fldCharType="end"/>
      </w:r>
    </w:p>
    <w:p w14:paraId="687A4C4F">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"_bookmark11" </w:instrText>
      </w:r>
      <w:r>
        <w:rPr>
          <w:color w:val="auto"/>
          <w:highlight w:val="none"/>
        </w:rPr>
        <w:fldChar w:fldCharType="separate"/>
      </w:r>
      <w:r>
        <w:rPr>
          <w:rFonts w:hint="eastAsia" w:ascii="宋体" w:hAnsi="宋体" w:eastAsia="宋体" w:cs="宋体"/>
          <w:color w:val="auto"/>
          <w:sz w:val="23"/>
          <w:szCs w:val="23"/>
          <w:highlight w:val="none"/>
        </w:rPr>
        <w:t>第三章评标定标办法</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2</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1D6398B1">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"_bookmark12" </w:instrText>
      </w:r>
      <w:r>
        <w:rPr>
          <w:color w:val="auto"/>
          <w:highlight w:val="none"/>
        </w:rPr>
        <w:fldChar w:fldCharType="separate"/>
      </w:r>
      <w:r>
        <w:rPr>
          <w:rFonts w:hint="eastAsia" w:ascii="宋体" w:hAnsi="宋体" w:eastAsia="宋体" w:cs="宋体"/>
          <w:color w:val="auto"/>
          <w:sz w:val="23"/>
          <w:szCs w:val="23"/>
          <w:highlight w:val="none"/>
        </w:rPr>
        <w:t>第四章合同条款及格式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3</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w:t>
      </w:r>
    </w:p>
    <w:p w14:paraId="7430F542">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"_bookmark13" </w:instrText>
      </w:r>
      <w:r>
        <w:rPr>
          <w:color w:val="auto"/>
          <w:highlight w:val="none"/>
        </w:rPr>
        <w:fldChar w:fldCharType="separate"/>
      </w:r>
      <w:r>
        <w:rPr>
          <w:rFonts w:hint="eastAsia" w:ascii="宋体" w:hAnsi="宋体" w:eastAsia="宋体" w:cs="宋体"/>
          <w:color w:val="auto"/>
          <w:sz w:val="23"/>
          <w:szCs w:val="23"/>
          <w:highlight w:val="none"/>
        </w:rPr>
        <w:t>第五章招标内容和技术要求</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1</w:t>
      </w:r>
    </w:p>
    <w:p w14:paraId="78134EE7">
      <w:pPr>
        <w:tabs>
          <w:tab w:val="right" w:leader="dot" w:pos="8305"/>
        </w:tabs>
        <w:spacing w:line="460" w:lineRule="exact"/>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"_bookmark14" </w:instrText>
      </w:r>
      <w:r>
        <w:rPr>
          <w:color w:val="auto"/>
          <w:highlight w:val="none"/>
        </w:rPr>
        <w:fldChar w:fldCharType="separate"/>
      </w:r>
      <w:r>
        <w:rPr>
          <w:rFonts w:hint="eastAsia" w:ascii="宋体" w:hAnsi="宋体" w:eastAsia="宋体" w:cs="宋体"/>
          <w:color w:val="auto"/>
          <w:sz w:val="23"/>
          <w:szCs w:val="23"/>
          <w:highlight w:val="none"/>
        </w:rPr>
        <w:t>第六章投标文件格式</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2</w:t>
      </w:r>
    </w:p>
    <w:p w14:paraId="547786C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"_bookmark15" </w:instrText>
      </w:r>
      <w:r>
        <w:rPr>
          <w:color w:val="auto"/>
          <w:highlight w:val="none"/>
        </w:rPr>
        <w:fldChar w:fldCharType="separate"/>
      </w:r>
      <w:r>
        <w:rPr>
          <w:rFonts w:hint="eastAsia" w:ascii="宋体" w:hAnsi="宋体" w:eastAsia="宋体" w:cs="宋体"/>
          <w:color w:val="auto"/>
          <w:sz w:val="23"/>
          <w:szCs w:val="23"/>
          <w:highlight w:val="none"/>
        </w:rPr>
        <w:t>格式一：投标函</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53</w:t>
      </w:r>
      <w:r>
        <w:rPr>
          <w:rFonts w:hint="eastAsia" w:ascii="宋体" w:hAnsi="宋体" w:eastAsia="宋体" w:cs="宋体"/>
          <w:color w:val="auto"/>
          <w:sz w:val="23"/>
          <w:szCs w:val="23"/>
          <w:highlight w:val="none"/>
        </w:rPr>
        <w:fldChar w:fldCharType="end"/>
      </w:r>
    </w:p>
    <w:p w14:paraId="0D4F228D">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"_bookmark16" </w:instrText>
      </w:r>
      <w:r>
        <w:rPr>
          <w:color w:val="auto"/>
          <w:highlight w:val="none"/>
        </w:rPr>
        <w:fldChar w:fldCharType="separate"/>
      </w:r>
      <w:r>
        <w:rPr>
          <w:rFonts w:hint="eastAsia" w:ascii="宋体" w:hAnsi="宋体" w:eastAsia="宋体" w:cs="宋体"/>
          <w:color w:val="auto"/>
          <w:sz w:val="23"/>
          <w:szCs w:val="23"/>
          <w:highlight w:val="none"/>
        </w:rPr>
        <w:t>格式二：法定代表人身份证明</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54</w:t>
      </w:r>
      <w:r>
        <w:rPr>
          <w:rFonts w:hint="eastAsia" w:ascii="宋体" w:hAnsi="宋体" w:eastAsia="宋体" w:cs="宋体"/>
          <w:color w:val="auto"/>
          <w:sz w:val="23"/>
          <w:szCs w:val="23"/>
          <w:highlight w:val="none"/>
        </w:rPr>
        <w:fldChar w:fldCharType="end"/>
      </w:r>
    </w:p>
    <w:p w14:paraId="72379198">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"_bookmark17" </w:instrText>
      </w:r>
      <w:r>
        <w:rPr>
          <w:color w:val="auto"/>
          <w:highlight w:val="none"/>
        </w:rPr>
        <w:fldChar w:fldCharType="separate"/>
      </w:r>
      <w:r>
        <w:rPr>
          <w:rFonts w:hint="eastAsia" w:ascii="宋体" w:hAnsi="宋体" w:eastAsia="宋体" w:cs="宋体"/>
          <w:color w:val="auto"/>
          <w:sz w:val="23"/>
          <w:szCs w:val="23"/>
          <w:highlight w:val="none"/>
        </w:rPr>
        <w:t>格式三：</w:t>
      </w:r>
      <w:r>
        <w:rPr>
          <w:rFonts w:hint="eastAsia" w:ascii="宋体" w:hAnsi="宋体" w:eastAsia="宋体" w:cs="宋体"/>
          <w:color w:val="auto"/>
          <w:sz w:val="24"/>
          <w:szCs w:val="24"/>
          <w:highlight w:val="none"/>
        </w:rPr>
        <w:t>法定代表人</w:t>
      </w:r>
      <w:r>
        <w:rPr>
          <w:rFonts w:hint="eastAsia" w:ascii="宋体" w:hAnsi="宋体" w:eastAsia="宋体" w:cs="宋体"/>
          <w:color w:val="auto"/>
          <w:sz w:val="23"/>
          <w:szCs w:val="23"/>
          <w:highlight w:val="none"/>
        </w:rPr>
        <w:t>授权委托书</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55</w:t>
      </w:r>
    </w:p>
    <w:p w14:paraId="0A29CFB6">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"_bookmark18" </w:instrText>
      </w:r>
      <w:r>
        <w:rPr>
          <w:color w:val="auto"/>
          <w:highlight w:val="none"/>
        </w:rPr>
        <w:fldChar w:fldCharType="separate"/>
      </w:r>
      <w:r>
        <w:rPr>
          <w:rFonts w:hint="eastAsia" w:ascii="宋体" w:hAnsi="宋体" w:eastAsia="宋体" w:cs="宋体"/>
          <w:color w:val="auto"/>
          <w:sz w:val="23"/>
          <w:szCs w:val="23"/>
          <w:highlight w:val="none"/>
        </w:rPr>
        <w:t>格式四：投标报价表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6</w:t>
      </w:r>
    </w:p>
    <w:p w14:paraId="2FBCD34C">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"_bookmark19" </w:instrText>
      </w:r>
      <w:r>
        <w:rPr>
          <w:color w:val="auto"/>
          <w:highlight w:val="none"/>
        </w:rPr>
        <w:fldChar w:fldCharType="separate"/>
      </w:r>
      <w:r>
        <w:rPr>
          <w:rFonts w:hint="eastAsia" w:ascii="宋体" w:hAnsi="宋体" w:eastAsia="宋体" w:cs="宋体"/>
          <w:color w:val="auto"/>
          <w:sz w:val="23"/>
          <w:szCs w:val="23"/>
          <w:highlight w:val="none"/>
        </w:rPr>
        <w:t>格式五：资料一览表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7</w:t>
      </w:r>
    </w:p>
    <w:p w14:paraId="5266C6B7">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格式六：打分资料一览表</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8</w:t>
      </w:r>
    </w:p>
    <w:p w14:paraId="6784759B">
      <w:pPr>
        <w:tabs>
          <w:tab w:val="right" w:leader="dot" w:pos="8305"/>
        </w:tabs>
        <w:spacing w:line="460" w:lineRule="exact"/>
        <w:ind w:firstLine="707" w:firstLineChars="337"/>
        <w:jc w:val="both"/>
        <w:rPr>
          <w:rFonts w:hint="eastAsia" w:ascii="宋体" w:hAnsi="宋体" w:eastAsia="宋体" w:cs="宋体"/>
          <w:color w:val="auto"/>
          <w:sz w:val="23"/>
          <w:szCs w:val="23"/>
          <w:highlight w:val="none"/>
        </w:rPr>
      </w:pPr>
      <w:r>
        <w:rPr>
          <w:color w:val="auto"/>
          <w:highlight w:val="none"/>
        </w:rPr>
        <w:fldChar w:fldCharType="begin"/>
      </w:r>
      <w:r>
        <w:rPr>
          <w:color w:val="auto"/>
          <w:highlight w:val="none"/>
        </w:rPr>
        <w:instrText xml:space="preserve"> HYPERLINK \l "_bookmark20" </w:instrText>
      </w:r>
      <w:r>
        <w:rPr>
          <w:color w:val="auto"/>
          <w:highlight w:val="none"/>
        </w:rPr>
        <w:fldChar w:fldCharType="separate"/>
      </w:r>
      <w:r>
        <w:rPr>
          <w:rFonts w:hint="eastAsia" w:ascii="宋体" w:hAnsi="宋体" w:eastAsia="宋体" w:cs="宋体"/>
          <w:color w:val="auto"/>
          <w:sz w:val="23"/>
          <w:szCs w:val="23"/>
          <w:highlight w:val="none"/>
        </w:rPr>
        <w:t>格式七：投标人基本情况</w:t>
      </w:r>
      <w:r>
        <w:rPr>
          <w:rFonts w:hint="eastAsia" w:ascii="宋体" w:hAnsi="宋体" w:eastAsia="宋体" w:cs="宋体"/>
          <w:color w:val="auto"/>
          <w:sz w:val="23"/>
          <w:szCs w:val="23"/>
          <w:highlight w:val="none"/>
        </w:rPr>
        <w:tab/>
      </w:r>
      <w:r>
        <w:rPr>
          <w:rFonts w:hint="eastAsia" w:ascii="宋体" w:hAnsi="宋体" w:eastAsia="宋体" w:cs="宋体"/>
          <w:color w:val="auto"/>
          <w:sz w:val="23"/>
          <w:szCs w:val="23"/>
          <w:highlight w:val="none"/>
        </w:rPr>
        <w:t>5</w:t>
      </w:r>
      <w:r>
        <w:rPr>
          <w:rFonts w:hint="eastAsia" w:ascii="宋体" w:hAnsi="宋体" w:eastAsia="宋体" w:cs="宋体"/>
          <w:color w:val="auto"/>
          <w:sz w:val="23"/>
          <w:szCs w:val="23"/>
          <w:highlight w:val="none"/>
        </w:rPr>
        <w:fldChar w:fldCharType="end"/>
      </w:r>
      <w:r>
        <w:rPr>
          <w:rFonts w:hint="eastAsia" w:ascii="宋体" w:hAnsi="宋体" w:eastAsia="宋体" w:cs="宋体"/>
          <w:color w:val="auto"/>
          <w:sz w:val="23"/>
          <w:szCs w:val="23"/>
          <w:highlight w:val="none"/>
        </w:rPr>
        <w:t>9</w:t>
      </w:r>
    </w:p>
    <w:p w14:paraId="7AAF7D9C">
      <w:pPr>
        <w:jc w:val="both"/>
        <w:rPr>
          <w:rFonts w:hint="eastAsia" w:ascii="宋体" w:hAnsi="宋体" w:eastAsia="宋体" w:cs="宋体"/>
          <w:color w:val="auto"/>
          <w:highlight w:val="none"/>
        </w:rPr>
        <w:sectPr>
          <w:footerReference r:id="rId5" w:type="default"/>
          <w:pgSz w:w="11906" w:h="16839"/>
          <w:pgMar w:top="1418" w:right="1559" w:bottom="1418" w:left="1474" w:header="0" w:footer="0" w:gutter="0"/>
          <w:cols w:space="720" w:num="1"/>
        </w:sectPr>
      </w:pPr>
    </w:p>
    <w:p w14:paraId="3BFC64EA">
      <w:pPr>
        <w:spacing w:line="245" w:lineRule="auto"/>
        <w:jc w:val="both"/>
        <w:rPr>
          <w:rFonts w:hint="eastAsia" w:ascii="宋体" w:hAnsi="宋体" w:eastAsia="宋体" w:cs="宋体"/>
          <w:color w:val="auto"/>
          <w:highlight w:val="none"/>
        </w:rPr>
      </w:pPr>
    </w:p>
    <w:p w14:paraId="52EEDA80">
      <w:pPr>
        <w:spacing w:before="101" w:line="224" w:lineRule="auto"/>
        <w:ind w:left="3173"/>
        <w:jc w:val="both"/>
        <w:outlineLvl w:val="0"/>
        <w:rPr>
          <w:rFonts w:hint="eastAsia" w:ascii="宋体" w:hAnsi="宋体" w:eastAsia="宋体" w:cs="宋体"/>
          <w:color w:val="auto"/>
          <w:sz w:val="31"/>
          <w:szCs w:val="31"/>
          <w:highlight w:val="none"/>
        </w:rPr>
      </w:pPr>
      <w:bookmarkStart w:id="1" w:name="_bookmark1"/>
      <w:bookmarkEnd w:id="1"/>
      <w:r>
        <w:rPr>
          <w:rFonts w:hint="eastAsia" w:ascii="宋体" w:hAnsi="宋体" w:eastAsia="宋体" w:cs="宋体"/>
          <w:color w:val="auto"/>
          <w:sz w:val="31"/>
          <w:szCs w:val="31"/>
          <w:highlight w:val="none"/>
        </w:rPr>
        <w:t>第一章招标公告</w:t>
      </w:r>
    </w:p>
    <w:p w14:paraId="7BEB0D1F">
      <w:pPr>
        <w:spacing w:before="125" w:line="353" w:lineRule="auto"/>
        <w:ind w:left="10" w:right="65" w:firstLine="497"/>
        <w:jc w:val="both"/>
        <w:rPr>
          <w:rFonts w:hint="default" w:ascii="宋体" w:hAnsi="宋体" w:eastAsia="宋体" w:cs="宋体"/>
          <w:color w:val="auto"/>
          <w:highlight w:val="none"/>
          <w:u w:val="single"/>
          <w:lang w:val="en-US" w:eastAsia="zh-CN"/>
        </w:rPr>
      </w:pPr>
      <w:r>
        <w:rPr>
          <w:rFonts w:hint="eastAsia" w:ascii="宋体" w:hAnsi="宋体" w:eastAsia="宋体" w:cs="宋体"/>
          <w:color w:val="auto"/>
          <w:sz w:val="23"/>
          <w:szCs w:val="23"/>
          <w:highlight w:val="none"/>
        </w:rPr>
        <w:t xml:space="preserve">                                       </w:t>
      </w:r>
      <w:r>
        <w:rPr>
          <w:rFonts w:hint="eastAsia" w:ascii="宋体" w:hAnsi="宋体" w:eastAsia="宋体" w:cs="宋体"/>
          <w:color w:val="auto"/>
          <w:highlight w:val="none"/>
        </w:rPr>
        <w:t>项目编号：</w:t>
      </w:r>
      <w:r>
        <w:rPr>
          <w:rFonts w:hint="eastAsia" w:ascii="宋体" w:hAnsi="宋体" w:eastAsia="宋体" w:cs="宋体"/>
          <w:color w:val="auto"/>
          <w:highlight w:val="none"/>
          <w:u w:val="single"/>
          <w:lang w:val="en-US" w:eastAsia="zh-CN"/>
        </w:rPr>
        <w:t xml:space="preserve"> A3306010720060352001  </w:t>
      </w:r>
    </w:p>
    <w:p w14:paraId="1722E906">
      <w:pPr>
        <w:spacing w:line="253" w:lineRule="auto"/>
        <w:jc w:val="both"/>
        <w:rPr>
          <w:rFonts w:hint="eastAsia" w:ascii="宋体" w:hAnsi="宋体" w:eastAsia="宋体" w:cs="宋体"/>
          <w:color w:val="auto"/>
          <w:highlight w:val="none"/>
        </w:rPr>
      </w:pPr>
    </w:p>
    <w:p w14:paraId="79279CED">
      <w:pPr>
        <w:spacing w:line="312" w:lineRule="auto"/>
        <w:ind w:firstLine="420" w:firstLineChars="200"/>
        <w:rPr>
          <w:rFonts w:hint="eastAsia" w:ascii="宋体" w:hAnsi="宋体" w:eastAsia="宋体" w:cs="宋体"/>
          <w:color w:val="auto"/>
          <w:position w:val="2"/>
          <w:highlight w:val="none"/>
        </w:rPr>
      </w:pPr>
      <w:r>
        <w:rPr>
          <w:rFonts w:hint="eastAsia" w:ascii="宋体" w:hAnsi="宋体" w:eastAsia="宋体" w:cs="宋体"/>
          <w:color w:val="auto"/>
          <w:highlight w:val="none"/>
        </w:rPr>
        <w:t>本次招标项目</w:t>
      </w:r>
      <w:r>
        <w:rPr>
          <w:rFonts w:hint="eastAsia" w:ascii="宋体" w:hAnsi="宋体" w:eastAsia="宋体" w:cs="宋体"/>
          <w:b/>
          <w:bCs/>
          <w:color w:val="auto"/>
          <w:highlight w:val="none"/>
          <w:u w:val="single"/>
          <w:lang w:eastAsia="zh-CN"/>
        </w:rPr>
        <w:t>绍兴文理学院附属医院(绍兴市立医院)二期A地块建设工程净化区域工程项目</w:t>
      </w:r>
      <w:r>
        <w:rPr>
          <w:rFonts w:hint="eastAsia" w:ascii="宋体" w:hAnsi="宋体" w:eastAsia="宋体" w:cs="宋体"/>
          <w:color w:val="auto"/>
          <w:highlight w:val="none"/>
        </w:rPr>
        <w:t>，已由</w:t>
      </w:r>
      <w:r>
        <w:rPr>
          <w:rFonts w:hint="eastAsia" w:ascii="宋体" w:hAnsi="宋体" w:eastAsia="宋体" w:cs="宋体"/>
          <w:b/>
          <w:bCs/>
          <w:color w:val="auto"/>
          <w:highlight w:val="none"/>
          <w:u w:val="single"/>
        </w:rPr>
        <w:t xml:space="preserve"> </w:t>
      </w:r>
      <w:r>
        <w:rPr>
          <w:rFonts w:hint="eastAsia" w:ascii="宋体" w:hAnsi="宋体" w:eastAsia="宋体" w:cs="宋体"/>
          <w:b/>
          <w:bCs/>
          <w:color w:val="auto"/>
          <w:highlight w:val="none"/>
          <w:u w:val="single"/>
          <w:lang w:eastAsia="zh-CN"/>
        </w:rPr>
        <w:t>绍兴市发展和改革局</w:t>
      </w:r>
      <w:r>
        <w:rPr>
          <w:rFonts w:hint="eastAsia" w:ascii="宋体" w:hAnsi="宋体" w:eastAsia="宋体" w:cs="宋体"/>
          <w:color w:val="auto"/>
          <w:highlight w:val="none"/>
        </w:rPr>
        <w:t>以</w:t>
      </w:r>
      <w:r>
        <w:rPr>
          <w:rFonts w:hint="eastAsia" w:ascii="宋体" w:hAnsi="宋体" w:eastAsia="宋体" w:cs="宋体"/>
          <w:b/>
          <w:bCs/>
          <w:color w:val="auto"/>
          <w:highlight w:val="none"/>
          <w:u w:val="single"/>
          <w:lang w:eastAsia="zh-CN"/>
        </w:rPr>
        <w:t>2201-330600-04-01-897469</w:t>
      </w:r>
      <w:r>
        <w:rPr>
          <w:rFonts w:hint="eastAsia" w:ascii="宋体" w:hAnsi="宋体" w:eastAsia="宋体" w:cs="宋体"/>
          <w:color w:val="auto"/>
          <w:highlight w:val="none"/>
        </w:rPr>
        <w:t>批准建设，项目业主为</w:t>
      </w:r>
      <w:r>
        <w:rPr>
          <w:rFonts w:hint="eastAsia" w:ascii="宋体" w:hAnsi="宋体" w:eastAsia="宋体" w:cs="宋体"/>
          <w:b/>
          <w:bCs/>
          <w:color w:val="auto"/>
          <w:highlight w:val="none"/>
          <w:u w:val="single"/>
          <w:lang w:eastAsia="zh-CN"/>
        </w:rPr>
        <w:t>绍兴大学附属医院</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，建设资金</w:t>
      </w:r>
      <w:r>
        <w:rPr>
          <w:rFonts w:hint="eastAsia" w:ascii="宋体" w:hAnsi="宋体" w:eastAsia="宋体" w:cs="宋体"/>
          <w:b/>
          <w:bCs/>
          <w:color w:val="auto"/>
          <w:highlight w:val="none"/>
          <w:u w:val="single"/>
          <w:lang w:eastAsia="zh-CN"/>
        </w:rPr>
        <w:t>财政资金  100%</w:t>
      </w:r>
      <w:r>
        <w:rPr>
          <w:rFonts w:hint="eastAsia" w:ascii="宋体" w:hAnsi="宋体" w:eastAsia="宋体" w:cs="宋体"/>
          <w:color w:val="auto"/>
          <w:highlight w:val="none"/>
        </w:rPr>
        <w:t>，招标人为</w:t>
      </w:r>
      <w:r>
        <w:rPr>
          <w:rFonts w:hint="eastAsia" w:ascii="宋体" w:hAnsi="宋体" w:eastAsia="宋体" w:cs="宋体"/>
          <w:b/>
          <w:bCs/>
          <w:color w:val="auto"/>
          <w:highlight w:val="none"/>
          <w:u w:val="single"/>
          <w:lang w:eastAsia="zh-CN"/>
        </w:rPr>
        <w:t>绍兴</w:t>
      </w:r>
      <w:r>
        <w:rPr>
          <w:rFonts w:hint="eastAsia" w:ascii="宋体" w:hAnsi="宋体" w:eastAsia="宋体" w:cs="宋体"/>
          <w:b/>
          <w:bCs/>
          <w:color w:val="auto"/>
          <w:highlight w:val="none"/>
          <w:u w:val="single"/>
          <w:lang w:val="en-US" w:eastAsia="zh-CN"/>
        </w:rPr>
        <w:t>大学</w:t>
      </w:r>
      <w:r>
        <w:rPr>
          <w:rFonts w:hint="eastAsia" w:ascii="宋体" w:hAnsi="宋体" w:eastAsia="宋体" w:cs="宋体"/>
          <w:b/>
          <w:bCs/>
          <w:color w:val="auto"/>
          <w:highlight w:val="none"/>
          <w:u w:val="single"/>
          <w:lang w:eastAsia="zh-CN"/>
        </w:rPr>
        <w:t>附属医院</w:t>
      </w:r>
      <w:r>
        <w:rPr>
          <w:rFonts w:hint="eastAsia" w:ascii="宋体" w:hAnsi="宋体" w:eastAsia="宋体" w:cs="宋体"/>
          <w:color w:val="auto"/>
          <w:highlight w:val="none"/>
        </w:rPr>
        <w:t>。项目已具备招标条件，现对该项目的</w:t>
      </w:r>
      <w:r>
        <w:rPr>
          <w:rFonts w:hint="eastAsia" w:ascii="宋体" w:hAnsi="宋体" w:eastAsia="宋体" w:cs="宋体"/>
          <w:b/>
          <w:bCs/>
          <w:color w:val="auto"/>
          <w:highlight w:val="none"/>
          <w:u w:val="single"/>
          <w:lang w:eastAsia="zh-CN"/>
        </w:rPr>
        <w:t>绍兴文理学院附属医院(绍兴市立医院)二期A地块建设工程净化区域工程项目</w:t>
      </w:r>
      <w:r>
        <w:rPr>
          <w:rFonts w:hint="eastAsia" w:ascii="宋体" w:hAnsi="宋体" w:eastAsia="宋体" w:cs="宋体"/>
          <w:color w:val="auto"/>
          <w:highlight w:val="none"/>
        </w:rPr>
        <w:t>货物进行公开招标</w:t>
      </w:r>
    </w:p>
    <w:p w14:paraId="6B712587">
      <w:pPr>
        <w:spacing w:line="312" w:lineRule="auto"/>
        <w:ind w:left="493"/>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一、本次招标内容</w:t>
      </w:r>
    </w:p>
    <w:p w14:paraId="55DF9C2B">
      <w:pPr>
        <w:tabs>
          <w:tab w:val="left" w:pos="3725"/>
        </w:tabs>
        <w:spacing w:line="312" w:lineRule="auto"/>
        <w:ind w:left="1" w:firstLine="420" w:firstLineChars="200"/>
        <w:jc w:val="both"/>
        <w:rPr>
          <w:rFonts w:hint="eastAsia" w:ascii="宋体" w:hAnsi="宋体" w:eastAsia="宋体" w:cs="宋体"/>
          <w:b/>
          <w:bCs/>
          <w:color w:val="auto"/>
          <w:highlight w:val="none"/>
          <w:u w:val="single"/>
          <w:lang w:eastAsia="zh-CN"/>
        </w:rPr>
      </w:pPr>
      <w:r>
        <w:rPr>
          <w:rFonts w:hint="eastAsia" w:ascii="宋体" w:hAnsi="宋体" w:eastAsia="宋体" w:cs="宋体"/>
          <w:color w:val="auto"/>
          <w:highlight w:val="none"/>
        </w:rPr>
        <w:t>1.1</w:t>
      </w:r>
      <w:r>
        <w:rPr>
          <w:rFonts w:hint="eastAsia" w:ascii="宋体" w:hAnsi="宋体" w:eastAsia="宋体" w:cs="宋体"/>
          <w:b/>
          <w:bCs/>
          <w:color w:val="auto"/>
          <w:highlight w:val="none"/>
          <w:u w:val="single"/>
          <w:lang w:val="en-US" w:eastAsia="zh-CN"/>
        </w:rPr>
        <w:t>项目概算投资122842.99万元，其中建安工程造价约80000万元，建设规模：项目总用地面积约37720.24平方米，总建筑面积约131544平方米，其中：地上建筑面积约105309平方米，地下建筑面积约26235平方米。本工程按绿色建筑三星级标准实施；本工程为公共建筑，装配率不低于60%。本项目为绍兴文理学院附属医院（绍兴市立医院）二期建设工程A地块净化工程；设计区域包含1层静脉药物配置中心、2层ICU、3层手术部及供应室、6层DSA、7层层流病房、8层层流病房机房等6个净化区域和区域内气体系统。</w:t>
      </w:r>
      <w:r>
        <w:rPr>
          <w:rFonts w:hint="eastAsia" w:ascii="宋体" w:hAnsi="宋体" w:eastAsia="宋体" w:cs="宋体"/>
          <w:b/>
          <w:bCs/>
          <w:color w:val="auto"/>
          <w:highlight w:val="none"/>
          <w:u w:val="single"/>
          <w:lang w:val="zh-CN" w:eastAsia="zh-CN"/>
        </w:rPr>
        <w:t>本净化工程施工承包内容，包含中标后的深化设计（深化设计图纸须经主体设计单位及监理、</w:t>
      </w:r>
      <w:r>
        <w:rPr>
          <w:rFonts w:hint="eastAsia" w:ascii="宋体" w:hAnsi="宋体" w:eastAsia="宋体" w:cs="宋体"/>
          <w:b/>
          <w:bCs/>
          <w:color w:val="auto"/>
          <w:highlight w:val="none"/>
          <w:u w:val="single"/>
          <w:lang w:val="en-US" w:eastAsia="zh-CN"/>
        </w:rPr>
        <w:t>招标单位、代建单位</w:t>
      </w:r>
      <w:r>
        <w:rPr>
          <w:rFonts w:hint="eastAsia" w:ascii="宋体" w:hAnsi="宋体" w:eastAsia="宋体" w:cs="宋体"/>
          <w:b/>
          <w:bCs/>
          <w:color w:val="auto"/>
          <w:highlight w:val="none"/>
          <w:u w:val="single"/>
          <w:lang w:val="zh-CN" w:eastAsia="zh-CN"/>
        </w:rPr>
        <w:t>书面审批通过后实施）、设备及材料的采购、包装运输、安装施工、调试、培训、验收（含检测机构检验报告及</w:t>
      </w:r>
      <w:r>
        <w:rPr>
          <w:rFonts w:hint="eastAsia" w:ascii="宋体" w:hAnsi="宋体" w:eastAsia="宋体" w:cs="宋体"/>
          <w:b/>
          <w:bCs/>
          <w:color w:val="auto"/>
          <w:highlight w:val="none"/>
          <w:u w:val="single"/>
          <w:lang w:val="en-US" w:eastAsia="zh-CN"/>
        </w:rPr>
        <w:t>相关</w:t>
      </w:r>
      <w:r>
        <w:rPr>
          <w:rFonts w:hint="eastAsia" w:ascii="宋体" w:hAnsi="宋体" w:eastAsia="宋体" w:cs="宋体"/>
          <w:b/>
          <w:bCs/>
          <w:color w:val="auto"/>
          <w:highlight w:val="none"/>
          <w:u w:val="single"/>
          <w:lang w:val="zh-CN" w:eastAsia="zh-CN"/>
        </w:rPr>
        <w:t>费用）、保修等服务，即该净化工程范围内的交钥匙工程。</w:t>
      </w:r>
      <w:r>
        <w:rPr>
          <w:rFonts w:hint="eastAsia" w:ascii="宋体" w:hAnsi="宋体" w:eastAsia="宋体" w:cs="宋体"/>
          <w:b/>
          <w:bCs/>
          <w:color w:val="auto"/>
          <w:highlight w:val="none"/>
          <w:u w:val="single"/>
          <w:lang w:val="en-US" w:eastAsia="zh-CN"/>
        </w:rPr>
        <w:t>具体详见招标文件、设计图、工程量清单。施工界面图详见技术要求。</w:t>
      </w:r>
    </w:p>
    <w:p w14:paraId="30554C0A">
      <w:pPr>
        <w:tabs>
          <w:tab w:val="left" w:pos="3725"/>
        </w:tabs>
        <w:spacing w:line="312" w:lineRule="auto"/>
        <w:ind w:left="1" w:firstLine="422" w:firstLineChars="200"/>
        <w:jc w:val="both"/>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rPr>
        <w:t>项目服务期：</w:t>
      </w:r>
      <w:r>
        <w:rPr>
          <w:rFonts w:hint="eastAsia" w:ascii="宋体" w:hAnsi="宋体" w:eastAsia="宋体" w:cs="宋体"/>
          <w:b/>
          <w:bCs/>
          <w:color w:val="auto"/>
          <w:highlight w:val="none"/>
          <w:u w:val="single"/>
          <w:lang w:val="en-US" w:eastAsia="zh-CN"/>
        </w:rPr>
        <w:t>180日历天，并不得影响总包总进度计划（以招标人发出的开工指令为准，具体应与工程施工总进度计划同步，服从总包管理）。</w:t>
      </w:r>
    </w:p>
    <w:p w14:paraId="370D76B4">
      <w:pPr>
        <w:tabs>
          <w:tab w:val="left" w:pos="3725"/>
        </w:tabs>
        <w:spacing w:line="312" w:lineRule="auto"/>
        <w:ind w:left="1" w:firstLine="420" w:firstLineChars="200"/>
        <w:jc w:val="both"/>
        <w:rPr>
          <w:rFonts w:hint="eastAsia" w:ascii="宋体" w:hAnsi="宋体" w:eastAsia="宋体" w:cs="宋体"/>
          <w:strike/>
          <w:dstrike w:val="0"/>
          <w:color w:val="auto"/>
          <w:highlight w:val="none"/>
        </w:rPr>
      </w:pPr>
      <w:r>
        <w:rPr>
          <w:rFonts w:hint="eastAsia" w:ascii="宋体" w:hAnsi="宋体" w:eastAsia="宋体" w:cs="宋体"/>
          <w:color w:val="auto"/>
          <w:highlight w:val="none"/>
        </w:rPr>
        <w:t>本次招标范围内的工程</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估算(或</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概算)造价</w:t>
      </w:r>
      <w:r>
        <w:rPr>
          <w:rFonts w:hint="eastAsia" w:ascii="宋体" w:hAnsi="宋体" w:eastAsia="宋体" w:cs="宋体"/>
          <w:color w:val="auto"/>
          <w:highlight w:val="none"/>
          <w:lang w:val="en-US" w:eastAsia="zh-CN"/>
        </w:rPr>
        <w:t>约</w:t>
      </w:r>
      <w:r>
        <w:rPr>
          <w:rFonts w:hint="eastAsia" w:ascii="宋体" w:hAnsi="宋体" w:eastAsia="宋体" w:cs="宋体"/>
          <w:color w:val="auto"/>
          <w:highlight w:val="none"/>
          <w:u w:val="none"/>
          <w:lang w:val="en-US" w:eastAsia="zh-CN"/>
        </w:rPr>
        <w:t>为</w:t>
      </w:r>
      <w:r>
        <w:rPr>
          <w:rFonts w:hint="eastAsia" w:ascii="宋体" w:hAnsi="宋体" w:eastAsia="宋体" w:cs="宋体"/>
          <w:color w:val="auto"/>
          <w:highlight w:val="none"/>
          <w:u w:val="single"/>
          <w:lang w:val="en-US" w:eastAsia="zh-CN"/>
        </w:rPr>
        <w:t>3834.1982</w:t>
      </w:r>
      <w:r>
        <w:rPr>
          <w:rFonts w:hint="eastAsia" w:ascii="宋体" w:hAnsi="宋体" w:eastAsia="宋体" w:cs="宋体"/>
          <w:color w:val="auto"/>
          <w:highlight w:val="none"/>
          <w:u w:val="none"/>
          <w:lang w:val="en-US" w:eastAsia="zh-CN"/>
        </w:rPr>
        <w:t>万元</w:t>
      </w:r>
      <w:r>
        <w:rPr>
          <w:rFonts w:hint="eastAsia" w:ascii="宋体" w:hAnsi="宋体" w:eastAsia="宋体" w:cs="宋体"/>
          <w:color w:val="auto"/>
          <w:highlight w:val="none"/>
        </w:rPr>
        <w:t>，采用投标资格后审方式招标。</w:t>
      </w:r>
    </w:p>
    <w:p w14:paraId="01176BA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1.2是否属于政府采购工程</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是</w:t>
      </w:r>
      <w:r>
        <w:rPr>
          <w:rFonts w:hint="eastAsia" w:ascii="宋体" w:hAnsi="宋体" w:eastAsia="宋体" w:cs="宋体"/>
          <w:color w:val="auto"/>
          <w:highlight w:val="none"/>
        </w:rPr>
        <w:tab/>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否</w:t>
      </w:r>
    </w:p>
    <w:p w14:paraId="31DE650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1.3是否专门面向中小企业预留</w:t>
      </w:r>
    </w:p>
    <w:p w14:paraId="62E534BE">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□是</w:t>
      </w:r>
    </w:p>
    <w:p w14:paraId="587C1EB7">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☑否。</w:t>
      </w:r>
    </w:p>
    <w:p w14:paraId="453E686F">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1.4专门面向中小企业预留的实施方式</w:t>
      </w:r>
    </w:p>
    <w:p w14:paraId="27C8FFE0">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，或者提供</w:t>
      </w:r>
    </w:p>
    <w:p w14:paraId="47BD4A68">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□1.4.1本标段整体面向中小企业；</w:t>
      </w:r>
    </w:p>
    <w:p w14:paraId="2815B1AF">
      <w:pPr>
        <w:tabs>
          <w:tab w:val="left" w:pos="3725"/>
        </w:tabs>
        <w:spacing w:line="312" w:lineRule="auto"/>
        <w:ind w:left="1"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□1.4.2本标段联合体形式面向中小企业，以联合体形式参加本次投标的，联合体中中小企业承担的合同份额需达到（不低于40%）以上。</w:t>
      </w:r>
    </w:p>
    <w:p w14:paraId="4AA5861E">
      <w:pPr>
        <w:numPr>
          <w:ilvl w:val="0"/>
          <w:numId w:val="4"/>
        </w:numPr>
        <w:spacing w:line="312" w:lineRule="auto"/>
        <w:ind w:left="493"/>
        <w:jc w:val="both"/>
        <w:rPr>
          <w:rFonts w:hint="eastAsia"/>
          <w:color w:val="auto"/>
          <w:highlight w:val="none"/>
        </w:rPr>
      </w:pPr>
      <w:r>
        <w:rPr>
          <w:rFonts w:hint="eastAsia" w:ascii="宋体" w:hAnsi="宋体" w:eastAsia="宋体" w:cs="宋体"/>
          <w:color w:val="auto"/>
          <w:position w:val="1"/>
          <w:highlight w:val="none"/>
        </w:rPr>
        <w:t>投标资格条件、要求</w:t>
      </w:r>
    </w:p>
    <w:p w14:paraId="7692A701">
      <w:pPr>
        <w:spacing w:line="312" w:lineRule="auto"/>
        <w:ind w:right="65" w:firstLine="420" w:firstLineChars="200"/>
        <w:jc w:val="both"/>
        <w:rPr>
          <w:rFonts w:hint="eastAsia" w:ascii="宋体" w:hAnsi="宋体" w:eastAsia="宋体" w:cs="宋体"/>
          <w:color w:val="auto"/>
          <w:highlight w:val="none"/>
        </w:rPr>
      </w:pPr>
      <w:r>
        <w:rPr>
          <w:rFonts w:hint="eastAsia" w:ascii="宋体" w:hAnsi="宋体" w:eastAsia="宋体" w:cs="宋体"/>
          <w:snapToGrid w:val="0"/>
          <w:color w:val="auto"/>
          <w:sz w:val="21"/>
          <w:szCs w:val="21"/>
          <w:highlight w:val="none"/>
          <w:lang w:val="en-US" w:eastAsia="zh-CN" w:bidi="ar-SA"/>
        </w:rPr>
        <w:t>1.</w:t>
      </w:r>
      <w:r>
        <w:rPr>
          <w:rFonts w:hint="eastAsia" w:ascii="宋体" w:hAnsi="宋体" w:eastAsia="宋体" w:cs="宋体"/>
          <w:color w:val="auto"/>
          <w:highlight w:val="none"/>
        </w:rPr>
        <w:t>投标人及其拟派项目负责人自</w:t>
      </w:r>
      <w:r>
        <w:rPr>
          <w:rFonts w:hint="eastAsia" w:ascii="宋体" w:hAnsi="宋体" w:eastAsia="宋体" w:cs="宋体"/>
          <w:b/>
          <w:bCs/>
          <w:color w:val="auto"/>
          <w:highlight w:val="none"/>
          <w:u w:val="single"/>
        </w:rPr>
        <w:t>202</w:t>
      </w:r>
      <w:r>
        <w:rPr>
          <w:rFonts w:hint="eastAsia" w:ascii="宋体" w:hAnsi="宋体" w:eastAsia="宋体" w:cs="宋体"/>
          <w:b/>
          <w:bCs/>
          <w:color w:val="auto"/>
          <w:highlight w:val="none"/>
          <w:u w:val="single"/>
          <w:lang w:val="en-US" w:eastAsia="zh-CN"/>
        </w:rPr>
        <w:t>3</w:t>
      </w:r>
      <w:r>
        <w:rPr>
          <w:rFonts w:hint="eastAsia" w:ascii="宋体" w:hAnsi="宋体" w:eastAsia="宋体" w:cs="宋体"/>
          <w:b/>
          <w:bCs/>
          <w:color w:val="auto"/>
          <w:highlight w:val="none"/>
          <w:u w:val="single"/>
        </w:rPr>
        <w:t>年</w:t>
      </w: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月1日</w:t>
      </w:r>
      <w:r>
        <w:rPr>
          <w:rFonts w:hint="eastAsia" w:ascii="宋体" w:hAnsi="宋体" w:eastAsia="宋体" w:cs="宋体"/>
          <w:color w:val="auto"/>
          <w:highlight w:val="none"/>
        </w:rPr>
        <w:t>起至投标截止日止无行贿犯罪记录；</w:t>
      </w:r>
    </w:p>
    <w:p w14:paraId="49AA2FFD">
      <w:pPr>
        <w:spacing w:line="312" w:lineRule="auto"/>
        <w:ind w:left="15" w:right="154" w:firstLine="498"/>
        <w:jc w:val="both"/>
        <w:rPr>
          <w:rFonts w:hint="eastAsia" w:ascii="宋体" w:hAnsi="宋体" w:eastAsia="宋体" w:cs="宋体"/>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2</w:t>
      </w:r>
      <w:r>
        <w:rPr>
          <w:rFonts w:hint="eastAsia" w:ascii="宋体" w:hAnsi="宋体" w:eastAsia="宋体" w:cs="宋体"/>
          <w:color w:val="auto"/>
          <w:highlight w:val="none"/>
        </w:rPr>
        <w:t>.投标人及其拟派项目负责人未被列入建筑市场严重失信名单（以全国建筑市场监管公共服务平台黑名单记录、失信联合惩戒记录和浙江省建筑市场监管公共服务系统严重失信名单的信息为准）；</w:t>
      </w:r>
    </w:p>
    <w:p w14:paraId="13086C4C">
      <w:pPr>
        <w:spacing w:line="312" w:lineRule="auto"/>
        <w:ind w:left="14" w:right="63" w:firstLine="474"/>
        <w:rPr>
          <w:rFonts w:hint="eastAsia" w:ascii="宋体" w:hAnsi="宋体" w:eastAsia="宋体" w:cs="宋体"/>
          <w:b/>
          <w:bCs/>
          <w:color w:val="auto"/>
          <w:highlight w:val="none"/>
          <w:u w:val="single"/>
        </w:rPr>
      </w:pPr>
      <w:r>
        <w:rPr>
          <w:rFonts w:hint="eastAsia" w:ascii="宋体" w:hAnsi="宋体" w:eastAsia="宋体" w:cs="宋体"/>
          <w:color w:val="auto"/>
          <w:highlight w:val="none"/>
          <w:lang w:val="en-US" w:eastAsia="zh-CN"/>
        </w:rPr>
        <w:t>3</w:t>
      </w:r>
      <w:r>
        <w:rPr>
          <w:rFonts w:hint="eastAsia" w:ascii="宋体" w:hAnsi="宋体" w:eastAsia="宋体" w:cs="宋体"/>
          <w:color w:val="auto"/>
          <w:highlight w:val="none"/>
        </w:rPr>
        <w:t>.本次招标(□接受☑不接受)联合体投标，联合体投标的，应满足下列要求：</w:t>
      </w:r>
      <w:r>
        <w:rPr>
          <w:rFonts w:hint="eastAsia" w:ascii="宋体" w:hAnsi="宋体" w:eastAsia="宋体" w:cs="宋体"/>
          <w:b/>
          <w:bCs/>
          <w:color w:val="auto"/>
          <w:highlight w:val="none"/>
          <w:u w:val="single"/>
        </w:rPr>
        <w:t>/</w:t>
      </w:r>
    </w:p>
    <w:p w14:paraId="35B3EFD4">
      <w:pPr>
        <w:spacing w:line="312" w:lineRule="auto"/>
        <w:ind w:firstLine="420" w:firstLineChars="200"/>
        <w:rPr>
          <w:rFonts w:hint="eastAsia" w:ascii="宋体" w:hAnsi="宋体" w:eastAsia="宋体" w:cs="宋体"/>
          <w:strike/>
          <w:color w:val="auto"/>
          <w:highlight w:val="none"/>
        </w:rPr>
      </w:pPr>
      <w:r>
        <w:rPr>
          <w:rFonts w:hint="eastAsia" w:ascii="宋体" w:hAnsi="宋体" w:eastAsia="宋体" w:cs="宋体"/>
          <w:color w:val="auto"/>
          <w:highlight w:val="none"/>
        </w:rPr>
        <w:t>□</w:t>
      </w:r>
      <w:r>
        <w:rPr>
          <w:rFonts w:hint="eastAsia" w:ascii="宋体" w:hAnsi="宋体" w:eastAsia="宋体" w:cs="宋体"/>
          <w:color w:val="auto"/>
          <w:highlight w:val="none"/>
          <w:lang w:val="en-US" w:eastAsia="zh-CN"/>
        </w:rPr>
        <w:t>4</w:t>
      </w:r>
      <w:r>
        <w:rPr>
          <w:rFonts w:hint="eastAsia" w:ascii="宋体" w:hAnsi="宋体" w:eastAsia="宋体" w:cs="宋体"/>
          <w:color w:val="auto"/>
          <w:highlight w:val="none"/>
        </w:rPr>
        <w:t>.面向中小企业招标的，投标人（或联合体中的中小企业）须为中小企业，并提供《中小企业声明函》。</w:t>
      </w:r>
    </w:p>
    <w:p w14:paraId="1FB40AAB">
      <w:pPr>
        <w:spacing w:line="312" w:lineRule="auto"/>
        <w:ind w:left="490"/>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lang w:val="en-US" w:eastAsia="zh-CN"/>
        </w:rPr>
        <w:t>5</w:t>
      </w:r>
      <w:r>
        <w:rPr>
          <w:rFonts w:hint="eastAsia" w:ascii="宋体" w:hAnsi="宋体" w:eastAsia="宋体" w:cs="宋体"/>
          <w:color w:val="auto"/>
          <w:highlight w:val="none"/>
        </w:rPr>
        <w:t>.(招标人认为需要增加的符合法律法规规定的其他要求)</w:t>
      </w:r>
    </w:p>
    <w:p w14:paraId="42C1A5A3">
      <w:pPr>
        <w:spacing w:line="312" w:lineRule="auto"/>
        <w:ind w:firstLine="422" w:firstLineChars="2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lang w:val="en-US" w:eastAsia="zh-CN"/>
        </w:rPr>
        <w:t>5</w:t>
      </w:r>
      <w:r>
        <w:rPr>
          <w:rFonts w:hint="eastAsia" w:ascii="宋体" w:hAnsi="宋体" w:eastAsia="宋体" w:cs="宋体"/>
          <w:b/>
          <w:bCs/>
          <w:color w:val="auto"/>
          <w:highlight w:val="none"/>
          <w:u w:val="single"/>
        </w:rPr>
        <w:t>.1</w:t>
      </w:r>
      <w:bookmarkStart w:id="2" w:name="_Hlk215866549"/>
      <w:r>
        <w:rPr>
          <w:rFonts w:hint="eastAsia" w:ascii="宋体" w:hAnsi="宋体" w:eastAsia="宋体" w:cs="宋体"/>
          <w:b/>
          <w:bCs/>
          <w:color w:val="auto"/>
          <w:highlight w:val="none"/>
          <w:u w:val="single"/>
        </w:rPr>
        <w:t>投标人具有独立承担民事责任的能力的法人或者其他组织</w:t>
      </w:r>
      <w:r>
        <w:rPr>
          <w:rFonts w:hint="eastAsia" w:ascii="宋体" w:hAnsi="宋体" w:eastAsia="宋体" w:cs="宋体"/>
          <w:b/>
          <w:bCs/>
          <w:color w:val="auto"/>
          <w:highlight w:val="none"/>
          <w:u w:val="single"/>
          <w:lang w:eastAsia="zh-CN"/>
        </w:rPr>
        <w:t>；</w:t>
      </w:r>
    </w:p>
    <w:p w14:paraId="71CCF2A6">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5.2</w:t>
      </w:r>
      <w:r>
        <w:rPr>
          <w:rFonts w:hint="eastAsia" w:ascii="宋体" w:hAnsi="宋体" w:eastAsia="宋体" w:cs="宋体"/>
          <w:b/>
          <w:bCs/>
          <w:color w:val="auto"/>
          <w:highlight w:val="none"/>
          <w:u w:val="single"/>
        </w:rPr>
        <w:t>本次招标要求投标人具备 ①特种设备安装改造维修许可证（压力管道GC2级或以上）或特种设备生产许可证（工业管道安装GC2级或以上）；</w:t>
      </w:r>
      <w:r>
        <w:rPr>
          <w:rFonts w:hint="eastAsia" w:ascii="宋体" w:hAnsi="宋体" w:eastAsia="宋体" w:cs="宋体"/>
          <w:b/>
          <w:bCs/>
          <w:color w:val="auto"/>
          <w:highlight w:val="none"/>
          <w:u w:val="single"/>
          <w:lang w:val="en-US" w:eastAsia="zh-CN"/>
        </w:rPr>
        <w:t>②</w:t>
      </w:r>
      <w:r>
        <w:rPr>
          <w:rFonts w:hint="eastAsia" w:ascii="宋体" w:hAnsi="宋体" w:eastAsia="宋体" w:cs="宋体"/>
          <w:b/>
          <w:bCs/>
          <w:color w:val="auto"/>
          <w:highlight w:val="none"/>
          <w:u w:val="single"/>
        </w:rPr>
        <w:t>医疗器械经营许可证或医疗器械经营备案凭证；</w:t>
      </w:r>
    </w:p>
    <w:p w14:paraId="1BC5FCFE">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5.3投标人自2021年7月1日（时间以合同签订时间为准）至投标截止日止，完成过单项合同金额2300万元及以上的医用净化工程业绩。</w:t>
      </w:r>
    </w:p>
    <w:p w14:paraId="4F83C5E4">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注：①、业绩证明材料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2724A429">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②、投标文件中的提供的相关证明材料必须能反映资格审查项的相关项目规模，否则不予认可；</w:t>
      </w:r>
    </w:p>
    <w:p w14:paraId="29E7C77D">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③、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2CBB53D0">
      <w:pPr>
        <w:spacing w:line="312" w:lineRule="auto"/>
        <w:ind w:firstLine="422" w:firstLineChars="200"/>
        <w:rPr>
          <w:rFonts w:hint="default"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④、总承包单位、专业分包单位（含二次招标）以同一项目业绩参与本项目投标的，结合上述业绩证明材料要求，根据投标人提供的资料，经专家评定后确定实际施工单位身份。</w:t>
      </w:r>
    </w:p>
    <w:bookmarkEnd w:id="2"/>
    <w:p w14:paraId="1A031B8E">
      <w:pPr>
        <w:spacing w:line="312" w:lineRule="auto"/>
        <w:ind w:left="49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三、招标文件的获取</w:t>
      </w:r>
    </w:p>
    <w:p w14:paraId="0EC00733">
      <w:pPr>
        <w:spacing w:line="312" w:lineRule="auto"/>
        <w:ind w:firstLine="420" w:firstLineChars="200"/>
        <w:rPr>
          <w:rFonts w:hint="eastAsia" w:ascii="宋体" w:hAnsi="宋体" w:eastAsia="宋体" w:cs="宋体"/>
          <w:color w:val="auto"/>
          <w:highlight w:val="none"/>
        </w:rPr>
      </w:pPr>
      <w:r>
        <w:rPr>
          <w:rFonts w:hint="eastAsia" w:ascii="宋体" w:hAnsi="宋体" w:eastAsia="宋体" w:cs="宋体"/>
          <w:color w:val="auto"/>
          <w:highlight w:val="none"/>
        </w:rPr>
        <w:t>1.本项目招标文件（含图纸）和补充（答疑、澄清）、修改文件以网上下载方式发放</w:t>
      </w:r>
      <w:r>
        <w:rPr>
          <w:rFonts w:hint="eastAsia" w:ascii="宋体" w:hAnsi="宋体" w:eastAsia="宋体" w:cs="宋体"/>
          <w:color w:val="auto"/>
          <w:highlight w:val="none"/>
          <w:u w:val="single"/>
        </w:rPr>
        <w:t>绍兴市公共资源交易中心电子招投标交易平台（http://220.187.225.202:8088/TPBidder-ztk/memberlogin）</w:t>
      </w:r>
      <w:r>
        <w:rPr>
          <w:rFonts w:hint="eastAsia" w:ascii="宋体" w:hAnsi="宋体" w:eastAsia="宋体" w:cs="宋体"/>
          <w:color w:val="auto"/>
          <w:highlight w:val="none"/>
        </w:rPr>
        <w:t>，请各潜在投标人使用CA锁登录绍兴市公共资源交易中心电子招投标交易平台（http://220.187.225.202:8088/TPBidder-ztk/memberlogin）获取,未使用CA锁登录并获取招标文件的投标将被拒收。</w:t>
      </w:r>
    </w:p>
    <w:p w14:paraId="7F33E551">
      <w:pPr>
        <w:spacing w:line="312" w:lineRule="auto"/>
        <w:ind w:left="19" w:firstLine="478" w:firstLineChars="228"/>
        <w:jc w:val="both"/>
        <w:rPr>
          <w:rFonts w:hint="eastAsia" w:ascii="宋体" w:hAnsi="宋体" w:eastAsia="宋体" w:cs="宋体"/>
          <w:snapToGrid/>
          <w:color w:val="auto"/>
          <w:highlight w:val="none"/>
        </w:rPr>
      </w:pPr>
      <w:r>
        <w:rPr>
          <w:rFonts w:hint="eastAsia" w:ascii="宋体" w:hAnsi="宋体" w:eastAsia="宋体" w:cs="宋体"/>
          <w:color w:val="auto"/>
          <w:highlight w:val="none"/>
        </w:rPr>
        <w:t>2.招标文件获取下载网址：潜在投标人登录绍兴市公共资源交易中心电子招投标交易平台（http://220.187.225.202:8088/TPBidder-ztk/memberlogin），自行获取下载招标文件。</w:t>
      </w:r>
    </w:p>
    <w:p w14:paraId="3FB3EFA2">
      <w:pPr>
        <w:spacing w:line="312" w:lineRule="auto"/>
        <w:ind w:left="499"/>
        <w:jc w:val="both"/>
        <w:rPr>
          <w:rFonts w:hint="eastAsia" w:ascii="宋体" w:hAnsi="宋体" w:eastAsia="宋体" w:cs="宋体"/>
          <w:snapToGrid/>
          <w:color w:val="auto"/>
          <w:highlight w:val="none"/>
        </w:rPr>
      </w:pPr>
      <w:r>
        <w:rPr>
          <w:rFonts w:hint="eastAsia" w:ascii="宋体" w:hAnsi="宋体" w:eastAsia="宋体" w:cs="宋体"/>
          <w:snapToGrid/>
          <w:color w:val="auto"/>
          <w:highlight w:val="none"/>
        </w:rPr>
        <w:t>3.招标文件网上下载时间：（公告发布之日起至投标文件递交截止时间）。</w:t>
      </w:r>
    </w:p>
    <w:p w14:paraId="7C36EAA5">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四、投标保证金</w:t>
      </w:r>
    </w:p>
    <w:p w14:paraId="048814A3">
      <w:pPr>
        <w:widowControl w:val="0"/>
        <w:kinsoku/>
        <w:autoSpaceDE/>
        <w:autoSpaceDN/>
        <w:adjustRightInd/>
        <w:spacing w:line="312" w:lineRule="auto"/>
        <w:ind w:firstLine="369" w:firstLineChars="176"/>
        <w:jc w:val="both"/>
        <w:textAlignment w:val="auto"/>
        <w:rPr>
          <w:rFonts w:hint="eastAsia" w:ascii="宋体" w:hAnsi="宋体" w:eastAsia="宋体" w:cs="宋体"/>
          <w:b/>
          <w:bCs/>
          <w:snapToGrid/>
          <w:color w:val="auto"/>
          <w:kern w:val="2"/>
          <w:highlight w:val="none"/>
        </w:rPr>
      </w:pPr>
      <w:r>
        <w:rPr>
          <w:rFonts w:hint="eastAsia" w:ascii="宋体" w:hAnsi="宋体" w:eastAsia="宋体" w:cs="宋体"/>
          <w:snapToGrid/>
          <w:color w:val="auto"/>
          <w:kern w:val="2"/>
          <w:highlight w:val="none"/>
        </w:rPr>
        <w:t>1.金额：</w:t>
      </w:r>
    </w:p>
    <w:p w14:paraId="6C3E6E34">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highlight w:val="none"/>
        </w:rPr>
      </w:pPr>
      <w:r>
        <w:rPr>
          <w:rFonts w:hint="eastAsia" w:ascii="宋体" w:hAnsi="宋体" w:eastAsia="宋体" w:cs="宋体"/>
          <w:snapToGrid/>
          <w:color w:val="auto"/>
          <w:highlight w:val="none"/>
        </w:rPr>
        <w:t>□本项目不缴纳投标保证金。</w:t>
      </w:r>
    </w:p>
    <w:p w14:paraId="6038C2A1">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highlight w:val="none"/>
        </w:rPr>
        <w:t>☑</w:t>
      </w:r>
      <w:r>
        <w:rPr>
          <w:rFonts w:hint="eastAsia" w:ascii="宋体" w:hAnsi="宋体" w:eastAsia="宋体" w:cs="宋体"/>
          <w:snapToGrid/>
          <w:color w:val="auto"/>
          <w:kern w:val="2"/>
          <w:highlight w:val="none"/>
        </w:rPr>
        <w:t>本项目需缴纳投标保证金</w:t>
      </w:r>
      <w:r>
        <w:rPr>
          <w:rFonts w:hint="eastAsia" w:ascii="宋体" w:hAnsi="宋体" w:eastAsia="宋体" w:cs="宋体"/>
          <w:b/>
          <w:bCs/>
          <w:snapToGrid/>
          <w:color w:val="auto"/>
          <w:kern w:val="2"/>
          <w:highlight w:val="none"/>
          <w:u w:val="single"/>
          <w:lang w:val="en-US" w:eastAsia="zh-CN"/>
        </w:rPr>
        <w:t>50</w:t>
      </w:r>
      <w:r>
        <w:rPr>
          <w:rFonts w:hint="eastAsia" w:ascii="宋体" w:hAnsi="宋体" w:eastAsia="宋体" w:cs="宋体"/>
          <w:snapToGrid/>
          <w:color w:val="auto"/>
          <w:kern w:val="2"/>
          <w:highlight w:val="none"/>
        </w:rPr>
        <w:t>万元，投标保证金在投标人自行获取招标文件后，在</w:t>
      </w:r>
      <w:r>
        <w:rPr>
          <w:rFonts w:hint="eastAsia" w:ascii="宋体" w:hAnsi="宋体" w:eastAsia="宋体" w:cs="宋体"/>
          <w:b/>
          <w:bCs/>
          <w:snapToGrid/>
          <w:color w:val="auto"/>
          <w:kern w:val="2"/>
          <w:highlight w:val="none"/>
        </w:rPr>
        <w:t>投标文件递交截止时间</w:t>
      </w:r>
      <w:r>
        <w:rPr>
          <w:rFonts w:hint="eastAsia" w:ascii="宋体" w:hAnsi="宋体" w:eastAsia="宋体" w:cs="宋体"/>
          <w:snapToGrid/>
          <w:color w:val="auto"/>
          <w:kern w:val="2"/>
          <w:highlight w:val="none"/>
        </w:rPr>
        <w:t>前缴纳。</w:t>
      </w:r>
    </w:p>
    <w:p w14:paraId="1E65B17C">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2.缴纳方式：投标人基本账户银行转出的保函/保证保险/担保公司担保/转账/数字保函等(不包括现金）。</w:t>
      </w:r>
    </w:p>
    <w:p w14:paraId="19961A5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2.1缴纳要求（转账）：</w:t>
      </w:r>
    </w:p>
    <w:p w14:paraId="6CBFC8C8">
      <w:pPr>
        <w:spacing w:line="312" w:lineRule="auto"/>
        <w:ind w:firstLine="420" w:firstLineChars="200"/>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账户一：开户单位名称：</w:t>
      </w:r>
      <w:r>
        <w:rPr>
          <w:rFonts w:hint="eastAsia" w:ascii="宋体" w:hAnsi="宋体" w:eastAsia="宋体" w:cs="宋体"/>
          <w:color w:val="auto"/>
          <w:highlight w:val="none"/>
          <w:u w:val="single"/>
        </w:rPr>
        <w:t>绍兴市公共资源交易中心保证金专户，开户行:绍兴银行股份有限公司营业部</w:t>
      </w:r>
      <w:r>
        <w:rPr>
          <w:rFonts w:hint="eastAsia" w:ascii="宋体" w:hAnsi="宋体" w:eastAsia="宋体" w:cs="宋体"/>
          <w:snapToGrid/>
          <w:color w:val="auto"/>
          <w:kern w:val="2"/>
          <w:highlight w:val="none"/>
        </w:rPr>
        <w:t>；账号</w:t>
      </w:r>
      <w:r>
        <w:rPr>
          <w:rFonts w:hint="eastAsia" w:ascii="宋体" w:hAnsi="宋体" w:eastAsia="宋体" w:cs="宋体"/>
          <w:snapToGrid/>
          <w:color w:val="auto"/>
          <w:kern w:val="2"/>
          <w:highlight w:val="none"/>
          <w:u w:val="single"/>
          <w:lang w:val="en-US" w:eastAsia="zh-CN"/>
        </w:rPr>
        <w:t xml:space="preserve">  6224861565799192700  </w:t>
      </w:r>
      <w:r>
        <w:rPr>
          <w:rFonts w:hint="eastAsia" w:ascii="宋体" w:hAnsi="宋体" w:eastAsia="宋体" w:cs="宋体"/>
          <w:snapToGrid/>
          <w:color w:val="auto"/>
          <w:kern w:val="2"/>
          <w:highlight w:val="none"/>
        </w:rPr>
        <w:t xml:space="preserve"> ；</w:t>
      </w:r>
    </w:p>
    <w:p w14:paraId="2F24EFE5">
      <w:pPr>
        <w:widowControl w:val="0"/>
        <w:kinsoku/>
        <w:autoSpaceDE/>
        <w:autoSpaceDN/>
        <w:adjustRightInd/>
        <w:spacing w:line="312" w:lineRule="auto"/>
        <w:ind w:firstLine="420" w:firstLineChars="200"/>
        <w:jc w:val="both"/>
        <w:textAlignment w:val="auto"/>
        <w:rPr>
          <w:rFonts w:hint="eastAsia" w:ascii="宋体" w:hAnsi="宋体" w:eastAsia="宋体" w:cs="宋体"/>
          <w:strike/>
          <w:snapToGrid/>
          <w:color w:val="auto"/>
          <w:kern w:val="2"/>
          <w:highlight w:val="none"/>
        </w:rPr>
      </w:pPr>
      <w:r>
        <w:rPr>
          <w:rFonts w:hint="eastAsia" w:ascii="宋体" w:hAnsi="宋体" w:eastAsia="宋体" w:cs="宋体"/>
          <w:strike/>
          <w:snapToGrid/>
          <w:color w:val="auto"/>
          <w:kern w:val="2"/>
          <w:highlight w:val="none"/>
        </w:rPr>
        <w:t>账户二：开户单位名称：</w:t>
      </w:r>
      <w:r>
        <w:rPr>
          <w:rFonts w:hint="eastAsia" w:ascii="宋体" w:hAnsi="宋体" w:eastAsia="宋体" w:cs="宋体"/>
          <w:strike/>
          <w:snapToGrid/>
          <w:color w:val="auto"/>
          <w:kern w:val="2"/>
          <w:highlight w:val="none"/>
          <w:u w:val="single"/>
        </w:rPr>
        <w:t>绍兴市公共资源交易中心保证金专户，开户行:中信银行绍兴袍江支行</w:t>
      </w:r>
      <w:r>
        <w:rPr>
          <w:rFonts w:hint="eastAsia" w:ascii="宋体" w:hAnsi="宋体" w:eastAsia="宋体" w:cs="宋体"/>
          <w:strike/>
          <w:snapToGrid/>
          <w:color w:val="auto"/>
          <w:kern w:val="2"/>
          <w:highlight w:val="none"/>
        </w:rPr>
        <w:t>；账号</w:t>
      </w:r>
      <w:r>
        <w:rPr>
          <w:rFonts w:hint="eastAsia" w:ascii="宋体" w:hAnsi="宋体" w:eastAsia="宋体" w:cs="宋体"/>
          <w:strike/>
          <w:snapToGrid/>
          <w:color w:val="auto"/>
          <w:kern w:val="2"/>
          <w:highlight w:val="none"/>
          <w:u w:val="single"/>
        </w:rPr>
        <w:t xml:space="preserve">                          </w:t>
      </w:r>
      <w:r>
        <w:rPr>
          <w:rFonts w:hint="eastAsia" w:ascii="宋体" w:hAnsi="宋体" w:eastAsia="宋体" w:cs="宋体"/>
          <w:strike/>
          <w:snapToGrid/>
          <w:color w:val="auto"/>
          <w:kern w:val="2"/>
          <w:highlight w:val="none"/>
        </w:rPr>
        <w:t xml:space="preserve"> ；</w:t>
      </w:r>
    </w:p>
    <w:p w14:paraId="33BE68CE">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投标人可自主选择以上账户之一缴纳投标保证金。</w:t>
      </w:r>
    </w:p>
    <w:p w14:paraId="4AFE5782">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2.2缴纳要求（银行保函/保证保险/担保公司担保/数字保函）：招标人接受投标保证金银行保函、电子保险保单、担保保函。投标人自行在电子招投标交易平台（http://220.187.225.202:8088/TPBidder-ztk/memberlogin）中自主选择办理。</w:t>
      </w:r>
    </w:p>
    <w:p w14:paraId="37E2D2DA">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保函费用必须从投标人企业基本账户转出，并在投标保证金缴纳截止时间前办妥保函手续。</w:t>
      </w:r>
    </w:p>
    <w:p w14:paraId="4A0DF9D0">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□2.3本项目对</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行业信用评价结果最高等级的投标人免收投标保证金，须具备</w:t>
      </w:r>
      <w:r>
        <w:rPr>
          <w:rFonts w:hint="eastAsia" w:ascii="宋体" w:hAnsi="宋体" w:eastAsia="宋体" w:cs="宋体"/>
          <w:snapToGrid/>
          <w:color w:val="auto"/>
          <w:kern w:val="2"/>
          <w:highlight w:val="none"/>
          <w:u w:val="single"/>
        </w:rPr>
        <w:t xml:space="preserve">    /   </w:t>
      </w:r>
      <w:r>
        <w:rPr>
          <w:rFonts w:hint="eastAsia" w:ascii="宋体" w:hAnsi="宋体" w:eastAsia="宋体" w:cs="宋体"/>
          <w:snapToGrid/>
          <w:color w:val="auto"/>
          <w:kern w:val="2"/>
          <w:highlight w:val="none"/>
        </w:rPr>
        <w:t>条件。</w:t>
      </w:r>
    </w:p>
    <w:p w14:paraId="00E7977D">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注：1.请各投标人在缴纳投标保证金前自行核对统一主体库内填写的基本账户信息，避免出现保证金缴纳后无法匹配的现象。</w:t>
      </w:r>
    </w:p>
    <w:p w14:paraId="2D4919FF">
      <w:pPr>
        <w:widowControl w:val="0"/>
        <w:kinsoku/>
        <w:autoSpaceDE/>
        <w:autoSpaceDN/>
        <w:adjustRightInd/>
        <w:spacing w:line="312" w:lineRule="auto"/>
        <w:ind w:firstLine="420" w:firstLineChars="200"/>
        <w:jc w:val="both"/>
        <w:textAlignment w:val="auto"/>
        <w:rPr>
          <w:rFonts w:hint="eastAsia" w:ascii="宋体" w:hAnsi="宋体" w:eastAsia="宋体" w:cs="宋体"/>
          <w:snapToGrid/>
          <w:color w:val="auto"/>
          <w:kern w:val="2"/>
          <w:highlight w:val="none"/>
        </w:rPr>
      </w:pPr>
      <w:r>
        <w:rPr>
          <w:rFonts w:hint="eastAsia" w:ascii="宋体" w:hAnsi="宋体" w:eastAsia="宋体" w:cs="宋体"/>
          <w:snapToGrid/>
          <w:color w:val="auto"/>
          <w:kern w:val="2"/>
          <w:highlight w:val="none"/>
        </w:rPr>
        <w:t>2.重新招标项目，参与投标的投标人仍需按上述规定要求重新递交投标保证金。如联合体投标的，其投标保证金由牵头人递交。</w:t>
      </w:r>
    </w:p>
    <w:p w14:paraId="1FDE407A">
      <w:pPr>
        <w:spacing w:line="312" w:lineRule="auto"/>
        <w:ind w:left="501"/>
        <w:jc w:val="both"/>
        <w:rPr>
          <w:rFonts w:hint="eastAsia" w:ascii="宋体" w:hAnsi="宋体" w:eastAsia="宋体" w:cs="宋体"/>
          <w:color w:val="auto"/>
          <w:highlight w:val="none"/>
        </w:rPr>
      </w:pPr>
      <w:r>
        <w:rPr>
          <w:rFonts w:hint="eastAsia" w:ascii="宋体" w:hAnsi="宋体" w:eastAsia="宋体" w:cs="宋体"/>
          <w:color w:val="auto"/>
          <w:highlight w:val="none"/>
        </w:rPr>
        <w:t>五、投标文件递交</w:t>
      </w:r>
    </w:p>
    <w:p w14:paraId="0A18580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202</w:t>
      </w:r>
      <w:r>
        <w:rPr>
          <w:rFonts w:hint="eastAsia" w:ascii="宋体" w:hAnsi="宋体" w:eastAsia="宋体" w:cs="宋体"/>
          <w:b/>
          <w:bCs/>
          <w:color w:val="auto"/>
          <w:highlight w:val="none"/>
          <w:u w:val="single"/>
          <w:lang w:val="en-US" w:eastAsia="zh-CN"/>
        </w:rPr>
        <w:t>6</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分；</w:t>
      </w:r>
    </w:p>
    <w:p w14:paraId="73062042">
      <w:pPr>
        <w:pStyle w:val="11"/>
        <w:snapToGrid w:val="0"/>
        <w:spacing w:after="0" w:line="312" w:lineRule="auto"/>
        <w:ind w:left="0" w:firstLine="424" w:firstLineChars="202"/>
        <w:rPr>
          <w:rFonts w:hint="eastAsia" w:ascii="宋体" w:hAnsi="宋体" w:cs="宋体"/>
          <w:color w:val="auto"/>
          <w:sz w:val="21"/>
          <w:szCs w:val="21"/>
          <w:highlight w:val="none"/>
          <w:u w:val="single"/>
        </w:rPr>
      </w:pPr>
      <w:r>
        <w:rPr>
          <w:rFonts w:hint="eastAsia" w:ascii="宋体" w:hAnsi="宋体" w:cs="宋体"/>
          <w:color w:val="auto"/>
          <w:sz w:val="21"/>
          <w:szCs w:val="21"/>
          <w:highlight w:val="none"/>
        </w:rPr>
        <w:t>2.投标文件递交方式：</w:t>
      </w:r>
    </w:p>
    <w:p w14:paraId="3E8BE462">
      <w:pPr>
        <w:pStyle w:val="11"/>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☑2.1电子招标投标交易平台：</w:t>
      </w:r>
      <w:r>
        <w:rPr>
          <w:rFonts w:hint="eastAsia" w:ascii="宋体" w:hAnsi="宋体" w:cs="宋体"/>
          <w:color w:val="auto"/>
          <w:sz w:val="21"/>
          <w:szCs w:val="21"/>
          <w:highlight w:val="none"/>
          <w:u w:val="single"/>
        </w:rPr>
        <w:t xml:space="preserve">  </w:t>
      </w:r>
      <w:r>
        <w:rPr>
          <w:rFonts w:hint="eastAsia" w:ascii="宋体" w:hAnsi="宋体" w:cs="宋体"/>
          <w:b/>
          <w:bCs/>
          <w:color w:val="auto"/>
          <w:sz w:val="21"/>
          <w:szCs w:val="21"/>
          <w:highlight w:val="none"/>
          <w:u w:val="single"/>
        </w:rPr>
        <w:t>绍兴市公共资源交易中心电子招投标交易平台</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w:t>
      </w:r>
    </w:p>
    <w:p w14:paraId="493FC4B2">
      <w:pPr>
        <w:pStyle w:val="11"/>
        <w:snapToGrid w:val="0"/>
        <w:spacing w:after="0" w:line="312" w:lineRule="auto"/>
        <w:ind w:left="0" w:firstLine="424" w:firstLineChars="202"/>
        <w:rPr>
          <w:rFonts w:hint="eastAsia" w:ascii="宋体" w:hAnsi="宋体" w:cs="宋体"/>
          <w:color w:val="auto"/>
          <w:sz w:val="21"/>
          <w:szCs w:val="21"/>
          <w:highlight w:val="none"/>
        </w:rPr>
      </w:pPr>
      <w:r>
        <w:rPr>
          <w:rFonts w:hint="eastAsia" w:ascii="宋体" w:hAnsi="宋体" w:cs="宋体"/>
          <w:color w:val="auto"/>
          <w:sz w:val="21"/>
          <w:szCs w:val="21"/>
          <w:highlight w:val="none"/>
        </w:rPr>
        <w:t>□2.2纸质标书递交，地点为：绍兴市公共资源交易中心二楼指定的开标室（</w:t>
      </w:r>
      <w:r>
        <w:rPr>
          <w:rFonts w:hint="eastAsia" w:ascii="宋体" w:hAnsi="宋体" w:cs="宋体"/>
          <w:b/>
          <w:bCs/>
          <w:color w:val="auto"/>
          <w:sz w:val="21"/>
          <w:szCs w:val="21"/>
          <w:highlight w:val="none"/>
        </w:rPr>
        <w:t>绍兴市越城区洋江西路 699 号梅山春晓 2 楼</w:t>
      </w:r>
      <w:r>
        <w:rPr>
          <w:rFonts w:hint="eastAsia" w:ascii="宋体" w:hAnsi="宋体" w:cs="宋体"/>
          <w:color w:val="auto"/>
          <w:sz w:val="21"/>
          <w:szCs w:val="21"/>
          <w:highlight w:val="none"/>
        </w:rPr>
        <w:t>）。</w:t>
      </w:r>
    </w:p>
    <w:p w14:paraId="64197950">
      <w:pPr>
        <w:spacing w:line="312" w:lineRule="auto"/>
        <w:ind w:firstLine="485"/>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color w:val="auto"/>
          <w:highlight w:val="none"/>
          <w:lang w:eastAsia="zh-CN"/>
        </w:rPr>
        <w:t>☑</w:t>
      </w:r>
      <w:r>
        <w:rPr>
          <w:rFonts w:hint="eastAsia" w:ascii="宋体" w:hAnsi="宋体" w:eastAsia="宋体" w:cs="宋体"/>
          <w:color w:val="auto"/>
          <w:highlight w:val="none"/>
        </w:rPr>
        <w:t>招标文件要求递交的</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样品等材料，投标人应在投标截止时间前递交至</w:t>
      </w:r>
      <w:r>
        <w:rPr>
          <w:rFonts w:hint="eastAsia" w:ascii="宋体" w:hAnsi="宋体" w:eastAsia="宋体" w:cs="宋体"/>
          <w:b/>
          <w:bCs/>
          <w:color w:val="auto"/>
          <w:highlight w:val="none"/>
          <w:u w:val="single"/>
        </w:rPr>
        <w:t>绍兴市公共资源交易中心二楼指定的开标室（绍兴市越城区洋江西路 699 号梅山春晓 2 楼）</w:t>
      </w:r>
      <w:r>
        <w:rPr>
          <w:rFonts w:hint="eastAsia" w:ascii="宋体" w:hAnsi="宋体" w:eastAsia="宋体" w:cs="宋体"/>
          <w:color w:val="auto"/>
          <w:highlight w:val="none"/>
        </w:rPr>
        <w:t>。递交</w:t>
      </w:r>
      <w:r>
        <w:rPr>
          <w:rFonts w:hint="eastAsia" w:ascii="宋体" w:hAnsi="宋体" w:eastAsia="宋体" w:cs="宋体"/>
          <w:b w:val="0"/>
          <w:bCs w:val="0"/>
          <w:strike/>
          <w:dstrike w:val="0"/>
          <w:color w:val="auto"/>
          <w:highlight w:val="none"/>
          <w:u w:val="none"/>
        </w:rPr>
        <w:t>U盘、光盘、</w:t>
      </w:r>
      <w:r>
        <w:rPr>
          <w:rFonts w:hint="eastAsia" w:ascii="宋体" w:hAnsi="宋体" w:eastAsia="宋体" w:cs="宋体"/>
          <w:color w:val="auto"/>
          <w:highlight w:val="none"/>
        </w:rPr>
        <w:t>样品等材料时应同时携带递交人法定代表人授权委托书及身份证原件(法定代表人递交的仅需提供身份证原件)。</w:t>
      </w:r>
    </w:p>
    <w:p w14:paraId="1E526B9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六、发布公告的媒介</w:t>
      </w:r>
    </w:p>
    <w:p w14:paraId="1BAF2FAE">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本次招标公告同时在</w:t>
      </w:r>
      <w:r>
        <w:rPr>
          <w:rFonts w:hint="eastAsia" w:ascii="宋体" w:hAnsi="宋体" w:eastAsia="宋体" w:cs="宋体"/>
          <w:color w:val="auto"/>
          <w:highlight w:val="none"/>
          <w:u w:val="single"/>
        </w:rPr>
        <w:t xml:space="preserve"> 绍兴市公共资源交易网</w:t>
      </w:r>
      <w:r>
        <w:rPr>
          <w:rFonts w:hint="eastAsia" w:ascii="宋体" w:hAnsi="宋体" w:eastAsia="宋体" w:cs="宋体"/>
          <w:color w:val="auto"/>
          <w:highlight w:val="none"/>
          <w:u w:val="none"/>
        </w:rPr>
        <w:t>和</w:t>
      </w:r>
      <w:r>
        <w:rPr>
          <w:rFonts w:hint="eastAsia" w:ascii="宋体" w:hAnsi="宋体" w:eastAsia="宋体" w:cs="宋体"/>
          <w:color w:val="auto"/>
          <w:highlight w:val="none"/>
          <w:u w:val="single"/>
        </w:rPr>
        <w:t>浙江省公共资源交易服务平台</w:t>
      </w:r>
      <w:r>
        <w:rPr>
          <w:rFonts w:hint="eastAsia" w:ascii="宋体" w:hAnsi="宋体" w:eastAsia="宋体" w:cs="宋体"/>
          <w:color w:val="auto"/>
          <w:highlight w:val="none"/>
        </w:rPr>
        <w:t>上发布。</w:t>
      </w:r>
    </w:p>
    <w:p w14:paraId="25A88EF1">
      <w:pPr>
        <w:spacing w:line="312" w:lineRule="auto"/>
        <w:ind w:firstLine="420" w:firstLineChars="20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七、监管机构：</w:t>
      </w:r>
      <w:r>
        <w:rPr>
          <w:rFonts w:hint="eastAsia" w:ascii="宋体" w:hAnsi="宋体" w:eastAsia="宋体" w:cs="宋体"/>
          <w:b/>
          <w:bCs/>
          <w:color w:val="auto"/>
          <w:highlight w:val="none"/>
          <w:lang w:eastAsia="zh-CN"/>
        </w:rPr>
        <w:t>绍兴市住房和城乡建设局</w:t>
      </w:r>
    </w:p>
    <w:p w14:paraId="0F4AB219">
      <w:pPr>
        <w:spacing w:line="312"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八、联系方式</w:t>
      </w:r>
    </w:p>
    <w:p w14:paraId="681E291B">
      <w:pPr>
        <w:spacing w:before="75" w:line="353" w:lineRule="auto"/>
        <w:ind w:left="48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招标人：</w:t>
      </w:r>
      <w:r>
        <w:rPr>
          <w:rFonts w:hint="eastAsia" w:ascii="宋体" w:hAnsi="宋体" w:eastAsia="宋体" w:cs="宋体"/>
          <w:color w:val="auto"/>
          <w:sz w:val="21"/>
          <w:szCs w:val="21"/>
          <w:highlight w:val="none"/>
          <w:u w:val="single"/>
          <w:lang w:eastAsia="zh-CN"/>
        </w:rPr>
        <w:t>绍兴</w:t>
      </w:r>
      <w:r>
        <w:rPr>
          <w:rFonts w:hint="eastAsia" w:ascii="宋体" w:hAnsi="宋体" w:eastAsia="宋体" w:cs="宋体"/>
          <w:color w:val="auto"/>
          <w:sz w:val="21"/>
          <w:szCs w:val="21"/>
          <w:highlight w:val="none"/>
          <w:u w:val="single"/>
          <w:lang w:val="en-US" w:eastAsia="zh-CN"/>
        </w:rPr>
        <w:t>大学</w:t>
      </w:r>
      <w:r>
        <w:rPr>
          <w:rFonts w:hint="eastAsia" w:ascii="宋体" w:hAnsi="宋体" w:eastAsia="宋体" w:cs="宋体"/>
          <w:color w:val="auto"/>
          <w:sz w:val="21"/>
          <w:szCs w:val="21"/>
          <w:highlight w:val="none"/>
          <w:u w:val="single"/>
          <w:lang w:eastAsia="zh-CN"/>
        </w:rPr>
        <w:t>附属医院</w:t>
      </w:r>
      <w:r>
        <w:rPr>
          <w:rFonts w:hint="eastAsia" w:ascii="宋体" w:hAnsi="宋体" w:eastAsia="宋体" w:cs="宋体"/>
          <w:color w:val="auto"/>
          <w:sz w:val="21"/>
          <w:szCs w:val="21"/>
          <w:highlight w:val="none"/>
        </w:rPr>
        <w:t xml:space="preserve">  </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招标代理机构：</w:t>
      </w:r>
      <w:bookmarkStart w:id="3" w:name="OLE_LINK16"/>
      <w:r>
        <w:rPr>
          <w:rFonts w:hint="eastAsia" w:ascii="宋体" w:hAnsi="宋体" w:eastAsia="宋体" w:cs="宋体"/>
          <w:color w:val="auto"/>
          <w:sz w:val="21"/>
          <w:szCs w:val="21"/>
          <w:highlight w:val="none"/>
          <w:u w:val="single"/>
        </w:rPr>
        <w:t>浙江益诚工程咨询有限公司</w:t>
      </w:r>
      <w:bookmarkEnd w:id="3"/>
      <w:r>
        <w:rPr>
          <w:rFonts w:hint="eastAsia" w:ascii="宋体" w:hAnsi="宋体" w:eastAsia="宋体" w:cs="宋体"/>
          <w:color w:val="auto"/>
          <w:sz w:val="21"/>
          <w:szCs w:val="21"/>
          <w:highlight w:val="none"/>
          <w:u w:val="single"/>
        </w:rPr>
        <w:t xml:space="preserve"> </w:t>
      </w:r>
    </w:p>
    <w:p w14:paraId="2F361EAA">
      <w:pPr>
        <w:spacing w:line="230" w:lineRule="auto"/>
        <w:ind w:left="484"/>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联系</w:t>
      </w:r>
      <w:r>
        <w:rPr>
          <w:rFonts w:hint="eastAsia" w:ascii="宋体" w:hAnsi="宋体" w:eastAsia="宋体" w:cs="宋体"/>
          <w:b w:val="0"/>
          <w:bCs w:val="0"/>
          <w:color w:val="auto"/>
          <w:sz w:val="21"/>
          <w:szCs w:val="21"/>
          <w:highlight w:val="none"/>
        </w:rPr>
        <w:t>人：</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lang w:val="en-US" w:eastAsia="zh-CN"/>
        </w:rPr>
        <w:t>章工</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 xml:space="preserve">   </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联系人：</w:t>
      </w:r>
      <w:r>
        <w:rPr>
          <w:rFonts w:hint="eastAsia" w:ascii="宋体" w:hAnsi="宋体" w:eastAsia="宋体" w:cs="宋体"/>
          <w:b w:val="0"/>
          <w:bCs w:val="0"/>
          <w:color w:val="auto"/>
          <w:sz w:val="21"/>
          <w:szCs w:val="21"/>
          <w:highlight w:val="none"/>
          <w:u w:val="single"/>
          <w:lang w:val="en-US" w:eastAsia="zh-CN"/>
        </w:rPr>
        <w:t>秦金霞</w:t>
      </w:r>
      <w:r>
        <w:rPr>
          <w:rFonts w:hint="eastAsia" w:ascii="宋体" w:hAnsi="宋体" w:eastAsia="宋体" w:cs="宋体"/>
          <w:b w:val="0"/>
          <w:bCs w:val="0"/>
          <w:color w:val="auto"/>
          <w:sz w:val="21"/>
          <w:szCs w:val="21"/>
          <w:highlight w:val="none"/>
          <w:u w:val="single"/>
        </w:rPr>
        <w:t>/陈飞</w:t>
      </w:r>
    </w:p>
    <w:p w14:paraId="6357371D">
      <w:pPr>
        <w:spacing w:before="155" w:line="230" w:lineRule="auto"/>
        <w:ind w:left="5103" w:leftChars="230" w:hanging="4620" w:hangingChars="2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lang w:eastAsia="zh-CN"/>
        </w:rPr>
        <w:t xml:space="preserve"> </w:t>
      </w:r>
      <w:r>
        <w:rPr>
          <w:rFonts w:hint="eastAsia" w:ascii="宋体" w:hAnsi="宋体" w:eastAsia="宋体" w:cs="宋体"/>
          <w:b w:val="0"/>
          <w:bCs w:val="0"/>
          <w:color w:val="auto"/>
          <w:sz w:val="21"/>
          <w:szCs w:val="21"/>
          <w:highlight w:val="none"/>
          <w:u w:val="single"/>
        </w:rPr>
        <w:t>0575-85223817</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 xml:space="preserve"> </w:t>
      </w:r>
      <w:r>
        <w:rPr>
          <w:rFonts w:hint="eastAsia" w:ascii="宋体" w:hAnsi="宋体" w:eastAsia="宋体" w:cs="宋体"/>
          <w:b w:val="0"/>
          <w:bCs w:val="0"/>
          <w:color w:val="auto"/>
          <w:sz w:val="21"/>
          <w:szCs w:val="21"/>
          <w:highlight w:val="none"/>
          <w:lang w:val="en-US" w:eastAsia="zh-CN"/>
        </w:rPr>
        <w:t xml:space="preserve"> </w:t>
      </w:r>
      <w:r>
        <w:rPr>
          <w:rFonts w:hint="eastAsia" w:ascii="宋体" w:hAnsi="宋体" w:eastAsia="宋体" w:cs="宋体"/>
          <w:b w:val="0"/>
          <w:bCs w:val="0"/>
          <w:color w:val="auto"/>
          <w:sz w:val="21"/>
          <w:szCs w:val="21"/>
          <w:highlight w:val="none"/>
        </w:rPr>
        <w:t>联系电话：</w:t>
      </w:r>
      <w:r>
        <w:rPr>
          <w:rFonts w:hint="eastAsia" w:ascii="宋体" w:hAnsi="宋体" w:eastAsia="宋体" w:cs="宋体"/>
          <w:b w:val="0"/>
          <w:bCs w:val="0"/>
          <w:color w:val="auto"/>
          <w:sz w:val="21"/>
          <w:szCs w:val="21"/>
          <w:highlight w:val="none"/>
          <w:u w:val="single"/>
        </w:rPr>
        <w:t>17815918197/0575-88246997</w:t>
      </w:r>
    </w:p>
    <w:p w14:paraId="04F0CEDD">
      <w:pPr>
        <w:spacing w:before="153" w:line="237" w:lineRule="auto"/>
        <w:ind w:left="5521" w:leftChars="229" w:hanging="5040" w:hangingChars="24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color w:val="auto"/>
          <w:sz w:val="21"/>
          <w:szCs w:val="21"/>
          <w:highlight w:val="none"/>
          <w:u w:val="single"/>
        </w:rPr>
        <w:t>绍兴市越城区中兴南路999号</w:t>
      </w:r>
      <w:r>
        <w:rPr>
          <w:rFonts w:hint="eastAsia" w:ascii="宋体" w:hAnsi="宋体" w:eastAsia="宋体" w:cs="宋体"/>
          <w:b w:val="0"/>
          <w:bCs w:val="0"/>
          <w:color w:val="auto"/>
          <w:sz w:val="21"/>
          <w:szCs w:val="21"/>
          <w:highlight w:val="none"/>
          <w:u w:val="none"/>
        </w:rPr>
        <w:t xml:space="preserve"> </w:t>
      </w: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sz w:val="21"/>
          <w:szCs w:val="21"/>
          <w:highlight w:val="none"/>
        </w:rPr>
        <w:t>地址：</w:t>
      </w:r>
      <w:r>
        <w:rPr>
          <w:rFonts w:hint="eastAsia" w:ascii="宋体" w:hAnsi="宋体" w:eastAsia="宋体" w:cs="宋体"/>
          <w:b w:val="0"/>
          <w:bCs w:val="0"/>
          <w:strike w:val="0"/>
          <w:dstrike w:val="0"/>
          <w:color w:val="auto"/>
          <w:spacing w:val="-11"/>
          <w:sz w:val="21"/>
          <w:szCs w:val="21"/>
          <w:highlight w:val="none"/>
          <w:u w:val="none"/>
        </w:rPr>
        <w:t>绍兴市越城区朝皇路正大综合楼5楼</w:t>
      </w:r>
    </w:p>
    <w:p w14:paraId="608060F5">
      <w:pPr>
        <w:spacing w:line="312" w:lineRule="auto"/>
        <w:ind w:left="483"/>
        <w:jc w:val="both"/>
        <w:rPr>
          <w:rFonts w:hint="eastAsia" w:ascii="宋体" w:hAnsi="宋体" w:eastAsia="宋体" w:cs="宋体"/>
          <w:color w:val="auto"/>
          <w:highlight w:val="none"/>
        </w:rPr>
      </w:pPr>
    </w:p>
    <w:p w14:paraId="72D4C070">
      <w:pPr>
        <w:spacing w:line="312" w:lineRule="auto"/>
        <w:ind w:left="483"/>
        <w:jc w:val="both"/>
        <w:rPr>
          <w:rFonts w:hint="eastAsia" w:ascii="宋体" w:hAnsi="宋体" w:eastAsia="宋体" w:cs="宋体"/>
          <w:color w:val="auto"/>
          <w:highlight w:val="none"/>
        </w:rPr>
      </w:pPr>
    </w:p>
    <w:p w14:paraId="5A196DD9">
      <w:pPr>
        <w:tabs>
          <w:tab w:val="left" w:pos="6089"/>
        </w:tabs>
        <w:spacing w:line="312" w:lineRule="auto"/>
        <w:ind w:left="5597"/>
        <w:jc w:val="both"/>
        <w:rPr>
          <w:rFonts w:hint="eastAsia" w:ascii="宋体" w:hAnsi="宋体" w:eastAsia="宋体" w:cs="宋体"/>
          <w:color w:val="auto"/>
          <w:highlight w:val="none"/>
        </w:rPr>
      </w:pPr>
      <w:r>
        <w:rPr>
          <w:rFonts w:hint="eastAsia" w:ascii="宋体" w:hAnsi="宋体" w:eastAsia="宋体" w:cs="宋体"/>
          <w:color w:val="auto"/>
          <w:highlight w:val="none"/>
          <w:u w:val="single"/>
        </w:rPr>
        <w:t>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u w:val="single"/>
          <w:lang w:val="en-US" w:eastAsia="zh-CN"/>
        </w:rPr>
        <w:t>09</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p>
    <w:p w14:paraId="4C8CF3E3">
      <w:pPr>
        <w:spacing w:line="312" w:lineRule="auto"/>
        <w:jc w:val="both"/>
        <w:rPr>
          <w:rFonts w:hint="eastAsia" w:ascii="宋体" w:hAnsi="宋体" w:eastAsia="宋体" w:cs="宋体"/>
          <w:color w:val="auto"/>
          <w:highlight w:val="none"/>
        </w:rPr>
      </w:pPr>
    </w:p>
    <w:p w14:paraId="642A7FA5">
      <w:pPr>
        <w:spacing w:line="265" w:lineRule="auto"/>
        <w:jc w:val="both"/>
        <w:rPr>
          <w:rFonts w:hint="eastAsia" w:ascii="宋体" w:hAnsi="宋体" w:eastAsia="宋体" w:cs="宋体"/>
          <w:color w:val="auto"/>
          <w:sz w:val="24"/>
          <w:szCs w:val="24"/>
          <w:highlight w:val="none"/>
        </w:rPr>
      </w:pPr>
    </w:p>
    <w:p w14:paraId="59B31C12">
      <w:pPr>
        <w:jc w:val="both"/>
        <w:rPr>
          <w:rFonts w:hint="eastAsia" w:ascii="宋体" w:hAnsi="宋体" w:eastAsia="宋体" w:cs="宋体"/>
          <w:color w:val="auto"/>
          <w:sz w:val="24"/>
          <w:szCs w:val="24"/>
          <w:highlight w:val="none"/>
        </w:rPr>
        <w:sectPr>
          <w:footerReference r:id="rId6" w:type="default"/>
          <w:pgSz w:w="11906" w:h="16839"/>
          <w:pgMar w:top="1418" w:right="1559" w:bottom="1418" w:left="1474" w:header="0" w:footer="1032" w:gutter="0"/>
          <w:pgNumType w:start="1"/>
          <w:cols w:space="720" w:num="1"/>
        </w:sectPr>
      </w:pPr>
    </w:p>
    <w:p w14:paraId="4BC10ACB">
      <w:pPr>
        <w:spacing w:before="318" w:line="225" w:lineRule="auto"/>
        <w:ind w:left="3604"/>
        <w:jc w:val="both"/>
        <w:outlineLvl w:val="0"/>
        <w:rPr>
          <w:rFonts w:hint="eastAsia" w:ascii="宋体" w:hAnsi="宋体" w:eastAsia="宋体" w:cs="宋体"/>
          <w:color w:val="auto"/>
          <w:sz w:val="31"/>
          <w:szCs w:val="31"/>
          <w:highlight w:val="none"/>
        </w:rPr>
      </w:pPr>
      <w:bookmarkStart w:id="4" w:name="_bookmark2"/>
      <w:bookmarkEnd w:id="4"/>
      <w:r>
        <w:rPr>
          <w:rFonts w:hint="eastAsia" w:ascii="宋体" w:hAnsi="宋体" w:eastAsia="宋体" w:cs="宋体"/>
          <w:color w:val="auto"/>
          <w:sz w:val="31"/>
          <w:szCs w:val="31"/>
          <w:highlight w:val="none"/>
        </w:rPr>
        <w:t>第二章投标人须知</w:t>
      </w:r>
    </w:p>
    <w:p w14:paraId="3A71A9BF">
      <w:pPr>
        <w:spacing w:before="236" w:line="220" w:lineRule="auto"/>
        <w:ind w:left="3329"/>
        <w:jc w:val="both"/>
        <w:outlineLvl w:val="1"/>
        <w:rPr>
          <w:rFonts w:hint="eastAsia" w:ascii="宋体" w:hAnsi="宋体" w:eastAsia="宋体" w:cs="宋体"/>
          <w:color w:val="auto"/>
          <w:sz w:val="28"/>
          <w:szCs w:val="28"/>
          <w:highlight w:val="none"/>
        </w:rPr>
      </w:pPr>
      <w:bookmarkStart w:id="5" w:name="_bookmark3"/>
      <w:bookmarkEnd w:id="5"/>
      <w:r>
        <w:rPr>
          <w:rFonts w:hint="eastAsia" w:ascii="宋体" w:hAnsi="宋体" w:eastAsia="宋体" w:cs="宋体"/>
          <w:color w:val="auto"/>
          <w:sz w:val="28"/>
          <w:szCs w:val="28"/>
          <w:highlight w:val="none"/>
        </w:rPr>
        <w:t>第一节投标人须知前附表</w:t>
      </w:r>
    </w:p>
    <w:p w14:paraId="1D4A860A">
      <w:pPr>
        <w:spacing w:line="170" w:lineRule="exact"/>
        <w:jc w:val="both"/>
        <w:rPr>
          <w:rFonts w:hint="eastAsia" w:ascii="宋体" w:hAnsi="宋体" w:eastAsia="宋体" w:cs="宋体"/>
          <w:color w:val="auto"/>
          <w:highlight w:val="none"/>
        </w:rPr>
      </w:pPr>
    </w:p>
    <w:tbl>
      <w:tblPr>
        <w:tblStyle w:val="58"/>
        <w:tblW w:w="9167"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21"/>
        <w:gridCol w:w="2050"/>
        <w:gridCol w:w="5596"/>
      </w:tblGrid>
      <w:tr w14:paraId="707DB1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A682392">
            <w:pPr>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条款号</w:t>
            </w:r>
          </w:p>
        </w:tc>
        <w:tc>
          <w:tcPr>
            <w:tcW w:w="2050" w:type="dxa"/>
            <w:vAlign w:val="center"/>
          </w:tcPr>
          <w:p w14:paraId="678FE4F6">
            <w:pPr>
              <w:tabs>
                <w:tab w:val="left" w:pos="14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条款名称</w:t>
            </w:r>
          </w:p>
        </w:tc>
        <w:tc>
          <w:tcPr>
            <w:tcW w:w="5596" w:type="dxa"/>
            <w:vAlign w:val="center"/>
          </w:tcPr>
          <w:p w14:paraId="51ECA93A">
            <w:pPr>
              <w:tabs>
                <w:tab w:val="left" w:pos="5680"/>
              </w:tabs>
              <w:kinsoku/>
              <w:overflowPunct w:val="0"/>
              <w:topLinePunct/>
              <w:spacing w:line="336" w:lineRule="auto"/>
              <w:ind w:left="105" w:leftChars="50" w:right="105" w:rightChars="50"/>
              <w:jc w:val="center"/>
              <w:rPr>
                <w:rFonts w:hint="eastAsia" w:ascii="宋体" w:hAnsi="宋体" w:eastAsia="宋体" w:cs="宋体"/>
                <w:color w:val="auto"/>
                <w:highlight w:val="none"/>
              </w:rPr>
            </w:pPr>
            <w:r>
              <w:rPr>
                <w:rFonts w:hint="eastAsia" w:ascii="宋体" w:hAnsi="宋体" w:eastAsia="宋体" w:cs="宋体"/>
                <w:color w:val="auto"/>
                <w:highlight w:val="none"/>
              </w:rPr>
              <w:t>编列内容</w:t>
            </w:r>
          </w:p>
        </w:tc>
      </w:tr>
      <w:tr w14:paraId="32FEBA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0BD8E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2B3646F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w:t>
            </w:r>
          </w:p>
        </w:tc>
        <w:tc>
          <w:tcPr>
            <w:tcW w:w="5596" w:type="dxa"/>
            <w:vAlign w:val="center"/>
          </w:tcPr>
          <w:p w14:paraId="012E3D6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绍兴大学附属医院</w:t>
            </w:r>
          </w:p>
          <w:p w14:paraId="54F714C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地址：绍兴市越城区中兴南路999号</w:t>
            </w:r>
          </w:p>
          <w:p w14:paraId="3AB5B422">
            <w:pPr>
              <w:tabs>
                <w:tab w:val="left" w:pos="5680"/>
              </w:tabs>
              <w:kinsoku/>
              <w:overflowPunct w:val="0"/>
              <w:topLinePunct/>
              <w:spacing w:line="336" w:lineRule="auto"/>
              <w:ind w:left="105" w:leftChars="50" w:right="105" w:rightChars="50"/>
              <w:jc w:val="both"/>
              <w:rPr>
                <w:rFonts w:hint="default" w:ascii="宋体" w:hAnsi="宋体" w:eastAsia="宋体" w:cs="宋体"/>
                <w:color w:val="auto"/>
                <w:highlight w:val="none"/>
                <w:lang w:val="en-US" w:eastAsia="zh-CN"/>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章工</w:t>
            </w:r>
          </w:p>
          <w:p w14:paraId="40E7A1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联系电话：0575-85223817</w:t>
            </w:r>
          </w:p>
          <w:p w14:paraId="48EBCBF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电子邮箱：/</w:t>
            </w:r>
          </w:p>
        </w:tc>
      </w:tr>
      <w:tr w14:paraId="5BB511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4DFD38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1.1.3</w:t>
            </w:r>
          </w:p>
        </w:tc>
        <w:tc>
          <w:tcPr>
            <w:tcW w:w="2050" w:type="dxa"/>
            <w:vAlign w:val="center"/>
          </w:tcPr>
          <w:p w14:paraId="0B92E4D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招标代理机构</w:t>
            </w:r>
          </w:p>
        </w:tc>
        <w:tc>
          <w:tcPr>
            <w:tcW w:w="5596" w:type="dxa"/>
            <w:vAlign w:val="center"/>
          </w:tcPr>
          <w:p w14:paraId="0DB6296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名称：</w:t>
            </w:r>
            <w:r>
              <w:rPr>
                <w:rFonts w:hint="eastAsia" w:ascii="宋体" w:hAnsi="宋体" w:eastAsia="宋体" w:cs="宋体"/>
                <w:color w:val="auto"/>
                <w:highlight w:val="none"/>
                <w:lang w:eastAsia="zh-CN"/>
              </w:rPr>
              <w:t>浙江益诚工程咨询有限公司</w:t>
            </w:r>
          </w:p>
          <w:p w14:paraId="29D755F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地址：</w:t>
            </w:r>
            <w:r>
              <w:rPr>
                <w:rFonts w:hint="eastAsia" w:ascii="宋体" w:hAnsi="宋体" w:eastAsia="宋体" w:cs="宋体"/>
                <w:color w:val="auto"/>
                <w:highlight w:val="none"/>
                <w:lang w:eastAsia="zh-CN"/>
              </w:rPr>
              <w:t>绍兴市越城区朝皇路正大综合楼5楼</w:t>
            </w:r>
          </w:p>
          <w:p w14:paraId="4E144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联系人：</w:t>
            </w:r>
            <w:r>
              <w:rPr>
                <w:rFonts w:hint="eastAsia" w:ascii="宋体" w:hAnsi="宋体" w:eastAsia="宋体" w:cs="宋体"/>
                <w:color w:val="auto"/>
                <w:highlight w:val="none"/>
                <w:lang w:val="en-US" w:eastAsia="zh-CN"/>
              </w:rPr>
              <w:t>秦金霞</w:t>
            </w:r>
            <w:r>
              <w:rPr>
                <w:rFonts w:hint="eastAsia" w:ascii="宋体" w:hAnsi="宋体" w:eastAsia="宋体" w:cs="宋体"/>
                <w:color w:val="auto"/>
                <w:highlight w:val="none"/>
              </w:rPr>
              <w:t>/陈飞</w:t>
            </w:r>
          </w:p>
          <w:p w14:paraId="44F95DD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联系电话：17815918197/0575-88246997</w:t>
            </w:r>
          </w:p>
          <w:p w14:paraId="229F8D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lang w:eastAsia="zh-CN"/>
              </w:rPr>
            </w:pPr>
            <w:r>
              <w:rPr>
                <w:rFonts w:hint="eastAsia" w:ascii="宋体" w:hAnsi="宋体" w:eastAsia="宋体" w:cs="宋体"/>
                <w:color w:val="auto"/>
                <w:highlight w:val="none"/>
              </w:rPr>
              <w:t>电子邮箱：</w:t>
            </w:r>
            <w:r>
              <w:rPr>
                <w:rFonts w:hint="eastAsia" w:ascii="宋体" w:hAnsi="宋体" w:eastAsia="宋体" w:cs="宋体"/>
                <w:color w:val="auto"/>
                <w:highlight w:val="none"/>
                <w:lang w:eastAsia="zh-CN"/>
              </w:rPr>
              <w:t>1316929110@qq.com</w:t>
            </w:r>
          </w:p>
        </w:tc>
      </w:tr>
      <w:tr w14:paraId="6A5292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5487F3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1.1.4</w:t>
            </w:r>
          </w:p>
        </w:tc>
        <w:tc>
          <w:tcPr>
            <w:tcW w:w="2050" w:type="dxa"/>
            <w:vAlign w:val="center"/>
          </w:tcPr>
          <w:p w14:paraId="0141C2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项目名称</w:t>
            </w:r>
          </w:p>
        </w:tc>
        <w:tc>
          <w:tcPr>
            <w:tcW w:w="5596" w:type="dxa"/>
            <w:vAlign w:val="center"/>
          </w:tcPr>
          <w:p w14:paraId="0C77907F">
            <w:pPr>
              <w:tabs>
                <w:tab w:val="left" w:pos="1480"/>
              </w:tabs>
              <w:kinsoku/>
              <w:overflowPunct w:val="0"/>
              <w:topLinePunct/>
              <w:spacing w:line="336" w:lineRule="auto"/>
              <w:ind w:left="105" w:leftChars="50" w:right="105" w:rightChars="50"/>
              <w:jc w:val="left"/>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绍兴文理学院附属医院(绍兴市立医院)二期A地块建设工程净化区域工程项目</w:t>
            </w:r>
          </w:p>
        </w:tc>
      </w:tr>
      <w:tr w14:paraId="4368A3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96A8B7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1.1.5</w:t>
            </w:r>
          </w:p>
        </w:tc>
        <w:tc>
          <w:tcPr>
            <w:tcW w:w="2050" w:type="dxa"/>
            <w:vAlign w:val="center"/>
          </w:tcPr>
          <w:p w14:paraId="684BBB9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建设地点</w:t>
            </w:r>
          </w:p>
        </w:tc>
        <w:tc>
          <w:tcPr>
            <w:tcW w:w="5596" w:type="dxa"/>
            <w:vAlign w:val="center"/>
          </w:tcPr>
          <w:p w14:paraId="4DA27089">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浙江省绍兴市</w:t>
            </w:r>
          </w:p>
        </w:tc>
      </w:tr>
      <w:tr w14:paraId="7F437B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F5146F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1.2.1</w:t>
            </w:r>
          </w:p>
        </w:tc>
        <w:tc>
          <w:tcPr>
            <w:tcW w:w="2050" w:type="dxa"/>
            <w:vAlign w:val="center"/>
          </w:tcPr>
          <w:p w14:paraId="40ECB1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资金来源及比例</w:t>
            </w:r>
          </w:p>
        </w:tc>
        <w:tc>
          <w:tcPr>
            <w:tcW w:w="5596" w:type="dxa"/>
            <w:vAlign w:val="center"/>
          </w:tcPr>
          <w:p w14:paraId="33875B3F">
            <w:pPr>
              <w:tabs>
                <w:tab w:val="left" w:pos="1480"/>
              </w:tabs>
              <w:kinsoku/>
              <w:overflowPunct w:val="0"/>
              <w:topLinePunct/>
              <w:spacing w:line="336" w:lineRule="auto"/>
              <w:ind w:left="105" w:leftChars="50" w:right="105" w:rightChars="50"/>
              <w:jc w:val="both"/>
              <w:rPr>
                <w:rFonts w:hint="eastAsia" w:ascii="宋体" w:hAnsi="宋体" w:eastAsia="宋体" w:cs="宋体"/>
                <w:b/>
                <w:bCs/>
                <w:color w:val="auto"/>
                <w:highlight w:val="none"/>
                <w:lang w:eastAsia="zh-CN"/>
              </w:rPr>
            </w:pPr>
            <w:r>
              <w:rPr>
                <w:rFonts w:hint="eastAsia" w:ascii="宋体" w:hAnsi="宋体" w:eastAsia="宋体" w:cs="宋体"/>
                <w:b/>
                <w:bCs/>
                <w:color w:val="auto"/>
                <w:highlight w:val="none"/>
                <w:lang w:eastAsia="zh-CN"/>
              </w:rPr>
              <w:t>财政资金  100%</w:t>
            </w:r>
          </w:p>
        </w:tc>
      </w:tr>
      <w:tr w14:paraId="5D42F6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E2137E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1.2.2</w:t>
            </w:r>
          </w:p>
        </w:tc>
        <w:tc>
          <w:tcPr>
            <w:tcW w:w="2050" w:type="dxa"/>
            <w:vAlign w:val="center"/>
          </w:tcPr>
          <w:p w14:paraId="3DCA867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资金落实情况</w:t>
            </w:r>
          </w:p>
        </w:tc>
        <w:tc>
          <w:tcPr>
            <w:tcW w:w="5596" w:type="dxa"/>
            <w:vAlign w:val="center"/>
          </w:tcPr>
          <w:p w14:paraId="6BE4B1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已落实</w:t>
            </w:r>
          </w:p>
        </w:tc>
      </w:tr>
      <w:tr w14:paraId="51154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7A9543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1.3.1</w:t>
            </w:r>
          </w:p>
        </w:tc>
        <w:tc>
          <w:tcPr>
            <w:tcW w:w="2050" w:type="dxa"/>
            <w:vAlign w:val="center"/>
          </w:tcPr>
          <w:p w14:paraId="0B42F96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招标范围</w:t>
            </w:r>
          </w:p>
        </w:tc>
        <w:tc>
          <w:tcPr>
            <w:tcW w:w="5596" w:type="dxa"/>
            <w:vAlign w:val="center"/>
          </w:tcPr>
          <w:p w14:paraId="30CEA2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57071F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F3B8AC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1.3.2</w:t>
            </w:r>
          </w:p>
        </w:tc>
        <w:tc>
          <w:tcPr>
            <w:tcW w:w="2050" w:type="dxa"/>
            <w:vAlign w:val="center"/>
          </w:tcPr>
          <w:p w14:paraId="0436F60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交货期</w:t>
            </w:r>
          </w:p>
        </w:tc>
        <w:tc>
          <w:tcPr>
            <w:tcW w:w="5596" w:type="dxa"/>
            <w:vAlign w:val="center"/>
          </w:tcPr>
          <w:p w14:paraId="7BD3E3C0">
            <w:pPr>
              <w:keepNext w:val="0"/>
              <w:keepLines w:val="0"/>
              <w:pageBreakBefore w:val="0"/>
              <w:widowControl w:val="0"/>
              <w:kinsoku/>
              <w:wordWrap/>
              <w:overflowPunct/>
              <w:topLinePunct w:val="0"/>
              <w:autoSpaceDE/>
              <w:autoSpaceDN/>
              <w:bidi w:val="0"/>
              <w:adjustRightInd/>
              <w:snapToGrid w:val="0"/>
              <w:spacing w:line="312" w:lineRule="auto"/>
              <w:ind w:firstLine="420" w:firstLineChars="200"/>
              <w:textAlignment w:val="auto"/>
              <w:rPr>
                <w:rFonts w:hint="eastAsia" w:ascii="宋体" w:hAnsi="宋体" w:eastAsia="宋体" w:cs="宋体"/>
                <w:color w:val="auto"/>
                <w:highlight w:val="none"/>
              </w:rPr>
            </w:pPr>
            <w:r>
              <w:rPr>
                <w:rFonts w:hint="eastAsia" w:ascii="宋体" w:hAnsi="宋体" w:eastAsia="宋体" w:cs="宋体"/>
                <w:strike w:val="0"/>
                <w:dstrike w:val="0"/>
                <w:color w:val="auto"/>
                <w:highlight w:val="none"/>
                <w:lang w:val="en-US" w:eastAsia="zh-CN"/>
              </w:rPr>
              <w:t>180</w:t>
            </w:r>
            <w:r>
              <w:rPr>
                <w:rFonts w:hint="eastAsia" w:ascii="宋体" w:hAnsi="宋体" w:eastAsia="宋体" w:cs="宋体"/>
                <w:color w:val="auto"/>
                <w:highlight w:val="none"/>
                <w:lang w:val="en-US" w:eastAsia="zh-CN"/>
              </w:rPr>
              <w:t>日历天，并不得影响总包总进度计划（以招标人发出的开工指令为准，具体应与工程施工总进度计划同步，服从总包管理）。</w:t>
            </w:r>
          </w:p>
        </w:tc>
      </w:tr>
      <w:tr w14:paraId="10D7B9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E967C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1.3.3</w:t>
            </w:r>
          </w:p>
        </w:tc>
        <w:tc>
          <w:tcPr>
            <w:tcW w:w="2050" w:type="dxa"/>
            <w:vAlign w:val="center"/>
          </w:tcPr>
          <w:p w14:paraId="3375227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质量保证期</w:t>
            </w:r>
          </w:p>
        </w:tc>
        <w:tc>
          <w:tcPr>
            <w:tcW w:w="5596" w:type="dxa"/>
            <w:vAlign w:val="center"/>
          </w:tcPr>
          <w:p w14:paraId="318AC18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color w:val="auto"/>
                <w:highlight w:val="none"/>
                <w:u w:val="single"/>
                <w:lang w:val="en-US" w:eastAsia="zh-CN"/>
              </w:rPr>
              <w:t>24</w:t>
            </w:r>
            <w:r>
              <w:rPr>
                <w:rFonts w:hint="eastAsia" w:ascii="宋体" w:hAnsi="宋体" w:eastAsia="宋体" w:cs="宋体"/>
                <w:color w:val="auto"/>
                <w:highlight w:val="none"/>
              </w:rPr>
              <w:t>个月，时间从</w:t>
            </w:r>
            <w:r>
              <w:rPr>
                <w:rFonts w:hint="eastAsia" w:ascii="宋体" w:hAnsi="宋体" w:eastAsia="宋体" w:cs="宋体"/>
                <w:color w:val="auto"/>
                <w:highlight w:val="none"/>
                <w:lang w:val="en-US" w:eastAsia="zh-CN"/>
              </w:rPr>
              <w:t>项目验收合格之日</w:t>
            </w:r>
            <w:r>
              <w:rPr>
                <w:rFonts w:hint="eastAsia" w:ascii="宋体" w:hAnsi="宋体" w:eastAsia="宋体" w:cs="宋体"/>
                <w:color w:val="auto"/>
                <w:highlight w:val="none"/>
              </w:rPr>
              <w:t>起算。</w:t>
            </w:r>
          </w:p>
        </w:tc>
      </w:tr>
      <w:tr w14:paraId="597728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86127A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1.4.1</w:t>
            </w:r>
          </w:p>
        </w:tc>
        <w:tc>
          <w:tcPr>
            <w:tcW w:w="2050" w:type="dxa"/>
            <w:vAlign w:val="center"/>
          </w:tcPr>
          <w:p w14:paraId="3671EE1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投标人资格条件、要求</w:t>
            </w:r>
          </w:p>
        </w:tc>
        <w:tc>
          <w:tcPr>
            <w:tcW w:w="5596" w:type="dxa"/>
            <w:vAlign w:val="center"/>
          </w:tcPr>
          <w:p w14:paraId="4023A86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见招标公告内容</w:t>
            </w:r>
          </w:p>
        </w:tc>
      </w:tr>
      <w:tr w14:paraId="0A21E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6541D1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1.4.2</w:t>
            </w:r>
          </w:p>
        </w:tc>
        <w:tc>
          <w:tcPr>
            <w:tcW w:w="2050" w:type="dxa"/>
            <w:vAlign w:val="center"/>
          </w:tcPr>
          <w:p w14:paraId="075D52C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是否接受联合体投标</w:t>
            </w:r>
          </w:p>
        </w:tc>
        <w:tc>
          <w:tcPr>
            <w:tcW w:w="5596" w:type="dxa"/>
            <w:vAlign w:val="center"/>
          </w:tcPr>
          <w:p w14:paraId="0DC708B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☑不接受</w:t>
            </w:r>
          </w:p>
          <w:p w14:paraId="052D921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□接受，应满足下列要求：</w:t>
            </w:r>
            <w:r>
              <w:rPr>
                <w:rFonts w:hint="eastAsia" w:ascii="宋体" w:hAnsi="宋体" w:eastAsia="宋体" w:cs="宋体"/>
                <w:color w:val="auto"/>
                <w:highlight w:val="none"/>
                <w:u w:val="single"/>
              </w:rPr>
              <w:t>/。</w:t>
            </w:r>
          </w:p>
        </w:tc>
      </w:tr>
      <w:tr w14:paraId="5E536B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D0329D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1.9.1</w:t>
            </w:r>
          </w:p>
        </w:tc>
        <w:tc>
          <w:tcPr>
            <w:tcW w:w="2050" w:type="dxa"/>
            <w:vAlign w:val="center"/>
          </w:tcPr>
          <w:p w14:paraId="4D2582B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踏勘现场</w:t>
            </w:r>
          </w:p>
        </w:tc>
        <w:tc>
          <w:tcPr>
            <w:tcW w:w="5596" w:type="dxa"/>
            <w:vAlign w:val="center"/>
          </w:tcPr>
          <w:p w14:paraId="7A3A6C5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☑不组织。</w:t>
            </w:r>
          </w:p>
          <w:p w14:paraId="0564155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□组织。联系人：</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联系电话：</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踏勘时间：</w:t>
            </w:r>
            <w:r>
              <w:rPr>
                <w:rFonts w:hint="eastAsia" w:ascii="宋体" w:hAnsi="宋体" w:eastAsia="宋体" w:cs="宋体"/>
                <w:color w:val="auto"/>
                <w:highlight w:val="none"/>
                <w:u w:val="single"/>
              </w:rPr>
              <w:t xml:space="preserve">                  </w:t>
            </w:r>
          </w:p>
          <w:p w14:paraId="3BC1059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踏勘集中地点：</w:t>
            </w:r>
            <w:r>
              <w:rPr>
                <w:rFonts w:hint="eastAsia" w:ascii="宋体" w:hAnsi="宋体" w:eastAsia="宋体" w:cs="宋体"/>
                <w:color w:val="auto"/>
                <w:highlight w:val="none"/>
                <w:u w:val="single"/>
              </w:rPr>
              <w:t xml:space="preserve">                  </w:t>
            </w:r>
          </w:p>
        </w:tc>
      </w:tr>
      <w:tr w14:paraId="2E3612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39A65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1.10.1</w:t>
            </w:r>
          </w:p>
        </w:tc>
        <w:tc>
          <w:tcPr>
            <w:tcW w:w="2050" w:type="dxa"/>
            <w:vAlign w:val="center"/>
          </w:tcPr>
          <w:p w14:paraId="28855E20">
            <w:pPr>
              <w:widowControl w:val="0"/>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投标预备会</w:t>
            </w:r>
          </w:p>
        </w:tc>
        <w:tc>
          <w:tcPr>
            <w:tcW w:w="5596" w:type="dxa"/>
            <w:vAlign w:val="center"/>
          </w:tcPr>
          <w:p w14:paraId="56AF990A">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☑不召开。</w:t>
            </w:r>
          </w:p>
          <w:p w14:paraId="51F70D79">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□召开。召开时间：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召开地点：</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 </w:t>
            </w:r>
          </w:p>
        </w:tc>
      </w:tr>
      <w:tr w14:paraId="57482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C4336E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1.10.2</w:t>
            </w:r>
          </w:p>
        </w:tc>
        <w:tc>
          <w:tcPr>
            <w:tcW w:w="2050" w:type="dxa"/>
            <w:vAlign w:val="center"/>
          </w:tcPr>
          <w:p w14:paraId="1953870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投标人提出问题的截止时间、上传疑问方式</w:t>
            </w:r>
          </w:p>
        </w:tc>
        <w:tc>
          <w:tcPr>
            <w:tcW w:w="5596" w:type="dxa"/>
            <w:vAlign w:val="center"/>
          </w:tcPr>
          <w:p w14:paraId="7862FB58">
            <w:pPr>
              <w:kinsoku/>
              <w:overflowPunct w:val="0"/>
              <w:topLinePunct/>
              <w:spacing w:line="336" w:lineRule="auto"/>
              <w:ind w:left="218" w:leftChars="104"/>
              <w:jc w:val="both"/>
              <w:rPr>
                <w:rFonts w:hint="eastAsia" w:ascii="宋体" w:hAnsi="宋体" w:eastAsia="宋体" w:cs="宋体"/>
                <w:color w:val="auto"/>
                <w:highlight w:val="none"/>
                <w:u w:val="single"/>
              </w:rPr>
            </w:pPr>
            <w:r>
              <w:rPr>
                <w:rFonts w:hint="eastAsia" w:ascii="宋体" w:hAnsi="宋体" w:eastAsia="宋体" w:cs="宋体"/>
                <w:color w:val="auto"/>
                <w:highlight w:val="none"/>
              </w:rPr>
              <w:t>提问截止时间：</w:t>
            </w:r>
            <w:r>
              <w:rPr>
                <w:rFonts w:hint="eastAsia" w:ascii="宋体" w:hAnsi="宋体" w:eastAsia="宋体" w:cs="宋体"/>
                <w:color w:val="auto"/>
                <w:highlight w:val="none"/>
                <w:u w:val="single"/>
              </w:rPr>
              <w:t xml:space="preserve"> 202</w:t>
            </w:r>
            <w:r>
              <w:rPr>
                <w:rFonts w:hint="eastAsia" w:ascii="宋体" w:hAnsi="宋体" w:eastAsia="宋体" w:cs="宋体"/>
                <w:color w:val="auto"/>
                <w:highlight w:val="none"/>
                <w:u w:val="single"/>
                <w:lang w:val="en-US" w:eastAsia="zh-CN"/>
              </w:rPr>
              <w:t>6</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年</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月</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日</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时</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 xml:space="preserve">分。（投标人在截止时间以后提出的澄清招标文件的要求，招标人可以拒绝受理），提交方式: </w:t>
            </w:r>
            <w:r>
              <w:rPr>
                <w:rFonts w:hint="eastAsia" w:ascii="宋体" w:hAnsi="宋体" w:eastAsia="宋体" w:cs="宋体"/>
                <w:i/>
                <w:color w:val="auto"/>
                <w:highlight w:val="none"/>
                <w:u w:val="single"/>
              </w:rPr>
              <w:t xml:space="preserve">请在上述时间截止前将加盖公章的PDF电子格式的投标提问书发送至 </w:t>
            </w:r>
            <w:r>
              <w:rPr>
                <w:rFonts w:hint="eastAsia" w:ascii="宋体" w:hAnsi="宋体" w:eastAsia="宋体" w:cs="宋体"/>
                <w:b/>
                <w:bCs/>
                <w:i/>
                <w:color w:val="auto"/>
                <w:highlight w:val="none"/>
                <w:u w:val="single"/>
                <w:lang w:eastAsia="zh-CN"/>
              </w:rPr>
              <w:t>1316929110@qq.com</w:t>
            </w:r>
            <w:r>
              <w:rPr>
                <w:rFonts w:hint="eastAsia" w:ascii="宋体" w:hAnsi="宋体" w:eastAsia="宋体" w:cs="宋体"/>
                <w:b/>
                <w:bCs/>
                <w:i/>
                <w:color w:val="auto"/>
                <w:highlight w:val="none"/>
                <w:u w:val="single"/>
              </w:rPr>
              <w:t xml:space="preserve"> 。</w:t>
            </w:r>
          </w:p>
          <w:p w14:paraId="3CD81F01">
            <w:pPr>
              <w:kinsoku/>
              <w:overflowPunct w:val="0"/>
              <w:topLinePunct/>
              <w:spacing w:line="336" w:lineRule="auto"/>
              <w:ind w:left="218" w:leftChars="104"/>
              <w:jc w:val="both"/>
              <w:rPr>
                <w:rFonts w:hint="eastAsia" w:ascii="宋体" w:hAnsi="宋体" w:eastAsia="宋体" w:cs="宋体"/>
                <w:color w:val="auto"/>
                <w:highlight w:val="none"/>
              </w:rPr>
            </w:pPr>
            <w:r>
              <w:rPr>
                <w:rFonts w:hint="eastAsia" w:ascii="宋体" w:hAnsi="宋体" w:eastAsia="宋体" w:cs="宋体"/>
                <w:color w:val="auto"/>
                <w:highlight w:val="none"/>
              </w:rPr>
              <w:t>联系方式：</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17815918197</w:t>
            </w:r>
            <w:r>
              <w:rPr>
                <w:rFonts w:hint="eastAsia" w:ascii="宋体" w:hAnsi="宋体" w:eastAsia="宋体" w:cs="宋体"/>
                <w:b/>
                <w:bCs/>
                <w:iCs/>
                <w:color w:val="auto"/>
                <w:highlight w:val="none"/>
                <w:u w:val="single"/>
              </w:rPr>
              <w:t xml:space="preserve"> </w:t>
            </w:r>
            <w:r>
              <w:rPr>
                <w:rFonts w:hint="eastAsia" w:ascii="宋体" w:hAnsi="宋体" w:eastAsia="宋体" w:cs="宋体"/>
                <w:i/>
                <w:color w:val="auto"/>
                <w:highlight w:val="none"/>
                <w:u w:val="single"/>
              </w:rPr>
              <w:t xml:space="preserve"> </w:t>
            </w:r>
            <w:r>
              <w:rPr>
                <w:rFonts w:hint="eastAsia" w:ascii="宋体" w:hAnsi="宋体" w:eastAsia="宋体" w:cs="宋体"/>
                <w:color w:val="auto"/>
                <w:highlight w:val="none"/>
              </w:rPr>
              <w:t>联系人：</w:t>
            </w:r>
            <w:r>
              <w:rPr>
                <w:rFonts w:hint="eastAsia" w:ascii="宋体" w:hAnsi="宋体" w:eastAsia="宋体" w:cs="宋体"/>
                <w:i/>
                <w:color w:val="auto"/>
                <w:highlight w:val="none"/>
                <w:u w:val="single"/>
              </w:rPr>
              <w:t xml:space="preserve"> </w:t>
            </w:r>
            <w:r>
              <w:rPr>
                <w:rFonts w:hint="eastAsia" w:ascii="宋体" w:hAnsi="宋体" w:eastAsia="宋体" w:cs="宋体"/>
                <w:b/>
                <w:bCs/>
                <w:iCs/>
                <w:color w:val="auto"/>
                <w:highlight w:val="none"/>
                <w:u w:val="single"/>
                <w:lang w:eastAsia="zh-CN"/>
              </w:rPr>
              <w:t>秦金霞</w:t>
            </w:r>
            <w:r>
              <w:rPr>
                <w:rFonts w:hint="eastAsia" w:ascii="宋体" w:hAnsi="宋体" w:eastAsia="宋体" w:cs="宋体"/>
                <w:i/>
                <w:color w:val="auto"/>
                <w:highlight w:val="none"/>
                <w:u w:val="single"/>
              </w:rPr>
              <w:t>。</w:t>
            </w:r>
          </w:p>
        </w:tc>
      </w:tr>
      <w:tr w14:paraId="2E3035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0DFFFE">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1.10.3</w:t>
            </w:r>
          </w:p>
        </w:tc>
        <w:tc>
          <w:tcPr>
            <w:tcW w:w="2050" w:type="dxa"/>
            <w:vAlign w:val="center"/>
          </w:tcPr>
          <w:p w14:paraId="74C00B0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招标文件的澄清、补充、修改的时间，澄清、修改、补充文件的下载网址</w:t>
            </w:r>
          </w:p>
        </w:tc>
        <w:tc>
          <w:tcPr>
            <w:tcW w:w="5596" w:type="dxa"/>
            <w:vAlign w:val="center"/>
          </w:tcPr>
          <w:p w14:paraId="1A4DB0D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招标人可以对已发出的招标文件进行必要的澄清或者修改。澄清或者修改的内容可能影响投标文件编制的，招标人应当在投标截止时间至少15日前，以书面形式通知所有获取招标文件的潜在投标人；不足15日的，招标人应当顺延投标文件的截止时间。</w:t>
            </w:r>
          </w:p>
          <w:p w14:paraId="75D8D6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澄清、补充、修改的内容不影响投标文件编制的，将在投标文件递交截止时间</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天前，以上款相同的形式发布。</w:t>
            </w:r>
          </w:p>
          <w:p w14:paraId="6FE03EF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潜在投标人应自行关注绍兴公共资源交易网，招标人不再逐一通知。投标人因自身贻误行为导致投标失败的，责任自负。</w:t>
            </w:r>
          </w:p>
          <w:p w14:paraId="4DCD2B8E">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公布、下载网址：绍兴市公共资源交易中心电子招投标交易平台(http://220.187.225.202:8088/TPBidder-ztk/memberlogin)</w:t>
            </w:r>
          </w:p>
        </w:tc>
      </w:tr>
      <w:tr w14:paraId="370D40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6385F4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1.11</w:t>
            </w:r>
          </w:p>
        </w:tc>
        <w:tc>
          <w:tcPr>
            <w:tcW w:w="2050" w:type="dxa"/>
            <w:vAlign w:val="center"/>
          </w:tcPr>
          <w:p w14:paraId="58CC842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分包</w:t>
            </w:r>
          </w:p>
        </w:tc>
        <w:tc>
          <w:tcPr>
            <w:tcW w:w="5596" w:type="dxa"/>
            <w:vAlign w:val="center"/>
          </w:tcPr>
          <w:p w14:paraId="4CA653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tc>
      </w:tr>
      <w:tr w14:paraId="0B5393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A1AD39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1.12</w:t>
            </w:r>
          </w:p>
        </w:tc>
        <w:tc>
          <w:tcPr>
            <w:tcW w:w="2050" w:type="dxa"/>
            <w:vAlign w:val="center"/>
          </w:tcPr>
          <w:p w14:paraId="6B24894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偏离</w:t>
            </w:r>
          </w:p>
        </w:tc>
        <w:tc>
          <w:tcPr>
            <w:tcW w:w="5596" w:type="dxa"/>
            <w:vAlign w:val="center"/>
          </w:tcPr>
          <w:p w14:paraId="075C0A7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5BB32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☑允许。允许偏离的内容、偏离范围和幅度：</w:t>
            </w:r>
            <w:r>
              <w:rPr>
                <w:rFonts w:hint="eastAsia" w:ascii="宋体" w:hAnsi="宋体" w:eastAsia="宋体" w:cs="宋体"/>
                <w:b/>
                <w:bCs/>
                <w:color w:val="auto"/>
                <w:highlight w:val="none"/>
                <w:u w:val="single"/>
              </w:rPr>
              <w:t>实质性要求允许正偏离。</w:t>
            </w:r>
          </w:p>
        </w:tc>
      </w:tr>
      <w:tr w14:paraId="266FD4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FBF08E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2.1</w:t>
            </w:r>
          </w:p>
        </w:tc>
        <w:tc>
          <w:tcPr>
            <w:tcW w:w="2050" w:type="dxa"/>
            <w:vAlign w:val="center"/>
          </w:tcPr>
          <w:p w14:paraId="304EA7D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构成招标文件的其他材料</w:t>
            </w:r>
          </w:p>
        </w:tc>
        <w:tc>
          <w:tcPr>
            <w:tcW w:w="5596" w:type="dxa"/>
            <w:vAlign w:val="center"/>
          </w:tcPr>
          <w:p w14:paraId="0A3723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4D0745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E300B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2.2.1</w:t>
            </w:r>
          </w:p>
        </w:tc>
        <w:tc>
          <w:tcPr>
            <w:tcW w:w="2050" w:type="dxa"/>
            <w:vAlign w:val="center"/>
          </w:tcPr>
          <w:p w14:paraId="1F754EA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投标人要求澄清招标文件的截止时间</w:t>
            </w:r>
          </w:p>
        </w:tc>
        <w:tc>
          <w:tcPr>
            <w:tcW w:w="5596" w:type="dxa"/>
            <w:vAlign w:val="center"/>
          </w:tcPr>
          <w:p w14:paraId="51F370D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同投标人须知前附表第1.10.2项</w:t>
            </w:r>
          </w:p>
        </w:tc>
      </w:tr>
      <w:tr w14:paraId="1ED988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025FB8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2.2.2</w:t>
            </w:r>
          </w:p>
        </w:tc>
        <w:tc>
          <w:tcPr>
            <w:tcW w:w="2050" w:type="dxa"/>
            <w:vAlign w:val="center"/>
          </w:tcPr>
          <w:p w14:paraId="432B6E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投标截止时间</w:t>
            </w:r>
          </w:p>
        </w:tc>
        <w:tc>
          <w:tcPr>
            <w:tcW w:w="5596" w:type="dxa"/>
            <w:vAlign w:val="center"/>
          </w:tcPr>
          <w:p w14:paraId="6F857AA2">
            <w:pPr>
              <w:tabs>
                <w:tab w:val="left" w:pos="558"/>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详见招标公告</w:t>
            </w:r>
          </w:p>
        </w:tc>
      </w:tr>
      <w:tr w14:paraId="133C6F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B78F656">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2.2.3</w:t>
            </w:r>
          </w:p>
        </w:tc>
        <w:tc>
          <w:tcPr>
            <w:tcW w:w="2050" w:type="dxa"/>
            <w:vAlign w:val="center"/>
          </w:tcPr>
          <w:p w14:paraId="12024D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投标人确认收到招标文件澄清的时间</w:t>
            </w:r>
          </w:p>
        </w:tc>
        <w:tc>
          <w:tcPr>
            <w:tcW w:w="5596" w:type="dxa"/>
            <w:vAlign w:val="center"/>
          </w:tcPr>
          <w:p w14:paraId="7FF9E3B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潜在投标人应自行关注绍兴公共资源交易网(http://ggb.sx.gov.cn/)和绍兴市公共资源交易中心电子招投标交易平台</w:t>
            </w:r>
          </w:p>
          <w:p w14:paraId="7092C0A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(http://220.187.225.202:8088/TPBidder-ztk/memberlogin)，招标人不再一一通知。投标人因自身贻误行为导致投标失败的，责任自负。</w:t>
            </w:r>
          </w:p>
        </w:tc>
      </w:tr>
      <w:tr w14:paraId="2B27FE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F6978A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3.1</w:t>
            </w:r>
          </w:p>
        </w:tc>
        <w:tc>
          <w:tcPr>
            <w:tcW w:w="2050" w:type="dxa"/>
            <w:vAlign w:val="center"/>
          </w:tcPr>
          <w:p w14:paraId="2197048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构成投标文件</w:t>
            </w:r>
          </w:p>
          <w:p w14:paraId="631F490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其他材料</w:t>
            </w:r>
          </w:p>
        </w:tc>
        <w:tc>
          <w:tcPr>
            <w:tcW w:w="5596" w:type="dxa"/>
            <w:vAlign w:val="center"/>
          </w:tcPr>
          <w:p w14:paraId="6FF1032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2AEBD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DD3EB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3.2.3</w:t>
            </w:r>
          </w:p>
        </w:tc>
        <w:tc>
          <w:tcPr>
            <w:tcW w:w="2050" w:type="dxa"/>
            <w:vAlign w:val="center"/>
          </w:tcPr>
          <w:p w14:paraId="660A94D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最高投标限价</w:t>
            </w:r>
          </w:p>
        </w:tc>
        <w:tc>
          <w:tcPr>
            <w:tcW w:w="5596" w:type="dxa"/>
            <w:vAlign w:val="center"/>
          </w:tcPr>
          <w:p w14:paraId="53CFA45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☑本次招标最高投标限价为：</w:t>
            </w:r>
            <w:r>
              <w:rPr>
                <w:rFonts w:hint="eastAsia" w:ascii="宋体" w:hAnsi="宋体" w:eastAsia="宋体" w:cs="宋体"/>
                <w:color w:val="auto"/>
                <w:highlight w:val="none"/>
                <w:u w:val="single"/>
                <w:lang w:val="en-US" w:eastAsia="zh-CN"/>
              </w:rPr>
              <w:t>3834.1982</w:t>
            </w:r>
            <w:r>
              <w:rPr>
                <w:rFonts w:hint="eastAsia" w:ascii="宋体" w:hAnsi="宋体" w:eastAsia="宋体" w:cs="宋体"/>
                <w:b/>
                <w:bCs/>
                <w:color w:val="auto"/>
                <w:highlight w:val="none"/>
                <w:u w:val="single"/>
              </w:rPr>
              <w:t xml:space="preserve"> </w:t>
            </w:r>
            <w:r>
              <w:rPr>
                <w:rFonts w:hint="eastAsia" w:ascii="宋体" w:hAnsi="宋体" w:eastAsia="宋体" w:cs="宋体"/>
                <w:color w:val="auto"/>
                <w:highlight w:val="none"/>
              </w:rPr>
              <w:t>万元（根据审定金额）</w:t>
            </w:r>
          </w:p>
          <w:p w14:paraId="5F46019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□在投标截止时间15个日历天前以补充文件的形式公布</w:t>
            </w:r>
          </w:p>
          <w:p w14:paraId="7D140B5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□本次招标最高投标限价的计算方法：。</w:t>
            </w:r>
          </w:p>
        </w:tc>
      </w:tr>
      <w:tr w14:paraId="4C310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C67DDD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3.2.4</w:t>
            </w:r>
          </w:p>
        </w:tc>
        <w:tc>
          <w:tcPr>
            <w:tcW w:w="2050" w:type="dxa"/>
            <w:vAlign w:val="center"/>
          </w:tcPr>
          <w:p w14:paraId="569C995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投标报价的</w:t>
            </w:r>
          </w:p>
          <w:p w14:paraId="2FA059A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其他要求</w:t>
            </w:r>
          </w:p>
        </w:tc>
        <w:tc>
          <w:tcPr>
            <w:tcW w:w="5596" w:type="dxa"/>
            <w:vAlign w:val="center"/>
          </w:tcPr>
          <w:p w14:paraId="39C3713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35960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F78EE4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3.3.1</w:t>
            </w:r>
          </w:p>
        </w:tc>
        <w:tc>
          <w:tcPr>
            <w:tcW w:w="2050" w:type="dxa"/>
            <w:vAlign w:val="center"/>
          </w:tcPr>
          <w:p w14:paraId="54C4D58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投标有效期</w:t>
            </w:r>
          </w:p>
        </w:tc>
        <w:tc>
          <w:tcPr>
            <w:tcW w:w="5596" w:type="dxa"/>
            <w:vAlign w:val="center"/>
          </w:tcPr>
          <w:p w14:paraId="3F30D80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不少于</w:t>
            </w:r>
            <w:r>
              <w:rPr>
                <w:rFonts w:hint="eastAsia" w:ascii="宋体" w:hAnsi="宋体" w:eastAsia="宋体" w:cs="宋体"/>
                <w:b/>
                <w:bCs/>
                <w:color w:val="auto"/>
                <w:highlight w:val="none"/>
                <w:u w:val="single"/>
              </w:rPr>
              <w:t xml:space="preserve"> 90 </w:t>
            </w:r>
            <w:r>
              <w:rPr>
                <w:rFonts w:hint="eastAsia" w:ascii="宋体" w:hAnsi="宋体" w:eastAsia="宋体" w:cs="宋体"/>
                <w:color w:val="auto"/>
                <w:highlight w:val="none"/>
              </w:rPr>
              <w:t>个日历天(从投标截止之日起算)。</w:t>
            </w:r>
          </w:p>
        </w:tc>
      </w:tr>
      <w:tr w14:paraId="49B324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5FE6D8A">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3.4</w:t>
            </w:r>
          </w:p>
        </w:tc>
        <w:tc>
          <w:tcPr>
            <w:tcW w:w="2050" w:type="dxa"/>
            <w:vAlign w:val="center"/>
          </w:tcPr>
          <w:p w14:paraId="734861ED">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投标保证金数额</w:t>
            </w:r>
          </w:p>
        </w:tc>
        <w:tc>
          <w:tcPr>
            <w:tcW w:w="5596" w:type="dxa"/>
            <w:vAlign w:val="center"/>
          </w:tcPr>
          <w:p w14:paraId="0B8C7F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投标保证金的金额与形式：见公告。</w:t>
            </w:r>
          </w:p>
        </w:tc>
      </w:tr>
      <w:tr w14:paraId="6A8BC0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B1FD222">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3.5.2</w:t>
            </w:r>
          </w:p>
        </w:tc>
        <w:tc>
          <w:tcPr>
            <w:tcW w:w="2050" w:type="dxa"/>
            <w:vAlign w:val="center"/>
          </w:tcPr>
          <w:p w14:paraId="69CE598E">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近年财务状况的年份要求</w:t>
            </w:r>
          </w:p>
        </w:tc>
        <w:tc>
          <w:tcPr>
            <w:tcW w:w="5596" w:type="dxa"/>
            <w:vAlign w:val="center"/>
          </w:tcPr>
          <w:p w14:paraId="61E206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7E43BB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E28210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3.5.3</w:t>
            </w:r>
          </w:p>
        </w:tc>
        <w:tc>
          <w:tcPr>
            <w:tcW w:w="2050" w:type="dxa"/>
            <w:vAlign w:val="center"/>
          </w:tcPr>
          <w:p w14:paraId="59E9EFF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近年完成的类似项目的年份要求</w:t>
            </w:r>
          </w:p>
        </w:tc>
        <w:tc>
          <w:tcPr>
            <w:tcW w:w="5596" w:type="dxa"/>
            <w:vAlign w:val="center"/>
          </w:tcPr>
          <w:p w14:paraId="1070BC6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5B2B9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AB51E6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3.5.5</w:t>
            </w:r>
          </w:p>
        </w:tc>
        <w:tc>
          <w:tcPr>
            <w:tcW w:w="2050" w:type="dxa"/>
            <w:vAlign w:val="center"/>
          </w:tcPr>
          <w:p w14:paraId="2B346F03">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近年发生的重大诉讼及仲裁情况的年份要求</w:t>
            </w:r>
          </w:p>
        </w:tc>
        <w:tc>
          <w:tcPr>
            <w:tcW w:w="5596" w:type="dxa"/>
            <w:vAlign w:val="center"/>
          </w:tcPr>
          <w:p w14:paraId="23609CE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color w:val="auto"/>
                <w:highlight w:val="none"/>
              </w:rPr>
              <w:t>/</w:t>
            </w:r>
          </w:p>
        </w:tc>
      </w:tr>
      <w:tr w14:paraId="3EC432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3226DC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3.5.7</w:t>
            </w:r>
          </w:p>
        </w:tc>
        <w:tc>
          <w:tcPr>
            <w:tcW w:w="2050" w:type="dxa"/>
            <w:vAlign w:val="center"/>
          </w:tcPr>
          <w:p w14:paraId="21C7CA54">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实质性响应招标文件及评审打分资料</w:t>
            </w:r>
          </w:p>
        </w:tc>
        <w:tc>
          <w:tcPr>
            <w:tcW w:w="5596" w:type="dxa"/>
            <w:vAlign w:val="center"/>
          </w:tcPr>
          <w:p w14:paraId="4630D6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一、实质性响应招标文件资料</w:t>
            </w:r>
          </w:p>
          <w:p w14:paraId="3941263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1.企业法人营业执照；</w:t>
            </w:r>
          </w:p>
          <w:p w14:paraId="271B798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2.法定代表人授权委托书(投标文件委托代理人签字的提供)；</w:t>
            </w:r>
          </w:p>
          <w:p w14:paraId="041DABE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□3.联合体各方签订的共同投标协议(联合体投标的提供)；</w:t>
            </w:r>
          </w:p>
          <w:p w14:paraId="45252FF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4.投标保证金缴纳证明资料；</w:t>
            </w:r>
          </w:p>
          <w:p w14:paraId="5103947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5.中小企业声明函；</w:t>
            </w:r>
          </w:p>
          <w:p w14:paraId="6DD4A144">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6.投标承诺书；</w:t>
            </w:r>
          </w:p>
          <w:p w14:paraId="59F0CE5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☑7.(招标人认为需要增加的符合法律法规规定的其他实质性响应的资料)。</w:t>
            </w:r>
          </w:p>
          <w:p w14:paraId="4BB3764A">
            <w:pPr>
              <w:spacing w:line="312" w:lineRule="auto"/>
              <w:ind w:firstLine="422" w:firstLineChars="200"/>
              <w:rPr>
                <w:rFonts w:hint="eastAsia" w:ascii="宋体" w:hAnsi="宋体" w:eastAsia="宋体" w:cs="宋体"/>
                <w:b/>
                <w:bCs/>
                <w:color w:val="auto"/>
                <w:highlight w:val="none"/>
                <w:u w:val="single"/>
              </w:rPr>
            </w:pPr>
            <w:r>
              <w:rPr>
                <w:rFonts w:hint="eastAsia" w:ascii="宋体" w:hAnsi="宋体" w:eastAsia="宋体" w:cs="宋体"/>
                <w:b/>
                <w:bCs/>
                <w:color w:val="auto"/>
                <w:highlight w:val="none"/>
                <w:u w:val="single"/>
                <w:lang w:val="en-US" w:eastAsia="zh-CN"/>
              </w:rPr>
              <w:t>1.</w:t>
            </w:r>
            <w:r>
              <w:rPr>
                <w:rFonts w:hint="eastAsia" w:ascii="宋体" w:hAnsi="宋体" w:eastAsia="宋体" w:cs="宋体"/>
                <w:b/>
                <w:bCs/>
                <w:color w:val="auto"/>
                <w:highlight w:val="none"/>
                <w:u w:val="single"/>
              </w:rPr>
              <w:t>投标人具有独立承担民事责任的能力的法人或者其他组织</w:t>
            </w:r>
            <w:r>
              <w:rPr>
                <w:rFonts w:hint="eastAsia" w:ascii="宋体" w:hAnsi="宋体" w:eastAsia="宋体" w:cs="宋体"/>
                <w:b/>
                <w:bCs/>
                <w:color w:val="auto"/>
                <w:highlight w:val="none"/>
                <w:u w:val="single"/>
                <w:lang w:eastAsia="zh-CN"/>
              </w:rPr>
              <w:t>；</w:t>
            </w:r>
          </w:p>
          <w:p w14:paraId="649BB7CD">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2.</w:t>
            </w:r>
            <w:r>
              <w:rPr>
                <w:rFonts w:hint="eastAsia" w:ascii="宋体" w:hAnsi="宋体" w:eastAsia="宋体" w:cs="宋体"/>
                <w:b/>
                <w:bCs/>
                <w:color w:val="auto"/>
                <w:highlight w:val="none"/>
                <w:u w:val="single"/>
              </w:rPr>
              <w:t>本次招标要求投标人具备 ①特种设备安装改造维修许可证（压力管道GC2级或以上）或特种设备生产许可证（工业管道安装GC2级或以上）；</w:t>
            </w:r>
            <w:r>
              <w:rPr>
                <w:rFonts w:hint="eastAsia" w:ascii="宋体" w:hAnsi="宋体" w:eastAsia="宋体" w:cs="宋体"/>
                <w:b/>
                <w:bCs/>
                <w:color w:val="auto"/>
                <w:highlight w:val="none"/>
                <w:u w:val="single"/>
                <w:lang w:val="en-US" w:eastAsia="zh-CN"/>
              </w:rPr>
              <w:t>②</w:t>
            </w:r>
            <w:r>
              <w:rPr>
                <w:rFonts w:hint="eastAsia" w:ascii="宋体" w:hAnsi="宋体" w:eastAsia="宋体" w:cs="宋体"/>
                <w:b/>
                <w:bCs/>
                <w:color w:val="auto"/>
                <w:highlight w:val="none"/>
                <w:u w:val="single"/>
              </w:rPr>
              <w:t>医疗器械经营许可证或医疗器械经营备案凭证；</w:t>
            </w:r>
          </w:p>
          <w:p w14:paraId="24102BA6">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3.投标人自2021年7月1日（时间以合同签订时间为准）至投标截止日止，完成过单项合同金额2300万元及以上的医用净化工程业绩。</w:t>
            </w:r>
          </w:p>
          <w:p w14:paraId="4538096E">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注：①、业绩证明材料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0570B114">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②、投标文件中的提供的相关证明材料必须能反映资格审查项的相关项目规模，否则不予认可；</w:t>
            </w:r>
          </w:p>
          <w:p w14:paraId="4C103F2B">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③、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450237E3">
            <w:pPr>
              <w:spacing w:line="312" w:lineRule="auto"/>
              <w:ind w:firstLine="422" w:firstLineChars="200"/>
              <w:rPr>
                <w:rFonts w:hint="eastAsia" w:ascii="宋体" w:hAnsi="宋体" w:eastAsia="宋体" w:cs="宋体"/>
                <w:b/>
                <w:bCs/>
                <w:color w:val="auto"/>
                <w:highlight w:val="none"/>
                <w:u w:val="single"/>
                <w:lang w:val="en-US" w:eastAsia="zh-CN"/>
              </w:rPr>
            </w:pPr>
            <w:r>
              <w:rPr>
                <w:rFonts w:hint="eastAsia" w:ascii="宋体" w:hAnsi="宋体" w:eastAsia="宋体" w:cs="宋体"/>
                <w:b/>
                <w:bCs/>
                <w:color w:val="auto"/>
                <w:highlight w:val="none"/>
                <w:u w:val="single"/>
                <w:lang w:val="en-US" w:eastAsia="zh-CN"/>
              </w:rPr>
              <w:t>④、总承包单位、专业分包单位（含二次招标）以同一项目业绩参与本项目投标的，结合上述业绩证明材料要求，根据投标人提供的资料，经专家评定后确定实际施工单位身份。</w:t>
            </w:r>
          </w:p>
          <w:p w14:paraId="0FA9B33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二、评审打分资料</w:t>
            </w:r>
          </w:p>
          <w:p w14:paraId="2480CD5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1.招标文件对提供的资料有打分内容的填写。</w:t>
            </w:r>
          </w:p>
          <w:p w14:paraId="6285B937">
            <w:pPr>
              <w:tabs>
                <w:tab w:val="left" w:pos="5680"/>
              </w:tabs>
              <w:kinsoku/>
              <w:overflowPunct w:val="0"/>
              <w:topLinePunct/>
              <w:spacing w:line="336" w:lineRule="auto"/>
              <w:ind w:left="105" w:leftChars="50" w:right="105" w:rightChars="50"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以上一、二条涉及证书、资料应在投标文件中附复制件，并加盖投标人公章。上述证书、资料均应在有效期内，已在有效期外尚在办理延期过程中的视为无效。评标专家评标时，可要求投标人在规定时间内澄清，但提供的资料不得超出投标文件的范围或改变投标文件实质性内容。</w:t>
            </w:r>
          </w:p>
        </w:tc>
      </w:tr>
      <w:tr w14:paraId="45EB3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3B338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3.6</w:t>
            </w:r>
          </w:p>
        </w:tc>
        <w:tc>
          <w:tcPr>
            <w:tcW w:w="2050" w:type="dxa"/>
            <w:vAlign w:val="center"/>
          </w:tcPr>
          <w:p w14:paraId="40E9E0E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2"/>
                <w:highlight w:val="none"/>
              </w:rPr>
              <w:t>是否允许递交</w:t>
            </w:r>
          </w:p>
          <w:p w14:paraId="7A503422">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备选投标方案</w:t>
            </w:r>
          </w:p>
        </w:tc>
        <w:tc>
          <w:tcPr>
            <w:tcW w:w="5596" w:type="dxa"/>
            <w:vAlign w:val="center"/>
          </w:tcPr>
          <w:p w14:paraId="381054A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☑不允许。</w:t>
            </w:r>
          </w:p>
          <w:p w14:paraId="155270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□允许。</w:t>
            </w:r>
          </w:p>
        </w:tc>
      </w:tr>
      <w:tr w14:paraId="698B1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308E6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3.7.3（1）</w:t>
            </w:r>
          </w:p>
        </w:tc>
        <w:tc>
          <w:tcPr>
            <w:tcW w:w="2050" w:type="dxa"/>
            <w:vAlign w:val="center"/>
          </w:tcPr>
          <w:p w14:paraId="2DE0066F">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□纸质投标文件签字或盖章要求</w:t>
            </w:r>
          </w:p>
        </w:tc>
        <w:tc>
          <w:tcPr>
            <w:tcW w:w="5596" w:type="dxa"/>
            <w:vAlign w:val="center"/>
          </w:tcPr>
          <w:p w14:paraId="58FEFAE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按招标文件要求盖单位公章、法定代表人签字或盖章。委托代理人签字的，投标文件应附法定代表人签署的授权委托书。</w:t>
            </w:r>
          </w:p>
        </w:tc>
      </w:tr>
      <w:tr w14:paraId="4678A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5A15C164">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3.7.3（2）</w:t>
            </w:r>
          </w:p>
        </w:tc>
        <w:tc>
          <w:tcPr>
            <w:tcW w:w="2050" w:type="dxa"/>
            <w:vAlign w:val="center"/>
          </w:tcPr>
          <w:p w14:paraId="1863C940">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电子投标文件盖章要求</w:t>
            </w:r>
          </w:p>
        </w:tc>
        <w:tc>
          <w:tcPr>
            <w:tcW w:w="5596" w:type="dxa"/>
            <w:vAlign w:val="center"/>
          </w:tcPr>
          <w:p w14:paraId="46520B8A">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投标文件格式文件要求投标人盖章、法定代表人签字或盖章的地方，投标人均应使用CA数字证书加盖投标人的单位电子印章、法定代表人个人电子印章。联合体投标的，除联合体协议书格式之外的仅由联合体牵头人加盖单位电子印章、法定代表人个人电子印章即可。</w:t>
            </w:r>
          </w:p>
          <w:p w14:paraId="5940CB4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w:t>
            </w: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投标文件所附证书证件、业绩证明文件、投标保证金等证明材料用原件扫描件并加盖投标单位电子印章；</w:t>
            </w:r>
          </w:p>
        </w:tc>
      </w:tr>
      <w:tr w14:paraId="3BC98E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F5272EE">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26DE291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电子投标文件加密章要求</w:t>
            </w:r>
          </w:p>
        </w:tc>
        <w:tc>
          <w:tcPr>
            <w:tcW w:w="5596" w:type="dxa"/>
            <w:vAlign w:val="center"/>
          </w:tcPr>
          <w:p w14:paraId="53A624E1">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电子投标的项目，在投标截止时间前，将由投标工具软件制作生成的加密投标文件上传至绍兴市公共资源交易中心电子招投标交易平台。</w:t>
            </w:r>
          </w:p>
          <w:p w14:paraId="1E6CA4B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w:t>
            </w:r>
          </w:p>
        </w:tc>
      </w:tr>
      <w:tr w14:paraId="0802FF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F98C82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3.7.4</w:t>
            </w:r>
          </w:p>
        </w:tc>
        <w:tc>
          <w:tcPr>
            <w:tcW w:w="2050" w:type="dxa"/>
            <w:vAlign w:val="center"/>
          </w:tcPr>
          <w:p w14:paraId="4BB71E79">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投标文件份数</w:t>
            </w:r>
          </w:p>
        </w:tc>
        <w:tc>
          <w:tcPr>
            <w:tcW w:w="5596" w:type="dxa"/>
            <w:vAlign w:val="center"/>
          </w:tcPr>
          <w:p w14:paraId="3EA45AD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r w14:paraId="300A8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3B59045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4.1</w:t>
            </w:r>
          </w:p>
        </w:tc>
        <w:tc>
          <w:tcPr>
            <w:tcW w:w="2050" w:type="dxa"/>
            <w:vAlign w:val="center"/>
          </w:tcPr>
          <w:p w14:paraId="434688C1">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光盘、样品等材料的包装和标记</w:t>
            </w:r>
          </w:p>
        </w:tc>
        <w:tc>
          <w:tcPr>
            <w:tcW w:w="5596" w:type="dxa"/>
            <w:vAlign w:val="center"/>
          </w:tcPr>
          <w:p w14:paraId="74B9397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b/>
                <w:bCs/>
                <w:strike w:val="0"/>
                <w:color w:val="auto"/>
                <w:highlight w:val="none"/>
                <w:lang w:val="en-US" w:eastAsia="zh-CN"/>
              </w:rPr>
              <w:t>样品需</w:t>
            </w:r>
            <w:r>
              <w:rPr>
                <w:rFonts w:hint="eastAsia" w:ascii="宋体" w:hAnsi="宋体" w:eastAsia="宋体" w:cs="宋体"/>
                <w:b/>
                <w:bCs/>
                <w:strike w:val="0"/>
                <w:color w:val="auto"/>
                <w:highlight w:val="none"/>
              </w:rPr>
              <w:t>标明“项目名称”、“投标人名称”等字样，并加盖投标人公章。</w:t>
            </w:r>
          </w:p>
        </w:tc>
      </w:tr>
      <w:tr w14:paraId="0B94A7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C353219">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w:t>
            </w:r>
          </w:p>
        </w:tc>
        <w:tc>
          <w:tcPr>
            <w:tcW w:w="2050" w:type="dxa"/>
            <w:vAlign w:val="center"/>
          </w:tcPr>
          <w:p w14:paraId="7BD137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电子投标文件加密要求</w:t>
            </w:r>
          </w:p>
        </w:tc>
        <w:tc>
          <w:tcPr>
            <w:tcW w:w="5596" w:type="dxa"/>
            <w:vAlign w:val="center"/>
          </w:tcPr>
          <w:p w14:paraId="2FEBEE2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使用投标工具软件编制生成的电子投标文件。</w:t>
            </w:r>
          </w:p>
        </w:tc>
      </w:tr>
      <w:tr w14:paraId="44B7AC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34775CDD">
            <w:pPr>
              <w:kinsoku/>
              <w:overflowPunct w:val="0"/>
              <w:topLinePunct/>
              <w:spacing w:line="336" w:lineRule="auto"/>
              <w:ind w:right="105" w:rightChars="50" w:firstLine="210" w:firstLineChars="100"/>
              <w:jc w:val="both"/>
              <w:rPr>
                <w:rFonts w:hint="eastAsia" w:ascii="宋体" w:hAnsi="宋体" w:eastAsia="宋体" w:cs="宋体"/>
                <w:color w:val="auto"/>
                <w:highlight w:val="none"/>
              </w:rPr>
            </w:pPr>
            <w:r>
              <w:rPr>
                <w:rFonts w:hint="eastAsia" w:ascii="宋体" w:hAnsi="宋体" w:eastAsia="宋体" w:cs="宋体"/>
                <w:color w:val="auto"/>
                <w:highlight w:val="none"/>
              </w:rPr>
              <w:t>4.2.2</w:t>
            </w:r>
          </w:p>
        </w:tc>
        <w:tc>
          <w:tcPr>
            <w:tcW w:w="2050" w:type="dxa"/>
            <w:vMerge w:val="restart"/>
            <w:vAlign w:val="center"/>
          </w:tcPr>
          <w:p w14:paraId="2B590D5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递交投标文件方式和地点</w:t>
            </w:r>
          </w:p>
        </w:tc>
        <w:tc>
          <w:tcPr>
            <w:tcW w:w="5596" w:type="dxa"/>
            <w:vAlign w:val="center"/>
          </w:tcPr>
          <w:p w14:paraId="68A2026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截止时间：详见招标公告</w:t>
            </w:r>
          </w:p>
        </w:tc>
      </w:tr>
      <w:tr w14:paraId="1FE530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3E102EDA">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9C4953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79F5BD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本项目投标文件投标人采用□现场递交/☑电子投标文件上传平台。</w:t>
            </w:r>
          </w:p>
          <w:p w14:paraId="6952CB1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□现场递交：投标人将密封的投标文件在开标当日09:00时至09:30时递交至绍兴市公共资源交易中心二楼指定开标室，投标文件递交后即交即走。投标文件递交地址：</w:t>
            </w:r>
            <w:r>
              <w:rPr>
                <w:rFonts w:hint="eastAsia" w:ascii="宋体" w:hAnsi="宋体" w:eastAsia="宋体" w:cs="宋体"/>
                <w:b/>
                <w:bCs/>
                <w:color w:val="auto"/>
                <w:highlight w:val="none"/>
              </w:rPr>
              <w:t>绍兴市越城区洋江西路 699 号梅山春晓 2 楼 开标室</w:t>
            </w:r>
            <w:r>
              <w:rPr>
                <w:rFonts w:hint="eastAsia" w:ascii="宋体" w:hAnsi="宋体" w:eastAsia="宋体" w:cs="宋体"/>
                <w:color w:val="auto"/>
                <w:highlight w:val="none"/>
              </w:rPr>
              <w:t>（绍兴市公共资源交易中心）。</w:t>
            </w:r>
          </w:p>
        </w:tc>
      </w:tr>
      <w:tr w14:paraId="00E682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159FF6AF">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Merge w:val="continue"/>
            <w:vAlign w:val="center"/>
          </w:tcPr>
          <w:p w14:paraId="2B245B1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5596" w:type="dxa"/>
            <w:vAlign w:val="center"/>
          </w:tcPr>
          <w:p w14:paraId="5381D803">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☑使用专用密钥上传至 绍兴市公共资源交易中心电子招投标交易平台（http://220.187.225.202:8088/TPBidder-ztk/memberlogin）</w:t>
            </w:r>
          </w:p>
        </w:tc>
      </w:tr>
      <w:tr w14:paraId="7C64C5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3F0940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4.2.3</w:t>
            </w:r>
          </w:p>
        </w:tc>
        <w:tc>
          <w:tcPr>
            <w:tcW w:w="2050" w:type="dxa"/>
            <w:vAlign w:val="center"/>
          </w:tcPr>
          <w:p w14:paraId="284E2A85">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是否退还投标文件</w:t>
            </w:r>
          </w:p>
        </w:tc>
        <w:tc>
          <w:tcPr>
            <w:tcW w:w="5596" w:type="dxa"/>
            <w:vAlign w:val="center"/>
          </w:tcPr>
          <w:p w14:paraId="1BF48BF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w:t>
            </w:r>
          </w:p>
          <w:p w14:paraId="2829A58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□是。未中标的投标文件将予以退还。</w:t>
            </w:r>
          </w:p>
        </w:tc>
      </w:tr>
      <w:tr w14:paraId="1014CF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restart"/>
            <w:vAlign w:val="center"/>
          </w:tcPr>
          <w:p w14:paraId="2FBC8C3B">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4.4</w:t>
            </w:r>
          </w:p>
        </w:tc>
        <w:tc>
          <w:tcPr>
            <w:tcW w:w="2050" w:type="dxa"/>
            <w:vAlign w:val="center"/>
          </w:tcPr>
          <w:p w14:paraId="39BC55DA">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□投标文件的拒收情形</w:t>
            </w:r>
          </w:p>
        </w:tc>
        <w:tc>
          <w:tcPr>
            <w:tcW w:w="5596" w:type="dxa"/>
            <w:vAlign w:val="center"/>
          </w:tcPr>
          <w:p w14:paraId="4BF711EB">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一、投标人未按规定密封或封套外信息与所投标段内容不符的投标文件。</w:t>
            </w:r>
          </w:p>
          <w:p w14:paraId="1CD977CC">
            <w:p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2"/>
                <w:highlight w:val="none"/>
              </w:rPr>
            </w:pPr>
            <w:r>
              <w:rPr>
                <w:rFonts w:hint="eastAsia" w:ascii="宋体" w:hAnsi="宋体" w:eastAsia="宋体" w:cs="宋体"/>
                <w:color w:val="auto"/>
                <w:position w:val="2"/>
                <w:highlight w:val="none"/>
              </w:rPr>
              <w:t>二、未在投标截止时间前递交的投标文件。</w:t>
            </w:r>
          </w:p>
        </w:tc>
      </w:tr>
      <w:tr w14:paraId="25147C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Merge w:val="continue"/>
            <w:vAlign w:val="center"/>
          </w:tcPr>
          <w:p w14:paraId="671F0288">
            <w:pPr>
              <w:kinsoku/>
              <w:overflowPunct w:val="0"/>
              <w:topLinePunct/>
              <w:spacing w:line="336" w:lineRule="auto"/>
              <w:ind w:left="105" w:leftChars="50" w:right="105" w:rightChars="50"/>
              <w:jc w:val="both"/>
              <w:rPr>
                <w:rFonts w:hint="eastAsia" w:ascii="宋体" w:hAnsi="宋体" w:eastAsia="宋体" w:cs="宋体"/>
                <w:color w:val="auto"/>
                <w:highlight w:val="none"/>
              </w:rPr>
            </w:pPr>
          </w:p>
        </w:tc>
        <w:tc>
          <w:tcPr>
            <w:tcW w:w="2050" w:type="dxa"/>
            <w:vAlign w:val="center"/>
          </w:tcPr>
          <w:p w14:paraId="64453F1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☑电子投标文件的拒收情形</w:t>
            </w:r>
          </w:p>
        </w:tc>
        <w:tc>
          <w:tcPr>
            <w:tcW w:w="5596" w:type="dxa"/>
            <w:vAlign w:val="center"/>
          </w:tcPr>
          <w:p w14:paraId="526B396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1.投标截止时间后送达（上传）的投标文件、未按招标文件要求上传的；</w:t>
            </w:r>
          </w:p>
          <w:p w14:paraId="45E7C87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2.投标人未按规定加密的投标文件，应当拒收并提示。</w:t>
            </w:r>
            <w:r>
              <w:rPr>
                <w:rFonts w:hint="eastAsia" w:ascii="宋体" w:hAnsi="宋体" w:eastAsia="宋体" w:cs="宋体"/>
                <w:color w:val="auto"/>
                <w:highlight w:val="none"/>
              </w:rPr>
              <w:br w:type="textWrapping"/>
            </w:r>
            <w:r>
              <w:rPr>
                <w:rFonts w:hint="eastAsia" w:ascii="宋体" w:hAnsi="宋体" w:eastAsia="宋体" w:cs="宋体"/>
                <w:color w:val="auto"/>
                <w:highlight w:val="none"/>
              </w:rPr>
              <w:t>3.存在下列情况之一的，视为拒收：</w:t>
            </w:r>
          </w:p>
          <w:p w14:paraId="752282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（1）电子投标文件无法解密的；</w:t>
            </w:r>
          </w:p>
          <w:p w14:paraId="6D3CF47D">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（2）电子投标文件解密后无法正确读取的；</w:t>
            </w:r>
          </w:p>
          <w:p w14:paraId="268F5CA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（3）电子投标文件无法导入成功的；</w:t>
            </w:r>
          </w:p>
          <w:p w14:paraId="410B69F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4.□未被邀请的申请人提交的投标文件</w:t>
            </w:r>
          </w:p>
          <w:p w14:paraId="2916A6C3">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5.其他:  法律、法规所规定的其他情形   。</w:t>
            </w:r>
          </w:p>
        </w:tc>
      </w:tr>
      <w:tr w14:paraId="35BCC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72FAB68">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5.1</w:t>
            </w:r>
          </w:p>
        </w:tc>
        <w:tc>
          <w:tcPr>
            <w:tcW w:w="2050" w:type="dxa"/>
            <w:vAlign w:val="center"/>
          </w:tcPr>
          <w:p w14:paraId="7BF9794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开标时间和地点、参加开标会议的要求</w:t>
            </w:r>
          </w:p>
        </w:tc>
        <w:tc>
          <w:tcPr>
            <w:tcW w:w="5596" w:type="dxa"/>
            <w:vAlign w:val="center"/>
          </w:tcPr>
          <w:p w14:paraId="17F98C9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2"/>
                <w:highlight w:val="none"/>
              </w:rPr>
              <w:t>一、开标时间：同投标截止时间。</w:t>
            </w:r>
          </w:p>
          <w:p w14:paraId="513A113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二、开标地点：绍兴市公共资源交易中心二楼指定开标室</w:t>
            </w:r>
            <w:r>
              <w:rPr>
                <w:rFonts w:hint="eastAsia" w:ascii="宋体" w:hAnsi="宋体" w:eastAsia="宋体" w:cs="宋体"/>
                <w:b/>
                <w:bCs/>
                <w:color w:val="auto"/>
                <w:highlight w:val="none"/>
              </w:rPr>
              <w:t>（绍兴市越城区洋江西路 699 号梅山春晓 2 楼 ）。</w:t>
            </w:r>
          </w:p>
          <w:p w14:paraId="50704D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☑三、开标平台:绍兴市公共资源交易中心电子招投标交易平台</w:t>
            </w:r>
          </w:p>
          <w:p w14:paraId="032A9B53">
            <w:pPr>
              <w:numPr>
                <w:ilvl w:val="0"/>
                <w:numId w:val="5"/>
              </w:numPr>
              <w:tabs>
                <w:tab w:val="left" w:pos="5680"/>
              </w:tabs>
              <w:kinsoku/>
              <w:overflowPunct w:val="0"/>
              <w:topLinePunct/>
              <w:spacing w:line="336" w:lineRule="auto"/>
              <w:ind w:left="105" w:leftChars="50" w:right="105" w:rightChars="50"/>
              <w:jc w:val="both"/>
              <w:rPr>
                <w:rFonts w:hint="eastAsia" w:ascii="宋体" w:hAnsi="宋体" w:eastAsia="宋体" w:cs="宋体"/>
                <w:color w:val="auto"/>
                <w:position w:val="1"/>
                <w:highlight w:val="none"/>
              </w:rPr>
            </w:pPr>
            <w:r>
              <w:rPr>
                <w:rFonts w:hint="eastAsia" w:ascii="宋体" w:hAnsi="宋体" w:eastAsia="宋体" w:cs="宋体"/>
                <w:color w:val="auto"/>
                <w:position w:val="1"/>
                <w:highlight w:val="none"/>
              </w:rPr>
              <w:t>参加开标会议的要求</w:t>
            </w:r>
          </w:p>
          <w:p w14:paraId="3D93B3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p>
          <w:p w14:paraId="5060C3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2、开标过程中要求投标人进行澄清、说明或者补正的，须通过指定的电子邮箱</w:t>
            </w:r>
            <w:r>
              <w:rPr>
                <w:rFonts w:hint="eastAsia" w:ascii="宋体" w:hAnsi="宋体" w:eastAsia="宋体" w:cs="宋体"/>
                <w:b/>
                <w:bCs/>
                <w:iCs/>
                <w:color w:val="auto"/>
                <w:highlight w:val="none"/>
                <w:u w:val="single"/>
                <w:lang w:eastAsia="zh-CN"/>
              </w:rPr>
              <w:t>1316929110@qq.com</w:t>
            </w:r>
            <w:r>
              <w:rPr>
                <w:rFonts w:hint="eastAsia" w:ascii="宋体" w:hAnsi="宋体" w:eastAsia="宋体" w:cs="宋体"/>
                <w:b/>
                <w:bCs/>
                <w:i/>
                <w:color w:val="auto"/>
                <w:highlight w:val="none"/>
                <w:u w:val="single"/>
              </w:rPr>
              <w:t xml:space="preserve"> </w:t>
            </w:r>
            <w:r>
              <w:rPr>
                <w:rFonts w:hint="eastAsia" w:ascii="宋体" w:hAnsi="宋体" w:eastAsia="宋体" w:cs="宋体"/>
                <w:color w:val="auto"/>
                <w:highlight w:val="none"/>
              </w:rPr>
              <w:t>作出澄清、说明或者补正，提交澄清、说明或补正的时间为接到工作人员电话通知后半小时内。请投标单位期间电话保持畅通，如未及时接听电话，视为放弃澄清、说明或补正的权利；</w:t>
            </w:r>
          </w:p>
          <w:p w14:paraId="3D321CA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3、取消投标人法定代表人或授权委托人到场签字要求，取消开标记录表签字要求；</w:t>
            </w:r>
          </w:p>
          <w:p w14:paraId="113C850E">
            <w:pPr>
              <w:tabs>
                <w:tab w:val="left" w:pos="5680"/>
              </w:tabs>
              <w:kinsoku/>
              <w:overflowPunct w:val="0"/>
              <w:topLinePunct/>
              <w:spacing w:line="336" w:lineRule="auto"/>
              <w:ind w:left="105" w:leftChars="50" w:right="105" w:rightChars="50"/>
              <w:jc w:val="both"/>
              <w:rPr>
                <w:rFonts w:hint="eastAsia" w:ascii="宋体" w:hAnsi="宋体" w:eastAsia="宋体" w:cs="宋体"/>
                <w:i/>
                <w:color w:val="auto"/>
                <w:highlight w:val="none"/>
              </w:rPr>
            </w:pPr>
            <w:r>
              <w:rPr>
                <w:rFonts w:hint="eastAsia" w:ascii="宋体" w:hAnsi="宋体" w:eastAsia="宋体" w:cs="宋体"/>
                <w:color w:val="auto"/>
                <w:highlight w:val="none"/>
              </w:rPr>
              <w:t>4、由代理机构工作人员现场在监督部门、公证处监督下</w:t>
            </w:r>
            <w:r>
              <w:rPr>
                <w:rFonts w:hint="eastAsia" w:ascii="宋体" w:hAnsi="宋体" w:eastAsia="宋体" w:cs="宋体"/>
                <w:strike/>
                <w:color w:val="auto"/>
                <w:highlight w:val="none"/>
              </w:rPr>
              <w:t>核验投标文件密封性并开启投标文件，</w:t>
            </w:r>
            <w:r>
              <w:rPr>
                <w:rFonts w:hint="eastAsia" w:ascii="宋体" w:hAnsi="宋体" w:eastAsia="宋体" w:cs="宋体"/>
                <w:color w:val="auto"/>
                <w:highlight w:val="none"/>
              </w:rPr>
              <w:t>组织评审，并对开评标活动进行全程录音录像。</w:t>
            </w:r>
          </w:p>
        </w:tc>
      </w:tr>
      <w:tr w14:paraId="45CAAB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8915F">
            <w:pPr>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5.2</w:t>
            </w:r>
          </w:p>
        </w:tc>
        <w:tc>
          <w:tcPr>
            <w:tcW w:w="2050" w:type="dxa"/>
            <w:vAlign w:val="center"/>
          </w:tcPr>
          <w:p w14:paraId="5D6D0555">
            <w:pPr>
              <w:tabs>
                <w:tab w:val="left" w:pos="14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开标程序</w:t>
            </w:r>
          </w:p>
        </w:tc>
        <w:tc>
          <w:tcPr>
            <w:tcW w:w="5596" w:type="dxa"/>
          </w:tcPr>
          <w:p w14:paraId="16CCFE5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（一）宣布开标</w:t>
            </w:r>
          </w:p>
          <w:p w14:paraId="74C5B2A0">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（二）公布投标人数量</w:t>
            </w:r>
          </w:p>
          <w:p w14:paraId="151A3E3C">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（三）投标人解密（投标文件解密在 60 分钟内完成，具体以电子招投标交易平台系统时间为准）</w:t>
            </w:r>
          </w:p>
          <w:p w14:paraId="1D8E5A54">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（四）参数录入。</w:t>
            </w:r>
          </w:p>
          <w:p w14:paraId="40444E0A">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（五）公布开标结果</w:t>
            </w:r>
          </w:p>
          <w:p w14:paraId="5CFF2A4B">
            <w:pPr>
              <w:tabs>
                <w:tab w:val="left" w:pos="5680"/>
              </w:tabs>
              <w:spacing w:line="312" w:lineRule="auto"/>
              <w:ind w:left="105" w:leftChars="50" w:right="105" w:rightChars="50"/>
              <w:jc w:val="both"/>
              <w:rPr>
                <w:rFonts w:hint="eastAsia" w:ascii="宋体" w:hAnsi="宋体" w:eastAsia="宋体" w:cs="宋体"/>
                <w:b/>
                <w:bCs/>
                <w:color w:val="auto"/>
                <w:highlight w:val="none"/>
              </w:rPr>
            </w:pPr>
            <w:r>
              <w:rPr>
                <w:rFonts w:hint="eastAsia" w:ascii="宋体" w:hAnsi="宋体" w:eastAsia="宋体" w:cs="宋体"/>
                <w:b/>
                <w:bCs/>
                <w:color w:val="auto"/>
                <w:highlight w:val="none"/>
              </w:rPr>
              <w:t>（六）开标结束</w:t>
            </w:r>
          </w:p>
        </w:tc>
      </w:tr>
      <w:tr w14:paraId="5B1E2A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BD4820A">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5.4</w:t>
            </w:r>
          </w:p>
        </w:tc>
        <w:tc>
          <w:tcPr>
            <w:tcW w:w="2050" w:type="dxa"/>
            <w:vAlign w:val="center"/>
          </w:tcPr>
          <w:p w14:paraId="3D2DBBC3">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特殊情况处置</w:t>
            </w:r>
          </w:p>
        </w:tc>
        <w:tc>
          <w:tcPr>
            <w:tcW w:w="5596" w:type="dxa"/>
            <w:vAlign w:val="center"/>
          </w:tcPr>
          <w:p w14:paraId="05A07EB1">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1.因网络、系统、电力等不可抗力因素延期开标的，需更新制作投标文件并按招标文件要求重新递交。</w:t>
            </w:r>
          </w:p>
          <w:p w14:paraId="117E5F6C">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开标特别说明：（1）因投标人原因造成其电子投标文件未解密的，视为撤销其投标文件；投标截止时间前未完成投标文件传输的，视为撤回投标文件；因投标人之外的原因造成电子投标文件未解密的，视为撤回其投标文件。</w:t>
            </w:r>
          </w:p>
          <w:p w14:paraId="34F3527B">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（2）投标人必须使用生成电子投标文件的CA数字证书加密电子投标文件，未加密的视为撤销其投标文件。</w:t>
            </w:r>
          </w:p>
          <w:p w14:paraId="2959C868">
            <w:pPr>
              <w:tabs>
                <w:tab w:val="left" w:pos="5680"/>
              </w:tabs>
              <w:kinsoku/>
              <w:overflowPunct w:val="0"/>
              <w:topLinePunct/>
              <w:spacing w:line="336" w:lineRule="auto"/>
              <w:ind w:left="105" w:leftChars="50" w:right="105" w:rightChars="50"/>
              <w:jc w:val="both"/>
              <w:textAlignment w:val="auto"/>
              <w:rPr>
                <w:rFonts w:hint="eastAsia" w:ascii="宋体" w:hAnsi="宋体" w:eastAsia="宋体" w:cs="宋体"/>
                <w:color w:val="auto"/>
                <w:highlight w:val="none"/>
              </w:rPr>
            </w:pPr>
            <w:r>
              <w:rPr>
                <w:rFonts w:hint="eastAsia" w:ascii="宋体" w:hAnsi="宋体" w:eastAsia="宋体" w:cs="宋体"/>
                <w:color w:val="auto"/>
                <w:highlight w:val="none"/>
              </w:rPr>
              <w:t>3.其他：电子投标项目开标的其他相关程序按照我市相关规定《绍兴市区工程建设项目电子招标投标管理暂行办法》执行 。</w:t>
            </w:r>
          </w:p>
        </w:tc>
      </w:tr>
      <w:tr w14:paraId="0273EA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73" w:hRule="atLeast"/>
        </w:trPr>
        <w:tc>
          <w:tcPr>
            <w:tcW w:w="1521" w:type="dxa"/>
            <w:vAlign w:val="center"/>
          </w:tcPr>
          <w:p w14:paraId="44319D2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6.1.1</w:t>
            </w:r>
          </w:p>
        </w:tc>
        <w:tc>
          <w:tcPr>
            <w:tcW w:w="2050" w:type="dxa"/>
            <w:vAlign w:val="center"/>
          </w:tcPr>
          <w:p w14:paraId="564200C0">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评标委员会的组建</w:t>
            </w:r>
          </w:p>
        </w:tc>
        <w:tc>
          <w:tcPr>
            <w:tcW w:w="5596" w:type="dxa"/>
            <w:vAlign w:val="center"/>
          </w:tcPr>
          <w:p w14:paraId="4DBDC00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评标委员会共</w:t>
            </w:r>
            <w:r>
              <w:rPr>
                <w:rFonts w:hint="eastAsia" w:ascii="宋体" w:hAnsi="宋体" w:eastAsia="宋体" w:cs="宋体"/>
                <w:color w:val="auto"/>
                <w:highlight w:val="none"/>
                <w:u w:val="single"/>
              </w:rPr>
              <w:t xml:space="preserve"> </w:t>
            </w:r>
            <w:r>
              <w:rPr>
                <w:rFonts w:hint="eastAsia" w:ascii="宋体" w:hAnsi="宋体" w:eastAsia="宋体" w:cs="宋体"/>
                <w:b/>
                <w:bCs/>
                <w:iCs/>
                <w:color w:val="auto"/>
                <w:highlight w:val="none"/>
                <w:u w:val="single"/>
              </w:rPr>
              <w:t xml:space="preserve">7  </w:t>
            </w:r>
            <w:r>
              <w:rPr>
                <w:rFonts w:hint="eastAsia" w:ascii="宋体" w:hAnsi="宋体" w:eastAsia="宋体" w:cs="宋体"/>
                <w:color w:val="auto"/>
                <w:highlight w:val="none"/>
              </w:rPr>
              <w:t>人。</w:t>
            </w:r>
          </w:p>
          <w:p w14:paraId="39B21087">
            <w:pPr>
              <w:kinsoku/>
              <w:overflowPunct w:val="0"/>
              <w:topLinePunct/>
              <w:spacing w:line="336" w:lineRule="auto"/>
              <w:ind w:left="525" w:hanging="525" w:hangingChars="250"/>
              <w:jc w:val="both"/>
              <w:rPr>
                <w:rFonts w:hint="eastAsia" w:ascii="宋体" w:hAnsi="宋体" w:eastAsia="宋体" w:cs="宋体"/>
                <w:color w:val="auto"/>
                <w:highlight w:val="none"/>
              </w:rPr>
            </w:pPr>
            <w:r>
              <w:rPr>
                <w:rFonts w:hint="eastAsia" w:ascii="宋体" w:hAnsi="宋体" w:eastAsia="宋体" w:cs="宋体"/>
                <w:color w:val="auto"/>
                <w:highlight w:val="none"/>
              </w:rPr>
              <w:t>其中招标人代表</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2</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r>
              <w:rPr>
                <w:rFonts w:hint="eastAsia" w:ascii="宋体" w:hAnsi="宋体" w:eastAsia="宋体" w:cs="宋体"/>
                <w:b/>
                <w:bCs/>
                <w:iCs/>
                <w:color w:val="auto"/>
                <w:highlight w:val="none"/>
                <w:u w:val="single"/>
                <w:lang w:val="en-US" w:eastAsia="zh-CN"/>
              </w:rPr>
              <w:t>省库</w:t>
            </w:r>
            <w:r>
              <w:rPr>
                <w:rFonts w:hint="eastAsia" w:ascii="宋体" w:hAnsi="宋体" w:eastAsia="宋体" w:cs="宋体"/>
                <w:color w:val="auto"/>
                <w:highlight w:val="none"/>
              </w:rPr>
              <w:t>专家</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rPr>
              <w:t xml:space="preserve"> 5</w:t>
            </w:r>
            <w:r>
              <w:rPr>
                <w:rFonts w:hint="eastAsia" w:ascii="宋体" w:hAnsi="宋体" w:eastAsia="宋体" w:cs="宋体"/>
                <w:color w:val="auto"/>
                <w:highlight w:val="none"/>
                <w:u w:val="single"/>
              </w:rPr>
              <w:t xml:space="preserve"> </w:t>
            </w:r>
            <w:r>
              <w:rPr>
                <w:rFonts w:hint="eastAsia" w:ascii="宋体" w:hAnsi="宋体" w:eastAsia="宋体" w:cs="宋体"/>
                <w:color w:val="auto"/>
                <w:highlight w:val="none"/>
              </w:rPr>
              <w:t>人。</w:t>
            </w:r>
          </w:p>
        </w:tc>
      </w:tr>
      <w:tr w14:paraId="513B4D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42032E7">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6.3</w:t>
            </w:r>
          </w:p>
        </w:tc>
        <w:tc>
          <w:tcPr>
            <w:tcW w:w="2050" w:type="dxa"/>
            <w:vAlign w:val="center"/>
          </w:tcPr>
          <w:p w14:paraId="39C478C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评标方法</w:t>
            </w:r>
          </w:p>
        </w:tc>
        <w:tc>
          <w:tcPr>
            <w:tcW w:w="5596" w:type="dxa"/>
            <w:vAlign w:val="center"/>
          </w:tcPr>
          <w:p w14:paraId="7710C300">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w:t>
            </w:r>
            <w:r>
              <w:rPr>
                <w:color w:val="auto"/>
                <w:highlight w:val="none"/>
              </w:rPr>
              <w:fldChar w:fldCharType="begin"/>
            </w:r>
            <w:r>
              <w:rPr>
                <w:color w:val="auto"/>
                <w:highlight w:val="none"/>
              </w:rPr>
              <w:instrText xml:space="preserve"> HYPERLINK "http://218.108.28.22/zjgcjy/infodetail/?infoid=25b0d8ef-782f-44f1-a7c2-cdfa059b2aa2&amp;siteid=1&amp;categoryNum=032003" </w:instrText>
            </w:r>
            <w:r>
              <w:rPr>
                <w:color w:val="auto"/>
                <w:highlight w:val="none"/>
              </w:rPr>
              <w:fldChar w:fldCharType="separate"/>
            </w:r>
            <w:r>
              <w:rPr>
                <w:rFonts w:hint="eastAsia" w:ascii="宋体" w:hAnsi="宋体" w:eastAsia="宋体" w:cs="宋体"/>
                <w:color w:val="auto"/>
                <w:position w:val="3"/>
                <w:highlight w:val="none"/>
              </w:rPr>
              <w:t>经评审的最低投标价法</w:t>
            </w:r>
            <w:r>
              <w:rPr>
                <w:rFonts w:hint="eastAsia" w:ascii="宋体" w:hAnsi="宋体" w:eastAsia="宋体" w:cs="宋体"/>
                <w:color w:val="auto"/>
                <w:position w:val="3"/>
                <w:highlight w:val="none"/>
              </w:rPr>
              <w:fldChar w:fldCharType="end"/>
            </w:r>
            <w:r>
              <w:rPr>
                <w:rFonts w:hint="eastAsia" w:ascii="宋体" w:hAnsi="宋体" w:eastAsia="宋体" w:cs="宋体"/>
                <w:color w:val="auto"/>
                <w:position w:val="3"/>
                <w:highlight w:val="none"/>
              </w:rPr>
              <w:t>。</w:t>
            </w:r>
          </w:p>
          <w:p w14:paraId="3177EACF">
            <w:pPr>
              <w:widowControl w:val="0"/>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rFonts w:hint="eastAsia" w:ascii="宋体" w:hAnsi="宋体" w:eastAsia="宋体" w:cs="宋体"/>
                <w:color w:val="auto"/>
                <w:position w:val="4"/>
                <w:highlight w:val="none"/>
              </w:rPr>
              <w:t>综合评估法</w:t>
            </w:r>
            <w:r>
              <w:rPr>
                <w:rFonts w:hint="eastAsia" w:ascii="宋体" w:hAnsi="宋体" w:eastAsia="宋体" w:cs="宋体"/>
                <w:color w:val="auto"/>
                <w:position w:val="4"/>
                <w:highlight w:val="none"/>
              </w:rPr>
              <w:fldChar w:fldCharType="end"/>
            </w:r>
            <w:r>
              <w:rPr>
                <w:rFonts w:hint="eastAsia" w:ascii="宋体" w:hAnsi="宋体" w:eastAsia="宋体" w:cs="宋体"/>
                <w:color w:val="auto"/>
                <w:position w:val="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w:instrText>
            </w:r>
            <w:r>
              <w:rPr>
                <w:color w:val="auto"/>
                <w:highlight w:val="none"/>
              </w:rPr>
              <w:fldChar w:fldCharType="separate"/>
            </w:r>
            <w:r>
              <w:rPr>
                <w:color w:val="auto"/>
                <w:highlight w:val="none"/>
              </w:rPr>
              <w:fldChar w:fldCharType="end"/>
            </w:r>
          </w:p>
        </w:tc>
      </w:tr>
      <w:tr w14:paraId="33F688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E0ED83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6.4.2</w:t>
            </w:r>
          </w:p>
        </w:tc>
        <w:tc>
          <w:tcPr>
            <w:tcW w:w="2050" w:type="dxa"/>
            <w:vAlign w:val="center"/>
          </w:tcPr>
          <w:p w14:paraId="3AE87B38">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评标委员会推荐</w:t>
            </w:r>
          </w:p>
          <w:p w14:paraId="721AEC7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w:t>
            </w:r>
          </w:p>
        </w:tc>
        <w:tc>
          <w:tcPr>
            <w:tcW w:w="5596" w:type="dxa"/>
            <w:vAlign w:val="center"/>
          </w:tcPr>
          <w:p w14:paraId="287D54E0">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☑推荐的中标候选人数量：</w:t>
            </w:r>
            <w:r>
              <w:rPr>
                <w:rFonts w:hint="eastAsia" w:ascii="宋体" w:hAnsi="宋体" w:cs="宋体"/>
                <w:color w:val="auto"/>
                <w:sz w:val="21"/>
                <w:szCs w:val="21"/>
                <w:highlight w:val="none"/>
                <w:u w:val="single"/>
              </w:rPr>
              <w:t>1</w:t>
            </w:r>
            <w:r>
              <w:rPr>
                <w:rFonts w:hint="eastAsia" w:ascii="宋体" w:hAnsi="宋体" w:cs="宋体"/>
                <w:color w:val="auto"/>
                <w:sz w:val="21"/>
                <w:szCs w:val="21"/>
                <w:highlight w:val="none"/>
              </w:rPr>
              <w:t>家。</w:t>
            </w:r>
          </w:p>
          <w:p w14:paraId="57EDAD28">
            <w:pPr>
              <w:pStyle w:val="20"/>
              <w:tabs>
                <w:tab w:val="left" w:pos="5680"/>
              </w:tabs>
              <w:overflowPunct w:val="0"/>
              <w:topLinePunct/>
              <w:snapToGrid w:val="0"/>
              <w:spacing w:after="0" w:line="336" w:lineRule="auto"/>
              <w:ind w:left="105" w:leftChars="50" w:right="105" w:rightChars="50"/>
              <w:jc w:val="both"/>
              <w:rPr>
                <w:rFonts w:hint="eastAsia" w:ascii="宋体" w:hAnsi="宋体" w:cs="宋体"/>
                <w:color w:val="auto"/>
                <w:sz w:val="21"/>
                <w:szCs w:val="21"/>
                <w:highlight w:val="none"/>
              </w:rPr>
            </w:pPr>
            <w:r>
              <w:rPr>
                <w:rFonts w:hint="eastAsia" w:ascii="宋体" w:hAnsi="宋体" w:cs="宋体"/>
                <w:color w:val="auto"/>
                <w:sz w:val="21"/>
                <w:szCs w:val="21"/>
                <w:highlight w:val="none"/>
              </w:rPr>
              <w:t>□推荐入围定标的中标候选人：</w:t>
            </w:r>
            <w:r>
              <w:rPr>
                <w:rFonts w:hint="eastAsia" w:ascii="宋体" w:hAnsi="宋体" w:cs="宋体"/>
                <w:color w:val="auto"/>
                <w:sz w:val="21"/>
                <w:szCs w:val="21"/>
                <w:highlight w:val="none"/>
                <w:u w:val="single"/>
              </w:rPr>
              <w:t xml:space="preserve">     </w:t>
            </w:r>
            <w:r>
              <w:rPr>
                <w:rFonts w:hint="eastAsia" w:ascii="宋体" w:hAnsi="宋体" w:cs="宋体"/>
                <w:color w:val="auto"/>
                <w:sz w:val="21"/>
                <w:szCs w:val="21"/>
                <w:highlight w:val="none"/>
              </w:rPr>
              <w:t>人。（适用于“评定分离”。注：原则上推荐3名中标候选人，最多不超过5个。推荐名单的中标候选人不排名次。）</w:t>
            </w:r>
          </w:p>
        </w:tc>
      </w:tr>
      <w:tr w14:paraId="7F8EF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552BF735">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w:t>
            </w:r>
          </w:p>
        </w:tc>
        <w:tc>
          <w:tcPr>
            <w:tcW w:w="2050" w:type="dxa"/>
            <w:vAlign w:val="center"/>
          </w:tcPr>
          <w:p w14:paraId="16A4FAA7">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确定中标人</w:t>
            </w:r>
          </w:p>
        </w:tc>
        <w:tc>
          <w:tcPr>
            <w:tcW w:w="5596" w:type="dxa"/>
            <w:vAlign w:val="center"/>
          </w:tcPr>
          <w:p w14:paraId="6A22CC82">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□授权评标委员会确定中标人。</w:t>
            </w:r>
          </w:p>
          <w:p w14:paraId="642019F0">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☑根据评标委员会推荐，由招标人确定中标人。</w:t>
            </w:r>
          </w:p>
          <w:p w14:paraId="7710670F">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□评定分离，根据评标委员会推荐，另行组织定标会议，由定标委员会确定中标人。</w:t>
            </w:r>
          </w:p>
          <w:p w14:paraId="2115E736">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□其他：              。</w:t>
            </w:r>
          </w:p>
        </w:tc>
      </w:tr>
      <w:tr w14:paraId="6F436D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31FF4BD">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7.1.4</w:t>
            </w:r>
          </w:p>
        </w:tc>
        <w:tc>
          <w:tcPr>
            <w:tcW w:w="2050" w:type="dxa"/>
            <w:vAlign w:val="center"/>
          </w:tcPr>
          <w:p w14:paraId="03F5A175">
            <w:pPr>
              <w:pStyle w:val="6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snapToGrid/>
                <w:color w:val="auto"/>
                <w:highlight w:val="none"/>
              </w:rPr>
              <w:t>☑中</w:t>
            </w:r>
            <w:r>
              <w:rPr>
                <w:rFonts w:hint="eastAsia" w:ascii="宋体" w:hAnsi="宋体" w:eastAsia="宋体" w:cs="宋体"/>
                <w:color w:val="auto"/>
                <w:highlight w:val="none"/>
              </w:rPr>
              <w:t>标公告媒介及期限</w:t>
            </w:r>
          </w:p>
        </w:tc>
        <w:tc>
          <w:tcPr>
            <w:tcW w:w="5596" w:type="dxa"/>
            <w:vAlign w:val="center"/>
          </w:tcPr>
          <w:p w14:paraId="02D302F3">
            <w:pPr>
              <w:kinsoku/>
              <w:overflowPunct w:val="0"/>
              <w:topLinePunct/>
              <w:spacing w:line="336" w:lineRule="auto"/>
              <w:rPr>
                <w:rFonts w:hint="eastAsia" w:ascii="宋体" w:hAnsi="宋体" w:eastAsia="宋体" w:cs="宋体"/>
                <w:b/>
                <w:bCs/>
                <w:iCs/>
                <w:color w:val="auto"/>
                <w:highlight w:val="none"/>
                <w:u w:val="single"/>
              </w:rPr>
            </w:pPr>
            <w:r>
              <w:rPr>
                <w:rFonts w:hint="eastAsia" w:ascii="宋体" w:hAnsi="宋体" w:eastAsia="宋体" w:cs="宋体"/>
                <w:color w:val="auto"/>
                <w:highlight w:val="none"/>
              </w:rPr>
              <w:t>公</w:t>
            </w:r>
            <w:r>
              <w:rPr>
                <w:rFonts w:hint="eastAsia" w:ascii="宋体" w:hAnsi="宋体" w:eastAsia="宋体" w:cs="宋体"/>
                <w:color w:val="auto"/>
                <w:spacing w:val="-2"/>
                <w:highlight w:val="none"/>
              </w:rPr>
              <w:t>告</w:t>
            </w:r>
            <w:r>
              <w:rPr>
                <w:rFonts w:hint="eastAsia" w:ascii="宋体" w:hAnsi="宋体" w:eastAsia="宋体" w:cs="宋体"/>
                <w:color w:val="auto"/>
                <w:highlight w:val="none"/>
              </w:rPr>
              <w:t>媒介：</w:t>
            </w:r>
            <w:r>
              <w:rPr>
                <w:rFonts w:hint="eastAsia" w:ascii="宋体" w:hAnsi="宋体" w:eastAsia="宋体" w:cs="宋体"/>
                <w:b/>
                <w:bCs/>
                <w:iCs/>
                <w:color w:val="auto"/>
                <w:highlight w:val="none"/>
                <w:u w:val="single"/>
              </w:rPr>
              <w:t>绍兴公共资源交易网（https://ggb.sx.gov.cn/）</w:t>
            </w:r>
          </w:p>
          <w:p w14:paraId="1B7AD240">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spacing w:val="-2"/>
                <w:highlight w:val="none"/>
              </w:rPr>
              <w:t>公告期限：不少于3日。如遇国家法定休假日，应顺延至法定休假日后第一个工作日。</w:t>
            </w:r>
          </w:p>
        </w:tc>
      </w:tr>
      <w:tr w14:paraId="2EF4E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BAA55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7.2.1</w:t>
            </w:r>
          </w:p>
        </w:tc>
        <w:tc>
          <w:tcPr>
            <w:tcW w:w="2050" w:type="dxa"/>
            <w:vAlign w:val="center"/>
          </w:tcPr>
          <w:p w14:paraId="1DC57736">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中标候选人公示</w:t>
            </w:r>
          </w:p>
        </w:tc>
        <w:tc>
          <w:tcPr>
            <w:tcW w:w="5596" w:type="dxa"/>
            <w:vAlign w:val="center"/>
          </w:tcPr>
          <w:p w14:paraId="489ACEA0">
            <w:pPr>
              <w:tabs>
                <w:tab w:val="left" w:pos="2150"/>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tc>
      </w:tr>
      <w:tr w14:paraId="72AB8A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22D865CF">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7.4.1</w:t>
            </w:r>
          </w:p>
        </w:tc>
        <w:tc>
          <w:tcPr>
            <w:tcW w:w="2050" w:type="dxa"/>
            <w:vAlign w:val="center"/>
          </w:tcPr>
          <w:p w14:paraId="6FBDFB8B">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w:t>
            </w:r>
          </w:p>
        </w:tc>
        <w:tc>
          <w:tcPr>
            <w:tcW w:w="5596" w:type="dxa"/>
            <w:vAlign w:val="center"/>
          </w:tcPr>
          <w:p w14:paraId="48C8469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履约保证金的形式：</w:t>
            </w:r>
            <w:bookmarkStart w:id="6" w:name="EB729f8822ed244be9b6cbf8c77e802a6c"/>
            <w:r>
              <w:rPr>
                <w:rFonts w:hint="eastAsia" w:ascii="宋体" w:hAnsi="宋体" w:eastAsia="宋体" w:cs="宋体"/>
                <w:color w:val="auto"/>
                <w:highlight w:val="none"/>
              </w:rPr>
              <w:t>现金、支票、汇票、转账、银行保函、融资担保公司保函或者保险机构保证、保险、保单。</w:t>
            </w:r>
            <w:bookmarkEnd w:id="6"/>
          </w:p>
          <w:p w14:paraId="685E65E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履约保证金的金额：合同总价的</w:t>
            </w:r>
            <w:r>
              <w:rPr>
                <w:rFonts w:hint="eastAsia" w:ascii="宋体" w:hAnsi="宋体" w:eastAsia="宋体" w:cs="宋体"/>
                <w:b/>
                <w:bCs/>
                <w:color w:val="auto"/>
                <w:highlight w:val="none"/>
                <w:u w:val="single"/>
              </w:rPr>
              <w:t xml:space="preserve"> 2 </w:t>
            </w:r>
            <w:r>
              <w:rPr>
                <w:rFonts w:hint="eastAsia" w:ascii="宋体" w:hAnsi="宋体" w:eastAsia="宋体" w:cs="宋体"/>
                <w:color w:val="auto"/>
                <w:highlight w:val="none"/>
              </w:rPr>
              <w:t>%(不得超过2%)。</w:t>
            </w:r>
          </w:p>
        </w:tc>
      </w:tr>
      <w:tr w14:paraId="5C49C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A10B771">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8.2</w:t>
            </w:r>
          </w:p>
        </w:tc>
        <w:tc>
          <w:tcPr>
            <w:tcW w:w="2050" w:type="dxa"/>
            <w:vAlign w:val="center"/>
          </w:tcPr>
          <w:p w14:paraId="0DEFF4BC">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不再招标的情形</w:t>
            </w:r>
          </w:p>
        </w:tc>
        <w:tc>
          <w:tcPr>
            <w:tcW w:w="5596" w:type="dxa"/>
            <w:vAlign w:val="center"/>
          </w:tcPr>
          <w:p w14:paraId="79D13E9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重新招标后投标人仍少于3个，属于必须审批、核准的工程建设项目，经报相关部门批准后，可以不再进行招标。</w:t>
            </w:r>
          </w:p>
        </w:tc>
      </w:tr>
      <w:tr w14:paraId="33E7A9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17A92A0">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9.5</w:t>
            </w:r>
          </w:p>
        </w:tc>
        <w:tc>
          <w:tcPr>
            <w:tcW w:w="2050" w:type="dxa"/>
            <w:vAlign w:val="center"/>
          </w:tcPr>
          <w:p w14:paraId="19B5F4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异议和投诉</w:t>
            </w:r>
          </w:p>
        </w:tc>
        <w:tc>
          <w:tcPr>
            <w:tcW w:w="5596" w:type="dxa"/>
            <w:vAlign w:val="center"/>
          </w:tcPr>
          <w:p w14:paraId="3596AADC">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9.5.1异议</w:t>
            </w:r>
          </w:p>
          <w:p w14:paraId="5180AFD1">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（1）潜在投标人或者其他利害关系人对招标文件有异议的，应当在投标截止时间10日前以书面形式向招标人提出。招标人将在收到异议之日起3日内作出书面答复；作出答复前，暂停招标投标活动。</w:t>
            </w:r>
          </w:p>
          <w:p w14:paraId="206122D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（2）投标人认为开标不符合有关规定的，应当在开标时提出异议。招标人将当场对异议给予处理或者告知处理的办法。异议和答复应记入开标记录或者制作专门记录以存档备查。</w:t>
            </w:r>
          </w:p>
          <w:p w14:paraId="11FFBE7E">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（3）投标人及其他利害关系人对评标结果有异议的，应当在中标候选人公示期内以书面形式向招标人提出。招标人将在收到异议之日起3日内作出书面答复；作出答复前，暂停招标投标活动。</w:t>
            </w:r>
          </w:p>
          <w:p w14:paraId="107D411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9.5.2投诉</w:t>
            </w:r>
          </w:p>
          <w:p w14:paraId="33785075">
            <w:pPr>
              <w:kinsoku/>
              <w:overflowPunct w:val="0"/>
              <w:topLinePunct/>
              <w:spacing w:line="336" w:lineRule="auto"/>
              <w:ind w:firstLine="420" w:firstLineChars="200"/>
              <w:jc w:val="both"/>
              <w:rPr>
                <w:rFonts w:hint="eastAsia" w:ascii="宋体" w:hAnsi="宋体" w:eastAsia="宋体" w:cs="宋体"/>
                <w:color w:val="auto"/>
                <w:highlight w:val="none"/>
              </w:rPr>
            </w:pPr>
            <w:r>
              <w:rPr>
                <w:rFonts w:hint="eastAsia" w:ascii="宋体" w:hAnsi="宋体" w:eastAsia="宋体" w:cs="宋体"/>
                <w:color w:val="auto"/>
                <w:highlight w:val="none"/>
              </w:rPr>
              <w:t>投标人或者其他利害关系人认为招标投标活动不符合法律、行政法规和招标文件规定的，可以自知道或者应当知道之日起10日内向有关行政监督部门投诉。投诉应当有明确的请求和必要的证明资料，具体要求按国家、省及当地招投标主管部门制定的规定。就招标文件、开标和评标结果投诉的，应当先向招标人提出异议，异议答复期不计算在前款规定的期限内。</w:t>
            </w:r>
          </w:p>
          <w:p w14:paraId="0DF9F2C0">
            <w:pPr>
              <w:kinsoku/>
              <w:overflowPunct w:val="0"/>
              <w:topLinePunct/>
              <w:spacing w:line="336" w:lineRule="auto"/>
              <w:ind w:firstLine="420" w:firstLineChars="200"/>
              <w:jc w:val="both"/>
              <w:rPr>
                <w:rFonts w:hint="eastAsia" w:ascii="宋体" w:hAnsi="宋体" w:eastAsia="宋体" w:cs="宋体"/>
                <w:b/>
                <w:color w:val="auto"/>
                <w:highlight w:val="none"/>
              </w:rPr>
            </w:pPr>
            <w:r>
              <w:rPr>
                <w:rFonts w:hint="eastAsia" w:ascii="宋体" w:hAnsi="宋体" w:eastAsia="宋体" w:cs="宋体"/>
                <w:color w:val="auto"/>
                <w:highlight w:val="none"/>
              </w:rPr>
              <w:t>上述时限最后一日如遇国家法定休假日的，顺延至法定休假日后的第一个工作日。</w:t>
            </w:r>
          </w:p>
        </w:tc>
      </w:tr>
      <w:tr w14:paraId="68D781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4B7978DE">
            <w:pPr>
              <w:pStyle w:val="61"/>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w:t>
            </w:r>
          </w:p>
        </w:tc>
        <w:tc>
          <w:tcPr>
            <w:tcW w:w="2050" w:type="dxa"/>
            <w:vAlign w:val="center"/>
          </w:tcPr>
          <w:p w14:paraId="7520EE31">
            <w:pPr>
              <w:pStyle w:val="61"/>
              <w:kinsoku/>
              <w:overflowPunct w:val="0"/>
              <w:topLinePunct/>
              <w:spacing w:line="336" w:lineRule="auto"/>
              <w:ind w:firstLine="0" w:firstLineChars="0"/>
              <w:jc w:val="both"/>
              <w:rPr>
                <w:rFonts w:hint="eastAsia" w:ascii="宋体" w:hAnsi="宋体" w:eastAsia="宋体" w:cs="宋体"/>
                <w:color w:val="auto"/>
                <w:highlight w:val="none"/>
              </w:rPr>
            </w:pPr>
            <w:r>
              <w:rPr>
                <w:rFonts w:hint="eastAsia" w:ascii="宋体" w:hAnsi="宋体" w:eastAsia="宋体" w:cs="宋体"/>
                <w:color w:val="auto"/>
                <w:highlight w:val="none"/>
              </w:rPr>
              <w:t>需要补充的其他内容</w:t>
            </w:r>
          </w:p>
        </w:tc>
        <w:tc>
          <w:tcPr>
            <w:tcW w:w="5596" w:type="dxa"/>
            <w:vAlign w:val="center"/>
          </w:tcPr>
          <w:p w14:paraId="3B0707D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投诉受理的具体部门及电话</w:t>
            </w:r>
            <w:r>
              <w:rPr>
                <w:rFonts w:hint="eastAsia" w:ascii="宋体" w:hAnsi="宋体" w:eastAsia="宋体" w:cs="宋体"/>
                <w:color w:val="auto"/>
                <w:highlight w:val="none"/>
                <w:u w:val="single"/>
              </w:rPr>
              <w:t xml:space="preserve">   </w:t>
            </w:r>
            <w:r>
              <w:rPr>
                <w:rFonts w:hint="eastAsia" w:ascii="宋体" w:hAnsi="宋体" w:eastAsia="宋体" w:cs="宋体"/>
                <w:b/>
                <w:bCs/>
                <w:color w:val="auto"/>
                <w:highlight w:val="none"/>
                <w:u w:val="single"/>
                <w:lang w:eastAsia="zh-CN"/>
              </w:rPr>
              <w:t xml:space="preserve">绍兴市住房和城乡建设局，0575-85115633 </w:t>
            </w:r>
            <w:r>
              <w:rPr>
                <w:rFonts w:hint="eastAsia" w:ascii="宋体" w:hAnsi="宋体" w:eastAsia="宋体" w:cs="宋体"/>
                <w:b/>
                <w:bCs/>
                <w:color w:val="auto"/>
                <w:highlight w:val="none"/>
              </w:rPr>
              <w:t>。</w:t>
            </w:r>
          </w:p>
        </w:tc>
      </w:tr>
      <w:tr w14:paraId="3BAAFE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100B64F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10.1</w:t>
            </w:r>
          </w:p>
        </w:tc>
        <w:tc>
          <w:tcPr>
            <w:tcW w:w="2050" w:type="dxa"/>
            <w:vAlign w:val="center"/>
          </w:tcPr>
          <w:p w14:paraId="59103027">
            <w:pPr>
              <w:tabs>
                <w:tab w:val="left" w:pos="14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否决投标的情形</w:t>
            </w:r>
          </w:p>
        </w:tc>
        <w:tc>
          <w:tcPr>
            <w:tcW w:w="5596" w:type="dxa"/>
            <w:vAlign w:val="center"/>
          </w:tcPr>
          <w:p w14:paraId="2D840F8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凡评标委员会拟作出否决投标决定的，应先向投标人进行书面询问核实。未进行询问核实程序的，不得做出否决投标决定，投标人放弃接受询问核实机会的除外。在规定的时限内投标人不参加核实或不予答复的，视为放弃接受询问核实机会。</w:t>
            </w:r>
          </w:p>
          <w:p w14:paraId="52D161B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二、投标文件存在以下情形之一的，由评标委员会审核并经过询标程序，其投标文件将被否决：</w:t>
            </w:r>
          </w:p>
          <w:p w14:paraId="0CFA640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(一)符合性内容</w:t>
            </w:r>
          </w:p>
          <w:p w14:paraId="1166C7E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1.投标人的资质、业绩、人员、设备(材料)等条件未满足招标文件实质性响应要求的(以投标人须知前附表3.5.7中“一、实质性响应招标文件资料”内容为准)；</w:t>
            </w:r>
          </w:p>
          <w:p w14:paraId="6C8268D6">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2.投标文件未按招标文件的要求(以投标人须知前附表第3.7.3项规定为准)签字或盖章的；</w:t>
            </w:r>
          </w:p>
          <w:p w14:paraId="0D4848CE">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☑3.委托代理人无有效的</w:t>
            </w:r>
            <w:r>
              <w:rPr>
                <w:rFonts w:hint="eastAsia" w:ascii="宋体" w:hAnsi="宋体" w:eastAsia="宋体" w:cs="宋体"/>
                <w:color w:val="auto"/>
                <w:highlight w:val="none"/>
              </w:rPr>
              <w:t>法定代表人</w:t>
            </w:r>
            <w:r>
              <w:rPr>
                <w:rFonts w:hint="eastAsia" w:ascii="宋体" w:hAnsi="宋体" w:eastAsia="宋体" w:cs="宋体"/>
                <w:color w:val="auto"/>
                <w:position w:val="1"/>
                <w:highlight w:val="none"/>
              </w:rPr>
              <w:t>授权委托书的；</w:t>
            </w:r>
          </w:p>
          <w:p w14:paraId="72CF741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4.投标人存在投标人须知第1.4.3项和投标人须知前附表第10.3款第五点规定情形的。</w:t>
            </w:r>
          </w:p>
          <w:p w14:paraId="05316EF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5.投标函载明的交货期不响应招标文件要求的；</w:t>
            </w:r>
          </w:p>
          <w:p w14:paraId="2FB47E8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6.投标人不以自己的名义或未按招标文件要求提供投标保证金，或提供的投标保证金有缺陷而不能接受的；</w:t>
            </w:r>
          </w:p>
          <w:p w14:paraId="09E25F0C">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position w:val="1"/>
                <w:highlight w:val="none"/>
              </w:rPr>
              <w:t>7.投标报价高于招标文件设定的最高投标限价的；</w:t>
            </w:r>
          </w:p>
          <w:p w14:paraId="50FD9D62">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8.改变招标人提供的设备(材料)清单内容的(货物名称、单位、数量)；</w:t>
            </w:r>
          </w:p>
          <w:p w14:paraId="1C98B30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52"/>
            </w:r>
            <w:r>
              <w:rPr>
                <w:rFonts w:hint="eastAsia" w:ascii="宋体" w:hAnsi="宋体" w:eastAsia="宋体" w:cs="宋体"/>
                <w:color w:val="auto"/>
                <w:highlight w:val="none"/>
              </w:rPr>
              <w:t>9.投标人及其拟派项目负责人被列入建筑市场严重失信名单（以全国建筑市场监管公共服务平台黑名单记录、失信联合惩戒记录和浙江省建筑市场监管公共服务系统严重失信名单的信息为准）；</w:t>
            </w:r>
          </w:p>
          <w:p w14:paraId="036E8398">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sym w:font="Wingdings 2" w:char="00A3"/>
            </w:r>
            <w:r>
              <w:rPr>
                <w:rFonts w:hint="eastAsia" w:ascii="宋体" w:hAnsi="宋体" w:eastAsia="宋体" w:cs="宋体"/>
                <w:color w:val="auto"/>
                <w:highlight w:val="none"/>
              </w:rPr>
              <w:t>10.投标人为非中小企业的，投标人未提供《中小企业声明函》或未按照招标文件所附的《中小企业声明函》格式提供的；</w:t>
            </w:r>
          </w:p>
          <w:p w14:paraId="49203AF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11.投标人存在行贿犯罪记录的；</w:t>
            </w:r>
          </w:p>
          <w:p w14:paraId="272735CD">
            <w:pPr>
              <w:tabs>
                <w:tab w:val="left" w:pos="5680"/>
              </w:tabs>
              <w:kinsoku/>
              <w:overflowPunct w:val="0"/>
              <w:topLinePunct/>
              <w:spacing w:line="336" w:lineRule="auto"/>
              <w:ind w:left="105" w:leftChars="50" w:right="105" w:rightChars="50"/>
              <w:rPr>
                <w:rFonts w:hint="eastAsia" w:ascii="宋体" w:hAnsi="宋体" w:eastAsia="宋体" w:cs="宋体"/>
                <w:color w:val="auto"/>
                <w:highlight w:val="none"/>
              </w:rPr>
            </w:pPr>
            <w:r>
              <w:rPr>
                <w:rFonts w:hint="eastAsia" w:ascii="宋体" w:hAnsi="宋体" w:eastAsia="宋体" w:cs="宋体"/>
                <w:color w:val="auto"/>
                <w:highlight w:val="none"/>
              </w:rPr>
              <w:t>12.不同投标人的投标文件制作机器码、文件创建标识码一致的；（具体说明：</w:t>
            </w:r>
            <w:r>
              <w:rPr>
                <w:rFonts w:hint="eastAsia" w:ascii="宋体" w:hAnsi="宋体" w:eastAsia="宋体" w:cs="宋体"/>
                <w:b/>
                <w:bCs/>
                <w:color w:val="auto"/>
                <w:highlight w:val="none"/>
                <w:u w:val="single"/>
              </w:rPr>
              <w:t>不同投标人的投标文件检测码（或制作机器码、创建标识码）一致的；（文件制作机器码是投标人在使用投标文件制作工具时，以电脑的网卡MAC地址、硬盘序列号、CPU序列号、主板序列号以及工具标识号五大特征加密生成；文件创建标识码是投标人在使用投标文件制作工具新建投标文件时，投标文件中间件产生的一串32位编码，用于标记该文件的唯一性。</w:t>
            </w:r>
            <w:r>
              <w:rPr>
                <w:rFonts w:hint="eastAsia" w:ascii="宋体" w:hAnsi="宋体" w:eastAsia="宋体" w:cs="宋体"/>
                <w:color w:val="auto"/>
                <w:highlight w:val="none"/>
              </w:rPr>
              <w:t>）</w:t>
            </w:r>
          </w:p>
          <w:p w14:paraId="5432044F">
            <w:pPr>
              <w:pStyle w:val="6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□13.投标人提供的纸质投标文件水印码与电子投标文件不一致的；</w:t>
            </w:r>
          </w:p>
          <w:p w14:paraId="358A1AE1">
            <w:pPr>
              <w:pStyle w:val="60"/>
              <w:tabs>
                <w:tab w:val="left" w:pos="3376"/>
                <w:tab w:val="left" w:pos="5680"/>
              </w:tabs>
              <w:kinsoku/>
              <w:overflowPunct w:val="0"/>
              <w:topLinePunct/>
              <w:spacing w:line="336" w:lineRule="auto"/>
              <w:ind w:left="105" w:leftChars="50" w:right="105" w:rightChars="50" w:firstLine="0" w:firstLineChars="0"/>
              <w:jc w:val="both"/>
              <w:rPr>
                <w:rFonts w:hint="eastAsia" w:eastAsia="宋体"/>
                <w:color w:val="auto"/>
                <w:highlight w:val="none"/>
              </w:rPr>
            </w:pPr>
            <w:r>
              <w:rPr>
                <w:rFonts w:hint="eastAsia" w:eastAsia="宋体"/>
                <w:color w:val="auto"/>
                <w:highlight w:val="none"/>
              </w:rPr>
              <w:t>□14. 经招标人核实，投标人不符合“免缴投标保证金的”的条件，视同为未缴纳投标保证金；</w:t>
            </w:r>
          </w:p>
          <w:p w14:paraId="4F3F33E9">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15.存在法律、法规、规章规定的其它无效投标情况的。</w:t>
            </w:r>
          </w:p>
          <w:p w14:paraId="5726E48A">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(二)技术标内容</w:t>
            </w:r>
          </w:p>
          <w:p w14:paraId="306FF79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1.采用的验收标准和方法、主要技术指标达不到国家强制性标准或要求的；</w:t>
            </w:r>
          </w:p>
          <w:p w14:paraId="2746DF5D">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u w:val="single"/>
              </w:rPr>
            </w:pPr>
            <w:r>
              <w:rPr>
                <w:rFonts w:hint="eastAsia" w:ascii="宋体" w:hAnsi="宋体" w:eastAsia="宋体" w:cs="宋体"/>
                <w:strike/>
                <w:color w:val="auto"/>
                <w:highlight w:val="none"/>
              </w:rPr>
              <w:t>2.不符合以下技术规格、标准或性能指标的(招标人认为需要增加的，无则删除本条)：</w:t>
            </w:r>
          </w:p>
          <w:p w14:paraId="1A4CD2E7">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w:t>
            </w:r>
            <w:r>
              <w:rPr>
                <w:rFonts w:hint="eastAsia" w:ascii="宋体" w:hAnsi="宋体" w:eastAsia="宋体" w:cs="宋体"/>
                <w:strike/>
                <w:color w:val="auto"/>
                <w:highlight w:val="none"/>
              </w:rPr>
              <w:t>.投标文件载明的货物包装方式、检验标准和方法等不符合以下要求的(招标人需要增加的其他内容，无则删除本条)：</w:t>
            </w:r>
          </w:p>
          <w:p w14:paraId="5F3BCEEB">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4.存在评标办法规定的否决投标情况的；</w:t>
            </w:r>
          </w:p>
          <w:p w14:paraId="3311ADBC">
            <w:pPr>
              <w:tabs>
                <w:tab w:val="left" w:pos="5680"/>
              </w:tabs>
              <w:kinsoku/>
              <w:overflowPunct w:val="0"/>
              <w:topLinePunct/>
              <w:spacing w:line="336" w:lineRule="auto"/>
              <w:ind w:left="105" w:leftChars="50" w:right="105" w:rightChars="50"/>
              <w:jc w:val="both"/>
              <w:rPr>
                <w:rFonts w:hint="eastAsia" w:ascii="宋体" w:hAnsi="宋体" w:eastAsia="宋体" w:cs="宋体"/>
                <w:strike/>
                <w:color w:val="auto"/>
                <w:highlight w:val="none"/>
              </w:rPr>
            </w:pPr>
            <w:r>
              <w:rPr>
                <w:rFonts w:hint="eastAsia" w:ascii="宋体" w:hAnsi="宋体" w:eastAsia="宋体" w:cs="宋体"/>
                <w:strike/>
                <w:color w:val="auto"/>
                <w:highlight w:val="none"/>
              </w:rPr>
              <w:t>5.(招标人需要增加的符合法律法规规定的其他内容，无则删除本条)。</w:t>
            </w:r>
          </w:p>
          <w:p w14:paraId="66A772F1">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(三)商务标内容</w:t>
            </w:r>
          </w:p>
          <w:p w14:paraId="337F9FE5">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1.同一投标人提交两个以上不同的投标文件或者投标报价的(招标文件要求提交备选投标的除外)；</w:t>
            </w:r>
          </w:p>
          <w:p w14:paraId="242661D1">
            <w:pPr>
              <w:tabs>
                <w:tab w:val="left" w:pos="5680"/>
              </w:tabs>
              <w:kinsoku/>
              <w:overflowPunct w:val="0"/>
              <w:topLinePunct/>
              <w:spacing w:line="336" w:lineRule="auto"/>
              <w:ind w:left="105" w:leftChars="50" w:right="105" w:rightChars="50"/>
              <w:jc w:val="both"/>
              <w:rPr>
                <w:rFonts w:hint="eastAsia" w:ascii="宋体" w:hAnsi="宋体" w:eastAsia="宋体" w:cs="宋体"/>
                <w:b/>
                <w:bCs/>
                <w:color w:val="auto"/>
                <w:highlight w:val="none"/>
                <w:u w:val="single"/>
              </w:rPr>
            </w:pPr>
            <w:r>
              <w:rPr>
                <w:rFonts w:hint="eastAsia" w:ascii="宋体" w:hAnsi="宋体" w:eastAsia="宋体" w:cs="宋体"/>
                <w:color w:val="auto"/>
                <w:position w:val="1"/>
                <w:highlight w:val="none"/>
              </w:rPr>
              <w:t>2.报价评审时，投标人拒绝按以下条款修正的：</w:t>
            </w:r>
            <w:r>
              <w:rPr>
                <w:rFonts w:hint="eastAsia" w:ascii="宋体" w:hAnsi="宋体" w:eastAsia="宋体" w:cs="宋体"/>
                <w:b/>
                <w:bCs/>
                <w:color w:val="auto"/>
                <w:highlight w:val="none"/>
                <w:u w:val="single"/>
              </w:rPr>
              <w:t>ⅰ如果数字表示的金额和用文字表示的金额不一致时，将以文字表示的金额为准；ⅱ当合价与投标总价不一致时，以投标总价为准，调整相关合价；ⅲ当单价与数量的乘积与合价不一致时，以合价为准，并调整单价；</w:t>
            </w:r>
          </w:p>
          <w:p w14:paraId="79E8F2EF">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3.投标函载明的投标报价或其它关键内容不全或有瑕疵的；</w:t>
            </w:r>
          </w:p>
          <w:p w14:paraId="109726E2">
            <w:pPr>
              <w:tabs>
                <w:tab w:val="left" w:pos="5680"/>
              </w:tabs>
              <w:spacing w:line="312"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4.未按以下要求进行报价的(招标人认为需要增加的，无则删除本条)：</w:t>
            </w:r>
            <w:r>
              <w:rPr>
                <w:rFonts w:hint="eastAsia" w:ascii="宋体" w:hAnsi="宋体" w:eastAsia="宋体" w:cs="宋体"/>
                <w:b/>
                <w:bCs/>
                <w:color w:val="auto"/>
                <w:highlight w:val="none"/>
                <w:u w:val="single"/>
              </w:rPr>
              <w:t>ⅰ投标人所报的投标综合单价（如有修正，按修正后的单价）在合同执行过程中是固定不变的（税率调整除外），不得以任何理由予以变更；ⅱ招标人不接受任何折扣优惠报价，不接受任何赠送和选择性报价；ⅲ投标人递交的投标函及投标报价表中的投标总价必须一致；</w:t>
            </w:r>
          </w:p>
          <w:p w14:paraId="7E5CCB80">
            <w:pPr>
              <w:tabs>
                <w:tab w:val="left" w:pos="5680"/>
              </w:tabs>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strike/>
                <w:color w:val="auto"/>
                <w:highlight w:val="none"/>
              </w:rPr>
              <w:t>5.(招标人需要增加的其他商务标内容，无则删除本条)。</w:t>
            </w:r>
          </w:p>
        </w:tc>
      </w:tr>
      <w:tr w14:paraId="6E6F2B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65D773C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10.2</w:t>
            </w:r>
          </w:p>
        </w:tc>
        <w:tc>
          <w:tcPr>
            <w:tcW w:w="2050" w:type="dxa"/>
            <w:vAlign w:val="center"/>
          </w:tcPr>
          <w:p w14:paraId="7B42A94F">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定标（适用于“评定分离”）</w:t>
            </w:r>
          </w:p>
        </w:tc>
        <w:tc>
          <w:tcPr>
            <w:tcW w:w="5596" w:type="dxa"/>
            <w:vAlign w:val="center"/>
          </w:tcPr>
          <w:p w14:paraId="61B4AE44">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1.定标委员会：定标委员会由招标人负责组建，成员数量为5人及以上单数。定标委员会成员与中标候选人有利害关系的应主动说明并申请回避。</w:t>
            </w:r>
          </w:p>
          <w:p w14:paraId="104C1B6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2.定标会议地点和时间：</w:t>
            </w:r>
          </w:p>
          <w:p w14:paraId="7AB7287B">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2.1定标时间：                 。</w:t>
            </w:r>
          </w:p>
          <w:p w14:paraId="0107DBC7">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2.2定标地点：                 。</w:t>
            </w:r>
          </w:p>
          <w:p w14:paraId="52781F50">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2.3招标人根据相关规定在评标结果公示结束后10日内召开定标会议。</w:t>
            </w:r>
          </w:p>
          <w:p w14:paraId="3070B72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3.考察、质询</w:t>
            </w:r>
          </w:p>
          <w:p w14:paraId="4AF4711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3.1在定标会议前（考察、质询应给予中标候选人合理的准备时间。）对所有中标候选人进行考察、质询。</w:t>
            </w:r>
          </w:p>
          <w:p w14:paraId="476C879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3.2考察、质询小组由</w:t>
            </w:r>
            <w:r>
              <w:rPr>
                <w:rFonts w:hint="eastAsia" w:ascii="宋体" w:hAnsi="宋体" w:eastAsia="宋体" w:cs="宋体"/>
                <w:i/>
                <w:iCs/>
                <w:strike/>
                <w:dstrike w:val="0"/>
                <w:color w:val="auto"/>
                <w:highlight w:val="none"/>
                <w:u w:val="single"/>
              </w:rPr>
              <w:t>（3人及以上单数）</w:t>
            </w:r>
            <w:r>
              <w:rPr>
                <w:rFonts w:hint="eastAsia" w:ascii="宋体" w:hAnsi="宋体" w:eastAsia="宋体" w:cs="宋体"/>
                <w:strike/>
                <w:dstrike w:val="0"/>
                <w:color w:val="auto"/>
                <w:highlight w:val="none"/>
              </w:rPr>
              <w:t>组成。</w:t>
            </w:r>
          </w:p>
          <w:p w14:paraId="08AA5CA5">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4.现场面试</w:t>
            </w:r>
          </w:p>
          <w:p w14:paraId="2EDCD296">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4.1面试时间：             ；</w:t>
            </w:r>
          </w:p>
          <w:p w14:paraId="6D87FAD6">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4.2面试内容：            ；</w:t>
            </w:r>
          </w:p>
          <w:p w14:paraId="6769ABA2">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4.3面试方式：</w:t>
            </w:r>
          </w:p>
          <w:p w14:paraId="0BD65154">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4.3.1对中标候选人（联合体投标的，为联合体牵头人）持有安全生产考核合格证书的企业主要负责人（法定代表人、企业经理、企业分管安全生产的副经理、企业技术负责人）中任一一人和拟派项目负责人开展现场面试。</w:t>
            </w:r>
          </w:p>
          <w:p w14:paraId="26C74DE8">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4.3.2其他方式：                   。</w:t>
            </w:r>
          </w:p>
          <w:p w14:paraId="5F0C8AC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5.定标要素及具体内容</w:t>
            </w:r>
          </w:p>
          <w:p w14:paraId="3F8AC695">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5.1评标报告； </w:t>
            </w:r>
          </w:p>
          <w:p w14:paraId="03EB4E5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5.2考察或质询情况；</w:t>
            </w:r>
          </w:p>
          <w:p w14:paraId="42AA204C">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5.3现场面试情况；</w:t>
            </w:r>
          </w:p>
          <w:p w14:paraId="5CE959B3">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5.4价格因素； </w:t>
            </w:r>
          </w:p>
          <w:p w14:paraId="514ADB9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5.5企业实力；</w:t>
            </w:r>
          </w:p>
          <w:p w14:paraId="74FB4F78">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5.6企业信誉； </w:t>
            </w:r>
          </w:p>
          <w:p w14:paraId="523A1BDF">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5.7投标方案； </w:t>
            </w:r>
          </w:p>
          <w:p w14:paraId="5EDBC67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5.8拟派团队能力与水平； </w:t>
            </w:r>
          </w:p>
          <w:p w14:paraId="40D8BC7A">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 xml:space="preserve">5.9联合体投标的，联合体组成情况； </w:t>
            </w:r>
          </w:p>
          <w:p w14:paraId="21711A61">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F0A3"/>
            </w:r>
            <w:r>
              <w:rPr>
                <w:rFonts w:hint="eastAsia" w:ascii="宋体" w:hAnsi="宋体" w:eastAsia="宋体" w:cs="宋体"/>
                <w:strike/>
                <w:dstrike w:val="0"/>
                <w:color w:val="auto"/>
                <w:highlight w:val="none"/>
              </w:rPr>
              <w:t>5.10招标人认为需要考量的其他因素。</w:t>
            </w:r>
          </w:p>
          <w:p w14:paraId="50D69589">
            <w:pPr>
              <w:pStyle w:val="61"/>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6.定标方式</w:t>
            </w:r>
          </w:p>
          <w:p w14:paraId="799F09D9">
            <w:pPr>
              <w:kinsoku/>
              <w:wordWrap w:val="0"/>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（注：定标办法按照《浙江省工程建设项目招标投标“评定分离”操作指引（试行）》（浙发改公管〔2023〕256 号）、《绍兴市工程建设项目招标投标“评定分离”试点定标操作指引（试行）》（绍市政服办〔2023〕17号）确定，由招标人在招标文件中明确）</w:t>
            </w:r>
          </w:p>
          <w:p w14:paraId="7D957AF5">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6.1票决法：由定标委员会以直接票决或者逐轮票决的方式确定中标人。</w:t>
            </w:r>
          </w:p>
          <w:p w14:paraId="7AC41164">
            <w:pPr>
              <w:kinsoku/>
              <w:wordWrap w:val="0"/>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6.2集体议事法：由定标委员会进行集体商议，定标委员会成员各自发表意见，由定标委员会组长最终确定中标人。所有参加会议的定标委员会成员的意见应当作书面记录，并由定标委员会成员签字确认。</w:t>
            </w:r>
          </w:p>
          <w:p w14:paraId="726CC321">
            <w:pPr>
              <w:pStyle w:val="61"/>
              <w:kinsoku/>
              <w:overflowPunct w:val="0"/>
              <w:topLinePunct/>
              <w:spacing w:line="336" w:lineRule="auto"/>
              <w:ind w:firstLine="0" w:firstLineChars="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sym w:font="Wingdings 2" w:char="00A3"/>
            </w:r>
            <w:r>
              <w:rPr>
                <w:rFonts w:hint="eastAsia" w:ascii="宋体" w:hAnsi="宋体" w:eastAsia="宋体" w:cs="宋体"/>
                <w:strike/>
                <w:dstrike w:val="0"/>
                <w:color w:val="auto"/>
                <w:highlight w:val="none"/>
              </w:rPr>
              <w:t>6.3其他定标办法：                  。</w:t>
            </w:r>
          </w:p>
          <w:p w14:paraId="23B23784">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7.中标人公告媒介及期限</w:t>
            </w:r>
          </w:p>
          <w:p w14:paraId="4AF128C2">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招标人应当将中标结果情况在投标须知前附表规定的媒介上公告不少于3日。</w:t>
            </w:r>
          </w:p>
          <w:p w14:paraId="62A4B488">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7.1定标后有下列情形之一的，招标人可以组织原定标委员会从其他中标候选人中按原定标方法确定中标人：</w:t>
            </w:r>
          </w:p>
          <w:p w14:paraId="68A1C2F1">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（1）中标人放弃中标资格或者拒不签订合同的； </w:t>
            </w:r>
          </w:p>
          <w:p w14:paraId="3B19C273">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（2）中标人被查实存在违法行为影响中标结果的； </w:t>
            </w:r>
          </w:p>
          <w:p w14:paraId="7710CFEE">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（3）投标须知前附表规定的其他情形。 </w:t>
            </w:r>
          </w:p>
          <w:p w14:paraId="6F756609">
            <w:pPr>
              <w:kinsoku/>
              <w:overflowPunct w:val="0"/>
              <w:topLinePunct/>
              <w:spacing w:line="336" w:lineRule="auto"/>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7.2定标后有下列情形之一的，应重新定标： </w:t>
            </w:r>
          </w:p>
          <w:p w14:paraId="7F0C35D6">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（1）查实定标委员会未按定标办法公正履职的； </w:t>
            </w:r>
          </w:p>
          <w:p w14:paraId="3E535775">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 xml:space="preserve">（2）有定标委员会成员与中标候选人有利害关系且未申请回避的； </w:t>
            </w:r>
          </w:p>
          <w:p w14:paraId="1C45C490">
            <w:pPr>
              <w:kinsoku/>
              <w:overflowPunct w:val="0"/>
              <w:topLinePunct/>
              <w:spacing w:line="336" w:lineRule="auto"/>
              <w:ind w:firstLine="420" w:firstLineChars="200"/>
              <w:rPr>
                <w:rFonts w:hint="eastAsia" w:ascii="宋体" w:hAnsi="宋体" w:eastAsia="宋体" w:cs="宋体"/>
                <w:strike/>
                <w:dstrike w:val="0"/>
                <w:color w:val="auto"/>
                <w:highlight w:val="none"/>
              </w:rPr>
            </w:pPr>
            <w:r>
              <w:rPr>
                <w:rFonts w:hint="eastAsia" w:ascii="宋体" w:hAnsi="宋体" w:eastAsia="宋体" w:cs="宋体"/>
                <w:strike/>
                <w:dstrike w:val="0"/>
                <w:color w:val="auto"/>
                <w:highlight w:val="none"/>
              </w:rPr>
              <w:t>（3）投标须知前附表规定的其他情形。</w:t>
            </w:r>
          </w:p>
        </w:tc>
      </w:tr>
      <w:tr w14:paraId="286E07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0772429C">
            <w:pPr>
              <w:kinsoku/>
              <w:overflowPunct w:val="0"/>
              <w:topLinePunct/>
              <w:spacing w:line="336" w:lineRule="auto"/>
              <w:ind w:left="105" w:leftChars="50" w:right="105" w:rightChars="50"/>
              <w:jc w:val="both"/>
              <w:rPr>
                <w:rFonts w:hint="eastAsia" w:ascii="宋体" w:hAnsi="宋体" w:eastAsia="宋体" w:cs="宋体"/>
                <w:color w:val="auto"/>
                <w:highlight w:val="none"/>
              </w:rPr>
            </w:pPr>
            <w:r>
              <w:rPr>
                <w:rFonts w:hint="eastAsia" w:ascii="宋体" w:hAnsi="宋体" w:eastAsia="宋体" w:cs="宋体"/>
                <w:color w:val="auto"/>
                <w:highlight w:val="none"/>
              </w:rPr>
              <w:t>10.3</w:t>
            </w:r>
          </w:p>
        </w:tc>
        <w:tc>
          <w:tcPr>
            <w:tcW w:w="2050" w:type="dxa"/>
            <w:vAlign w:val="center"/>
          </w:tcPr>
          <w:p w14:paraId="1B00F76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特别说明</w:t>
            </w:r>
          </w:p>
        </w:tc>
        <w:tc>
          <w:tcPr>
            <w:tcW w:w="5596" w:type="dxa"/>
            <w:vAlign w:val="center"/>
          </w:tcPr>
          <w:p w14:paraId="0EEEEE5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一、本招标文件斜体字部分是根据本次招标内容的具体情况进行的相应填写。</w:t>
            </w:r>
          </w:p>
          <w:p w14:paraId="5031541A">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二、投标人须知具体内容如与本前附表不一致的，以本前附表为准。</w:t>
            </w:r>
          </w:p>
          <w:p w14:paraId="36E6845E">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三、投标人投标函与投标报价表不一致的，以投标人投标函为准。</w:t>
            </w:r>
          </w:p>
          <w:p w14:paraId="569AE17F">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四、除招标文件另有规定外，投标函的投标报价与清单汇总报价不一致时，以投标函报价为准。</w:t>
            </w:r>
          </w:p>
          <w:p w14:paraId="3968888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五、评标委员会评标中，发现投标人有下列情形之一的，且经询标澄清投标人无令人信服的理由和可靠证据证明其合理性的，经半数以上成员确认，其投标文件按否决投标处理，不再对其进行评审，也不影响继续评标。评标结束后，评标委员会应将有串通投标嫌疑的投标文件以及相关评标分析材料及时移交招标投标行政监督部门作进一步的调查处理，即使最终无法认定串通投标行为成立，也不影响对其按否决投标处理的结果。</w:t>
            </w:r>
          </w:p>
          <w:p w14:paraId="60457886">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1.不同投标人的投标文件由同一单位或者个人编制；</w:t>
            </w:r>
          </w:p>
          <w:p w14:paraId="0822A91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2.不同投标人委托同一单位或者个人办理投标事宜；</w:t>
            </w:r>
          </w:p>
          <w:p w14:paraId="632D3C63">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3.不同投标人的投标文件载明的项目管理成员为同一人；</w:t>
            </w:r>
          </w:p>
          <w:p w14:paraId="7EA03F9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4.不同投标人的投标文件异常一致或者投标报价呈规律性差异；</w:t>
            </w:r>
          </w:p>
          <w:p w14:paraId="1FC3B0C7">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5.不同投标人的投标文件相互混装；</w:t>
            </w:r>
          </w:p>
          <w:p w14:paraId="3900F5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6.不同投标人的投标保证金从同一单位或者个人的账户转出或者通过同一单位或者个人的账户购买电子保函；</w:t>
            </w:r>
          </w:p>
          <w:p w14:paraId="1AEB56CC">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7.投标人之间协商投标报价等投标文件的实质性内容；</w:t>
            </w:r>
          </w:p>
          <w:p w14:paraId="28F85314">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8.投标人之间约定中标人；</w:t>
            </w:r>
          </w:p>
          <w:p w14:paraId="429166ED">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9.投标人之间约定部分投标人放弃投标或者中标；</w:t>
            </w:r>
          </w:p>
          <w:p w14:paraId="2469B218">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10.属于同一集团、协会、商会等组织成员的投标人按照该组织要求协同投标；</w:t>
            </w:r>
          </w:p>
          <w:p w14:paraId="039C81F2">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11.投标人之间为谋取中标或者排斥特定投标人而采取的其他联合行动。</w:t>
            </w:r>
          </w:p>
          <w:p w14:paraId="36259831">
            <w:pPr>
              <w:tabs>
                <w:tab w:val="left" w:pos="5680"/>
              </w:tabs>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12.本招标文件由招标人负责解释。</w:t>
            </w:r>
          </w:p>
        </w:tc>
      </w:tr>
      <w:tr w14:paraId="4209C3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7" w:hRule="atLeast"/>
        </w:trPr>
        <w:tc>
          <w:tcPr>
            <w:tcW w:w="1521" w:type="dxa"/>
            <w:vAlign w:val="center"/>
          </w:tcPr>
          <w:p w14:paraId="23D261A3">
            <w:pPr>
              <w:spacing w:line="312" w:lineRule="auto"/>
              <w:ind w:left="105" w:leftChars="50" w:right="105" w:rightChars="50"/>
              <w:rPr>
                <w:rFonts w:hint="eastAsia" w:ascii="宋体" w:hAnsi="宋体" w:eastAsia="宋体" w:cs="宋体"/>
                <w:color w:val="auto"/>
                <w:highlight w:val="none"/>
              </w:rPr>
            </w:pPr>
            <w:r>
              <w:rPr>
                <w:rFonts w:hint="eastAsia" w:ascii="宋体" w:hAnsi="宋体" w:eastAsia="宋体" w:cs="宋体"/>
                <w:b/>
                <w:bCs/>
                <w:color w:val="auto"/>
                <w:highlight w:val="none"/>
              </w:rPr>
              <w:t>10.5</w:t>
            </w:r>
          </w:p>
        </w:tc>
        <w:tc>
          <w:tcPr>
            <w:tcW w:w="2050" w:type="dxa"/>
            <w:vAlign w:val="center"/>
          </w:tcPr>
          <w:p w14:paraId="32789035">
            <w:pPr>
              <w:rPr>
                <w:rFonts w:hint="eastAsia" w:ascii="宋体" w:hAnsi="宋体" w:eastAsia="宋体" w:cs="宋体"/>
                <w:color w:val="auto"/>
                <w:highlight w:val="none"/>
              </w:rPr>
            </w:pPr>
            <w:r>
              <w:rPr>
                <w:rFonts w:hint="eastAsia" w:ascii="宋体" w:hAnsi="宋体" w:eastAsia="宋体" w:cs="宋体"/>
                <w:b/>
                <w:bCs/>
                <w:color w:val="auto"/>
                <w:highlight w:val="none"/>
              </w:rPr>
              <w:t>特别提醒</w:t>
            </w:r>
          </w:p>
        </w:tc>
        <w:tc>
          <w:tcPr>
            <w:tcW w:w="5596" w:type="dxa"/>
          </w:tcPr>
          <w:p w14:paraId="5928C5AF">
            <w:pPr>
              <w:tabs>
                <w:tab w:val="left" w:pos="5680"/>
              </w:tabs>
              <w:rPr>
                <w:rFonts w:hint="eastAsia" w:ascii="宋体" w:hAnsi="宋体" w:eastAsia="宋体" w:cs="宋体"/>
                <w:color w:val="auto"/>
                <w:highlight w:val="none"/>
              </w:rPr>
            </w:pPr>
            <w:r>
              <w:rPr>
                <w:rFonts w:hint="eastAsia" w:ascii="宋体" w:hAnsi="宋体" w:eastAsia="宋体" w:cs="宋体"/>
                <w:b/>
                <w:bCs/>
                <w:color w:val="auto"/>
                <w:highlight w:val="none"/>
              </w:rPr>
              <w:t>请投标人仔细阅读第一章招标公告中“三、招标文件的获取和四、投标保证金的要求”。</w:t>
            </w:r>
          </w:p>
        </w:tc>
      </w:tr>
      <w:tr w14:paraId="33791E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7" w:hRule="atLeast"/>
        </w:trPr>
        <w:tc>
          <w:tcPr>
            <w:tcW w:w="1521" w:type="dxa"/>
            <w:vAlign w:val="center"/>
          </w:tcPr>
          <w:p w14:paraId="7442A962">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2050" w:type="dxa"/>
            <w:vAlign w:val="center"/>
          </w:tcPr>
          <w:p w14:paraId="68DCF627">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c>
          <w:tcPr>
            <w:tcW w:w="5596" w:type="dxa"/>
            <w:vAlign w:val="center"/>
          </w:tcPr>
          <w:p w14:paraId="6515A488">
            <w:pPr>
              <w:kinsoku/>
              <w:overflowPunct w:val="0"/>
              <w:topLinePunct/>
              <w:spacing w:line="336" w:lineRule="auto"/>
              <w:jc w:val="both"/>
              <w:rPr>
                <w:rFonts w:hint="eastAsia" w:ascii="宋体" w:hAnsi="宋体" w:eastAsia="宋体" w:cs="宋体"/>
                <w:color w:val="auto"/>
                <w:highlight w:val="none"/>
              </w:rPr>
            </w:pPr>
            <w:r>
              <w:rPr>
                <w:rFonts w:hint="eastAsia" w:ascii="宋体" w:hAnsi="宋体" w:eastAsia="宋体" w:cs="宋体"/>
                <w:color w:val="auto"/>
                <w:highlight w:val="none"/>
              </w:rPr>
              <w:t>……</w:t>
            </w:r>
          </w:p>
        </w:tc>
      </w:tr>
    </w:tbl>
    <w:p w14:paraId="27FFF7D2">
      <w:pPr>
        <w:jc w:val="both"/>
        <w:rPr>
          <w:rFonts w:hint="eastAsia" w:ascii="宋体" w:hAnsi="宋体" w:eastAsia="宋体" w:cs="宋体"/>
          <w:color w:val="auto"/>
          <w:highlight w:val="none"/>
        </w:rPr>
      </w:pPr>
    </w:p>
    <w:p w14:paraId="5AF48C81">
      <w:pPr>
        <w:jc w:val="both"/>
        <w:rPr>
          <w:rFonts w:hint="eastAsia" w:ascii="宋体" w:hAnsi="宋体" w:eastAsia="宋体" w:cs="宋体"/>
          <w:color w:val="auto"/>
          <w:highlight w:val="none"/>
        </w:rPr>
        <w:sectPr>
          <w:footerReference r:id="rId7" w:type="default"/>
          <w:pgSz w:w="11906" w:h="16839"/>
          <w:pgMar w:top="1418" w:right="1559" w:bottom="1418" w:left="1474" w:header="0" w:footer="1035" w:gutter="0"/>
          <w:cols w:space="720" w:num="1"/>
        </w:sectPr>
      </w:pPr>
    </w:p>
    <w:p w14:paraId="4CD1AA66">
      <w:pPr>
        <w:spacing w:line="287" w:lineRule="auto"/>
        <w:jc w:val="both"/>
        <w:rPr>
          <w:rFonts w:hint="eastAsia" w:ascii="宋体" w:hAnsi="宋体" w:eastAsia="宋体" w:cs="宋体"/>
          <w:color w:val="auto"/>
          <w:highlight w:val="none"/>
        </w:rPr>
      </w:pPr>
    </w:p>
    <w:p w14:paraId="0E91F067">
      <w:pPr>
        <w:spacing w:before="91" w:line="221" w:lineRule="auto"/>
        <w:ind w:left="3171"/>
        <w:jc w:val="both"/>
        <w:rPr>
          <w:rFonts w:hint="eastAsia" w:ascii="宋体" w:hAnsi="宋体" w:eastAsia="宋体" w:cs="宋体"/>
          <w:color w:val="auto"/>
          <w:sz w:val="28"/>
          <w:szCs w:val="28"/>
          <w:highlight w:val="none"/>
        </w:rPr>
      </w:pPr>
      <w:bookmarkStart w:id="7" w:name="_bookmark4"/>
      <w:bookmarkEnd w:id="7"/>
      <w:r>
        <w:rPr>
          <w:rFonts w:hint="eastAsia" w:ascii="宋体" w:hAnsi="宋体" w:eastAsia="宋体" w:cs="宋体"/>
          <w:color w:val="auto"/>
          <w:sz w:val="28"/>
          <w:szCs w:val="28"/>
          <w:highlight w:val="none"/>
        </w:rPr>
        <w:t>第二节投标人须知</w:t>
      </w:r>
    </w:p>
    <w:p w14:paraId="55948DED">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color w:val="auto"/>
          <w:sz w:val="24"/>
          <w:szCs w:val="24"/>
          <w:highlight w:val="none"/>
        </w:rPr>
        <w:t>总则</w:t>
      </w:r>
    </w:p>
    <w:p w14:paraId="6755C14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w:t>
      </w:r>
      <w:r>
        <w:rPr>
          <w:rFonts w:hint="eastAsia" w:ascii="宋体" w:hAnsi="宋体" w:eastAsia="宋体" w:cs="宋体"/>
          <w:color w:val="auto"/>
          <w:sz w:val="24"/>
          <w:szCs w:val="24"/>
          <w:highlight w:val="none"/>
        </w:rPr>
        <w:t>项目概况</w:t>
      </w:r>
    </w:p>
    <w:p w14:paraId="32B6196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1.1.1根据《中华人民共和国招标投标法》、《中华人民共和国招标投标法实施条例》、《评标委员会和评标办法暂行规定》等有关法律、法规和规章的规定，本项目已具备招标条件，现对本货物采购标段进行招标。</w:t>
      </w:r>
    </w:p>
    <w:p w14:paraId="40F4B5A1">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1.1.2本招标项目招标人：见投标人须知前附表。</w:t>
      </w:r>
    </w:p>
    <w:p w14:paraId="7E21BC9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1.1.3本招标项目招标代理机构：见投标人须知前附表。</w:t>
      </w:r>
    </w:p>
    <w:p w14:paraId="27317FC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1.1.4本招标项目名称：见投标人须知前附表。</w:t>
      </w:r>
    </w:p>
    <w:p w14:paraId="0A7BB6A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1.1.5本招标项目建设地点：见投标人须知前附表。</w:t>
      </w:r>
    </w:p>
    <w:p w14:paraId="367B74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1.2</w:t>
      </w:r>
      <w:r>
        <w:rPr>
          <w:rFonts w:hint="eastAsia" w:ascii="宋体" w:hAnsi="宋体" w:eastAsia="宋体" w:cs="宋体"/>
          <w:color w:val="auto"/>
          <w:sz w:val="24"/>
          <w:szCs w:val="24"/>
          <w:highlight w:val="none"/>
        </w:rPr>
        <w:t>资金来源和落实情况</w:t>
      </w:r>
    </w:p>
    <w:p w14:paraId="2874FD7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1.2.1本招标项目的资金来源及出资比例：见投标人须知前附表。</w:t>
      </w:r>
    </w:p>
    <w:p w14:paraId="1C1A3905">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1.2.2本招标项目的资金落实情况：见投标人须知前附表。</w:t>
      </w:r>
    </w:p>
    <w:p w14:paraId="61D9CC1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1.3</w:t>
      </w:r>
      <w:r>
        <w:rPr>
          <w:rFonts w:hint="eastAsia" w:ascii="宋体" w:hAnsi="宋体" w:eastAsia="宋体" w:cs="宋体"/>
          <w:color w:val="auto"/>
          <w:sz w:val="24"/>
          <w:szCs w:val="24"/>
          <w:highlight w:val="none"/>
        </w:rPr>
        <w:t>招标范围及计划服务期</w:t>
      </w:r>
    </w:p>
    <w:p w14:paraId="5C3BDE2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1.3.1本次招标范围：见投标人须知前附表。</w:t>
      </w:r>
    </w:p>
    <w:p w14:paraId="65790947">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1.3.2本招标项目交货期：见投标人须知前附表。</w:t>
      </w:r>
    </w:p>
    <w:p w14:paraId="55B7262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1.3.3本招标项目质量保质期：见投标人须知前附表。</w:t>
      </w:r>
    </w:p>
    <w:p w14:paraId="43780C2B">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1.4</w:t>
      </w:r>
      <w:r>
        <w:rPr>
          <w:rFonts w:hint="eastAsia" w:ascii="宋体" w:hAnsi="宋体" w:eastAsia="宋体" w:cs="宋体"/>
          <w:color w:val="auto"/>
          <w:sz w:val="24"/>
          <w:szCs w:val="24"/>
          <w:highlight w:val="none"/>
        </w:rPr>
        <w:t>投标人资格要求</w:t>
      </w:r>
    </w:p>
    <w:p w14:paraId="1C00FE3E">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1.4.1投标人应具备承担本标段服务的资格条件、要求。</w:t>
      </w:r>
    </w:p>
    <w:p w14:paraId="5CBA9EFC">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(1)资质条件：见投标人须知前附表；</w:t>
      </w:r>
    </w:p>
    <w:p w14:paraId="5D310D3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(2)业绩要求：见投标人须知前附表；</w:t>
      </w:r>
    </w:p>
    <w:p w14:paraId="1FE652FA">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(3)信誉要求：见投标人须知前附表；</w:t>
      </w:r>
    </w:p>
    <w:p w14:paraId="5822BE8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(4)其他要求：见投标人须知前附表。</w:t>
      </w:r>
    </w:p>
    <w:p w14:paraId="5AB0A00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1.4.2投标人须知前附表规定接受联合体投标的，除应符合本章第1.4.1项和投标人须知前附表的要求外，还应遵守以下规定：</w:t>
      </w:r>
    </w:p>
    <w:p w14:paraId="5F9652E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(1)联合体各方应按招标文件提供的格式签订联合体协议书，明确联合体牵头人和各方权利义务；</w:t>
      </w:r>
    </w:p>
    <w:p w14:paraId="0039CF1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(2)由同一专业的单位组成的联合体，按照资质等级较低的单位确定资质等级；</w:t>
      </w:r>
    </w:p>
    <w:p w14:paraId="4A7D566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(3)联合体各方不得再以自己名义单独或参加其他联合体在同一标段中投标。</w:t>
      </w:r>
    </w:p>
    <w:p w14:paraId="5299FE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1.4.3投标人(投标人是联合体的，指联合体各方)不得存在下列情形之一：</w:t>
      </w:r>
    </w:p>
    <w:p w14:paraId="14B7E056">
      <w:pPr>
        <w:spacing w:line="312" w:lineRule="auto"/>
        <w:ind w:firstLine="465" w:firstLineChars="194"/>
        <w:jc w:val="both"/>
        <w:rPr>
          <w:rFonts w:hint="eastAsia" w:ascii="宋体" w:hAnsi="宋体" w:eastAsia="宋体" w:cs="宋体"/>
          <w:color w:val="auto"/>
          <w:position w:val="1"/>
          <w:sz w:val="24"/>
          <w:szCs w:val="24"/>
          <w:highlight w:val="none"/>
        </w:rPr>
        <w:sectPr>
          <w:footerReference r:id="rId8" w:type="default"/>
          <w:pgSz w:w="11906" w:h="16839"/>
          <w:pgMar w:top="1418" w:right="1559" w:bottom="1418" w:left="1474" w:header="0" w:footer="1035" w:gutter="0"/>
          <w:cols w:space="720" w:num="1"/>
        </w:sectPr>
      </w:pPr>
    </w:p>
    <w:p w14:paraId="28C4D7F0">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(1)为招标人不具有独立法人资格的附属机构(单位)；</w:t>
      </w:r>
    </w:p>
    <w:p w14:paraId="64234E68">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(2)为本标段的代建人；</w:t>
      </w:r>
    </w:p>
    <w:p w14:paraId="5C2470F4">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(3)为本标段提供招标代理服务的；</w:t>
      </w:r>
    </w:p>
    <w:p w14:paraId="231F2226">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(4)单位负责人为同一人或者存在控股、管理关系的不同单位，同时参加本标段投标的；</w:t>
      </w:r>
    </w:p>
    <w:p w14:paraId="7CEC16B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(5)投标人及其法定代表人控股的其他公司，同时参加本标段投标的；</w:t>
      </w:r>
    </w:p>
    <w:p w14:paraId="61C9B619">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(6)与招标人存在利害关系可能影响招标公正性的法人、其他组织或者个人参加投标的；</w:t>
      </w:r>
    </w:p>
    <w:p w14:paraId="1034816F">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(7)被责令停业的；</w:t>
      </w:r>
    </w:p>
    <w:p w14:paraId="05568DE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(8)被暂停或取消投标资格的；</w:t>
      </w:r>
    </w:p>
    <w:p w14:paraId="467E0092">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(9)财产被接管或冻结的。</w:t>
      </w:r>
    </w:p>
    <w:p w14:paraId="339E03F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1.5</w:t>
      </w:r>
      <w:r>
        <w:rPr>
          <w:rFonts w:hint="eastAsia" w:ascii="宋体" w:hAnsi="宋体" w:eastAsia="宋体" w:cs="宋体"/>
          <w:color w:val="auto"/>
          <w:sz w:val="24"/>
          <w:szCs w:val="24"/>
          <w:highlight w:val="none"/>
        </w:rPr>
        <w:t>费用承担</w:t>
      </w:r>
    </w:p>
    <w:p w14:paraId="3F1BA86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投标人准备和参加投标活动发生的费用自理。</w:t>
      </w:r>
    </w:p>
    <w:p w14:paraId="4A3238E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1.6</w:t>
      </w:r>
      <w:r>
        <w:rPr>
          <w:rFonts w:hint="eastAsia" w:ascii="宋体" w:hAnsi="宋体" w:eastAsia="宋体" w:cs="宋体"/>
          <w:color w:val="auto"/>
          <w:sz w:val="24"/>
          <w:szCs w:val="24"/>
          <w:highlight w:val="none"/>
        </w:rPr>
        <w:t>保密</w:t>
      </w:r>
    </w:p>
    <w:p w14:paraId="1B7C4F5B">
      <w:pPr>
        <w:spacing w:line="312" w:lineRule="auto"/>
        <w:ind w:firstLine="465" w:firstLineChars="194"/>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参与招标投标活动的各方应对招标文件和投标文件中的商业和技术等秘密保密，违者应对由此造成的后果承担法律责任。</w:t>
      </w:r>
    </w:p>
    <w:p w14:paraId="09462BC0">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1.7</w:t>
      </w:r>
      <w:r>
        <w:rPr>
          <w:rFonts w:hint="eastAsia" w:ascii="宋体" w:hAnsi="宋体" w:eastAsia="宋体" w:cs="宋体"/>
          <w:color w:val="auto"/>
          <w:sz w:val="24"/>
          <w:szCs w:val="24"/>
          <w:highlight w:val="none"/>
        </w:rPr>
        <w:t>语言文字</w:t>
      </w:r>
    </w:p>
    <w:p w14:paraId="774E553C">
      <w:pPr>
        <w:spacing w:line="312" w:lineRule="auto"/>
        <w:ind w:firstLine="492"/>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除专用术语外，与招标投标有关的语言均使用中文。必要时专用术语应附有中文注释</w:t>
      </w:r>
      <w:r>
        <w:rPr>
          <w:rFonts w:hint="eastAsia" w:ascii="宋体" w:hAnsi="宋体" w:eastAsia="宋体" w:cs="宋体"/>
          <w:color w:val="auto"/>
          <w:sz w:val="24"/>
          <w:szCs w:val="24"/>
          <w:highlight w:val="none"/>
        </w:rPr>
        <w:t>。</w:t>
      </w:r>
    </w:p>
    <w:p w14:paraId="42B114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1.8</w:t>
      </w:r>
      <w:r>
        <w:rPr>
          <w:rFonts w:hint="eastAsia" w:ascii="宋体" w:hAnsi="宋体" w:eastAsia="宋体" w:cs="宋体"/>
          <w:color w:val="auto"/>
          <w:sz w:val="24"/>
          <w:szCs w:val="24"/>
          <w:highlight w:val="none"/>
        </w:rPr>
        <w:t>计量单位</w:t>
      </w:r>
    </w:p>
    <w:p w14:paraId="7B30212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所有计量均采用中华人民共和国法定计量单位。</w:t>
      </w:r>
    </w:p>
    <w:p w14:paraId="0DCF503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1.9</w:t>
      </w:r>
      <w:r>
        <w:rPr>
          <w:rFonts w:hint="eastAsia" w:ascii="宋体" w:hAnsi="宋体" w:eastAsia="宋体" w:cs="宋体"/>
          <w:color w:val="auto"/>
          <w:sz w:val="24"/>
          <w:szCs w:val="24"/>
          <w:highlight w:val="none"/>
        </w:rPr>
        <w:t>踏勘现场</w:t>
      </w:r>
    </w:p>
    <w:p w14:paraId="379206D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1.9.1投标人须知前附表规定组织踏勘现场的，招标人按投标人须知前附表规定的时间、地点组织投标人踏勘项目现场。</w:t>
      </w:r>
    </w:p>
    <w:p w14:paraId="7CB304B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1.9.2投标人踏勘现场发生的费用自理。</w:t>
      </w:r>
    </w:p>
    <w:p w14:paraId="001F516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1.9.3除招标人的原因外，投标人自行负责在踏勘现场中所发生的人员伤亡和财产损失。</w:t>
      </w:r>
    </w:p>
    <w:p w14:paraId="65E2891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1.9.4招标人在踏勘现场中介绍的工程场地和相关的周边环境情况，供投标人在编制投标文件时参考，招标人不对投标人据此作出的判断和决策负责。</w:t>
      </w:r>
    </w:p>
    <w:p w14:paraId="06D23AA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1.9.5招标人提供的本工程的相关参考资料，并不构成合同文件的组成部分，</w:t>
      </w:r>
    </w:p>
    <w:p w14:paraId="5C5555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投标人应对上述资料的解释、推论和应用负责，招标人不对投标人据此作出的判断和决策承担任何责任。</w:t>
      </w:r>
    </w:p>
    <w:p w14:paraId="0947D3C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1.10</w:t>
      </w:r>
      <w:r>
        <w:rPr>
          <w:rFonts w:hint="eastAsia" w:ascii="宋体" w:hAnsi="宋体" w:eastAsia="宋体" w:cs="宋体"/>
          <w:color w:val="auto"/>
          <w:sz w:val="24"/>
          <w:szCs w:val="24"/>
          <w:highlight w:val="none"/>
        </w:rPr>
        <w:t>投标预备会</w:t>
      </w:r>
    </w:p>
    <w:p w14:paraId="416202B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1.10.1投标人须知前附表规定召开投标预备会的，招标人按投标人须知前附表规定的时间和地点召开投标预备会，澄清投标人提出的问题。</w:t>
      </w:r>
    </w:p>
    <w:p w14:paraId="4FA16B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1.10.2投标人提出问题的截止时间、上传疑问方式：见投标人须知前附表。</w:t>
      </w:r>
    </w:p>
    <w:p w14:paraId="5784E45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1.10.3招标文件的澄清、补充、修改的时间及下载网址：见投标人须知前附表。</w:t>
      </w:r>
    </w:p>
    <w:p w14:paraId="1B68561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1.11</w:t>
      </w:r>
      <w:r>
        <w:rPr>
          <w:rFonts w:hint="eastAsia" w:ascii="宋体" w:hAnsi="宋体" w:eastAsia="宋体" w:cs="宋体"/>
          <w:color w:val="auto"/>
          <w:sz w:val="24"/>
          <w:szCs w:val="24"/>
          <w:highlight w:val="none"/>
        </w:rPr>
        <w:t>分包</w:t>
      </w:r>
    </w:p>
    <w:p w14:paraId="3F9D0ED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本招标项目不允许分包。</w:t>
      </w:r>
    </w:p>
    <w:p w14:paraId="1CE7F1C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1.12</w:t>
      </w:r>
      <w:r>
        <w:rPr>
          <w:rFonts w:hint="eastAsia" w:ascii="宋体" w:hAnsi="宋体" w:eastAsia="宋体" w:cs="宋体"/>
          <w:color w:val="auto"/>
          <w:sz w:val="24"/>
          <w:szCs w:val="24"/>
          <w:highlight w:val="none"/>
        </w:rPr>
        <w:t>偏离</w:t>
      </w:r>
    </w:p>
    <w:p w14:paraId="03DF8D5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投标人须知前附表允许投标文件偏离招标文件某些要求的，偏离应当符合招标文件规定的偏离范围和幅度。</w:t>
      </w:r>
    </w:p>
    <w:p w14:paraId="403484D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w:t>
      </w:r>
      <w:r>
        <w:rPr>
          <w:rFonts w:hint="eastAsia" w:ascii="宋体" w:hAnsi="宋体" w:eastAsia="宋体" w:cs="宋体"/>
          <w:color w:val="auto"/>
          <w:sz w:val="24"/>
          <w:szCs w:val="24"/>
          <w:highlight w:val="none"/>
        </w:rPr>
        <w:t>招标文件</w:t>
      </w:r>
    </w:p>
    <w:p w14:paraId="5E9B660F">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2.1</w:t>
      </w:r>
      <w:r>
        <w:rPr>
          <w:rFonts w:hint="eastAsia" w:ascii="宋体" w:hAnsi="宋体" w:eastAsia="宋体" w:cs="宋体"/>
          <w:color w:val="auto"/>
          <w:sz w:val="24"/>
          <w:szCs w:val="24"/>
          <w:highlight w:val="none"/>
        </w:rPr>
        <w:t>招标文件的组成</w:t>
      </w:r>
    </w:p>
    <w:p w14:paraId="53278E9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本招标文件包括：</w:t>
      </w:r>
    </w:p>
    <w:p w14:paraId="58642D5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(1)招标公告；</w:t>
      </w:r>
    </w:p>
    <w:p w14:paraId="2E0CB9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(2)投标人须知；</w:t>
      </w:r>
    </w:p>
    <w:p w14:paraId="78234CB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(3)评标定标办法；</w:t>
      </w:r>
    </w:p>
    <w:p w14:paraId="0ECED9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(4)合同条款及格式；</w:t>
      </w:r>
    </w:p>
    <w:p w14:paraId="315002F8">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(5)招标内容和技术要求；</w:t>
      </w:r>
    </w:p>
    <w:p w14:paraId="0469F11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(6)投标文件格式；</w:t>
      </w:r>
    </w:p>
    <w:p w14:paraId="7B915E5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(7)投标人须知前附表规定的其他材料。</w:t>
      </w:r>
    </w:p>
    <w:p w14:paraId="56E87E7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根据本章第1.10款、第2.2款对招标文件所作的澄清、修改，构成招标文件的组成部分。招标文件、招标文件的澄清或修改等在同一内容的表述上不一致时，以最后发出的书面文件为准。</w:t>
      </w:r>
    </w:p>
    <w:p w14:paraId="3A28F75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2.2招标文件的澄清和修改</w:t>
      </w:r>
    </w:p>
    <w:p w14:paraId="124106E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2.2.1投标人应仔细阅读和检查招标文件的全部内容。如发现缺页或附件不全，应及时向招标人提出，以便补齐。如有疑问，应在投标人须知前附表第1.10.2项规定的时间前通过电子邮件的方式向招标人提出，要求招标人对招标文件予以澄清。</w:t>
      </w:r>
    </w:p>
    <w:p w14:paraId="14C48836">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2.2.2招标文件的澄清、修改可能影响投标文件编制的，招标人将在投标人须知前附表规定的投标截止时间15个日历天前通过绍兴公共资源交易网、绍兴市公共资源交易中心进行发布，但不指明澄清问题的来源。如果澄清发出的时间距投标截止时间不足15天，相应延长投标截止时间。</w:t>
      </w:r>
    </w:p>
    <w:p w14:paraId="6868D73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2.2.3投标人确认收到招标文件澄清和修改内容的时间：见投标人须知前附表。</w:t>
      </w:r>
    </w:p>
    <w:p w14:paraId="6E4329E7">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w:t>
      </w:r>
      <w:r>
        <w:rPr>
          <w:rFonts w:hint="eastAsia" w:ascii="宋体" w:hAnsi="宋体" w:eastAsia="宋体" w:cs="宋体"/>
          <w:color w:val="auto"/>
          <w:sz w:val="24"/>
          <w:szCs w:val="24"/>
          <w:highlight w:val="none"/>
        </w:rPr>
        <w:t>投标文件</w:t>
      </w:r>
    </w:p>
    <w:p w14:paraId="2D55A75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3.1</w:t>
      </w:r>
      <w:r>
        <w:rPr>
          <w:rFonts w:hint="eastAsia" w:ascii="宋体" w:hAnsi="宋体" w:eastAsia="宋体" w:cs="宋体"/>
          <w:color w:val="auto"/>
          <w:sz w:val="24"/>
          <w:szCs w:val="24"/>
          <w:highlight w:val="none"/>
        </w:rPr>
        <w:t>投标文件的组成</w:t>
      </w:r>
    </w:p>
    <w:p w14:paraId="675494C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3.1.1商务标部分</w:t>
      </w:r>
    </w:p>
    <w:p w14:paraId="45B2BF8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(1)投标函(格式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1AAC5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(2)投标报价表(格式</w:t>
      </w:r>
      <w:r>
        <w:rPr>
          <w:rFonts w:hint="eastAsia" w:ascii="宋体" w:hAnsi="宋体" w:eastAsia="宋体" w:cs="宋体"/>
          <w:color w:val="auto"/>
          <w:position w:val="1"/>
          <w:sz w:val="24"/>
          <w:szCs w:val="24"/>
          <w:highlight w:val="none"/>
          <w:lang w:eastAsia="zh-CN"/>
        </w:rPr>
        <w:t>，</w:t>
      </w:r>
      <w:r>
        <w:rPr>
          <w:rFonts w:hint="eastAsia" w:ascii="宋体" w:hAnsi="宋体" w:eastAsia="宋体" w:cs="宋体"/>
          <w:color w:val="auto"/>
          <w:position w:val="1"/>
          <w:sz w:val="24"/>
          <w:szCs w:val="24"/>
          <w:highlight w:val="none"/>
          <w:lang w:val="en-US" w:eastAsia="zh-CN"/>
        </w:rPr>
        <w:t>放入系统格式中</w:t>
      </w:r>
      <w:r>
        <w:rPr>
          <w:rFonts w:hint="eastAsia" w:ascii="宋体" w:hAnsi="宋体" w:eastAsia="宋体" w:cs="宋体"/>
          <w:color w:val="auto"/>
          <w:position w:val="1"/>
          <w:sz w:val="24"/>
          <w:szCs w:val="24"/>
          <w:highlight w:val="none"/>
        </w:rPr>
        <w:t>)；</w:t>
      </w:r>
    </w:p>
    <w:p w14:paraId="5422A3C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□(3)投标分项报价表；</w:t>
      </w:r>
    </w:p>
    <w:p w14:paraId="15192EF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(4)商务条款偏离表；</w:t>
      </w:r>
    </w:p>
    <w:p w14:paraId="53CDB68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☑(5)随机备品备件一览表；</w:t>
      </w:r>
    </w:p>
    <w:p w14:paraId="70B7F43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□(6)供招标人选购的备品备件一览表；</w:t>
      </w:r>
    </w:p>
    <w:p w14:paraId="320928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□(7)专用检测设备及专用维修工具一览表；</w:t>
      </w:r>
    </w:p>
    <w:p w14:paraId="3129C20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379730</wp:posOffset>
                </wp:positionH>
                <wp:positionV relativeFrom="paragraph">
                  <wp:posOffset>242570</wp:posOffset>
                </wp:positionV>
                <wp:extent cx="3365500" cy="7620"/>
                <wp:effectExtent l="0" t="0" r="0" b="0"/>
                <wp:wrapNone/>
                <wp:docPr id="1026" name="矩形 5"/>
                <wp:cNvGraphicFramePr/>
                <a:graphic xmlns:a="http://schemas.openxmlformats.org/drawingml/2006/main">
                  <a:graphicData uri="http://schemas.microsoft.com/office/word/2010/wordprocessingShape">
                    <wps:wsp>
                      <wps:cNvSpPr/>
                      <wps:spPr>
                        <a:xfrm>
                          <a:off x="0" y="0"/>
                          <a:ext cx="3365500" cy="7620"/>
                        </a:xfrm>
                        <a:prstGeom prst="rect">
                          <a:avLst/>
                        </a:prstGeom>
                        <a:solidFill>
                          <a:srgbClr val="000000"/>
                        </a:solidFill>
                        <a:ln>
                          <a:noFill/>
                        </a:ln>
                      </wps:spPr>
                      <wps:bodyPr/>
                    </wps:wsp>
                  </a:graphicData>
                </a:graphic>
              </wp:anchor>
            </w:drawing>
          </mc:Choice>
          <mc:Fallback>
            <w:pict>
              <v:rect id="矩形 5" o:spid="_x0000_s1026" o:spt="1" style="position:absolute;left:0pt;margin-left:29.9pt;margin-top:19.1pt;height:0.6pt;width:265pt;z-index:251659264;mso-width-relative:page;mso-height-relative:page;" fillcolor="#000000" filled="t" stroked="f" coordsize="21600,21600" o:gfxdata="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(招标人需要增加的其他商务内容)。</w:t>
      </w:r>
    </w:p>
    <w:p w14:paraId="2392AADC">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3.1.2技术标部分</w:t>
      </w:r>
    </w:p>
    <w:p w14:paraId="4A7E3DD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☑(1)货物说明一览表；</w:t>
      </w:r>
    </w:p>
    <w:p w14:paraId="511DA1B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☑(2)技术响应表；</w:t>
      </w:r>
    </w:p>
    <w:p w14:paraId="7B4AA6D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☑(3)主要配置说明一览表；</w:t>
      </w:r>
    </w:p>
    <w:p w14:paraId="4FF979E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☑(4)技术规格偏离表；</w:t>
      </w:r>
    </w:p>
    <w:p w14:paraId="63E4A64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□(5)投标方案图纸、产品详细技术规格书及所投产品的样本及本招标文件中规定的其它必须提供的文件及资料；</w:t>
      </w:r>
    </w:p>
    <w:p w14:paraId="0599D0D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□(6)产品的主要技术、结构、性能、特点和质量水平的详细描述；</w:t>
      </w:r>
    </w:p>
    <w:p w14:paraId="48F67CE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□(7)产品制造、安装、验收标准；</w:t>
      </w:r>
    </w:p>
    <w:p w14:paraId="7F6589A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□(8)主要工艺装备和主要检测设施的拥有情况和现状；</w:t>
      </w:r>
    </w:p>
    <w:p w14:paraId="62E8085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☑(9)质量手册或关于质量管理、质量体系、质量控制、质量保证的详细介绍；</w:t>
      </w:r>
    </w:p>
    <w:p w14:paraId="0212E647">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☑(10)产品的技术服务和售后服务的内容和措施；</w:t>
      </w:r>
    </w:p>
    <w:p w14:paraId="0D046AF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mc:AlternateContent>
          <mc:Choice Requires="wps">
            <w:drawing>
              <wp:anchor distT="0" distB="0" distL="0" distR="0" simplePos="0" relativeHeight="251659264" behindDoc="0" locked="0" layoutInCell="1" allowOverlap="1">
                <wp:simplePos x="0" y="0"/>
                <wp:positionH relativeFrom="column">
                  <wp:posOffset>303530</wp:posOffset>
                </wp:positionH>
                <wp:positionV relativeFrom="paragraph">
                  <wp:posOffset>242570</wp:posOffset>
                </wp:positionV>
                <wp:extent cx="3510280" cy="7620"/>
                <wp:effectExtent l="0" t="0" r="0" b="0"/>
                <wp:wrapNone/>
                <wp:docPr id="1027" name="矩形 6"/>
                <wp:cNvGraphicFramePr/>
                <a:graphic xmlns:a="http://schemas.openxmlformats.org/drawingml/2006/main">
                  <a:graphicData uri="http://schemas.microsoft.com/office/word/2010/wordprocessingShape">
                    <wps:wsp>
                      <wps:cNvSpPr/>
                      <wps:spPr>
                        <a:xfrm>
                          <a:off x="0" y="0"/>
                          <a:ext cx="3510280" cy="7620"/>
                        </a:xfrm>
                        <a:prstGeom prst="rect">
                          <a:avLst/>
                        </a:prstGeom>
                        <a:solidFill>
                          <a:srgbClr val="000000"/>
                        </a:solidFill>
                        <a:ln>
                          <a:noFill/>
                        </a:ln>
                      </wps:spPr>
                      <wps:bodyPr/>
                    </wps:wsp>
                  </a:graphicData>
                </a:graphic>
              </wp:anchor>
            </w:drawing>
          </mc:Choice>
          <mc:Fallback>
            <w:pict>
              <v:rect id="矩形 6" o:spid="_x0000_s1026" o:spt="1" style="position:absolute;left:0pt;margin-left:23.9pt;margin-top:19.1pt;height:0.6pt;width:276.4pt;z-index:251659264;mso-width-relative:page;mso-height-relative:page;" fillcolor="#000000" filled="t" stroked="f" coordsize="21600,21600" o:gfxdata="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">
                <v:fill on="t" focussize="0,0"/>
                <v:stroke on="f"/>
                <v:imagedata o:title=""/>
                <o:lock v:ext="edit" aspectratio="f"/>
              </v:rect>
            </w:pict>
          </mc:Fallback>
        </mc:AlternateContent>
      </w:r>
      <w:r>
        <w:rPr>
          <w:rFonts w:hint="eastAsia" w:ascii="宋体" w:hAnsi="宋体" w:eastAsia="宋体" w:cs="宋体"/>
          <w:color w:val="auto"/>
          <w:position w:val="1"/>
          <w:sz w:val="24"/>
          <w:szCs w:val="24"/>
          <w:highlight w:val="none"/>
        </w:rPr>
        <w:t>(招标人需要增加的其他技术内容)。</w:t>
      </w:r>
    </w:p>
    <w:p w14:paraId="097FB80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3.1.3资格审查资料</w:t>
      </w:r>
    </w:p>
    <w:p w14:paraId="0EE9F51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（1）“投标人基本情况表”应附投标人营业执照和组织机构代码证的复制件（按照“三证合一”或“五证合一”登记制度进行登记的，可仅提供营业执照复制件）等材料的复制件；</w:t>
      </w:r>
    </w:p>
    <w:p w14:paraId="42537E0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（2）法定代表人身份证明（格式见后）；</w:t>
      </w:r>
    </w:p>
    <w:p w14:paraId="28A6BAD2">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（3）联合体协议书(如以联合体形式投标的需提供)；</w:t>
      </w:r>
    </w:p>
    <w:p w14:paraId="2B60E74A">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（4）法定代表人授权委托书（若有）；</w:t>
      </w:r>
    </w:p>
    <w:p w14:paraId="54860404">
      <w:pPr>
        <w:shd w:val="clear" w:color="auto" w:fill="FFFFFF"/>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（5）投标承诺书（格式见后）；</w:t>
      </w:r>
    </w:p>
    <w:p w14:paraId="65363CC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（6）投标保证金缴纳证明资料；</w:t>
      </w:r>
    </w:p>
    <w:p w14:paraId="5541C7C5">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sym w:font="Wingdings 2" w:char="00A3"/>
      </w:r>
      <w:r>
        <w:rPr>
          <w:rFonts w:hint="eastAsia" w:ascii="宋体" w:hAnsi="宋体" w:eastAsia="宋体" w:cs="宋体"/>
          <w:color w:val="auto"/>
          <w:position w:val="1"/>
          <w:sz w:val="24"/>
          <w:szCs w:val="24"/>
          <w:highlight w:val="none"/>
        </w:rPr>
        <w:t>（7）中小企业声明函。</w:t>
      </w:r>
    </w:p>
    <w:p w14:paraId="2F5A5681">
      <w:pPr>
        <w:numPr>
          <w:ilvl w:val="0"/>
          <w:numId w:val="6"/>
        </w:num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其他资料：格式自拟（招标人认为需要增加的符合法律法规规定的其他实质性响应的资料）。</w:t>
      </w:r>
    </w:p>
    <w:p w14:paraId="6BECA581">
      <w:pPr>
        <w:spacing w:line="312" w:lineRule="auto"/>
        <w:ind w:firstLine="482" w:firstLineChars="200"/>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lang w:val="en-US" w:eastAsia="zh-CN"/>
        </w:rPr>
        <w:t>1.</w:t>
      </w:r>
      <w:r>
        <w:rPr>
          <w:rFonts w:hint="eastAsia" w:ascii="宋体" w:hAnsi="宋体" w:eastAsia="宋体" w:cs="宋体"/>
          <w:b/>
          <w:bCs/>
          <w:color w:val="auto"/>
          <w:sz w:val="24"/>
          <w:szCs w:val="24"/>
          <w:highlight w:val="none"/>
          <w:u w:val="single"/>
        </w:rPr>
        <w:t>投标人具有独立承担民事责任的能力的法人或者其他组织</w:t>
      </w:r>
      <w:r>
        <w:rPr>
          <w:rFonts w:hint="eastAsia" w:ascii="宋体" w:hAnsi="宋体" w:eastAsia="宋体" w:cs="宋体"/>
          <w:b/>
          <w:bCs/>
          <w:color w:val="auto"/>
          <w:sz w:val="24"/>
          <w:szCs w:val="24"/>
          <w:highlight w:val="none"/>
          <w:u w:val="single"/>
          <w:lang w:eastAsia="zh-CN"/>
        </w:rPr>
        <w:t>；</w:t>
      </w:r>
    </w:p>
    <w:p w14:paraId="13410DE0">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2.</w:t>
      </w:r>
      <w:r>
        <w:rPr>
          <w:rFonts w:hint="eastAsia" w:ascii="宋体" w:hAnsi="宋体" w:eastAsia="宋体" w:cs="宋体"/>
          <w:b/>
          <w:bCs/>
          <w:color w:val="auto"/>
          <w:sz w:val="24"/>
          <w:szCs w:val="24"/>
          <w:highlight w:val="none"/>
          <w:u w:val="single"/>
        </w:rPr>
        <w:t>本次招标要求投标人具备 ①特种设备安装改造维修许可证（压力管道GC2级或以上）或特种设备生产许可证（工业管道安装GC2级或以上）；</w:t>
      </w:r>
      <w:r>
        <w:rPr>
          <w:rFonts w:hint="eastAsia" w:ascii="宋体" w:hAnsi="宋体" w:eastAsia="宋体" w:cs="宋体"/>
          <w:b/>
          <w:bCs/>
          <w:color w:val="auto"/>
          <w:sz w:val="24"/>
          <w:szCs w:val="24"/>
          <w:highlight w:val="none"/>
          <w:u w:val="single"/>
          <w:lang w:val="en-US" w:eastAsia="zh-CN"/>
        </w:rPr>
        <w:t>②</w:t>
      </w:r>
      <w:r>
        <w:rPr>
          <w:rFonts w:hint="eastAsia" w:ascii="宋体" w:hAnsi="宋体" w:eastAsia="宋体" w:cs="宋体"/>
          <w:b/>
          <w:bCs/>
          <w:color w:val="auto"/>
          <w:sz w:val="24"/>
          <w:szCs w:val="24"/>
          <w:highlight w:val="none"/>
          <w:u w:val="single"/>
        </w:rPr>
        <w:t>医疗器械经营许可证或医疗器械经营备案凭证；</w:t>
      </w:r>
    </w:p>
    <w:p w14:paraId="49527341">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3.投标人自2021年7月1日（时间以合同签订时间为准）至投标截止日止，完成过单项合同金额2300万元及以上的医用净化工程业绩。</w:t>
      </w:r>
    </w:p>
    <w:p w14:paraId="3A0AA864">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注：①、业绩证明材料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02D352F5">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②、投标文件中的提供的相关证明材料必须能反映资格审查项的相关项目规模，否则不予认可；</w:t>
      </w:r>
    </w:p>
    <w:p w14:paraId="6B908102">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③、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08CCD069">
      <w:pPr>
        <w:spacing w:line="312" w:lineRule="auto"/>
        <w:ind w:firstLine="482" w:firstLineChars="200"/>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④、总承包单位、专业分包单位（含二次招标）以同一项目业绩参与本项目投标的，结合上述业绩证明材料要求，根据投标人提供的资料，经专家评定后确定实际施工单位身份。</w:t>
      </w:r>
    </w:p>
    <w:p w14:paraId="3758013F">
      <w:pPr>
        <w:pStyle w:val="10"/>
        <w:rPr>
          <w:rFonts w:hint="eastAsia" w:eastAsia="宋体"/>
          <w:color w:val="auto"/>
          <w:highlight w:val="none"/>
          <w:lang w:eastAsia="zh-CN"/>
        </w:rPr>
      </w:pPr>
    </w:p>
    <w:p w14:paraId="49BBCED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3.2</w:t>
      </w:r>
      <w:r>
        <w:rPr>
          <w:rFonts w:hint="eastAsia" w:ascii="宋体" w:hAnsi="宋体" w:eastAsia="宋体" w:cs="宋体"/>
          <w:color w:val="auto"/>
          <w:sz w:val="24"/>
          <w:szCs w:val="24"/>
          <w:highlight w:val="none"/>
        </w:rPr>
        <w:t>投标报价</w:t>
      </w:r>
    </w:p>
    <w:p w14:paraId="6FC189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3.2.1投标人应按本招标文件中“投标文件格式”的要求填写相应表格。</w:t>
      </w:r>
    </w:p>
    <w:p w14:paraId="29C1304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3.2.2投标人在投标截止时间前修改投标函中的投标总报价，应同时修改本招标文件中“投标文件格式”中的相应报价。此修改须符合本章第4.3款的有关要求。</w:t>
      </w:r>
    </w:p>
    <w:p w14:paraId="62F3BA99">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3.2.3招标人设有最高投标限价的，投标人的投标报价不得超过最高投标限价，最高投标限价详见投标人须知前附表。</w:t>
      </w:r>
    </w:p>
    <w:p w14:paraId="0CABA443">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3.2.4投标报价的其他要求详见投标人须知前附表。</w:t>
      </w:r>
    </w:p>
    <w:p w14:paraId="2481528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3.3</w:t>
      </w:r>
      <w:r>
        <w:rPr>
          <w:rFonts w:hint="eastAsia" w:ascii="宋体" w:hAnsi="宋体" w:eastAsia="宋体" w:cs="宋体"/>
          <w:color w:val="auto"/>
          <w:sz w:val="24"/>
          <w:szCs w:val="24"/>
          <w:highlight w:val="none"/>
        </w:rPr>
        <w:t>投标有效期</w:t>
      </w:r>
    </w:p>
    <w:p w14:paraId="722154AE">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3.3.1在投标人须知前附表规定的投标有效期内，投标人不得撤销其投标文件。</w:t>
      </w:r>
    </w:p>
    <w:p w14:paraId="24683CCB">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3.3.2出现特殊情况需要延长投标有效期的，招标人以书面形式通知所有投标人延长投标有效期。投标人同意延长的，应相应延长其投标保证金的有效期，但不得要求或被允许修改或撤销其投标文件；投标人拒绝延长的，其投标失效，但投标人有权收回其投标保证金及银行同期存款利息。</w:t>
      </w:r>
    </w:p>
    <w:p w14:paraId="710BB6E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3.4</w:t>
      </w:r>
      <w:r>
        <w:rPr>
          <w:rFonts w:hint="eastAsia" w:ascii="宋体" w:hAnsi="宋体" w:eastAsia="宋体" w:cs="宋体"/>
          <w:color w:val="auto"/>
          <w:sz w:val="24"/>
          <w:szCs w:val="24"/>
          <w:highlight w:val="none"/>
        </w:rPr>
        <w:t>投标保证金</w:t>
      </w:r>
    </w:p>
    <w:p w14:paraId="35B72D3E">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3.4.1投标人应按投标人须知前附表规定的金额、时间及形式递交投标保证金，并作为其投标文件的组成部分。</w:t>
      </w:r>
    </w:p>
    <w:p w14:paraId="71461812">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证金的，投标保证金须从投标人基本账户中转出；联合体投标的，投标保证金须从联合体牵头人基本账户中转出。投标保证金以到达指定账户内的时间为准，由于资金没有按招标文件规定时限内及时到账或未及时办理投标保证金收款或支付凭证而造成的后果，由投标人自行负责。</w:t>
      </w:r>
    </w:p>
    <w:p w14:paraId="2911F7B4">
      <w:pPr>
        <w:spacing w:line="312" w:lineRule="auto"/>
        <w:ind w:firstLine="479"/>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提交投标保险、保函、担保的，保险、保函、担保中的被担保人与投标人必须一致；联合体投标的，被担保人或投保人与联合体牵头人必须一致。保险、保函、担保中所担保的范围、金额、责任条件及有效期或保单中被保险人、保险金额、保险期限必须符合招标文件要求，否则招标人或指定机构不予接受。</w:t>
      </w:r>
    </w:p>
    <w:p w14:paraId="4844834A">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3.4.2投标人应按本章第3.4.1项要求提交投标保证金。</w:t>
      </w:r>
    </w:p>
    <w:p w14:paraId="22C2028D">
      <w:pPr>
        <w:spacing w:line="312" w:lineRule="auto"/>
        <w:ind w:firstLine="480" w:firstLineChars="200"/>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3.4.3投标保证金的退还：</w:t>
      </w:r>
    </w:p>
    <w:p w14:paraId="4EA90371">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3.4.3.1 中标人的投标保证金将在本招标项目的合同签订后5日内予以退还。</w:t>
      </w:r>
    </w:p>
    <w:p w14:paraId="0455CF0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3.4.3.2未中标人的投标保证金将在本招标项目中标通知书发出后5日内予以退还。</w:t>
      </w:r>
    </w:p>
    <w:p w14:paraId="3349C934">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3.4.3.3 退还的投标保证金，其利息计算执行中国人民银行规定的现行活期存款利率标准。</w:t>
      </w:r>
    </w:p>
    <w:p w14:paraId="67A576E8">
      <w:pPr>
        <w:spacing w:line="312" w:lineRule="auto"/>
        <w:ind w:firstLine="480" w:firstLineChars="2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3.4.4 </w:t>
      </w:r>
      <w:r>
        <w:rPr>
          <w:rFonts w:hint="eastAsia" w:ascii="宋体" w:hAnsi="宋体" w:eastAsia="宋体" w:cs="宋体"/>
          <w:b/>
          <w:color w:val="auto"/>
          <w:sz w:val="24"/>
          <w:szCs w:val="24"/>
          <w:highlight w:val="none"/>
        </w:rPr>
        <w:t xml:space="preserve">投标人有下列情况之一时，将不予退还投标保证金： </w:t>
      </w:r>
    </w:p>
    <w:p w14:paraId="54A3864D">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3.4.4.1经查实，投标人在投标过程中存在串通投标或弄虚作假的；</w:t>
      </w:r>
    </w:p>
    <w:p w14:paraId="1201454B">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3.4.4.2在提交投标文件截止时间后到招标文件规定的投标有效期终止之前，投标人撤销其投标文件的；</w:t>
      </w:r>
    </w:p>
    <w:p w14:paraId="146931AC">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3.4.4.3中标人在收到中标通知书后，无正当理由不与招标人订立合同，在签订合同时向招标人提出附加条件，或者不按照招标文件要求提交履约保证金；</w:t>
      </w:r>
    </w:p>
    <w:p w14:paraId="6663899A">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3.4.4.4 以现金转账形式，转账现金不予退还；</w:t>
      </w:r>
    </w:p>
    <w:p w14:paraId="6A16A522">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3.4.4.5 以银行保函形式，招标人作为受益人向银行提起索赔；</w:t>
      </w:r>
    </w:p>
    <w:p w14:paraId="6BFAE7F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3.4.4.6 以保证保险形式，招标人作为被保险人（受益人）向保险人提起索赔；</w:t>
      </w:r>
    </w:p>
    <w:p w14:paraId="775EA795">
      <w:pPr>
        <w:spacing w:line="312"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3.4.4.7 以担保公司担保形式，招标人作为受益人向担保人提起索赔。</w:t>
      </w:r>
    </w:p>
    <w:p w14:paraId="68802891">
      <w:pPr>
        <w:spacing w:line="312" w:lineRule="auto"/>
        <w:ind w:firstLine="482" w:firstLineChars="200"/>
        <w:rPr>
          <w:rFonts w:hint="eastAsia" w:ascii="宋体" w:hAnsi="宋体" w:eastAsia="宋体" w:cs="宋体"/>
          <w:strike/>
          <w:color w:val="auto"/>
          <w:position w:val="1"/>
          <w:sz w:val="24"/>
          <w:szCs w:val="24"/>
          <w:highlight w:val="none"/>
        </w:rPr>
      </w:pPr>
      <w:r>
        <w:rPr>
          <w:rFonts w:hint="eastAsia" w:ascii="宋体" w:hAnsi="宋体" w:eastAsia="宋体" w:cs="宋体"/>
          <w:b/>
          <w:strike/>
          <w:color w:val="auto"/>
          <w:sz w:val="24"/>
          <w:szCs w:val="24"/>
          <w:highlight w:val="none"/>
        </w:rPr>
        <w:t>免缴投标保证金的投标人如出现上述不予退还投标保证金的情形时，应在承诺时限内补缴全额投标保证金。</w:t>
      </w:r>
    </w:p>
    <w:p w14:paraId="1A43B74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3.5</w:t>
      </w:r>
      <w:r>
        <w:rPr>
          <w:rFonts w:hint="eastAsia" w:ascii="宋体" w:hAnsi="宋体" w:eastAsia="宋体" w:cs="宋体"/>
          <w:color w:val="auto"/>
          <w:sz w:val="24"/>
          <w:szCs w:val="24"/>
          <w:highlight w:val="none"/>
        </w:rPr>
        <w:t>资格审查资料</w:t>
      </w:r>
    </w:p>
    <w:p w14:paraId="546C7A7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3.5.1“投标人基本情况表”应附投标人营业执照副本等材料的复制件。</w:t>
      </w:r>
    </w:p>
    <w:p w14:paraId="3AB0B2E4">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3.5.2“近年财务状况表”应附经会计师事务所审计出具的财务会计报告，包括资产负债表、现金流量表、利润表和财务情况说明书的复制件，具体年份要求见投标人须知前附表。格式自拟。</w:t>
      </w:r>
    </w:p>
    <w:p w14:paraId="3C828DDF">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3.5.3“近年完成的类似项目情况表”应附中标通知书、委托合同的复制件，具体年份要求见投标人须知前附表。每张表格只填写一个项目，并标明序号。格式自拟。</w:t>
      </w:r>
    </w:p>
    <w:p w14:paraId="3C7EC992">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3.5.4“正在进行的项目和新承接的项目情况表”应附中标通知书和合同协议书复制件。每张表格只填写一个项目，并标明序号。格式自拟。</w:t>
      </w:r>
    </w:p>
    <w:p w14:paraId="11D36C9D">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3.5.5“近年发生的诉讼及仲裁情况”应说明相关情况，并附法院或仲裁机构作出的判决、裁决等有关法律文书复制件，具体年份要求见投标人须知前附表。格式自拟。</w:t>
      </w:r>
    </w:p>
    <w:p w14:paraId="2FB6D90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3.5.6投标单位应本着诚实信用的原则，提供真实可信的资格审查资料。若投标单位提供虚假资料，一经查实，除按否决投标处理外，其投标保证金不予退还。</w:t>
      </w:r>
    </w:p>
    <w:p w14:paraId="6CEF3060">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3.5.7实质性响应招标文件及评审打分资料详见投标人须知前附表。</w:t>
      </w:r>
    </w:p>
    <w:p w14:paraId="38C42EFE">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3.6</w:t>
      </w:r>
      <w:r>
        <w:rPr>
          <w:rFonts w:hint="eastAsia" w:ascii="宋体" w:hAnsi="宋体" w:eastAsia="宋体" w:cs="宋体"/>
          <w:color w:val="auto"/>
          <w:sz w:val="24"/>
          <w:szCs w:val="24"/>
          <w:highlight w:val="none"/>
        </w:rPr>
        <w:t>备选投标方案</w:t>
      </w:r>
    </w:p>
    <w:p w14:paraId="0F9F238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除投标人须知前附表另有规定外，投标人不得递交备选投标方案。允许投标人递交备选投标方案的，只有中标人所递交的备选方案方可予以考虑。评标委员会认为中标人的备选投标方案优于其按照招标文件要求编制的投标方案的，招标人可以接受该备选方案。</w:t>
      </w:r>
    </w:p>
    <w:p w14:paraId="688B754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3.7</w:t>
      </w:r>
      <w:r>
        <w:rPr>
          <w:rFonts w:hint="eastAsia" w:ascii="宋体" w:hAnsi="宋体" w:eastAsia="宋体" w:cs="宋体"/>
          <w:color w:val="auto"/>
          <w:sz w:val="24"/>
          <w:szCs w:val="24"/>
          <w:highlight w:val="none"/>
        </w:rPr>
        <w:t>投标文件的编制</w:t>
      </w:r>
    </w:p>
    <w:p w14:paraId="113C8BA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3.7.1投标文件应按第七章“投标文件格式”进行编写，如有必要，可以增加附页，作为投标文件的组成部分。其中，投标函在满足招标文件实质性要求的基础上，可以提出比招标文件要求更有利于招标人的承诺。</w:t>
      </w:r>
    </w:p>
    <w:p w14:paraId="638F745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3.7.2投标文件应当对招标文件有关工期、投标有效期、质量要求、技术标准和要求、招标范围等实质性内容作出响应。</w:t>
      </w:r>
    </w:p>
    <w:p w14:paraId="0741728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3.7.3投标文件签字或盖章的具体要求见投标人须知前附表。</w:t>
      </w:r>
    </w:p>
    <w:p w14:paraId="27AA136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3.7.4投标文件份数的具体要求见投标人须知前附表。</w:t>
      </w:r>
    </w:p>
    <w:p w14:paraId="153BE60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3.7.5电子投标的要求</w:t>
      </w:r>
    </w:p>
    <w:p w14:paraId="172A6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（1）电子投标文件签字或盖章的具体要求见投标人须知前附表。</w:t>
      </w:r>
    </w:p>
    <w:p w14:paraId="2ED7483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（2）电子投标文件制作或加密要求见投标人须知前附表。</w:t>
      </w:r>
    </w:p>
    <w:p w14:paraId="7DDF712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（3）电子投标文件所附证书证件及业绩证明文件要求见投标人须知前附表规定。</w:t>
      </w:r>
    </w:p>
    <w:p w14:paraId="262C404C">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w:t>
      </w:r>
      <w:r>
        <w:rPr>
          <w:rFonts w:hint="eastAsia" w:ascii="宋体" w:hAnsi="宋体" w:eastAsia="宋体" w:cs="宋体"/>
          <w:color w:val="auto"/>
          <w:sz w:val="24"/>
          <w:szCs w:val="24"/>
          <w:highlight w:val="none"/>
        </w:rPr>
        <w:t>投标</w:t>
      </w:r>
    </w:p>
    <w:p w14:paraId="754B0946">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4.1</w:t>
      </w:r>
      <w:r>
        <w:rPr>
          <w:rFonts w:hint="eastAsia" w:ascii="宋体" w:hAnsi="宋体" w:eastAsia="宋体" w:cs="宋体"/>
          <w:color w:val="auto"/>
          <w:sz w:val="24"/>
          <w:szCs w:val="24"/>
          <w:highlight w:val="none"/>
        </w:rPr>
        <w:t>光盘、样品等材料的包装和标记</w:t>
      </w:r>
    </w:p>
    <w:p w14:paraId="5C9FB98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光盘、样品等材料的外包装和要求见投标人须知前附表。</w:t>
      </w:r>
    </w:p>
    <w:p w14:paraId="24C467E9">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4.2</w:t>
      </w:r>
      <w:r>
        <w:rPr>
          <w:rFonts w:hint="eastAsia" w:ascii="宋体" w:hAnsi="宋体" w:eastAsia="宋体" w:cs="宋体"/>
          <w:color w:val="auto"/>
          <w:sz w:val="24"/>
          <w:szCs w:val="24"/>
          <w:highlight w:val="none"/>
        </w:rPr>
        <w:t>投标文件的递交</w:t>
      </w:r>
    </w:p>
    <w:p w14:paraId="19BBD71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4.2.1投标人应在前附表第2.2.2项规定的投标截止时间前递交投标文件。</w:t>
      </w:r>
    </w:p>
    <w:p w14:paraId="45E558E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4.2.2投标人递交投标文件的方式：见投标人须知前附表。</w:t>
      </w:r>
    </w:p>
    <w:p w14:paraId="1BDE4B97">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4.2.3除投标人须知前附表另有规定外，投标人所递交的投标文件不予退还。</w:t>
      </w:r>
    </w:p>
    <w:p w14:paraId="1672698C">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4.2.4电子投标文件递交要求：见投标须知前附表。</w:t>
      </w:r>
    </w:p>
    <w:p w14:paraId="1B83201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4.2.5电子投标文件的拒收情形：见投标须知前附表。</w:t>
      </w:r>
    </w:p>
    <w:p w14:paraId="4169FF91">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4.3</w:t>
      </w:r>
      <w:r>
        <w:rPr>
          <w:rFonts w:hint="eastAsia" w:ascii="宋体" w:hAnsi="宋体" w:eastAsia="宋体" w:cs="宋体"/>
          <w:color w:val="auto"/>
          <w:sz w:val="24"/>
          <w:szCs w:val="24"/>
          <w:highlight w:val="none"/>
        </w:rPr>
        <w:t>投标文件的修改与撤回</w:t>
      </w:r>
    </w:p>
    <w:p w14:paraId="2092E82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4.3.1在前附表第2.2.2项规定的投标截止时间前，投标人可以修改或撤回已递交的投标文件，在投标截止时间以后，不能更改投标文件。</w:t>
      </w:r>
    </w:p>
    <w:p w14:paraId="4A4434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4.3.2修改的内容为投标文件的组成部分。投标人的补充修改，应按规定编制、密封、标志和递交，并在包封上标明“修改”字样。</w:t>
      </w:r>
    </w:p>
    <w:p w14:paraId="5767F0F9">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4.3.3投标人修改或撤回已递交电子投标文件的通知，应按照本章第3.7.5项的要求加盖电子印章。电子招标投标交易平台收到通知后，即时向投标人发出确认回执通知。</w:t>
      </w:r>
    </w:p>
    <w:p w14:paraId="33B522ED">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4.4</w:t>
      </w:r>
      <w:r>
        <w:rPr>
          <w:rFonts w:hint="eastAsia" w:ascii="宋体" w:hAnsi="宋体" w:eastAsia="宋体" w:cs="宋体"/>
          <w:color w:val="auto"/>
          <w:sz w:val="24"/>
          <w:szCs w:val="24"/>
          <w:highlight w:val="none"/>
        </w:rPr>
        <w:t>投标文件的拒收情形</w:t>
      </w:r>
    </w:p>
    <w:p w14:paraId="3F6804DE">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详见投标人须知前附表。</w:t>
      </w:r>
    </w:p>
    <w:p w14:paraId="1505EF2B">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w:t>
      </w:r>
      <w:r>
        <w:rPr>
          <w:rFonts w:hint="eastAsia" w:ascii="宋体" w:hAnsi="宋体" w:eastAsia="宋体" w:cs="宋体"/>
          <w:color w:val="auto"/>
          <w:sz w:val="24"/>
          <w:szCs w:val="24"/>
          <w:highlight w:val="none"/>
        </w:rPr>
        <w:t>开标程序</w:t>
      </w:r>
    </w:p>
    <w:p w14:paraId="49C77B8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5.1</w:t>
      </w:r>
      <w:r>
        <w:rPr>
          <w:rFonts w:hint="eastAsia" w:ascii="宋体" w:hAnsi="宋体" w:eastAsia="宋体" w:cs="宋体"/>
          <w:color w:val="auto"/>
          <w:sz w:val="24"/>
          <w:szCs w:val="24"/>
          <w:highlight w:val="none"/>
        </w:rPr>
        <w:t>开标时间和地点、参加开标会议的要求</w:t>
      </w:r>
    </w:p>
    <w:p w14:paraId="576A38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招标人在投标人须知前附表第2.2.2项规定的投标截止时间(开标时间)和投标人须知前附表规定的地点公开开标，参加开标会议的要求见投标人须知前附表。</w:t>
      </w:r>
    </w:p>
    <w:p w14:paraId="110B608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5.2</w:t>
      </w:r>
      <w:r>
        <w:rPr>
          <w:rFonts w:hint="eastAsia" w:ascii="宋体" w:hAnsi="宋体" w:eastAsia="宋体" w:cs="宋体"/>
          <w:color w:val="auto"/>
          <w:sz w:val="24"/>
          <w:szCs w:val="24"/>
          <w:highlight w:val="none"/>
        </w:rPr>
        <w:t>开标</w:t>
      </w:r>
    </w:p>
    <w:p w14:paraId="7B93929D">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主持人按下列程序进行开标：</w:t>
      </w:r>
    </w:p>
    <w:p w14:paraId="1167A6A2">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5.2.1宣布开标开始，介绍到会单位及人员；</w:t>
      </w:r>
    </w:p>
    <w:p w14:paraId="42EF3FAB">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5.2.2招标人公布投标人数量及保证金缴纳情况。若递交投标文件的单位数量少于3家，招标人公布已递交投标文件单位名称，宣布本次招标失败；</w:t>
      </w:r>
    </w:p>
    <w:p w14:paraId="6DF4F3E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5.2.3递交投标文件的投标人数量大于等于3家，进入投标文件启封或投标人解密环节。若成功解密的投标人少于3家，招标人宣布本次招标失败；</w:t>
      </w:r>
    </w:p>
    <w:p w14:paraId="71DF6F64">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5.2.4评标委员会对投标人进行资格审查（资格后审）；</w:t>
      </w:r>
    </w:p>
    <w:p w14:paraId="26191C5A">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5.2.5启封技术标，评标委员会对投标人的技术标进行综合评议并打分；</w:t>
      </w:r>
    </w:p>
    <w:p w14:paraId="2B8B66F3">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5.2.6宣布各投标人技术标得分；</w:t>
      </w:r>
    </w:p>
    <w:p w14:paraId="50968AD6">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5.2.7启封商务标，评标委员会对商务标进行评议并计算得分，宣布商务标得分；</w:t>
      </w:r>
    </w:p>
    <w:p w14:paraId="3F7816AF">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5.2.8宣布各投标人总得分；</w:t>
      </w:r>
    </w:p>
    <w:p w14:paraId="730150D5">
      <w:pPr>
        <w:spacing w:line="312" w:lineRule="auto"/>
        <w:ind w:firstLine="495"/>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5.2.9宣布中标候选人；</w:t>
      </w:r>
    </w:p>
    <w:p w14:paraId="0B1CC587">
      <w:pPr>
        <w:spacing w:line="312" w:lineRule="auto"/>
        <w:jc w:val="both"/>
        <w:outlineLvl w:val="3"/>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5.3不见面开标软硬件要求</w:t>
      </w:r>
    </w:p>
    <w:p w14:paraId="0962B64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（一）建议电脑配置：4G以上内存，MicrosoftWindows7以上操作系统，正版office软件，及相应的配套硬件设备（摄像头、耳机、麦克风等）。</w:t>
      </w:r>
    </w:p>
    <w:p w14:paraId="4559457A">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 50M 以上网络带宽连接。</w:t>
      </w:r>
    </w:p>
    <w:p w14:paraId="7E6F364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（三）安装浙江省公共资源交易CA签章互认驱动及开标大厅直播播放器。相关软件可在绍兴公共资源交易网（按各平台情况填写）下载专区页面下载。</w:t>
      </w:r>
    </w:p>
    <w:p w14:paraId="67ABB4D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（四）使用MicrosoftInternetExplorer11（IE 11）及以上浏览器，加入可信任站点，添加兼容性视图设置修改 Activex控件和插件设置，关闭弹出窗口拦截。</w:t>
      </w:r>
    </w:p>
    <w:p w14:paraId="485F04F7">
      <w:pPr>
        <w:spacing w:line="312"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5.4特殊情况的处置</w:t>
      </w:r>
    </w:p>
    <w:p w14:paraId="43E8191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5.4.1特殊情况的处置</w:t>
      </w:r>
    </w:p>
    <w:p w14:paraId="0521800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（一）因网络、系统、电力等不可抗力因素延期开标的，需更新制作投标文件并按招标文件要求重新递交。</w:t>
      </w:r>
    </w:p>
    <w:p w14:paraId="14141C2B">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（二）因电子交易系统故障、投标人数量过多等非投标人原因，导致投标文件不能在规定时间内完成解密的，招标人可向监管部门申请并征得同意后延长解密时间，告知在线的投标人。</w:t>
      </w:r>
    </w:p>
    <w:p w14:paraId="48CA83B3">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（三）投标人电脑终端的硬件设备和软件系统配置必须符合不见面开标技术要求并运行正常，否则投标人自行承担不利后果。</w:t>
      </w:r>
    </w:p>
    <w:p w14:paraId="7149DAC4">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5.4.2开标特别说明</w:t>
      </w:r>
    </w:p>
    <w:p w14:paraId="6F317640">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（一）开标解密使用投标人上传的加密电子投标文件。</w:t>
      </w:r>
    </w:p>
    <w:p w14:paraId="5126AB37">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（二）因投标人原因造成其电子文件未解密的，视为撤销其投标文件；投标截止时间前未完成投标文件传输的，视为撤回其投标文件；因投标人之外的原因造成电子投标文件未解密的，视为撤回其投标文件。</w:t>
      </w:r>
    </w:p>
    <w:p w14:paraId="5B23AF9D">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（三）部分投标人的电子文件无法解密的，其他投标文件的开标可以继续进行。</w:t>
      </w:r>
    </w:p>
    <w:p w14:paraId="38B389FC">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（四）投标人必须使用生成电子文件的CA数字证书解密电子投标文件。（投标人应特别注意CA数字证书的有效性，包括但不限于以下情形：1.介质CA数字证书延期、补办后，虽硬件介质不变但证书 Key 号发生改变，视为不同证书，会导致开标时无法解密投标文件。2.移动CA数字证书需在有效期内进行续费操作，过期后只能重新申领，重新申领的移动CA数字证书不能解密申领之前加密的投标文件。）</w:t>
      </w:r>
    </w:p>
    <w:p w14:paraId="7641026F">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（五）投标人应实时关注不见面开标系统页面，观看开标全过程，并根据需要，使用不见面</w:t>
      </w:r>
    </w:p>
    <w:p w14:paraId="2A06E978">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开标系统与招标人进行互动交流、澄清、异议、投标文件解密等活动。投标人登录不见面开标系统，参与在线开标活动，均被视为是投标人的法定代表人或其委托代理人，承担相应的法律责任。</w:t>
      </w:r>
    </w:p>
    <w:p w14:paraId="053AE905">
      <w:pPr>
        <w:spacing w:line="312" w:lineRule="auto"/>
        <w:ind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未及时登录不见面开标系统参与在线开标，投标人将无法及时获取解密指令、废标、澄清、唱标、评审结果等实时情况。投标人应自行承担由此引起的相关风险。</w:t>
      </w:r>
    </w:p>
    <w:p w14:paraId="10C82608">
      <w:pPr>
        <w:spacing w:line="312" w:lineRule="auto"/>
        <w:ind w:firstLine="470" w:firstLineChars="196"/>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5.4.3其他:见投标人须知前附表。</w:t>
      </w:r>
    </w:p>
    <w:p w14:paraId="0EEA422C">
      <w:pPr>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8" w:name="_Toc24695"/>
      <w:bookmarkStart w:id="9" w:name="_Toc462184031"/>
      <w:bookmarkStart w:id="10" w:name="_Toc9230"/>
      <w:bookmarkStart w:id="11" w:name="_Toc27905"/>
      <w:bookmarkStart w:id="12" w:name="_Toc22455"/>
      <w:bookmarkStart w:id="13" w:name="_Toc22922"/>
      <w:bookmarkStart w:id="14" w:name="_Toc24644"/>
      <w:bookmarkStart w:id="15" w:name="_Toc25932"/>
      <w:bookmarkStart w:id="16" w:name="_Toc15636"/>
      <w:bookmarkStart w:id="17" w:name="_Toc153981473"/>
      <w:bookmarkStart w:id="18" w:name="_Toc24156"/>
      <w:bookmarkStart w:id="19" w:name="_Toc31702"/>
      <w:bookmarkStart w:id="20" w:name="_Toc16092"/>
      <w:r>
        <w:rPr>
          <w:rFonts w:hint="eastAsia" w:ascii="宋体" w:hAnsi="宋体" w:eastAsia="宋体" w:cs="宋体"/>
          <w:b/>
          <w:bCs/>
          <w:snapToGrid/>
          <w:color w:val="auto"/>
          <w:kern w:val="2"/>
          <w:sz w:val="24"/>
          <w:szCs w:val="24"/>
          <w:highlight w:val="none"/>
        </w:rPr>
        <w:t>6. 评标</w:t>
      </w:r>
      <w:bookmarkEnd w:id="8"/>
      <w:bookmarkEnd w:id="9"/>
      <w:bookmarkEnd w:id="10"/>
      <w:bookmarkEnd w:id="11"/>
      <w:bookmarkEnd w:id="12"/>
      <w:bookmarkEnd w:id="13"/>
      <w:bookmarkEnd w:id="14"/>
      <w:bookmarkEnd w:id="15"/>
      <w:bookmarkEnd w:id="16"/>
      <w:bookmarkEnd w:id="17"/>
      <w:bookmarkEnd w:id="18"/>
      <w:bookmarkEnd w:id="19"/>
      <w:bookmarkEnd w:id="20"/>
    </w:p>
    <w:p w14:paraId="5F3536B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1" w:name="_Toc193449944"/>
      <w:r>
        <w:rPr>
          <w:rFonts w:hint="eastAsia" w:ascii="宋体" w:hAnsi="宋体" w:eastAsia="宋体" w:cs="宋体"/>
          <w:b/>
          <w:snapToGrid/>
          <w:color w:val="auto"/>
          <w:kern w:val="2"/>
          <w:sz w:val="24"/>
          <w:szCs w:val="24"/>
          <w:highlight w:val="none"/>
        </w:rPr>
        <w:t>6.1 评标委员会</w:t>
      </w:r>
      <w:bookmarkEnd w:id="21"/>
    </w:p>
    <w:p w14:paraId="7B29FD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6.1.1评标由招标人依法组建的评标委员会负责。评标委员会由招标人代表和有关技术、经济等方面的评标专家组成。评标委员会成员人数以及技术、经济等方面专家的确定方式见投标人须知前附表规定。</w:t>
      </w:r>
    </w:p>
    <w:p w14:paraId="110638D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 评标委员会成员有下列情形之一的，应当回避：</w:t>
      </w:r>
    </w:p>
    <w:p w14:paraId="2AB84EC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6.1.2.1 投标人或投标人的主要负责人及其拟派项目负责人的近亲属；</w:t>
      </w:r>
    </w:p>
    <w:p w14:paraId="0C73721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6.1.2.2 项目主管部门或者行政监督部门的人员：</w:t>
      </w:r>
    </w:p>
    <w:p w14:paraId="36D4FE0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6.1.2.3 与投标人有经济利益关系，可能影响对投标公正评审的；</w:t>
      </w:r>
    </w:p>
    <w:p w14:paraId="41D0F1E1">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6.1.2.4 曾因在招标、评标以及其他与招标投标有关活动中有过不良行为或从事违法行为而受过行政处罚或刑事处罚的。</w:t>
      </w:r>
    </w:p>
    <w:p w14:paraId="16BC630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2" w:name="_Toc193449945"/>
      <w:r>
        <w:rPr>
          <w:rFonts w:hint="eastAsia" w:ascii="宋体" w:hAnsi="宋体" w:eastAsia="宋体" w:cs="宋体"/>
          <w:b/>
          <w:snapToGrid/>
          <w:color w:val="auto"/>
          <w:kern w:val="2"/>
          <w:sz w:val="24"/>
          <w:szCs w:val="24"/>
          <w:highlight w:val="none"/>
        </w:rPr>
        <w:t xml:space="preserve">6.2 评标原则 </w:t>
      </w:r>
    </w:p>
    <w:p w14:paraId="66BF0CA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评标活动遵循公平、公正、科学、择优的原则。</w:t>
      </w:r>
    </w:p>
    <w:p w14:paraId="2D7EC142">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6.3 评标过程的保密</w:t>
      </w:r>
      <w:bookmarkEnd w:id="22"/>
    </w:p>
    <w:p w14:paraId="7B5C2BA7">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6.3.1 开标后，直至授予中标人合同为止，凡属于对投标文件的审查、澄清、评价和比较的有关资料，以及与评标有关的其他任何情况均应严格保密。</w:t>
      </w:r>
    </w:p>
    <w:p w14:paraId="0202DA2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6.3.2 在投标文件的评审和比较、中标候选人推荐以及授予合同的过程中，投标人向招标人和评标委员会施加影响的任何行为，都将会导致其投标被拒绝。</w:t>
      </w:r>
    </w:p>
    <w:p w14:paraId="27BC6AA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6.3.3 中标人确定后，招标人不对未中标人就评标过程以及未能中标原因作出任何解释。</w:t>
      </w:r>
    </w:p>
    <w:p w14:paraId="61EF77BE">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23" w:name="_Toc193449946"/>
      <w:r>
        <w:rPr>
          <w:rFonts w:hint="eastAsia" w:ascii="宋体" w:hAnsi="宋体" w:eastAsia="宋体" w:cs="宋体"/>
          <w:b/>
          <w:snapToGrid/>
          <w:color w:val="auto"/>
          <w:kern w:val="2"/>
          <w:sz w:val="24"/>
          <w:szCs w:val="24"/>
          <w:highlight w:val="none"/>
        </w:rPr>
        <w:t>6.4 评标</w:t>
      </w:r>
      <w:bookmarkEnd w:id="23"/>
    </w:p>
    <w:p w14:paraId="6FE2706C">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6.4.1评标委员会按照投标人须知前附表规定的评标办法（详见第三章“评标办法”规定的方法、评审因素、标准和程序）对投标文件进行评审。第三章“评标办法”未规定的方法、评审因素和标准，不作为评标依据。</w:t>
      </w:r>
    </w:p>
    <w:p w14:paraId="540A15F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6.4.2评标完成后，评标委员会应当向招标人提交书面评标报告和中标候选人名单。评标委员会推荐中标候选人的人数见投标人须知前附表。</w:t>
      </w:r>
    </w:p>
    <w:p w14:paraId="21D79208">
      <w:pPr>
        <w:keepNext/>
        <w:keepLines/>
        <w:widowControl w:val="0"/>
        <w:kinsoku/>
        <w:autoSpaceDE/>
        <w:autoSpaceDN/>
        <w:adjustRightInd/>
        <w:spacing w:line="312" w:lineRule="auto"/>
        <w:jc w:val="both"/>
        <w:textAlignment w:val="auto"/>
        <w:outlineLvl w:val="1"/>
        <w:rPr>
          <w:rFonts w:hint="eastAsia" w:ascii="宋体" w:hAnsi="宋体" w:eastAsia="宋体" w:cs="宋体"/>
          <w:b/>
          <w:bCs/>
          <w:snapToGrid/>
          <w:color w:val="auto"/>
          <w:kern w:val="2"/>
          <w:sz w:val="24"/>
          <w:szCs w:val="24"/>
          <w:highlight w:val="none"/>
        </w:rPr>
      </w:pPr>
      <w:bookmarkStart w:id="24" w:name="_Toc13493"/>
      <w:bookmarkStart w:id="25" w:name="_Toc7704"/>
      <w:bookmarkStart w:id="26" w:name="_Toc12652"/>
      <w:bookmarkStart w:id="27" w:name="_Toc8865"/>
      <w:bookmarkStart w:id="28" w:name="_Toc28621"/>
      <w:bookmarkStart w:id="29" w:name="_Toc28153"/>
      <w:bookmarkStart w:id="30" w:name="_Toc153981474"/>
      <w:bookmarkStart w:id="31" w:name="_Toc462184032"/>
      <w:bookmarkStart w:id="32" w:name="_Toc11303"/>
      <w:bookmarkStart w:id="33" w:name="_Toc17051"/>
      <w:bookmarkStart w:id="34" w:name="_Toc18956"/>
      <w:bookmarkStart w:id="35" w:name="_Toc29415"/>
      <w:bookmarkStart w:id="36" w:name="_Toc21714"/>
      <w:r>
        <w:rPr>
          <w:rFonts w:hint="eastAsia" w:ascii="宋体" w:hAnsi="宋体" w:eastAsia="宋体" w:cs="宋体"/>
          <w:b/>
          <w:bCs/>
          <w:snapToGrid/>
          <w:color w:val="auto"/>
          <w:kern w:val="2"/>
          <w:sz w:val="24"/>
          <w:szCs w:val="24"/>
          <w:highlight w:val="none"/>
        </w:rPr>
        <w:t>7. 合同授予</w:t>
      </w:r>
      <w:bookmarkEnd w:id="24"/>
      <w:bookmarkEnd w:id="25"/>
      <w:bookmarkEnd w:id="26"/>
      <w:bookmarkEnd w:id="27"/>
      <w:bookmarkEnd w:id="28"/>
      <w:bookmarkEnd w:id="29"/>
      <w:bookmarkEnd w:id="30"/>
      <w:bookmarkEnd w:id="31"/>
      <w:bookmarkEnd w:id="32"/>
      <w:bookmarkEnd w:id="33"/>
      <w:bookmarkEnd w:id="34"/>
      <w:bookmarkEnd w:id="35"/>
      <w:bookmarkEnd w:id="36"/>
      <w:bookmarkStart w:id="37" w:name="_Toc193449947"/>
    </w:p>
    <w:p w14:paraId="221D2CC4">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 定标方式</w:t>
      </w:r>
    </w:p>
    <w:p w14:paraId="3E7AF1BE">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授权评标委员会确定中标人或根据评标委员会推荐招标人确定招标人的（评定分离除外），国有资金占控股或者主导地位的依法必须进行招标的项目，招标人应当确定排名第一的中标候选人为中标人。排名第一的中标候选人放弃中标、因不可抗力不能履行合同、不按照招标文件要求提交履约保证金，或者被查实存在影响中标结果的违法行为等情形，不符合中标条件的，招标人可以按照评标委员会提出的中标候选人名单排序依次确定其他中标候选人为中标人，也可以重新招标。</w:t>
      </w:r>
    </w:p>
    <w:p w14:paraId="0A539DA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7.1.1中标候选人公示</w:t>
      </w:r>
    </w:p>
    <w:p w14:paraId="173B359B">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对中标候选人的情况（有业绩、荣誉要求的，包括业绩、荣誉）在绍兴公共资源交易网予以公示，公示期间招标人将对业绩及相关资质、证书原件等进行核查，公示期为3日。如遇国家法定休假日，应顺延至法定休假日后第一个工作日。</w:t>
      </w:r>
    </w:p>
    <w:p w14:paraId="7AE74F2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7.1.</w:t>
      </w:r>
      <w:r>
        <w:rPr>
          <w:rFonts w:hint="eastAsia" w:ascii="宋体" w:hAnsi="宋体" w:eastAsia="宋体" w:cs="宋体"/>
          <w:snapToGrid/>
          <w:color w:val="auto"/>
          <w:kern w:val="2"/>
          <w:sz w:val="24"/>
          <w:szCs w:val="24"/>
          <w:highlight w:val="none"/>
          <w:lang w:val="en-US" w:eastAsia="zh-CN"/>
        </w:rPr>
        <w:t>2</w:t>
      </w:r>
      <w:r>
        <w:rPr>
          <w:rFonts w:hint="eastAsia" w:ascii="宋体" w:hAnsi="宋体" w:eastAsia="宋体" w:cs="宋体"/>
          <w:snapToGrid/>
          <w:color w:val="auto"/>
          <w:kern w:val="2"/>
          <w:sz w:val="24"/>
          <w:szCs w:val="24"/>
          <w:highlight w:val="none"/>
        </w:rPr>
        <w:t>中标人公告媒介及期限</w:t>
      </w:r>
    </w:p>
    <w:p w14:paraId="4A02F2D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招标人应当将中标结果情况在投标须知前附表规定的媒介上公告不少于3日。</w:t>
      </w:r>
    </w:p>
    <w:p w14:paraId="05969335">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授权评标委员会推荐中标候选人的见投标人须知前附表。</w:t>
      </w:r>
    </w:p>
    <w:p w14:paraId="155372CD">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7.2 合同授予</w:t>
      </w:r>
      <w:bookmarkEnd w:id="37"/>
    </w:p>
    <w:p w14:paraId="07B59FC9">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7.2.1中标候选人公示媒介及期限见投标人须知前附表。</w:t>
      </w:r>
    </w:p>
    <w:p w14:paraId="5B967E3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7.2.2本招标项目的设计合同将授予按本章第7.1条款所确定的中标人。</w:t>
      </w:r>
    </w:p>
    <w:p w14:paraId="04314D96">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38" w:name="_Toc193449949"/>
      <w:r>
        <w:rPr>
          <w:rFonts w:hint="eastAsia" w:ascii="宋体" w:hAnsi="宋体" w:eastAsia="宋体" w:cs="宋体"/>
          <w:b/>
          <w:snapToGrid/>
          <w:color w:val="auto"/>
          <w:kern w:val="2"/>
          <w:sz w:val="24"/>
          <w:szCs w:val="24"/>
          <w:highlight w:val="none"/>
        </w:rPr>
        <w:t>7.3 中标通知书</w:t>
      </w:r>
      <w:bookmarkEnd w:id="38"/>
    </w:p>
    <w:p w14:paraId="72D04320">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7.3.1招标人将于中标人确定后15日内向中标人发出中标通知书并向招投标监管机构提交招标情况书面报告。</w:t>
      </w:r>
    </w:p>
    <w:p w14:paraId="33E59D0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7.3.2 中标通知书为合同的组成部分。</w:t>
      </w:r>
    </w:p>
    <w:p w14:paraId="1302A2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r>
        <w:rPr>
          <w:rFonts w:hint="eastAsia" w:ascii="宋体" w:hAnsi="宋体" w:eastAsia="宋体" w:cs="宋体"/>
          <w:b/>
          <w:snapToGrid/>
          <w:color w:val="auto"/>
          <w:kern w:val="2"/>
          <w:sz w:val="24"/>
          <w:szCs w:val="24"/>
          <w:highlight w:val="none"/>
        </w:rPr>
        <w:t>7.4</w:t>
      </w:r>
      <w:bookmarkStart w:id="39" w:name="_Toc193449950"/>
      <w:r>
        <w:rPr>
          <w:rFonts w:hint="eastAsia" w:ascii="宋体" w:hAnsi="宋体" w:eastAsia="宋体" w:cs="宋体"/>
          <w:b/>
          <w:snapToGrid/>
          <w:color w:val="auto"/>
          <w:kern w:val="2"/>
          <w:sz w:val="24"/>
          <w:szCs w:val="24"/>
          <w:highlight w:val="none"/>
        </w:rPr>
        <w:t xml:space="preserve"> 履约</w:t>
      </w:r>
      <w:bookmarkEnd w:id="39"/>
      <w:r>
        <w:rPr>
          <w:rFonts w:hint="eastAsia" w:ascii="宋体" w:hAnsi="宋体" w:eastAsia="宋体" w:cs="宋体"/>
          <w:b/>
          <w:snapToGrid/>
          <w:color w:val="auto"/>
          <w:kern w:val="2"/>
          <w:sz w:val="24"/>
          <w:szCs w:val="24"/>
          <w:highlight w:val="none"/>
        </w:rPr>
        <w:t>保证金</w:t>
      </w:r>
    </w:p>
    <w:p w14:paraId="07693D6E">
      <w:pPr>
        <w:widowControl w:val="0"/>
        <w:tabs>
          <w:tab w:val="left" w:pos="540"/>
        </w:tabs>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7.4.1 在签订合同前，中标人应按投标人须知前附表规定的金额、担保形式向招标人提交履约保证金。联合体中标的，其履约保证金以联合体牵头人名义提交。如采用履约保函形式提交担保，则中标人应提交在中国境内注册并经招标人认可的担保机构出具的银行保函 。否则，招标人将不予接受。</w:t>
      </w:r>
    </w:p>
    <w:p w14:paraId="10AE994D">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7.4.2 若中标人不能按本章第7.4.1条款规定提交履约保证金,招标人将有充分理由废除授标，投标保证金不予退还，给招标人造成的损失超过投标保证金金额的，还应当对超过部分予以赔偿，同时依法承担相应法律责任。</w:t>
      </w:r>
    </w:p>
    <w:p w14:paraId="28F7194A">
      <w:pPr>
        <w:widowControl w:val="0"/>
        <w:kinsoku/>
        <w:autoSpaceDE/>
        <w:autoSpaceDN/>
        <w:adjustRightInd/>
        <w:spacing w:line="312" w:lineRule="auto"/>
        <w:jc w:val="both"/>
        <w:textAlignment w:val="auto"/>
        <w:rPr>
          <w:rFonts w:hint="eastAsia" w:ascii="宋体" w:hAnsi="宋体" w:eastAsia="宋体" w:cs="宋体"/>
          <w:b/>
          <w:snapToGrid/>
          <w:color w:val="auto"/>
          <w:kern w:val="2"/>
          <w:sz w:val="24"/>
          <w:szCs w:val="24"/>
          <w:highlight w:val="none"/>
        </w:rPr>
      </w:pPr>
      <w:bookmarkStart w:id="40" w:name="_Toc193449952"/>
      <w:r>
        <w:rPr>
          <w:rFonts w:hint="eastAsia" w:ascii="宋体" w:hAnsi="宋体" w:eastAsia="宋体" w:cs="宋体"/>
          <w:b/>
          <w:snapToGrid/>
          <w:color w:val="auto"/>
          <w:kern w:val="2"/>
          <w:sz w:val="24"/>
          <w:szCs w:val="24"/>
          <w:highlight w:val="none"/>
        </w:rPr>
        <w:t xml:space="preserve">7.5 </w:t>
      </w:r>
      <w:bookmarkEnd w:id="40"/>
      <w:r>
        <w:rPr>
          <w:rFonts w:hint="eastAsia" w:ascii="宋体" w:hAnsi="宋体" w:eastAsia="宋体" w:cs="宋体"/>
          <w:b/>
          <w:snapToGrid/>
          <w:color w:val="auto"/>
          <w:kern w:val="2"/>
          <w:sz w:val="24"/>
          <w:szCs w:val="24"/>
          <w:highlight w:val="none"/>
        </w:rPr>
        <w:t>签订合同</w:t>
      </w:r>
    </w:p>
    <w:p w14:paraId="6248CAEA">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7.5.1 招标人与中标人将于中标通知书发出之日起30日内，根据招标文件和中标人的投标文件签订书面设计合同，招标人和中标人不得另行订立背离合同实质性内容的其他协议。</w:t>
      </w:r>
    </w:p>
    <w:p w14:paraId="360D4503">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7.5.2 招标人如无正当理由不按本章第7.5.1条款规定与中标人订立合同，或招标人迫使中标人订立背离合同实质性内容的协议，招标人将依法承担相应法律责任。</w:t>
      </w:r>
    </w:p>
    <w:p w14:paraId="2BB4372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7.5.3 中标人如无正当理由不按本章第7.5.1条款规定与招标人订立合同，招标人将废除授标，投标保证金不予退还，给招标人造成的损失超过投标保证金金额的，还应当对超过部分予以赔偿，同时依法承担相应法律责任。</w:t>
      </w:r>
    </w:p>
    <w:p w14:paraId="4ECC1B62">
      <w:pPr>
        <w:widowControl w:val="0"/>
        <w:kinsoku/>
        <w:autoSpaceDE/>
        <w:autoSpaceDN/>
        <w:adjustRightInd/>
        <w:spacing w:line="312"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 xml:space="preserve">7.5.4 中标人应当按照合同约定履行义务，完成中标项目的设计工作，不得将中标项目的设计工作转委托给他人。 </w:t>
      </w:r>
    </w:p>
    <w:p w14:paraId="25B99652">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w:t>
      </w:r>
      <w:r>
        <w:rPr>
          <w:rFonts w:hint="eastAsia" w:ascii="宋体" w:hAnsi="宋体" w:eastAsia="宋体" w:cs="宋体"/>
          <w:color w:val="auto"/>
          <w:sz w:val="24"/>
          <w:szCs w:val="24"/>
          <w:highlight w:val="none"/>
        </w:rPr>
        <w:t>重新招标和不再招标</w:t>
      </w:r>
    </w:p>
    <w:p w14:paraId="07C8DD43">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8.1</w:t>
      </w:r>
      <w:r>
        <w:rPr>
          <w:rFonts w:hint="eastAsia" w:ascii="宋体" w:hAnsi="宋体" w:eastAsia="宋体" w:cs="宋体"/>
          <w:color w:val="auto"/>
          <w:sz w:val="24"/>
          <w:szCs w:val="24"/>
          <w:highlight w:val="none"/>
        </w:rPr>
        <w:t>重新招标</w:t>
      </w:r>
    </w:p>
    <w:p w14:paraId="767DF92F">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有下列情形之一的，招标人将重新招标：</w:t>
      </w:r>
    </w:p>
    <w:p w14:paraId="3BEE06BE">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(1)投标截止时间止，投标人少于3个的；</w:t>
      </w:r>
    </w:p>
    <w:p w14:paraId="08CAB962">
      <w:pPr>
        <w:spacing w:line="312" w:lineRule="auto"/>
        <w:ind w:firstLine="312" w:firstLineChars="13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(2)经评标委员会评审后否决所有投标的；</w:t>
      </w:r>
    </w:p>
    <w:p w14:paraId="0D0B69BC">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8.2</w:t>
      </w:r>
      <w:r>
        <w:rPr>
          <w:rFonts w:hint="eastAsia" w:ascii="宋体" w:hAnsi="宋体" w:eastAsia="宋体" w:cs="宋体"/>
          <w:color w:val="auto"/>
          <w:sz w:val="24"/>
          <w:szCs w:val="24"/>
          <w:highlight w:val="none"/>
        </w:rPr>
        <w:t>不再招标</w:t>
      </w:r>
    </w:p>
    <w:p w14:paraId="03451FA6">
      <w:pPr>
        <w:spacing w:line="312" w:lineRule="auto"/>
        <w:ind w:firstLine="360" w:firstLineChars="15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重新招标后投标人仍少于3个的，经原审批或核准部门批准后不再进行招标。</w:t>
      </w:r>
    </w:p>
    <w:p w14:paraId="555DFE68">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w:t>
      </w:r>
      <w:r>
        <w:rPr>
          <w:rFonts w:hint="eastAsia" w:ascii="宋体" w:hAnsi="宋体" w:eastAsia="宋体" w:cs="宋体"/>
          <w:color w:val="auto"/>
          <w:sz w:val="24"/>
          <w:szCs w:val="24"/>
          <w:highlight w:val="none"/>
        </w:rPr>
        <w:t>纪律和监督</w:t>
      </w:r>
    </w:p>
    <w:p w14:paraId="4927DD45">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9.1</w:t>
      </w:r>
      <w:r>
        <w:rPr>
          <w:rFonts w:hint="eastAsia" w:ascii="宋体" w:hAnsi="宋体" w:eastAsia="宋体" w:cs="宋体"/>
          <w:color w:val="auto"/>
          <w:sz w:val="24"/>
          <w:szCs w:val="24"/>
          <w:highlight w:val="none"/>
        </w:rPr>
        <w:t>对招标人的纪律要求</w:t>
      </w:r>
    </w:p>
    <w:p w14:paraId="66F48D52">
      <w:pPr>
        <w:spacing w:line="312" w:lineRule="auto"/>
        <w:ind w:firstLine="476"/>
        <w:jc w:val="both"/>
        <w:rPr>
          <w:rFonts w:hint="eastAsia" w:ascii="宋体" w:hAnsi="宋体" w:eastAsia="宋体" w:cs="宋体"/>
          <w:color w:val="auto"/>
          <w:sz w:val="24"/>
          <w:szCs w:val="24"/>
          <w:highlight w:val="none"/>
        </w:rPr>
      </w:pPr>
      <w:r>
        <w:rPr>
          <w:rFonts w:hint="eastAsia" w:ascii="宋体" w:hAnsi="宋体" w:eastAsia="宋体" w:cs="宋体"/>
          <w:color w:val="auto"/>
          <w:position w:val="1"/>
          <w:sz w:val="24"/>
          <w:szCs w:val="24"/>
          <w:highlight w:val="none"/>
        </w:rPr>
        <w:t>招标人不得泄漏招标投标活动中应当保密的情况和资料，不得与投标人串通损害国家利益、社会公共利益或者他人合法权益</w:t>
      </w:r>
      <w:r>
        <w:rPr>
          <w:rFonts w:hint="eastAsia" w:ascii="宋体" w:hAnsi="宋体" w:eastAsia="宋体" w:cs="宋体"/>
          <w:color w:val="auto"/>
          <w:sz w:val="24"/>
          <w:szCs w:val="24"/>
          <w:highlight w:val="none"/>
        </w:rPr>
        <w:t>。</w:t>
      </w:r>
    </w:p>
    <w:p w14:paraId="1B1BD524">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9.2</w:t>
      </w:r>
      <w:r>
        <w:rPr>
          <w:rFonts w:hint="eastAsia" w:ascii="宋体" w:hAnsi="宋体" w:eastAsia="宋体" w:cs="宋体"/>
          <w:color w:val="auto"/>
          <w:sz w:val="24"/>
          <w:szCs w:val="24"/>
          <w:highlight w:val="none"/>
        </w:rPr>
        <w:t>对投标人的纪律要求</w:t>
      </w:r>
    </w:p>
    <w:p w14:paraId="1A56F118">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投标人不得相互串通投标或者与招标人串通投标，不得向招标人或者评标委员会成员行贿谋取中标，不得以他人名义投标或者以其他方式弄虚作假骗取中标；投标人不得以任何方式干扰、影响评标工作。</w:t>
      </w:r>
    </w:p>
    <w:p w14:paraId="70055E52">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9.3</w:t>
      </w:r>
      <w:r>
        <w:rPr>
          <w:rFonts w:hint="eastAsia" w:ascii="宋体" w:hAnsi="宋体" w:eastAsia="宋体" w:cs="宋体"/>
          <w:color w:val="auto"/>
          <w:sz w:val="24"/>
          <w:szCs w:val="24"/>
          <w:highlight w:val="none"/>
        </w:rPr>
        <w:t>对评标委员会成员的纪律要求</w:t>
      </w:r>
    </w:p>
    <w:p w14:paraId="17B6404E">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评标委员会成员不得收受他人的财物或者其他好处，不得向他人透露对投标文件的评审和比较、中标候选人的推荐情况以及评标有关的其他情况。在评标活动中，评标委员会成员不得擅离职守，影响评标程序正常进行，不得使用第三章“评标定标办法”没有规定的评审因素和标准进行评标。</w:t>
      </w:r>
    </w:p>
    <w:p w14:paraId="671A1087">
      <w:pPr>
        <w:spacing w:line="312" w:lineRule="auto"/>
        <w:jc w:val="both"/>
        <w:outlineLvl w:val="3"/>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9.4</w:t>
      </w:r>
      <w:r>
        <w:rPr>
          <w:rFonts w:hint="eastAsia" w:ascii="宋体" w:hAnsi="宋体" w:eastAsia="宋体" w:cs="宋体"/>
          <w:color w:val="auto"/>
          <w:sz w:val="24"/>
          <w:szCs w:val="24"/>
          <w:highlight w:val="none"/>
        </w:rPr>
        <w:t>对与评标活动有关的工作人员的纪律要求</w:t>
      </w:r>
    </w:p>
    <w:p w14:paraId="43DF875C">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与评标活动有关的工作人员不得收受他人的财物或者其他好处，不得向他人透露对投标文件的评审和比较、中标候选人的推荐情况以及评标有关的其他情况。在评标活动中，与评标活动有关的工作人员不得擅离职守，影响评标程序正常进行。</w:t>
      </w:r>
    </w:p>
    <w:p w14:paraId="1BD101A6">
      <w:pPr>
        <w:spacing w:line="312" w:lineRule="auto"/>
        <w:jc w:val="both"/>
        <w:outlineLvl w:val="2"/>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9.5</w:t>
      </w:r>
      <w:r>
        <w:rPr>
          <w:rFonts w:hint="eastAsia" w:ascii="宋体" w:hAnsi="宋体" w:eastAsia="宋体" w:cs="宋体"/>
          <w:color w:val="auto"/>
          <w:sz w:val="24"/>
          <w:szCs w:val="24"/>
          <w:highlight w:val="none"/>
        </w:rPr>
        <w:t>异议与投诉</w:t>
      </w:r>
    </w:p>
    <w:p w14:paraId="5C788CA0">
      <w:pPr>
        <w:spacing w:line="312" w:lineRule="auto"/>
        <w:ind w:firstLine="483"/>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投标人及其他利害关系人有提出异议与投诉的权利，但应遵守国家相关法律法规，具体要求见投标人须知前附表。</w:t>
      </w:r>
    </w:p>
    <w:p w14:paraId="64D9697A">
      <w:pPr>
        <w:spacing w:line="312" w:lineRule="auto"/>
        <w:jc w:val="both"/>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10.</w:t>
      </w:r>
      <w:r>
        <w:rPr>
          <w:rFonts w:hint="eastAsia" w:ascii="宋体" w:hAnsi="宋体" w:eastAsia="宋体" w:cs="宋体"/>
          <w:color w:val="auto"/>
          <w:sz w:val="24"/>
          <w:szCs w:val="24"/>
          <w:highlight w:val="none"/>
        </w:rPr>
        <w:t>需要补充的其他内容</w:t>
      </w:r>
    </w:p>
    <w:p w14:paraId="44CA7D81">
      <w:pPr>
        <w:spacing w:line="312" w:lineRule="auto"/>
        <w:ind w:firstLine="480" w:firstLineChars="200"/>
        <w:jc w:val="both"/>
        <w:rPr>
          <w:rFonts w:hint="eastAsia" w:ascii="宋体" w:hAnsi="宋体" w:eastAsia="宋体" w:cs="宋体"/>
          <w:color w:val="auto"/>
          <w:position w:val="1"/>
          <w:sz w:val="24"/>
          <w:szCs w:val="24"/>
          <w:highlight w:val="none"/>
        </w:rPr>
      </w:pPr>
      <w:r>
        <w:rPr>
          <w:rFonts w:hint="eastAsia" w:ascii="宋体" w:hAnsi="宋体" w:eastAsia="宋体" w:cs="宋体"/>
          <w:color w:val="auto"/>
          <w:position w:val="1"/>
          <w:sz w:val="24"/>
          <w:szCs w:val="24"/>
          <w:highlight w:val="none"/>
        </w:rPr>
        <w:t>需要补充的其他内容：见投标人须知前附表。</w:t>
      </w:r>
    </w:p>
    <w:p w14:paraId="1EA30CB4">
      <w:pPr>
        <w:spacing w:line="312" w:lineRule="auto"/>
        <w:jc w:val="both"/>
        <w:rPr>
          <w:rFonts w:hint="eastAsia" w:ascii="宋体" w:hAnsi="宋体" w:eastAsia="宋体" w:cs="宋体"/>
          <w:color w:val="auto"/>
          <w:position w:val="1"/>
          <w:sz w:val="24"/>
          <w:szCs w:val="24"/>
          <w:highlight w:val="none"/>
        </w:rPr>
      </w:pPr>
    </w:p>
    <w:p w14:paraId="462E9D87">
      <w:pPr>
        <w:spacing w:line="312" w:lineRule="auto"/>
        <w:jc w:val="both"/>
        <w:rPr>
          <w:rFonts w:hint="eastAsia" w:ascii="宋体" w:hAnsi="宋体" w:eastAsia="宋体" w:cs="宋体"/>
          <w:color w:val="auto"/>
          <w:position w:val="1"/>
          <w:sz w:val="24"/>
          <w:szCs w:val="24"/>
          <w:highlight w:val="none"/>
        </w:rPr>
      </w:pPr>
    </w:p>
    <w:p w14:paraId="7E77C40B">
      <w:pPr>
        <w:spacing w:line="312" w:lineRule="auto"/>
        <w:jc w:val="both"/>
        <w:rPr>
          <w:rFonts w:hint="eastAsia" w:ascii="宋体" w:hAnsi="宋体" w:eastAsia="宋体" w:cs="宋体"/>
          <w:color w:val="auto"/>
          <w:position w:val="1"/>
          <w:sz w:val="24"/>
          <w:szCs w:val="24"/>
          <w:highlight w:val="none"/>
        </w:rPr>
      </w:pPr>
    </w:p>
    <w:p w14:paraId="63A3AA98">
      <w:pPr>
        <w:spacing w:line="347" w:lineRule="auto"/>
        <w:jc w:val="both"/>
        <w:rPr>
          <w:rFonts w:hint="eastAsia" w:ascii="宋体" w:hAnsi="宋体" w:eastAsia="宋体" w:cs="宋体"/>
          <w:color w:val="auto"/>
          <w:position w:val="1"/>
          <w:sz w:val="24"/>
          <w:szCs w:val="24"/>
          <w:highlight w:val="none"/>
        </w:rPr>
      </w:pPr>
    </w:p>
    <w:p w14:paraId="568C7411">
      <w:pPr>
        <w:spacing w:line="347" w:lineRule="auto"/>
        <w:jc w:val="both"/>
        <w:rPr>
          <w:rFonts w:hint="eastAsia" w:ascii="宋体" w:hAnsi="宋体" w:eastAsia="宋体" w:cs="宋体"/>
          <w:color w:val="auto"/>
          <w:position w:val="1"/>
          <w:sz w:val="24"/>
          <w:szCs w:val="24"/>
          <w:highlight w:val="none"/>
        </w:rPr>
      </w:pPr>
    </w:p>
    <w:p w14:paraId="6D6AE7E1">
      <w:pPr>
        <w:spacing w:line="347" w:lineRule="auto"/>
        <w:jc w:val="both"/>
        <w:rPr>
          <w:rFonts w:hint="eastAsia" w:ascii="宋体" w:hAnsi="宋体" w:eastAsia="宋体" w:cs="宋体"/>
          <w:color w:val="auto"/>
          <w:highlight w:val="none"/>
        </w:rPr>
      </w:pPr>
    </w:p>
    <w:p w14:paraId="1FA59F63">
      <w:pPr>
        <w:pageBreakBefore/>
        <w:widowControl w:val="0"/>
        <w:spacing w:before="91" w:line="221" w:lineRule="auto"/>
        <w:ind w:left="130"/>
        <w:jc w:val="both"/>
        <w:outlineLvl w:val="1"/>
        <w:rPr>
          <w:rFonts w:hint="eastAsia" w:ascii="宋体" w:hAnsi="宋体" w:eastAsia="宋体" w:cs="宋体"/>
          <w:color w:val="auto"/>
          <w:sz w:val="28"/>
          <w:szCs w:val="28"/>
          <w:highlight w:val="none"/>
        </w:rPr>
      </w:pPr>
      <w:bookmarkStart w:id="41" w:name="_bookmark5"/>
      <w:bookmarkEnd w:id="41"/>
      <w:r>
        <w:rPr>
          <w:rFonts w:hint="eastAsia" w:ascii="宋体" w:hAnsi="宋体" w:eastAsia="宋体" w:cs="宋体"/>
          <w:color w:val="auto"/>
          <w:sz w:val="28"/>
          <w:szCs w:val="28"/>
          <w:highlight w:val="none"/>
        </w:rPr>
        <w:t>附表一：开标记录表</w:t>
      </w:r>
    </w:p>
    <w:p w14:paraId="7CFF801B">
      <w:pPr>
        <w:tabs>
          <w:tab w:val="left" w:pos="3317"/>
        </w:tabs>
        <w:spacing w:before="234" w:line="229" w:lineRule="auto"/>
        <w:ind w:left="126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(项目名称)标段开标记录表</w:t>
      </w:r>
    </w:p>
    <w:p w14:paraId="0302C179">
      <w:pPr>
        <w:spacing w:line="286" w:lineRule="auto"/>
        <w:jc w:val="both"/>
        <w:rPr>
          <w:rFonts w:hint="eastAsia" w:ascii="宋体" w:hAnsi="宋体" w:eastAsia="宋体" w:cs="宋体"/>
          <w:color w:val="auto"/>
          <w:highlight w:val="none"/>
        </w:rPr>
      </w:pPr>
    </w:p>
    <w:p w14:paraId="47980CF5">
      <w:pPr>
        <w:spacing w:line="286" w:lineRule="auto"/>
        <w:jc w:val="both"/>
        <w:rPr>
          <w:rFonts w:hint="eastAsia" w:ascii="宋体" w:hAnsi="宋体" w:eastAsia="宋体" w:cs="宋体"/>
          <w:color w:val="auto"/>
          <w:highlight w:val="none"/>
        </w:rPr>
      </w:pPr>
    </w:p>
    <w:p w14:paraId="6F7684CD">
      <w:pPr>
        <w:spacing w:before="75" w:line="229"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开标地点：</w:t>
      </w:r>
    </w:p>
    <w:p w14:paraId="7E955D6A">
      <w:pPr>
        <w:spacing w:before="183" w:line="228" w:lineRule="auto"/>
        <w:ind w:left="7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开标时间：  年   月  日   时   分</w:t>
      </w:r>
    </w:p>
    <w:p w14:paraId="0E1DC64A">
      <w:pPr>
        <w:jc w:val="both"/>
        <w:rPr>
          <w:rFonts w:hint="eastAsia" w:ascii="宋体" w:hAnsi="宋体" w:eastAsia="宋体" w:cs="宋体"/>
          <w:color w:val="auto"/>
          <w:highlight w:val="none"/>
        </w:rPr>
      </w:pPr>
    </w:p>
    <w:p w14:paraId="6A668316">
      <w:pPr>
        <w:jc w:val="both"/>
        <w:rPr>
          <w:rFonts w:hint="eastAsia" w:ascii="宋体" w:hAnsi="宋体" w:eastAsia="宋体" w:cs="宋体"/>
          <w:color w:val="auto"/>
          <w:highlight w:val="none"/>
        </w:rPr>
      </w:pPr>
    </w:p>
    <w:p w14:paraId="1D1E627B">
      <w:pPr>
        <w:spacing w:line="54" w:lineRule="exact"/>
        <w:jc w:val="both"/>
        <w:rPr>
          <w:rFonts w:hint="eastAsia" w:ascii="宋体" w:hAnsi="宋体" w:eastAsia="宋体" w:cs="宋体"/>
          <w:color w:val="auto"/>
          <w:highlight w:val="none"/>
        </w:rPr>
      </w:pPr>
    </w:p>
    <w:tbl>
      <w:tblPr>
        <w:tblStyle w:val="58"/>
        <w:tblW w:w="9073"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0"/>
        <w:gridCol w:w="992"/>
        <w:gridCol w:w="1134"/>
        <w:gridCol w:w="1345"/>
        <w:gridCol w:w="1045"/>
        <w:gridCol w:w="1045"/>
        <w:gridCol w:w="1952"/>
        <w:gridCol w:w="850"/>
      </w:tblGrid>
      <w:tr w14:paraId="058E14F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3" w:hRule="atLeast"/>
        </w:trPr>
        <w:tc>
          <w:tcPr>
            <w:tcW w:w="710" w:type="dxa"/>
          </w:tcPr>
          <w:p w14:paraId="2638616C">
            <w:pPr>
              <w:spacing w:line="253" w:lineRule="auto"/>
              <w:jc w:val="both"/>
              <w:rPr>
                <w:rFonts w:hint="eastAsia" w:ascii="宋体" w:hAnsi="宋体" w:eastAsia="宋体" w:cs="宋体"/>
                <w:color w:val="auto"/>
                <w:highlight w:val="none"/>
              </w:rPr>
            </w:pPr>
          </w:p>
          <w:p w14:paraId="7AA1543C">
            <w:pPr>
              <w:spacing w:line="253" w:lineRule="auto"/>
              <w:jc w:val="both"/>
              <w:rPr>
                <w:rFonts w:hint="eastAsia" w:ascii="宋体" w:hAnsi="宋体" w:eastAsia="宋体" w:cs="宋体"/>
                <w:color w:val="auto"/>
                <w:highlight w:val="none"/>
              </w:rPr>
            </w:pPr>
          </w:p>
          <w:p w14:paraId="1D48B009">
            <w:pPr>
              <w:spacing w:before="75" w:line="230"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992" w:type="dxa"/>
          </w:tcPr>
          <w:p w14:paraId="3F108567">
            <w:pPr>
              <w:spacing w:line="253" w:lineRule="auto"/>
              <w:jc w:val="both"/>
              <w:rPr>
                <w:rFonts w:hint="eastAsia" w:ascii="宋体" w:hAnsi="宋体" w:eastAsia="宋体" w:cs="宋体"/>
                <w:color w:val="auto"/>
                <w:highlight w:val="none"/>
              </w:rPr>
            </w:pPr>
          </w:p>
          <w:p w14:paraId="79328B32">
            <w:pPr>
              <w:spacing w:line="255" w:lineRule="auto"/>
              <w:jc w:val="both"/>
              <w:rPr>
                <w:rFonts w:hint="eastAsia" w:ascii="宋体" w:hAnsi="宋体" w:eastAsia="宋体" w:cs="宋体"/>
                <w:color w:val="auto"/>
                <w:highlight w:val="none"/>
              </w:rPr>
            </w:pPr>
          </w:p>
          <w:p w14:paraId="1B5E32D9">
            <w:pPr>
              <w:spacing w:before="74" w:line="229"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p>
        </w:tc>
        <w:tc>
          <w:tcPr>
            <w:tcW w:w="1134" w:type="dxa"/>
          </w:tcPr>
          <w:p w14:paraId="4E167393">
            <w:pPr>
              <w:spacing w:line="278" w:lineRule="auto"/>
              <w:jc w:val="both"/>
              <w:rPr>
                <w:rFonts w:hint="eastAsia" w:ascii="宋体" w:hAnsi="宋体" w:eastAsia="宋体" w:cs="宋体"/>
                <w:color w:val="auto"/>
                <w:highlight w:val="none"/>
              </w:rPr>
            </w:pPr>
          </w:p>
          <w:p w14:paraId="3A63AA15">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投标报价</w:t>
            </w:r>
          </w:p>
          <w:p w14:paraId="385E8284">
            <w:pPr>
              <w:spacing w:before="75" w:line="383" w:lineRule="auto"/>
              <w:ind w:left="115" w:right="6" w:firstLine="5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(元)</w:t>
            </w:r>
          </w:p>
        </w:tc>
        <w:tc>
          <w:tcPr>
            <w:tcW w:w="1345" w:type="dxa"/>
          </w:tcPr>
          <w:p w14:paraId="3CF8A650">
            <w:pPr>
              <w:spacing w:line="277" w:lineRule="auto"/>
              <w:jc w:val="both"/>
              <w:rPr>
                <w:rFonts w:hint="eastAsia" w:ascii="宋体" w:hAnsi="宋体" w:eastAsia="宋体" w:cs="宋体"/>
                <w:color w:val="auto"/>
                <w:highlight w:val="none"/>
              </w:rPr>
            </w:pPr>
          </w:p>
          <w:p w14:paraId="17F1316E">
            <w:pPr>
              <w:spacing w:before="75" w:line="384" w:lineRule="auto"/>
              <w:ind w:left="410" w:right="-77" w:hanging="2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投标品牌</w:t>
            </w:r>
          </w:p>
        </w:tc>
        <w:tc>
          <w:tcPr>
            <w:tcW w:w="1045" w:type="dxa"/>
          </w:tcPr>
          <w:p w14:paraId="4E029415">
            <w:pPr>
              <w:spacing w:line="255" w:lineRule="auto"/>
              <w:jc w:val="both"/>
              <w:rPr>
                <w:rFonts w:hint="eastAsia" w:ascii="宋体" w:hAnsi="宋体" w:eastAsia="宋体" w:cs="宋体"/>
                <w:color w:val="auto"/>
                <w:highlight w:val="none"/>
              </w:rPr>
            </w:pPr>
          </w:p>
          <w:p w14:paraId="3989D2D9">
            <w:pPr>
              <w:spacing w:before="75" w:line="227" w:lineRule="auto"/>
              <w:ind w:left="1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交货期</w:t>
            </w:r>
          </w:p>
        </w:tc>
        <w:tc>
          <w:tcPr>
            <w:tcW w:w="1045" w:type="dxa"/>
          </w:tcPr>
          <w:p w14:paraId="534FA587">
            <w:pPr>
              <w:spacing w:before="118" w:line="376" w:lineRule="auto"/>
              <w:ind w:left="168" w:right="160" w:firstLine="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投标保证金缴</w:t>
            </w:r>
          </w:p>
          <w:p w14:paraId="43A43C28">
            <w:pPr>
              <w:spacing w:before="1" w:line="228" w:lineRule="auto"/>
              <w:ind w:left="17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纳情况</w:t>
            </w:r>
          </w:p>
        </w:tc>
        <w:tc>
          <w:tcPr>
            <w:tcW w:w="1952" w:type="dxa"/>
          </w:tcPr>
          <w:p w14:paraId="574BC56D">
            <w:pPr>
              <w:spacing w:line="278" w:lineRule="auto"/>
              <w:jc w:val="both"/>
              <w:rPr>
                <w:rFonts w:hint="eastAsia" w:ascii="宋体" w:hAnsi="宋体" w:eastAsia="宋体" w:cs="宋体"/>
                <w:color w:val="auto"/>
                <w:highlight w:val="none"/>
              </w:rPr>
            </w:pPr>
          </w:p>
          <w:p w14:paraId="4170138F">
            <w:pPr>
              <w:spacing w:before="75" w:line="384" w:lineRule="auto"/>
              <w:ind w:left="290" w:right="158" w:hanging="11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投标人确认</w:t>
            </w:r>
          </w:p>
        </w:tc>
        <w:tc>
          <w:tcPr>
            <w:tcW w:w="850" w:type="dxa"/>
          </w:tcPr>
          <w:p w14:paraId="66DE40C8">
            <w:pPr>
              <w:spacing w:line="253" w:lineRule="auto"/>
              <w:jc w:val="both"/>
              <w:rPr>
                <w:rFonts w:hint="eastAsia" w:ascii="宋体" w:hAnsi="宋体" w:eastAsia="宋体" w:cs="宋体"/>
                <w:color w:val="auto"/>
                <w:highlight w:val="none"/>
              </w:rPr>
            </w:pPr>
          </w:p>
          <w:p w14:paraId="45C95848">
            <w:pPr>
              <w:spacing w:line="253" w:lineRule="auto"/>
              <w:jc w:val="both"/>
              <w:rPr>
                <w:rFonts w:hint="eastAsia" w:ascii="宋体" w:hAnsi="宋体" w:eastAsia="宋体" w:cs="宋体"/>
                <w:color w:val="auto"/>
                <w:highlight w:val="none"/>
              </w:rPr>
            </w:pPr>
          </w:p>
          <w:p w14:paraId="1613BC16">
            <w:pPr>
              <w:spacing w:before="75" w:line="230" w:lineRule="auto"/>
              <w:ind w:left="2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5807DC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03CD8171">
            <w:pPr>
              <w:jc w:val="both"/>
              <w:rPr>
                <w:rFonts w:hint="eastAsia" w:ascii="宋体" w:hAnsi="宋体" w:eastAsia="宋体" w:cs="宋体"/>
                <w:color w:val="auto"/>
                <w:highlight w:val="none"/>
              </w:rPr>
            </w:pPr>
          </w:p>
        </w:tc>
        <w:tc>
          <w:tcPr>
            <w:tcW w:w="992" w:type="dxa"/>
          </w:tcPr>
          <w:p w14:paraId="6A5AD155">
            <w:pPr>
              <w:jc w:val="both"/>
              <w:rPr>
                <w:rFonts w:hint="eastAsia" w:ascii="宋体" w:hAnsi="宋体" w:eastAsia="宋体" w:cs="宋体"/>
                <w:color w:val="auto"/>
                <w:highlight w:val="none"/>
              </w:rPr>
            </w:pPr>
          </w:p>
        </w:tc>
        <w:tc>
          <w:tcPr>
            <w:tcW w:w="1134" w:type="dxa"/>
          </w:tcPr>
          <w:p w14:paraId="388FB804">
            <w:pPr>
              <w:jc w:val="both"/>
              <w:rPr>
                <w:rFonts w:hint="eastAsia" w:ascii="宋体" w:hAnsi="宋体" w:eastAsia="宋体" w:cs="宋体"/>
                <w:color w:val="auto"/>
                <w:highlight w:val="none"/>
              </w:rPr>
            </w:pPr>
          </w:p>
        </w:tc>
        <w:tc>
          <w:tcPr>
            <w:tcW w:w="1345" w:type="dxa"/>
          </w:tcPr>
          <w:p w14:paraId="77E3D5B9">
            <w:pPr>
              <w:jc w:val="both"/>
              <w:rPr>
                <w:rFonts w:hint="eastAsia" w:ascii="宋体" w:hAnsi="宋体" w:eastAsia="宋体" w:cs="宋体"/>
                <w:color w:val="auto"/>
                <w:highlight w:val="none"/>
              </w:rPr>
            </w:pPr>
          </w:p>
        </w:tc>
        <w:tc>
          <w:tcPr>
            <w:tcW w:w="1045" w:type="dxa"/>
          </w:tcPr>
          <w:p w14:paraId="39B399BB">
            <w:pPr>
              <w:jc w:val="both"/>
              <w:rPr>
                <w:rFonts w:hint="eastAsia" w:ascii="宋体" w:hAnsi="宋体" w:eastAsia="宋体" w:cs="宋体"/>
                <w:color w:val="auto"/>
                <w:highlight w:val="none"/>
              </w:rPr>
            </w:pPr>
          </w:p>
        </w:tc>
        <w:tc>
          <w:tcPr>
            <w:tcW w:w="1045" w:type="dxa"/>
          </w:tcPr>
          <w:p w14:paraId="12A00A37">
            <w:pPr>
              <w:jc w:val="both"/>
              <w:rPr>
                <w:rFonts w:hint="eastAsia" w:ascii="宋体" w:hAnsi="宋体" w:eastAsia="宋体" w:cs="宋体"/>
                <w:color w:val="auto"/>
                <w:highlight w:val="none"/>
              </w:rPr>
            </w:pPr>
          </w:p>
        </w:tc>
        <w:tc>
          <w:tcPr>
            <w:tcW w:w="1952" w:type="dxa"/>
          </w:tcPr>
          <w:p w14:paraId="345E4F50">
            <w:pPr>
              <w:jc w:val="both"/>
              <w:rPr>
                <w:rFonts w:hint="eastAsia" w:ascii="宋体" w:hAnsi="宋体" w:eastAsia="宋体" w:cs="宋体"/>
                <w:color w:val="auto"/>
                <w:highlight w:val="none"/>
              </w:rPr>
            </w:pPr>
          </w:p>
        </w:tc>
        <w:tc>
          <w:tcPr>
            <w:tcW w:w="850" w:type="dxa"/>
          </w:tcPr>
          <w:p w14:paraId="7FA46AE9">
            <w:pPr>
              <w:jc w:val="both"/>
              <w:rPr>
                <w:rFonts w:hint="eastAsia" w:ascii="宋体" w:hAnsi="宋体" w:eastAsia="宋体" w:cs="宋体"/>
                <w:color w:val="auto"/>
                <w:highlight w:val="none"/>
              </w:rPr>
            </w:pPr>
          </w:p>
        </w:tc>
      </w:tr>
      <w:tr w14:paraId="042AAA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642C4AF7">
            <w:pPr>
              <w:jc w:val="both"/>
              <w:rPr>
                <w:rFonts w:hint="eastAsia" w:ascii="宋体" w:hAnsi="宋体" w:eastAsia="宋体" w:cs="宋体"/>
                <w:color w:val="auto"/>
                <w:highlight w:val="none"/>
              </w:rPr>
            </w:pPr>
          </w:p>
        </w:tc>
        <w:tc>
          <w:tcPr>
            <w:tcW w:w="992" w:type="dxa"/>
          </w:tcPr>
          <w:p w14:paraId="2E5988B1">
            <w:pPr>
              <w:jc w:val="both"/>
              <w:rPr>
                <w:rFonts w:hint="eastAsia" w:ascii="宋体" w:hAnsi="宋体" w:eastAsia="宋体" w:cs="宋体"/>
                <w:color w:val="auto"/>
                <w:highlight w:val="none"/>
              </w:rPr>
            </w:pPr>
          </w:p>
        </w:tc>
        <w:tc>
          <w:tcPr>
            <w:tcW w:w="1134" w:type="dxa"/>
          </w:tcPr>
          <w:p w14:paraId="324D5091">
            <w:pPr>
              <w:jc w:val="both"/>
              <w:rPr>
                <w:rFonts w:hint="eastAsia" w:ascii="宋体" w:hAnsi="宋体" w:eastAsia="宋体" w:cs="宋体"/>
                <w:color w:val="auto"/>
                <w:highlight w:val="none"/>
              </w:rPr>
            </w:pPr>
          </w:p>
        </w:tc>
        <w:tc>
          <w:tcPr>
            <w:tcW w:w="1345" w:type="dxa"/>
          </w:tcPr>
          <w:p w14:paraId="7C806432">
            <w:pPr>
              <w:jc w:val="both"/>
              <w:rPr>
                <w:rFonts w:hint="eastAsia" w:ascii="宋体" w:hAnsi="宋体" w:eastAsia="宋体" w:cs="宋体"/>
                <w:color w:val="auto"/>
                <w:highlight w:val="none"/>
              </w:rPr>
            </w:pPr>
          </w:p>
        </w:tc>
        <w:tc>
          <w:tcPr>
            <w:tcW w:w="1045" w:type="dxa"/>
          </w:tcPr>
          <w:p w14:paraId="7738D6B9">
            <w:pPr>
              <w:jc w:val="both"/>
              <w:rPr>
                <w:rFonts w:hint="eastAsia" w:ascii="宋体" w:hAnsi="宋体" w:eastAsia="宋体" w:cs="宋体"/>
                <w:color w:val="auto"/>
                <w:highlight w:val="none"/>
              </w:rPr>
            </w:pPr>
          </w:p>
        </w:tc>
        <w:tc>
          <w:tcPr>
            <w:tcW w:w="1045" w:type="dxa"/>
          </w:tcPr>
          <w:p w14:paraId="3E27B045">
            <w:pPr>
              <w:jc w:val="both"/>
              <w:rPr>
                <w:rFonts w:hint="eastAsia" w:ascii="宋体" w:hAnsi="宋体" w:eastAsia="宋体" w:cs="宋体"/>
                <w:color w:val="auto"/>
                <w:highlight w:val="none"/>
              </w:rPr>
            </w:pPr>
          </w:p>
        </w:tc>
        <w:tc>
          <w:tcPr>
            <w:tcW w:w="1952" w:type="dxa"/>
          </w:tcPr>
          <w:p w14:paraId="39F6A625">
            <w:pPr>
              <w:jc w:val="both"/>
              <w:rPr>
                <w:rFonts w:hint="eastAsia" w:ascii="宋体" w:hAnsi="宋体" w:eastAsia="宋体" w:cs="宋体"/>
                <w:color w:val="auto"/>
                <w:highlight w:val="none"/>
              </w:rPr>
            </w:pPr>
          </w:p>
        </w:tc>
        <w:tc>
          <w:tcPr>
            <w:tcW w:w="850" w:type="dxa"/>
          </w:tcPr>
          <w:p w14:paraId="1C695AFF">
            <w:pPr>
              <w:jc w:val="both"/>
              <w:rPr>
                <w:rFonts w:hint="eastAsia" w:ascii="宋体" w:hAnsi="宋体" w:eastAsia="宋体" w:cs="宋体"/>
                <w:color w:val="auto"/>
                <w:highlight w:val="none"/>
              </w:rPr>
            </w:pPr>
          </w:p>
        </w:tc>
      </w:tr>
      <w:tr w14:paraId="428B11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710" w:type="dxa"/>
          </w:tcPr>
          <w:p w14:paraId="4FE40BCB">
            <w:pPr>
              <w:jc w:val="both"/>
              <w:rPr>
                <w:rFonts w:hint="eastAsia" w:ascii="宋体" w:hAnsi="宋体" w:eastAsia="宋体" w:cs="宋体"/>
                <w:color w:val="auto"/>
                <w:highlight w:val="none"/>
              </w:rPr>
            </w:pPr>
          </w:p>
        </w:tc>
        <w:tc>
          <w:tcPr>
            <w:tcW w:w="992" w:type="dxa"/>
          </w:tcPr>
          <w:p w14:paraId="17C48764">
            <w:pPr>
              <w:jc w:val="both"/>
              <w:rPr>
                <w:rFonts w:hint="eastAsia" w:ascii="宋体" w:hAnsi="宋体" w:eastAsia="宋体" w:cs="宋体"/>
                <w:color w:val="auto"/>
                <w:highlight w:val="none"/>
              </w:rPr>
            </w:pPr>
          </w:p>
        </w:tc>
        <w:tc>
          <w:tcPr>
            <w:tcW w:w="1134" w:type="dxa"/>
          </w:tcPr>
          <w:p w14:paraId="7F4826F4">
            <w:pPr>
              <w:jc w:val="both"/>
              <w:rPr>
                <w:rFonts w:hint="eastAsia" w:ascii="宋体" w:hAnsi="宋体" w:eastAsia="宋体" w:cs="宋体"/>
                <w:color w:val="auto"/>
                <w:highlight w:val="none"/>
              </w:rPr>
            </w:pPr>
          </w:p>
        </w:tc>
        <w:tc>
          <w:tcPr>
            <w:tcW w:w="1345" w:type="dxa"/>
          </w:tcPr>
          <w:p w14:paraId="7C7701CA">
            <w:pPr>
              <w:jc w:val="both"/>
              <w:rPr>
                <w:rFonts w:hint="eastAsia" w:ascii="宋体" w:hAnsi="宋体" w:eastAsia="宋体" w:cs="宋体"/>
                <w:color w:val="auto"/>
                <w:highlight w:val="none"/>
              </w:rPr>
            </w:pPr>
          </w:p>
        </w:tc>
        <w:tc>
          <w:tcPr>
            <w:tcW w:w="1045" w:type="dxa"/>
          </w:tcPr>
          <w:p w14:paraId="5F55D52E">
            <w:pPr>
              <w:jc w:val="both"/>
              <w:rPr>
                <w:rFonts w:hint="eastAsia" w:ascii="宋体" w:hAnsi="宋体" w:eastAsia="宋体" w:cs="宋体"/>
                <w:color w:val="auto"/>
                <w:highlight w:val="none"/>
              </w:rPr>
            </w:pPr>
          </w:p>
        </w:tc>
        <w:tc>
          <w:tcPr>
            <w:tcW w:w="1045" w:type="dxa"/>
          </w:tcPr>
          <w:p w14:paraId="10CD07AA">
            <w:pPr>
              <w:jc w:val="both"/>
              <w:rPr>
                <w:rFonts w:hint="eastAsia" w:ascii="宋体" w:hAnsi="宋体" w:eastAsia="宋体" w:cs="宋体"/>
                <w:color w:val="auto"/>
                <w:highlight w:val="none"/>
              </w:rPr>
            </w:pPr>
          </w:p>
        </w:tc>
        <w:tc>
          <w:tcPr>
            <w:tcW w:w="1952" w:type="dxa"/>
          </w:tcPr>
          <w:p w14:paraId="27A82644">
            <w:pPr>
              <w:jc w:val="both"/>
              <w:rPr>
                <w:rFonts w:hint="eastAsia" w:ascii="宋体" w:hAnsi="宋体" w:eastAsia="宋体" w:cs="宋体"/>
                <w:color w:val="auto"/>
                <w:highlight w:val="none"/>
              </w:rPr>
            </w:pPr>
          </w:p>
        </w:tc>
        <w:tc>
          <w:tcPr>
            <w:tcW w:w="850" w:type="dxa"/>
          </w:tcPr>
          <w:p w14:paraId="182FC14C">
            <w:pPr>
              <w:jc w:val="both"/>
              <w:rPr>
                <w:rFonts w:hint="eastAsia" w:ascii="宋体" w:hAnsi="宋体" w:eastAsia="宋体" w:cs="宋体"/>
                <w:color w:val="auto"/>
                <w:highlight w:val="none"/>
              </w:rPr>
            </w:pPr>
          </w:p>
        </w:tc>
      </w:tr>
      <w:tr w14:paraId="121EB2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437A0255">
            <w:pPr>
              <w:jc w:val="both"/>
              <w:rPr>
                <w:rFonts w:hint="eastAsia" w:ascii="宋体" w:hAnsi="宋体" w:eastAsia="宋体" w:cs="宋体"/>
                <w:color w:val="auto"/>
                <w:highlight w:val="none"/>
              </w:rPr>
            </w:pPr>
          </w:p>
        </w:tc>
        <w:tc>
          <w:tcPr>
            <w:tcW w:w="992" w:type="dxa"/>
          </w:tcPr>
          <w:p w14:paraId="3114CBE7">
            <w:pPr>
              <w:jc w:val="both"/>
              <w:rPr>
                <w:rFonts w:hint="eastAsia" w:ascii="宋体" w:hAnsi="宋体" w:eastAsia="宋体" w:cs="宋体"/>
                <w:color w:val="auto"/>
                <w:highlight w:val="none"/>
              </w:rPr>
            </w:pPr>
          </w:p>
        </w:tc>
        <w:tc>
          <w:tcPr>
            <w:tcW w:w="1134" w:type="dxa"/>
          </w:tcPr>
          <w:p w14:paraId="09A9B045">
            <w:pPr>
              <w:jc w:val="both"/>
              <w:rPr>
                <w:rFonts w:hint="eastAsia" w:ascii="宋体" w:hAnsi="宋体" w:eastAsia="宋体" w:cs="宋体"/>
                <w:color w:val="auto"/>
                <w:highlight w:val="none"/>
              </w:rPr>
            </w:pPr>
          </w:p>
        </w:tc>
        <w:tc>
          <w:tcPr>
            <w:tcW w:w="1345" w:type="dxa"/>
          </w:tcPr>
          <w:p w14:paraId="73DE7842">
            <w:pPr>
              <w:jc w:val="both"/>
              <w:rPr>
                <w:rFonts w:hint="eastAsia" w:ascii="宋体" w:hAnsi="宋体" w:eastAsia="宋体" w:cs="宋体"/>
                <w:color w:val="auto"/>
                <w:highlight w:val="none"/>
              </w:rPr>
            </w:pPr>
          </w:p>
        </w:tc>
        <w:tc>
          <w:tcPr>
            <w:tcW w:w="1045" w:type="dxa"/>
          </w:tcPr>
          <w:p w14:paraId="54EAAFD6">
            <w:pPr>
              <w:jc w:val="both"/>
              <w:rPr>
                <w:rFonts w:hint="eastAsia" w:ascii="宋体" w:hAnsi="宋体" w:eastAsia="宋体" w:cs="宋体"/>
                <w:color w:val="auto"/>
                <w:highlight w:val="none"/>
              </w:rPr>
            </w:pPr>
          </w:p>
        </w:tc>
        <w:tc>
          <w:tcPr>
            <w:tcW w:w="1045" w:type="dxa"/>
          </w:tcPr>
          <w:p w14:paraId="62F81AF7">
            <w:pPr>
              <w:jc w:val="both"/>
              <w:rPr>
                <w:rFonts w:hint="eastAsia" w:ascii="宋体" w:hAnsi="宋体" w:eastAsia="宋体" w:cs="宋体"/>
                <w:color w:val="auto"/>
                <w:highlight w:val="none"/>
              </w:rPr>
            </w:pPr>
          </w:p>
        </w:tc>
        <w:tc>
          <w:tcPr>
            <w:tcW w:w="1952" w:type="dxa"/>
          </w:tcPr>
          <w:p w14:paraId="4FBB1DEA">
            <w:pPr>
              <w:jc w:val="both"/>
              <w:rPr>
                <w:rFonts w:hint="eastAsia" w:ascii="宋体" w:hAnsi="宋体" w:eastAsia="宋体" w:cs="宋体"/>
                <w:color w:val="auto"/>
                <w:highlight w:val="none"/>
              </w:rPr>
            </w:pPr>
          </w:p>
        </w:tc>
        <w:tc>
          <w:tcPr>
            <w:tcW w:w="850" w:type="dxa"/>
          </w:tcPr>
          <w:p w14:paraId="3C62CA68">
            <w:pPr>
              <w:jc w:val="both"/>
              <w:rPr>
                <w:rFonts w:hint="eastAsia" w:ascii="宋体" w:hAnsi="宋体" w:eastAsia="宋体" w:cs="宋体"/>
                <w:color w:val="auto"/>
                <w:highlight w:val="none"/>
              </w:rPr>
            </w:pPr>
          </w:p>
        </w:tc>
      </w:tr>
      <w:tr w14:paraId="0B7D38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564343F1">
            <w:pPr>
              <w:jc w:val="both"/>
              <w:rPr>
                <w:rFonts w:hint="eastAsia" w:ascii="宋体" w:hAnsi="宋体" w:eastAsia="宋体" w:cs="宋体"/>
                <w:color w:val="auto"/>
                <w:highlight w:val="none"/>
              </w:rPr>
            </w:pPr>
          </w:p>
        </w:tc>
        <w:tc>
          <w:tcPr>
            <w:tcW w:w="992" w:type="dxa"/>
          </w:tcPr>
          <w:p w14:paraId="6ADFF96E">
            <w:pPr>
              <w:jc w:val="both"/>
              <w:rPr>
                <w:rFonts w:hint="eastAsia" w:ascii="宋体" w:hAnsi="宋体" w:eastAsia="宋体" w:cs="宋体"/>
                <w:color w:val="auto"/>
                <w:highlight w:val="none"/>
              </w:rPr>
            </w:pPr>
          </w:p>
        </w:tc>
        <w:tc>
          <w:tcPr>
            <w:tcW w:w="1134" w:type="dxa"/>
          </w:tcPr>
          <w:p w14:paraId="0C616E8A">
            <w:pPr>
              <w:jc w:val="both"/>
              <w:rPr>
                <w:rFonts w:hint="eastAsia" w:ascii="宋体" w:hAnsi="宋体" w:eastAsia="宋体" w:cs="宋体"/>
                <w:color w:val="auto"/>
                <w:highlight w:val="none"/>
              </w:rPr>
            </w:pPr>
          </w:p>
        </w:tc>
        <w:tc>
          <w:tcPr>
            <w:tcW w:w="1345" w:type="dxa"/>
          </w:tcPr>
          <w:p w14:paraId="537A9DB9">
            <w:pPr>
              <w:jc w:val="both"/>
              <w:rPr>
                <w:rFonts w:hint="eastAsia" w:ascii="宋体" w:hAnsi="宋体" w:eastAsia="宋体" w:cs="宋体"/>
                <w:color w:val="auto"/>
                <w:highlight w:val="none"/>
              </w:rPr>
            </w:pPr>
          </w:p>
        </w:tc>
        <w:tc>
          <w:tcPr>
            <w:tcW w:w="1045" w:type="dxa"/>
          </w:tcPr>
          <w:p w14:paraId="196ACF05">
            <w:pPr>
              <w:jc w:val="both"/>
              <w:rPr>
                <w:rFonts w:hint="eastAsia" w:ascii="宋体" w:hAnsi="宋体" w:eastAsia="宋体" w:cs="宋体"/>
                <w:color w:val="auto"/>
                <w:highlight w:val="none"/>
              </w:rPr>
            </w:pPr>
          </w:p>
        </w:tc>
        <w:tc>
          <w:tcPr>
            <w:tcW w:w="1045" w:type="dxa"/>
          </w:tcPr>
          <w:p w14:paraId="31DDFBF7">
            <w:pPr>
              <w:jc w:val="both"/>
              <w:rPr>
                <w:rFonts w:hint="eastAsia" w:ascii="宋体" w:hAnsi="宋体" w:eastAsia="宋体" w:cs="宋体"/>
                <w:color w:val="auto"/>
                <w:highlight w:val="none"/>
              </w:rPr>
            </w:pPr>
          </w:p>
        </w:tc>
        <w:tc>
          <w:tcPr>
            <w:tcW w:w="1952" w:type="dxa"/>
          </w:tcPr>
          <w:p w14:paraId="3F4963C7">
            <w:pPr>
              <w:jc w:val="both"/>
              <w:rPr>
                <w:rFonts w:hint="eastAsia" w:ascii="宋体" w:hAnsi="宋体" w:eastAsia="宋体" w:cs="宋体"/>
                <w:color w:val="auto"/>
                <w:highlight w:val="none"/>
              </w:rPr>
            </w:pPr>
          </w:p>
        </w:tc>
        <w:tc>
          <w:tcPr>
            <w:tcW w:w="850" w:type="dxa"/>
          </w:tcPr>
          <w:p w14:paraId="33958A2D">
            <w:pPr>
              <w:jc w:val="both"/>
              <w:rPr>
                <w:rFonts w:hint="eastAsia" w:ascii="宋体" w:hAnsi="宋体" w:eastAsia="宋体" w:cs="宋体"/>
                <w:color w:val="auto"/>
                <w:highlight w:val="none"/>
              </w:rPr>
            </w:pPr>
          </w:p>
        </w:tc>
      </w:tr>
      <w:tr w14:paraId="11788F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10" w:type="dxa"/>
          </w:tcPr>
          <w:p w14:paraId="2181FEF9">
            <w:pPr>
              <w:jc w:val="both"/>
              <w:rPr>
                <w:rFonts w:hint="eastAsia" w:ascii="宋体" w:hAnsi="宋体" w:eastAsia="宋体" w:cs="宋体"/>
                <w:color w:val="auto"/>
                <w:highlight w:val="none"/>
              </w:rPr>
            </w:pPr>
          </w:p>
        </w:tc>
        <w:tc>
          <w:tcPr>
            <w:tcW w:w="992" w:type="dxa"/>
          </w:tcPr>
          <w:p w14:paraId="7CFA31D8">
            <w:pPr>
              <w:jc w:val="both"/>
              <w:rPr>
                <w:rFonts w:hint="eastAsia" w:ascii="宋体" w:hAnsi="宋体" w:eastAsia="宋体" w:cs="宋体"/>
                <w:color w:val="auto"/>
                <w:highlight w:val="none"/>
              </w:rPr>
            </w:pPr>
          </w:p>
        </w:tc>
        <w:tc>
          <w:tcPr>
            <w:tcW w:w="1134" w:type="dxa"/>
          </w:tcPr>
          <w:p w14:paraId="167B309C">
            <w:pPr>
              <w:jc w:val="both"/>
              <w:rPr>
                <w:rFonts w:hint="eastAsia" w:ascii="宋体" w:hAnsi="宋体" w:eastAsia="宋体" w:cs="宋体"/>
                <w:color w:val="auto"/>
                <w:highlight w:val="none"/>
              </w:rPr>
            </w:pPr>
          </w:p>
        </w:tc>
        <w:tc>
          <w:tcPr>
            <w:tcW w:w="1345" w:type="dxa"/>
          </w:tcPr>
          <w:p w14:paraId="14137C94">
            <w:pPr>
              <w:jc w:val="both"/>
              <w:rPr>
                <w:rFonts w:hint="eastAsia" w:ascii="宋体" w:hAnsi="宋体" w:eastAsia="宋体" w:cs="宋体"/>
                <w:color w:val="auto"/>
                <w:highlight w:val="none"/>
              </w:rPr>
            </w:pPr>
          </w:p>
        </w:tc>
        <w:tc>
          <w:tcPr>
            <w:tcW w:w="1045" w:type="dxa"/>
          </w:tcPr>
          <w:p w14:paraId="1234C361">
            <w:pPr>
              <w:jc w:val="both"/>
              <w:rPr>
                <w:rFonts w:hint="eastAsia" w:ascii="宋体" w:hAnsi="宋体" w:eastAsia="宋体" w:cs="宋体"/>
                <w:color w:val="auto"/>
                <w:highlight w:val="none"/>
              </w:rPr>
            </w:pPr>
          </w:p>
        </w:tc>
        <w:tc>
          <w:tcPr>
            <w:tcW w:w="1045" w:type="dxa"/>
          </w:tcPr>
          <w:p w14:paraId="7312E292">
            <w:pPr>
              <w:jc w:val="both"/>
              <w:rPr>
                <w:rFonts w:hint="eastAsia" w:ascii="宋体" w:hAnsi="宋体" w:eastAsia="宋体" w:cs="宋体"/>
                <w:color w:val="auto"/>
                <w:highlight w:val="none"/>
              </w:rPr>
            </w:pPr>
          </w:p>
        </w:tc>
        <w:tc>
          <w:tcPr>
            <w:tcW w:w="1952" w:type="dxa"/>
          </w:tcPr>
          <w:p w14:paraId="4AAE316D">
            <w:pPr>
              <w:jc w:val="both"/>
              <w:rPr>
                <w:rFonts w:hint="eastAsia" w:ascii="宋体" w:hAnsi="宋体" w:eastAsia="宋体" w:cs="宋体"/>
                <w:color w:val="auto"/>
                <w:highlight w:val="none"/>
              </w:rPr>
            </w:pPr>
          </w:p>
        </w:tc>
        <w:tc>
          <w:tcPr>
            <w:tcW w:w="850" w:type="dxa"/>
          </w:tcPr>
          <w:p w14:paraId="5BF7441A">
            <w:pPr>
              <w:jc w:val="both"/>
              <w:rPr>
                <w:rFonts w:hint="eastAsia" w:ascii="宋体" w:hAnsi="宋体" w:eastAsia="宋体" w:cs="宋体"/>
                <w:color w:val="auto"/>
                <w:highlight w:val="none"/>
              </w:rPr>
            </w:pPr>
          </w:p>
        </w:tc>
      </w:tr>
      <w:tr w14:paraId="3C8FE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7" w:hRule="atLeast"/>
        </w:trPr>
        <w:tc>
          <w:tcPr>
            <w:tcW w:w="710" w:type="dxa"/>
          </w:tcPr>
          <w:p w14:paraId="3F955309">
            <w:pPr>
              <w:jc w:val="both"/>
              <w:rPr>
                <w:rFonts w:hint="eastAsia" w:ascii="宋体" w:hAnsi="宋体" w:eastAsia="宋体" w:cs="宋体"/>
                <w:color w:val="auto"/>
                <w:highlight w:val="none"/>
              </w:rPr>
            </w:pPr>
          </w:p>
        </w:tc>
        <w:tc>
          <w:tcPr>
            <w:tcW w:w="992" w:type="dxa"/>
          </w:tcPr>
          <w:p w14:paraId="7092C792">
            <w:pPr>
              <w:jc w:val="both"/>
              <w:rPr>
                <w:rFonts w:hint="eastAsia" w:ascii="宋体" w:hAnsi="宋体" w:eastAsia="宋体" w:cs="宋体"/>
                <w:color w:val="auto"/>
                <w:highlight w:val="none"/>
              </w:rPr>
            </w:pPr>
          </w:p>
        </w:tc>
        <w:tc>
          <w:tcPr>
            <w:tcW w:w="1134" w:type="dxa"/>
          </w:tcPr>
          <w:p w14:paraId="0EEE4008">
            <w:pPr>
              <w:jc w:val="both"/>
              <w:rPr>
                <w:rFonts w:hint="eastAsia" w:ascii="宋体" w:hAnsi="宋体" w:eastAsia="宋体" w:cs="宋体"/>
                <w:color w:val="auto"/>
                <w:highlight w:val="none"/>
              </w:rPr>
            </w:pPr>
          </w:p>
        </w:tc>
        <w:tc>
          <w:tcPr>
            <w:tcW w:w="1345" w:type="dxa"/>
          </w:tcPr>
          <w:p w14:paraId="37631C10">
            <w:pPr>
              <w:jc w:val="both"/>
              <w:rPr>
                <w:rFonts w:hint="eastAsia" w:ascii="宋体" w:hAnsi="宋体" w:eastAsia="宋体" w:cs="宋体"/>
                <w:color w:val="auto"/>
                <w:highlight w:val="none"/>
              </w:rPr>
            </w:pPr>
          </w:p>
        </w:tc>
        <w:tc>
          <w:tcPr>
            <w:tcW w:w="1045" w:type="dxa"/>
          </w:tcPr>
          <w:p w14:paraId="455EC6DC">
            <w:pPr>
              <w:jc w:val="both"/>
              <w:rPr>
                <w:rFonts w:hint="eastAsia" w:ascii="宋体" w:hAnsi="宋体" w:eastAsia="宋体" w:cs="宋体"/>
                <w:color w:val="auto"/>
                <w:highlight w:val="none"/>
              </w:rPr>
            </w:pPr>
          </w:p>
        </w:tc>
        <w:tc>
          <w:tcPr>
            <w:tcW w:w="1045" w:type="dxa"/>
          </w:tcPr>
          <w:p w14:paraId="3354BDAC">
            <w:pPr>
              <w:jc w:val="both"/>
              <w:rPr>
                <w:rFonts w:hint="eastAsia" w:ascii="宋体" w:hAnsi="宋体" w:eastAsia="宋体" w:cs="宋体"/>
                <w:color w:val="auto"/>
                <w:highlight w:val="none"/>
              </w:rPr>
            </w:pPr>
          </w:p>
        </w:tc>
        <w:tc>
          <w:tcPr>
            <w:tcW w:w="1952" w:type="dxa"/>
          </w:tcPr>
          <w:p w14:paraId="569386FB">
            <w:pPr>
              <w:jc w:val="both"/>
              <w:rPr>
                <w:rFonts w:hint="eastAsia" w:ascii="宋体" w:hAnsi="宋体" w:eastAsia="宋体" w:cs="宋体"/>
                <w:color w:val="auto"/>
                <w:highlight w:val="none"/>
              </w:rPr>
            </w:pPr>
          </w:p>
        </w:tc>
        <w:tc>
          <w:tcPr>
            <w:tcW w:w="850" w:type="dxa"/>
          </w:tcPr>
          <w:p w14:paraId="7AE3AA34">
            <w:pPr>
              <w:jc w:val="both"/>
              <w:rPr>
                <w:rFonts w:hint="eastAsia" w:ascii="宋体" w:hAnsi="宋体" w:eastAsia="宋体" w:cs="宋体"/>
                <w:color w:val="auto"/>
                <w:highlight w:val="none"/>
              </w:rPr>
            </w:pPr>
          </w:p>
        </w:tc>
      </w:tr>
      <w:tr w14:paraId="4FC9A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710" w:type="dxa"/>
          </w:tcPr>
          <w:p w14:paraId="324466FA">
            <w:pPr>
              <w:jc w:val="both"/>
              <w:rPr>
                <w:rFonts w:hint="eastAsia" w:ascii="宋体" w:hAnsi="宋体" w:eastAsia="宋体" w:cs="宋体"/>
                <w:color w:val="auto"/>
                <w:highlight w:val="none"/>
              </w:rPr>
            </w:pPr>
          </w:p>
        </w:tc>
        <w:tc>
          <w:tcPr>
            <w:tcW w:w="992" w:type="dxa"/>
          </w:tcPr>
          <w:p w14:paraId="4CF2694C">
            <w:pPr>
              <w:jc w:val="both"/>
              <w:rPr>
                <w:rFonts w:hint="eastAsia" w:ascii="宋体" w:hAnsi="宋体" w:eastAsia="宋体" w:cs="宋体"/>
                <w:color w:val="auto"/>
                <w:highlight w:val="none"/>
              </w:rPr>
            </w:pPr>
          </w:p>
        </w:tc>
        <w:tc>
          <w:tcPr>
            <w:tcW w:w="1134" w:type="dxa"/>
          </w:tcPr>
          <w:p w14:paraId="496CA634">
            <w:pPr>
              <w:jc w:val="both"/>
              <w:rPr>
                <w:rFonts w:hint="eastAsia" w:ascii="宋体" w:hAnsi="宋体" w:eastAsia="宋体" w:cs="宋体"/>
                <w:color w:val="auto"/>
                <w:highlight w:val="none"/>
              </w:rPr>
            </w:pPr>
          </w:p>
        </w:tc>
        <w:tc>
          <w:tcPr>
            <w:tcW w:w="1345" w:type="dxa"/>
          </w:tcPr>
          <w:p w14:paraId="5084D332">
            <w:pPr>
              <w:jc w:val="both"/>
              <w:rPr>
                <w:rFonts w:hint="eastAsia" w:ascii="宋体" w:hAnsi="宋体" w:eastAsia="宋体" w:cs="宋体"/>
                <w:color w:val="auto"/>
                <w:highlight w:val="none"/>
              </w:rPr>
            </w:pPr>
          </w:p>
        </w:tc>
        <w:tc>
          <w:tcPr>
            <w:tcW w:w="1045" w:type="dxa"/>
          </w:tcPr>
          <w:p w14:paraId="01AEE4EF">
            <w:pPr>
              <w:jc w:val="both"/>
              <w:rPr>
                <w:rFonts w:hint="eastAsia" w:ascii="宋体" w:hAnsi="宋体" w:eastAsia="宋体" w:cs="宋体"/>
                <w:color w:val="auto"/>
                <w:highlight w:val="none"/>
              </w:rPr>
            </w:pPr>
          </w:p>
        </w:tc>
        <w:tc>
          <w:tcPr>
            <w:tcW w:w="1045" w:type="dxa"/>
          </w:tcPr>
          <w:p w14:paraId="4A1C42F3">
            <w:pPr>
              <w:jc w:val="both"/>
              <w:rPr>
                <w:rFonts w:hint="eastAsia" w:ascii="宋体" w:hAnsi="宋体" w:eastAsia="宋体" w:cs="宋体"/>
                <w:color w:val="auto"/>
                <w:highlight w:val="none"/>
              </w:rPr>
            </w:pPr>
          </w:p>
        </w:tc>
        <w:tc>
          <w:tcPr>
            <w:tcW w:w="1952" w:type="dxa"/>
          </w:tcPr>
          <w:p w14:paraId="25E8A144">
            <w:pPr>
              <w:jc w:val="both"/>
              <w:rPr>
                <w:rFonts w:hint="eastAsia" w:ascii="宋体" w:hAnsi="宋体" w:eastAsia="宋体" w:cs="宋体"/>
                <w:color w:val="auto"/>
                <w:highlight w:val="none"/>
              </w:rPr>
            </w:pPr>
          </w:p>
        </w:tc>
        <w:tc>
          <w:tcPr>
            <w:tcW w:w="850" w:type="dxa"/>
          </w:tcPr>
          <w:p w14:paraId="2FEA041F">
            <w:pPr>
              <w:jc w:val="both"/>
              <w:rPr>
                <w:rFonts w:hint="eastAsia" w:ascii="宋体" w:hAnsi="宋体" w:eastAsia="宋体" w:cs="宋体"/>
                <w:color w:val="auto"/>
                <w:highlight w:val="none"/>
              </w:rPr>
            </w:pPr>
          </w:p>
        </w:tc>
      </w:tr>
      <w:tr w14:paraId="6C8807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2A5E0EED">
            <w:pPr>
              <w:jc w:val="both"/>
              <w:rPr>
                <w:rFonts w:hint="eastAsia" w:ascii="宋体" w:hAnsi="宋体" w:eastAsia="宋体" w:cs="宋体"/>
                <w:color w:val="auto"/>
                <w:highlight w:val="none"/>
              </w:rPr>
            </w:pPr>
          </w:p>
        </w:tc>
        <w:tc>
          <w:tcPr>
            <w:tcW w:w="992" w:type="dxa"/>
          </w:tcPr>
          <w:p w14:paraId="1DB94287">
            <w:pPr>
              <w:jc w:val="both"/>
              <w:rPr>
                <w:rFonts w:hint="eastAsia" w:ascii="宋体" w:hAnsi="宋体" w:eastAsia="宋体" w:cs="宋体"/>
                <w:color w:val="auto"/>
                <w:highlight w:val="none"/>
              </w:rPr>
            </w:pPr>
          </w:p>
        </w:tc>
        <w:tc>
          <w:tcPr>
            <w:tcW w:w="1134" w:type="dxa"/>
          </w:tcPr>
          <w:p w14:paraId="78C261EA">
            <w:pPr>
              <w:jc w:val="both"/>
              <w:rPr>
                <w:rFonts w:hint="eastAsia" w:ascii="宋体" w:hAnsi="宋体" w:eastAsia="宋体" w:cs="宋体"/>
                <w:color w:val="auto"/>
                <w:highlight w:val="none"/>
              </w:rPr>
            </w:pPr>
          </w:p>
        </w:tc>
        <w:tc>
          <w:tcPr>
            <w:tcW w:w="1345" w:type="dxa"/>
          </w:tcPr>
          <w:p w14:paraId="4FDE508B">
            <w:pPr>
              <w:jc w:val="both"/>
              <w:rPr>
                <w:rFonts w:hint="eastAsia" w:ascii="宋体" w:hAnsi="宋体" w:eastAsia="宋体" w:cs="宋体"/>
                <w:color w:val="auto"/>
                <w:highlight w:val="none"/>
              </w:rPr>
            </w:pPr>
          </w:p>
        </w:tc>
        <w:tc>
          <w:tcPr>
            <w:tcW w:w="1045" w:type="dxa"/>
          </w:tcPr>
          <w:p w14:paraId="2A6EFECC">
            <w:pPr>
              <w:jc w:val="both"/>
              <w:rPr>
                <w:rFonts w:hint="eastAsia" w:ascii="宋体" w:hAnsi="宋体" w:eastAsia="宋体" w:cs="宋体"/>
                <w:color w:val="auto"/>
                <w:highlight w:val="none"/>
              </w:rPr>
            </w:pPr>
          </w:p>
        </w:tc>
        <w:tc>
          <w:tcPr>
            <w:tcW w:w="1045" w:type="dxa"/>
          </w:tcPr>
          <w:p w14:paraId="7C0635D0">
            <w:pPr>
              <w:jc w:val="both"/>
              <w:rPr>
                <w:rFonts w:hint="eastAsia" w:ascii="宋体" w:hAnsi="宋体" w:eastAsia="宋体" w:cs="宋体"/>
                <w:color w:val="auto"/>
                <w:highlight w:val="none"/>
              </w:rPr>
            </w:pPr>
          </w:p>
        </w:tc>
        <w:tc>
          <w:tcPr>
            <w:tcW w:w="1952" w:type="dxa"/>
          </w:tcPr>
          <w:p w14:paraId="4EB17411">
            <w:pPr>
              <w:jc w:val="both"/>
              <w:rPr>
                <w:rFonts w:hint="eastAsia" w:ascii="宋体" w:hAnsi="宋体" w:eastAsia="宋体" w:cs="宋体"/>
                <w:color w:val="auto"/>
                <w:highlight w:val="none"/>
              </w:rPr>
            </w:pPr>
          </w:p>
        </w:tc>
        <w:tc>
          <w:tcPr>
            <w:tcW w:w="850" w:type="dxa"/>
          </w:tcPr>
          <w:p w14:paraId="7DB3E3EA">
            <w:pPr>
              <w:jc w:val="both"/>
              <w:rPr>
                <w:rFonts w:hint="eastAsia" w:ascii="宋体" w:hAnsi="宋体" w:eastAsia="宋体" w:cs="宋体"/>
                <w:color w:val="auto"/>
                <w:highlight w:val="none"/>
              </w:rPr>
            </w:pPr>
          </w:p>
        </w:tc>
      </w:tr>
      <w:tr w14:paraId="121570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10" w:type="dxa"/>
          </w:tcPr>
          <w:p w14:paraId="2D63184F">
            <w:pPr>
              <w:jc w:val="both"/>
              <w:rPr>
                <w:rFonts w:hint="eastAsia" w:ascii="宋体" w:hAnsi="宋体" w:eastAsia="宋体" w:cs="宋体"/>
                <w:color w:val="auto"/>
                <w:highlight w:val="none"/>
              </w:rPr>
            </w:pPr>
          </w:p>
        </w:tc>
        <w:tc>
          <w:tcPr>
            <w:tcW w:w="992" w:type="dxa"/>
          </w:tcPr>
          <w:p w14:paraId="5864E7CF">
            <w:pPr>
              <w:jc w:val="both"/>
              <w:rPr>
                <w:rFonts w:hint="eastAsia" w:ascii="宋体" w:hAnsi="宋体" w:eastAsia="宋体" w:cs="宋体"/>
                <w:color w:val="auto"/>
                <w:highlight w:val="none"/>
              </w:rPr>
            </w:pPr>
          </w:p>
        </w:tc>
        <w:tc>
          <w:tcPr>
            <w:tcW w:w="1134" w:type="dxa"/>
          </w:tcPr>
          <w:p w14:paraId="20568C98">
            <w:pPr>
              <w:jc w:val="both"/>
              <w:rPr>
                <w:rFonts w:hint="eastAsia" w:ascii="宋体" w:hAnsi="宋体" w:eastAsia="宋体" w:cs="宋体"/>
                <w:color w:val="auto"/>
                <w:highlight w:val="none"/>
              </w:rPr>
            </w:pPr>
          </w:p>
        </w:tc>
        <w:tc>
          <w:tcPr>
            <w:tcW w:w="1345" w:type="dxa"/>
          </w:tcPr>
          <w:p w14:paraId="34F2DFEE">
            <w:pPr>
              <w:jc w:val="both"/>
              <w:rPr>
                <w:rFonts w:hint="eastAsia" w:ascii="宋体" w:hAnsi="宋体" w:eastAsia="宋体" w:cs="宋体"/>
                <w:color w:val="auto"/>
                <w:highlight w:val="none"/>
              </w:rPr>
            </w:pPr>
          </w:p>
        </w:tc>
        <w:tc>
          <w:tcPr>
            <w:tcW w:w="1045" w:type="dxa"/>
          </w:tcPr>
          <w:p w14:paraId="13CDB979">
            <w:pPr>
              <w:jc w:val="both"/>
              <w:rPr>
                <w:rFonts w:hint="eastAsia" w:ascii="宋体" w:hAnsi="宋体" w:eastAsia="宋体" w:cs="宋体"/>
                <w:color w:val="auto"/>
                <w:highlight w:val="none"/>
              </w:rPr>
            </w:pPr>
          </w:p>
        </w:tc>
        <w:tc>
          <w:tcPr>
            <w:tcW w:w="1045" w:type="dxa"/>
          </w:tcPr>
          <w:p w14:paraId="3FBC19C5">
            <w:pPr>
              <w:jc w:val="both"/>
              <w:rPr>
                <w:rFonts w:hint="eastAsia" w:ascii="宋体" w:hAnsi="宋体" w:eastAsia="宋体" w:cs="宋体"/>
                <w:color w:val="auto"/>
                <w:highlight w:val="none"/>
              </w:rPr>
            </w:pPr>
          </w:p>
        </w:tc>
        <w:tc>
          <w:tcPr>
            <w:tcW w:w="1952" w:type="dxa"/>
          </w:tcPr>
          <w:p w14:paraId="2FDF0A46">
            <w:pPr>
              <w:jc w:val="both"/>
              <w:rPr>
                <w:rFonts w:hint="eastAsia" w:ascii="宋体" w:hAnsi="宋体" w:eastAsia="宋体" w:cs="宋体"/>
                <w:color w:val="auto"/>
                <w:highlight w:val="none"/>
              </w:rPr>
            </w:pPr>
          </w:p>
        </w:tc>
        <w:tc>
          <w:tcPr>
            <w:tcW w:w="850" w:type="dxa"/>
          </w:tcPr>
          <w:p w14:paraId="27FAD8F7">
            <w:pPr>
              <w:jc w:val="both"/>
              <w:rPr>
                <w:rFonts w:hint="eastAsia" w:ascii="宋体" w:hAnsi="宋体" w:eastAsia="宋体" w:cs="宋体"/>
                <w:color w:val="auto"/>
                <w:highlight w:val="none"/>
              </w:rPr>
            </w:pPr>
          </w:p>
        </w:tc>
      </w:tr>
      <w:tr w14:paraId="1370F0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710" w:type="dxa"/>
          </w:tcPr>
          <w:p w14:paraId="34E98138">
            <w:pPr>
              <w:jc w:val="both"/>
              <w:rPr>
                <w:rFonts w:hint="eastAsia" w:ascii="宋体" w:hAnsi="宋体" w:eastAsia="宋体" w:cs="宋体"/>
                <w:color w:val="auto"/>
                <w:highlight w:val="none"/>
              </w:rPr>
            </w:pPr>
          </w:p>
        </w:tc>
        <w:tc>
          <w:tcPr>
            <w:tcW w:w="992" w:type="dxa"/>
          </w:tcPr>
          <w:p w14:paraId="144973EB">
            <w:pPr>
              <w:jc w:val="both"/>
              <w:rPr>
                <w:rFonts w:hint="eastAsia" w:ascii="宋体" w:hAnsi="宋体" w:eastAsia="宋体" w:cs="宋体"/>
                <w:color w:val="auto"/>
                <w:highlight w:val="none"/>
              </w:rPr>
            </w:pPr>
          </w:p>
        </w:tc>
        <w:tc>
          <w:tcPr>
            <w:tcW w:w="1134" w:type="dxa"/>
          </w:tcPr>
          <w:p w14:paraId="2ABFCBA9">
            <w:pPr>
              <w:jc w:val="both"/>
              <w:rPr>
                <w:rFonts w:hint="eastAsia" w:ascii="宋体" w:hAnsi="宋体" w:eastAsia="宋体" w:cs="宋体"/>
                <w:color w:val="auto"/>
                <w:highlight w:val="none"/>
              </w:rPr>
            </w:pPr>
          </w:p>
        </w:tc>
        <w:tc>
          <w:tcPr>
            <w:tcW w:w="1345" w:type="dxa"/>
          </w:tcPr>
          <w:p w14:paraId="22D591F3">
            <w:pPr>
              <w:jc w:val="both"/>
              <w:rPr>
                <w:rFonts w:hint="eastAsia" w:ascii="宋体" w:hAnsi="宋体" w:eastAsia="宋体" w:cs="宋体"/>
                <w:color w:val="auto"/>
                <w:highlight w:val="none"/>
              </w:rPr>
            </w:pPr>
          </w:p>
        </w:tc>
        <w:tc>
          <w:tcPr>
            <w:tcW w:w="1045" w:type="dxa"/>
          </w:tcPr>
          <w:p w14:paraId="1CC156D3">
            <w:pPr>
              <w:jc w:val="both"/>
              <w:rPr>
                <w:rFonts w:hint="eastAsia" w:ascii="宋体" w:hAnsi="宋体" w:eastAsia="宋体" w:cs="宋体"/>
                <w:color w:val="auto"/>
                <w:highlight w:val="none"/>
              </w:rPr>
            </w:pPr>
          </w:p>
        </w:tc>
        <w:tc>
          <w:tcPr>
            <w:tcW w:w="1045" w:type="dxa"/>
          </w:tcPr>
          <w:p w14:paraId="09CD9EF2">
            <w:pPr>
              <w:jc w:val="both"/>
              <w:rPr>
                <w:rFonts w:hint="eastAsia" w:ascii="宋体" w:hAnsi="宋体" w:eastAsia="宋体" w:cs="宋体"/>
                <w:color w:val="auto"/>
                <w:highlight w:val="none"/>
              </w:rPr>
            </w:pPr>
          </w:p>
        </w:tc>
        <w:tc>
          <w:tcPr>
            <w:tcW w:w="1952" w:type="dxa"/>
          </w:tcPr>
          <w:p w14:paraId="7FCB8375">
            <w:pPr>
              <w:jc w:val="both"/>
              <w:rPr>
                <w:rFonts w:hint="eastAsia" w:ascii="宋体" w:hAnsi="宋体" w:eastAsia="宋体" w:cs="宋体"/>
                <w:color w:val="auto"/>
                <w:highlight w:val="none"/>
              </w:rPr>
            </w:pPr>
          </w:p>
        </w:tc>
        <w:tc>
          <w:tcPr>
            <w:tcW w:w="850" w:type="dxa"/>
          </w:tcPr>
          <w:p w14:paraId="083358A7">
            <w:pPr>
              <w:jc w:val="both"/>
              <w:rPr>
                <w:rFonts w:hint="eastAsia" w:ascii="宋体" w:hAnsi="宋体" w:eastAsia="宋体" w:cs="宋体"/>
                <w:color w:val="auto"/>
                <w:highlight w:val="none"/>
              </w:rPr>
            </w:pPr>
          </w:p>
        </w:tc>
      </w:tr>
      <w:tr w14:paraId="3DB34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710" w:type="dxa"/>
          </w:tcPr>
          <w:p w14:paraId="19823C8B">
            <w:pPr>
              <w:jc w:val="both"/>
              <w:rPr>
                <w:rFonts w:hint="eastAsia" w:ascii="宋体" w:hAnsi="宋体" w:eastAsia="宋体" w:cs="宋体"/>
                <w:color w:val="auto"/>
                <w:highlight w:val="none"/>
              </w:rPr>
            </w:pPr>
          </w:p>
        </w:tc>
        <w:tc>
          <w:tcPr>
            <w:tcW w:w="992" w:type="dxa"/>
          </w:tcPr>
          <w:p w14:paraId="03D6CA16">
            <w:pPr>
              <w:jc w:val="both"/>
              <w:rPr>
                <w:rFonts w:hint="eastAsia" w:ascii="宋体" w:hAnsi="宋体" w:eastAsia="宋体" w:cs="宋体"/>
                <w:color w:val="auto"/>
                <w:highlight w:val="none"/>
              </w:rPr>
            </w:pPr>
          </w:p>
        </w:tc>
        <w:tc>
          <w:tcPr>
            <w:tcW w:w="1134" w:type="dxa"/>
          </w:tcPr>
          <w:p w14:paraId="518CA3D6">
            <w:pPr>
              <w:jc w:val="both"/>
              <w:rPr>
                <w:rFonts w:hint="eastAsia" w:ascii="宋体" w:hAnsi="宋体" w:eastAsia="宋体" w:cs="宋体"/>
                <w:color w:val="auto"/>
                <w:highlight w:val="none"/>
              </w:rPr>
            </w:pPr>
          </w:p>
        </w:tc>
        <w:tc>
          <w:tcPr>
            <w:tcW w:w="1345" w:type="dxa"/>
          </w:tcPr>
          <w:p w14:paraId="5B44323E">
            <w:pPr>
              <w:jc w:val="both"/>
              <w:rPr>
                <w:rFonts w:hint="eastAsia" w:ascii="宋体" w:hAnsi="宋体" w:eastAsia="宋体" w:cs="宋体"/>
                <w:color w:val="auto"/>
                <w:highlight w:val="none"/>
              </w:rPr>
            </w:pPr>
          </w:p>
        </w:tc>
        <w:tc>
          <w:tcPr>
            <w:tcW w:w="1045" w:type="dxa"/>
          </w:tcPr>
          <w:p w14:paraId="2BD99835">
            <w:pPr>
              <w:jc w:val="both"/>
              <w:rPr>
                <w:rFonts w:hint="eastAsia" w:ascii="宋体" w:hAnsi="宋体" w:eastAsia="宋体" w:cs="宋体"/>
                <w:color w:val="auto"/>
                <w:highlight w:val="none"/>
              </w:rPr>
            </w:pPr>
          </w:p>
        </w:tc>
        <w:tc>
          <w:tcPr>
            <w:tcW w:w="1045" w:type="dxa"/>
          </w:tcPr>
          <w:p w14:paraId="7FBE8B8F">
            <w:pPr>
              <w:jc w:val="both"/>
              <w:rPr>
                <w:rFonts w:hint="eastAsia" w:ascii="宋体" w:hAnsi="宋体" w:eastAsia="宋体" w:cs="宋体"/>
                <w:color w:val="auto"/>
                <w:highlight w:val="none"/>
              </w:rPr>
            </w:pPr>
          </w:p>
        </w:tc>
        <w:tc>
          <w:tcPr>
            <w:tcW w:w="1952" w:type="dxa"/>
          </w:tcPr>
          <w:p w14:paraId="75127FAF">
            <w:pPr>
              <w:jc w:val="both"/>
              <w:rPr>
                <w:rFonts w:hint="eastAsia" w:ascii="宋体" w:hAnsi="宋体" w:eastAsia="宋体" w:cs="宋体"/>
                <w:color w:val="auto"/>
                <w:highlight w:val="none"/>
              </w:rPr>
            </w:pPr>
          </w:p>
        </w:tc>
        <w:tc>
          <w:tcPr>
            <w:tcW w:w="850" w:type="dxa"/>
          </w:tcPr>
          <w:p w14:paraId="4F649C35">
            <w:pPr>
              <w:jc w:val="both"/>
              <w:rPr>
                <w:rFonts w:hint="eastAsia" w:ascii="宋体" w:hAnsi="宋体" w:eastAsia="宋体" w:cs="宋体"/>
                <w:color w:val="auto"/>
                <w:highlight w:val="none"/>
              </w:rPr>
            </w:pPr>
          </w:p>
        </w:tc>
      </w:tr>
    </w:tbl>
    <w:p w14:paraId="268C2BB2">
      <w:pPr>
        <w:spacing w:line="291" w:lineRule="auto"/>
        <w:jc w:val="both"/>
        <w:rPr>
          <w:rFonts w:hint="eastAsia" w:ascii="宋体" w:hAnsi="宋体" w:eastAsia="宋体" w:cs="宋体"/>
          <w:color w:val="auto"/>
          <w:highlight w:val="none"/>
        </w:rPr>
      </w:pPr>
    </w:p>
    <w:p w14:paraId="2B307CE6">
      <w:pPr>
        <w:spacing w:line="292" w:lineRule="auto"/>
        <w:jc w:val="both"/>
        <w:rPr>
          <w:rFonts w:hint="eastAsia" w:ascii="宋体" w:hAnsi="宋体" w:eastAsia="宋体" w:cs="宋体"/>
          <w:color w:val="auto"/>
          <w:highlight w:val="none"/>
        </w:rPr>
      </w:pPr>
    </w:p>
    <w:p w14:paraId="0B4A9C59">
      <w:pPr>
        <w:tabs>
          <w:tab w:val="left" w:pos="6520"/>
        </w:tabs>
        <w:spacing w:before="75" w:line="503" w:lineRule="auto"/>
        <w:ind w:left="5429" w:hanging="535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招标人代表：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记录人：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监标人：</w:t>
      </w:r>
      <w:r>
        <w:rPr>
          <w:rFonts w:hint="eastAsia" w:ascii="宋体" w:hAnsi="宋体" w:eastAsia="宋体" w:cs="宋体"/>
          <w:color w:val="auto"/>
          <w:sz w:val="23"/>
          <w:szCs w:val="23"/>
          <w:highlight w:val="none"/>
          <w:u w:val="single"/>
        </w:rPr>
        <w:t xml:space="preserve">   </w:t>
      </w:r>
    </w:p>
    <w:p w14:paraId="7F5CF0A7">
      <w:pPr>
        <w:tabs>
          <w:tab w:val="left" w:pos="6520"/>
        </w:tabs>
        <w:spacing w:before="75" w:line="503" w:lineRule="auto"/>
        <w:ind w:left="5429" w:hanging="5357"/>
        <w:jc w:val="righ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429142E">
      <w:pPr>
        <w:jc w:val="right"/>
        <w:rPr>
          <w:rFonts w:hint="eastAsia" w:ascii="宋体" w:hAnsi="宋体" w:eastAsia="宋体" w:cs="宋体"/>
          <w:color w:val="auto"/>
          <w:highlight w:val="none"/>
        </w:rPr>
        <w:sectPr>
          <w:footerReference r:id="rId9" w:type="default"/>
          <w:pgSz w:w="11906" w:h="16839"/>
          <w:pgMar w:top="1418" w:right="1559" w:bottom="1418" w:left="1474" w:header="0" w:footer="1035" w:gutter="0"/>
          <w:cols w:space="720" w:num="1"/>
        </w:sectPr>
      </w:pPr>
    </w:p>
    <w:p w14:paraId="3442F867">
      <w:pPr>
        <w:spacing w:line="347" w:lineRule="auto"/>
        <w:jc w:val="both"/>
        <w:rPr>
          <w:rFonts w:hint="eastAsia" w:ascii="宋体" w:hAnsi="宋体" w:eastAsia="宋体" w:cs="宋体"/>
          <w:color w:val="auto"/>
          <w:highlight w:val="none"/>
        </w:rPr>
      </w:pPr>
    </w:p>
    <w:p w14:paraId="6F90B286">
      <w:pPr>
        <w:spacing w:before="91" w:line="220" w:lineRule="auto"/>
        <w:ind w:left="312"/>
        <w:jc w:val="both"/>
        <w:outlineLvl w:val="1"/>
        <w:rPr>
          <w:rFonts w:hint="eastAsia" w:ascii="宋体" w:hAnsi="宋体" w:eastAsia="宋体" w:cs="宋体"/>
          <w:color w:val="auto"/>
          <w:sz w:val="28"/>
          <w:szCs w:val="28"/>
          <w:highlight w:val="none"/>
        </w:rPr>
      </w:pPr>
      <w:bookmarkStart w:id="42" w:name="_bookmark6"/>
      <w:bookmarkEnd w:id="42"/>
      <w:r>
        <w:rPr>
          <w:rFonts w:hint="eastAsia" w:ascii="宋体" w:hAnsi="宋体" w:eastAsia="宋体" w:cs="宋体"/>
          <w:color w:val="auto"/>
          <w:sz w:val="28"/>
          <w:szCs w:val="28"/>
          <w:highlight w:val="none"/>
        </w:rPr>
        <w:t>附表二：问题澄清通知</w:t>
      </w:r>
    </w:p>
    <w:p w14:paraId="76126114">
      <w:pPr>
        <w:spacing w:line="331" w:lineRule="auto"/>
        <w:jc w:val="both"/>
        <w:rPr>
          <w:rFonts w:hint="eastAsia" w:ascii="宋体" w:hAnsi="宋体" w:eastAsia="宋体" w:cs="宋体"/>
          <w:color w:val="auto"/>
          <w:highlight w:val="none"/>
        </w:rPr>
      </w:pPr>
    </w:p>
    <w:p w14:paraId="06C44A15">
      <w:pPr>
        <w:spacing w:line="332" w:lineRule="auto"/>
        <w:jc w:val="both"/>
        <w:rPr>
          <w:rFonts w:hint="eastAsia" w:ascii="宋体" w:hAnsi="宋体" w:eastAsia="宋体" w:cs="宋体"/>
          <w:color w:val="auto"/>
          <w:highlight w:val="none"/>
        </w:rPr>
      </w:pPr>
    </w:p>
    <w:p w14:paraId="0735F82D">
      <w:pPr>
        <w:spacing w:before="91" w:line="221" w:lineRule="auto"/>
        <w:ind w:left="3845"/>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问题澄清通知</w:t>
      </w:r>
    </w:p>
    <w:p w14:paraId="7C90127B">
      <w:pPr>
        <w:spacing w:before="287" w:line="221" w:lineRule="auto"/>
        <w:ind w:left="3957"/>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编号：</w:t>
      </w:r>
    </w:p>
    <w:p w14:paraId="40F37771">
      <w:pPr>
        <w:spacing w:line="349" w:lineRule="auto"/>
        <w:jc w:val="both"/>
        <w:rPr>
          <w:rFonts w:hint="eastAsia" w:ascii="宋体" w:hAnsi="宋体" w:eastAsia="宋体" w:cs="宋体"/>
          <w:color w:val="auto"/>
          <w:highlight w:val="none"/>
        </w:rPr>
      </w:pPr>
    </w:p>
    <w:p w14:paraId="509B7972">
      <w:pPr>
        <w:spacing w:line="349" w:lineRule="auto"/>
        <w:jc w:val="both"/>
        <w:rPr>
          <w:rFonts w:hint="eastAsia" w:ascii="宋体" w:hAnsi="宋体" w:eastAsia="宋体" w:cs="宋体"/>
          <w:color w:val="auto"/>
          <w:highlight w:val="none"/>
        </w:rPr>
      </w:pPr>
    </w:p>
    <w:p w14:paraId="66D637FD">
      <w:pPr>
        <w:tabs>
          <w:tab w:val="left" w:pos="197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(投标人名称):</w:t>
      </w:r>
    </w:p>
    <w:p w14:paraId="4B86E3D4">
      <w:pPr>
        <w:tabs>
          <w:tab w:val="left" w:pos="1558"/>
        </w:tabs>
        <w:spacing w:before="226" w:line="377" w:lineRule="auto"/>
        <w:ind w:left="10" w:right="72" w:firstLine="549"/>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(项目名称)标段招标的评标委员会，对你方的投标文件进行了仔细的审查，现需你方对下列问题以书面形式予以澄清：</w:t>
      </w:r>
    </w:p>
    <w:p w14:paraId="2BB47EF8">
      <w:pPr>
        <w:spacing w:before="18" w:line="563" w:lineRule="exact"/>
        <w:ind w:left="591"/>
        <w:jc w:val="both"/>
        <w:rPr>
          <w:rFonts w:hint="eastAsia" w:ascii="宋体" w:hAnsi="宋体" w:eastAsia="宋体" w:cs="宋体"/>
          <w:color w:val="auto"/>
          <w:sz w:val="24"/>
          <w:szCs w:val="24"/>
          <w:highlight w:val="none"/>
        </w:rPr>
      </w:pPr>
      <w:r>
        <w:rPr>
          <w:rFonts w:hint="eastAsia" w:ascii="宋体" w:hAnsi="宋体" w:eastAsia="宋体" w:cs="宋体"/>
          <w:color w:val="auto"/>
          <w:position w:val="25"/>
          <w:sz w:val="24"/>
          <w:szCs w:val="24"/>
          <w:highlight w:val="none"/>
        </w:rPr>
        <w:t>1.</w:t>
      </w:r>
    </w:p>
    <w:p w14:paraId="14341470">
      <w:pPr>
        <w:spacing w:line="186" w:lineRule="auto"/>
        <w:ind w:left="574"/>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p w14:paraId="1D249161">
      <w:pPr>
        <w:spacing w:before="232" w:line="443" w:lineRule="exact"/>
        <w:ind w:left="588"/>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642A12C9">
      <w:pPr>
        <w:spacing w:before="116" w:line="379" w:lineRule="auto"/>
        <w:ind w:left="12" w:right="72" w:firstLine="55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请将上述问题的澄清于年月日时前反馈。</w:t>
      </w:r>
    </w:p>
    <w:p w14:paraId="7E8543E9">
      <w:pPr>
        <w:spacing w:line="248" w:lineRule="auto"/>
        <w:jc w:val="both"/>
        <w:rPr>
          <w:rFonts w:hint="eastAsia" w:ascii="宋体" w:hAnsi="宋体" w:eastAsia="宋体" w:cs="宋体"/>
          <w:color w:val="auto"/>
          <w:sz w:val="24"/>
          <w:szCs w:val="24"/>
          <w:highlight w:val="none"/>
        </w:rPr>
      </w:pPr>
    </w:p>
    <w:p w14:paraId="35C35F85">
      <w:pPr>
        <w:spacing w:line="249" w:lineRule="auto"/>
        <w:jc w:val="both"/>
        <w:rPr>
          <w:rFonts w:hint="eastAsia" w:ascii="宋体" w:hAnsi="宋体" w:eastAsia="宋体" w:cs="宋体"/>
          <w:color w:val="auto"/>
          <w:sz w:val="24"/>
          <w:szCs w:val="24"/>
          <w:highlight w:val="none"/>
        </w:rPr>
      </w:pPr>
    </w:p>
    <w:p w14:paraId="25C2C414">
      <w:pPr>
        <w:spacing w:line="249" w:lineRule="auto"/>
        <w:jc w:val="both"/>
        <w:rPr>
          <w:rFonts w:hint="eastAsia" w:ascii="宋体" w:hAnsi="宋体" w:eastAsia="宋体" w:cs="宋体"/>
          <w:color w:val="auto"/>
          <w:sz w:val="24"/>
          <w:szCs w:val="24"/>
          <w:highlight w:val="none"/>
        </w:rPr>
      </w:pPr>
    </w:p>
    <w:p w14:paraId="14E5FE9B">
      <w:pPr>
        <w:spacing w:line="249" w:lineRule="auto"/>
        <w:jc w:val="both"/>
        <w:rPr>
          <w:rFonts w:hint="eastAsia" w:ascii="宋体" w:hAnsi="宋体" w:eastAsia="宋体" w:cs="宋体"/>
          <w:color w:val="auto"/>
          <w:sz w:val="24"/>
          <w:szCs w:val="24"/>
          <w:highlight w:val="none"/>
        </w:rPr>
      </w:pPr>
    </w:p>
    <w:p w14:paraId="12ECDC03">
      <w:pPr>
        <w:tabs>
          <w:tab w:val="left" w:pos="6922"/>
        </w:tabs>
        <w:spacing w:before="91" w:line="377" w:lineRule="auto"/>
        <w:ind w:left="6489" w:hanging="298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评标委员会负责人：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181EA2CE">
      <w:pPr>
        <w:tabs>
          <w:tab w:val="left" w:pos="6922"/>
        </w:tabs>
        <w:spacing w:before="91" w:line="377" w:lineRule="auto"/>
        <w:ind w:left="105" w:leftChars="50" w:firstLine="115" w:firstLine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14F9E5AB">
      <w:pPr>
        <w:jc w:val="both"/>
        <w:rPr>
          <w:rFonts w:hint="eastAsia" w:ascii="宋体" w:hAnsi="宋体" w:eastAsia="宋体" w:cs="宋体"/>
          <w:color w:val="auto"/>
          <w:highlight w:val="none"/>
        </w:rPr>
        <w:sectPr>
          <w:footerReference r:id="rId10" w:type="default"/>
          <w:pgSz w:w="11906" w:h="16839"/>
          <w:pgMar w:top="1418" w:right="1559" w:bottom="1418" w:left="1474" w:header="0" w:footer="1035" w:gutter="0"/>
          <w:cols w:space="720" w:num="1"/>
        </w:sectPr>
      </w:pPr>
    </w:p>
    <w:p w14:paraId="5A37E931">
      <w:pPr>
        <w:spacing w:before="157" w:line="220" w:lineRule="auto"/>
        <w:ind w:left="314"/>
        <w:jc w:val="both"/>
        <w:outlineLvl w:val="1"/>
        <w:rPr>
          <w:rFonts w:hint="eastAsia" w:ascii="宋体" w:hAnsi="宋体" w:eastAsia="宋体" w:cs="宋体"/>
          <w:color w:val="auto"/>
          <w:sz w:val="28"/>
          <w:szCs w:val="28"/>
          <w:highlight w:val="none"/>
        </w:rPr>
      </w:pPr>
      <w:bookmarkStart w:id="43" w:name="_bookmark7"/>
      <w:bookmarkEnd w:id="43"/>
      <w:r>
        <w:rPr>
          <w:rFonts w:hint="eastAsia" w:ascii="宋体" w:hAnsi="宋体" w:eastAsia="宋体" w:cs="宋体"/>
          <w:color w:val="auto"/>
          <w:sz w:val="28"/>
          <w:szCs w:val="28"/>
          <w:highlight w:val="none"/>
        </w:rPr>
        <w:t>附表三：问题的澄清</w:t>
      </w:r>
    </w:p>
    <w:p w14:paraId="06030100">
      <w:pPr>
        <w:spacing w:line="264" w:lineRule="auto"/>
        <w:jc w:val="both"/>
        <w:rPr>
          <w:rFonts w:hint="eastAsia" w:ascii="宋体" w:hAnsi="宋体" w:eastAsia="宋体" w:cs="宋体"/>
          <w:color w:val="auto"/>
          <w:highlight w:val="none"/>
        </w:rPr>
      </w:pPr>
    </w:p>
    <w:p w14:paraId="16045CFA">
      <w:pPr>
        <w:spacing w:line="264" w:lineRule="auto"/>
        <w:jc w:val="both"/>
        <w:rPr>
          <w:rFonts w:hint="eastAsia" w:ascii="宋体" w:hAnsi="宋体" w:eastAsia="宋体" w:cs="宋体"/>
          <w:color w:val="auto"/>
          <w:highlight w:val="none"/>
        </w:rPr>
      </w:pPr>
    </w:p>
    <w:p w14:paraId="24C9A657">
      <w:pPr>
        <w:spacing w:line="264" w:lineRule="auto"/>
        <w:jc w:val="both"/>
        <w:rPr>
          <w:rFonts w:hint="eastAsia" w:ascii="宋体" w:hAnsi="宋体" w:eastAsia="宋体" w:cs="宋体"/>
          <w:color w:val="auto"/>
          <w:highlight w:val="none"/>
        </w:rPr>
      </w:pPr>
    </w:p>
    <w:p w14:paraId="53E0AEF7">
      <w:pPr>
        <w:spacing w:before="91" w:line="221" w:lineRule="auto"/>
        <w:ind w:firstLine="3220" w:firstLineChars="1150"/>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问题的澄清</w:t>
      </w:r>
    </w:p>
    <w:p w14:paraId="7AAAB643">
      <w:pPr>
        <w:spacing w:before="222" w:line="221" w:lineRule="auto"/>
        <w:ind w:left="441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编号：</w:t>
      </w:r>
    </w:p>
    <w:p w14:paraId="5318F6CA">
      <w:pPr>
        <w:tabs>
          <w:tab w:val="left" w:pos="761"/>
        </w:tabs>
        <w:spacing w:line="360" w:lineRule="auto"/>
        <w:ind w:firstLine="120" w:firstLineChars="50"/>
        <w:jc w:val="both"/>
        <w:rPr>
          <w:rFonts w:hint="eastAsia" w:ascii="宋体" w:hAnsi="宋体" w:eastAsia="宋体" w:cs="宋体"/>
          <w:color w:val="auto"/>
          <w:sz w:val="24"/>
          <w:szCs w:val="24"/>
          <w:highlight w:val="none"/>
          <w:u w:val="single"/>
        </w:rPr>
      </w:pPr>
    </w:p>
    <w:p w14:paraId="50DC582C">
      <w:pPr>
        <w:tabs>
          <w:tab w:val="left" w:pos="761"/>
        </w:tabs>
        <w:spacing w:line="360" w:lineRule="auto"/>
        <w:ind w:firstLine="120" w:firstLineChars="5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(项目名称)标段招标评标委员会：</w:t>
      </w:r>
    </w:p>
    <w:p w14:paraId="03FFFE36">
      <w:pPr>
        <w:spacing w:line="360" w:lineRule="auto"/>
        <w:ind w:left="60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问题澄清通知(编号：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)已收悉，现澄清如下：</w:t>
      </w:r>
    </w:p>
    <w:p w14:paraId="5C62B514">
      <w:pPr>
        <w:spacing w:line="360" w:lineRule="auto"/>
        <w:ind w:left="1135"/>
        <w:jc w:val="both"/>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1.                                 </w:t>
      </w:r>
    </w:p>
    <w:p w14:paraId="47DCAF28">
      <w:pPr>
        <w:spacing w:line="360" w:lineRule="auto"/>
        <w:ind w:left="113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u w:val="single"/>
        </w:rPr>
        <w:t xml:space="preserve">                                 </w:t>
      </w:r>
    </w:p>
    <w:p w14:paraId="64C5853F">
      <w:pPr>
        <w:spacing w:before="234" w:line="443" w:lineRule="exact"/>
        <w:ind w:left="1150"/>
        <w:jc w:val="both"/>
        <w:rPr>
          <w:rFonts w:hint="eastAsia" w:ascii="宋体" w:hAnsi="宋体" w:eastAsia="宋体" w:cs="宋体"/>
          <w:color w:val="auto"/>
          <w:sz w:val="24"/>
          <w:szCs w:val="24"/>
          <w:highlight w:val="none"/>
        </w:rPr>
      </w:pPr>
      <w:r>
        <w:rPr>
          <w:rFonts w:hint="eastAsia" w:ascii="宋体" w:hAnsi="宋体" w:eastAsia="宋体" w:cs="宋体"/>
          <w:color w:val="auto"/>
          <w:position w:val="3"/>
          <w:sz w:val="24"/>
          <w:szCs w:val="24"/>
          <w:highlight w:val="none"/>
        </w:rPr>
        <w:t>……</w:t>
      </w:r>
    </w:p>
    <w:p w14:paraId="42D4AB37">
      <w:pPr>
        <w:spacing w:line="249" w:lineRule="auto"/>
        <w:jc w:val="both"/>
        <w:rPr>
          <w:rFonts w:hint="eastAsia" w:ascii="宋体" w:hAnsi="宋体" w:eastAsia="宋体" w:cs="宋体"/>
          <w:color w:val="auto"/>
          <w:sz w:val="24"/>
          <w:szCs w:val="24"/>
          <w:highlight w:val="none"/>
        </w:rPr>
      </w:pPr>
    </w:p>
    <w:p w14:paraId="23BD8328">
      <w:pPr>
        <w:spacing w:line="249" w:lineRule="auto"/>
        <w:jc w:val="both"/>
        <w:rPr>
          <w:rFonts w:hint="eastAsia" w:ascii="宋体" w:hAnsi="宋体" w:eastAsia="宋体" w:cs="宋体"/>
          <w:color w:val="auto"/>
          <w:sz w:val="24"/>
          <w:szCs w:val="24"/>
          <w:highlight w:val="none"/>
        </w:rPr>
      </w:pPr>
    </w:p>
    <w:p w14:paraId="758C9E0D">
      <w:pPr>
        <w:spacing w:line="249" w:lineRule="auto"/>
        <w:jc w:val="both"/>
        <w:rPr>
          <w:rFonts w:hint="eastAsia" w:ascii="宋体" w:hAnsi="宋体" w:eastAsia="宋体" w:cs="宋体"/>
          <w:color w:val="auto"/>
          <w:sz w:val="24"/>
          <w:szCs w:val="24"/>
          <w:highlight w:val="none"/>
        </w:rPr>
      </w:pPr>
    </w:p>
    <w:p w14:paraId="7ADE5512">
      <w:pPr>
        <w:spacing w:line="249" w:lineRule="auto"/>
        <w:jc w:val="both"/>
        <w:rPr>
          <w:rFonts w:hint="eastAsia" w:ascii="宋体" w:hAnsi="宋体" w:eastAsia="宋体" w:cs="宋体"/>
          <w:color w:val="auto"/>
          <w:sz w:val="24"/>
          <w:szCs w:val="24"/>
          <w:highlight w:val="none"/>
        </w:rPr>
      </w:pPr>
    </w:p>
    <w:p w14:paraId="4825383E">
      <w:pPr>
        <w:spacing w:line="249" w:lineRule="auto"/>
        <w:jc w:val="both"/>
        <w:rPr>
          <w:rFonts w:hint="eastAsia" w:ascii="宋体" w:hAnsi="宋体" w:eastAsia="宋体" w:cs="宋体"/>
          <w:color w:val="auto"/>
          <w:sz w:val="24"/>
          <w:szCs w:val="24"/>
          <w:highlight w:val="none"/>
        </w:rPr>
      </w:pPr>
    </w:p>
    <w:p w14:paraId="4F0D8B49">
      <w:pPr>
        <w:spacing w:line="249" w:lineRule="auto"/>
        <w:jc w:val="both"/>
        <w:rPr>
          <w:rFonts w:hint="eastAsia" w:ascii="宋体" w:hAnsi="宋体" w:eastAsia="宋体" w:cs="宋体"/>
          <w:color w:val="auto"/>
          <w:sz w:val="24"/>
          <w:szCs w:val="24"/>
          <w:highlight w:val="none"/>
        </w:rPr>
      </w:pPr>
    </w:p>
    <w:p w14:paraId="48A7EE22">
      <w:pPr>
        <w:spacing w:line="249" w:lineRule="auto"/>
        <w:jc w:val="both"/>
        <w:rPr>
          <w:rFonts w:hint="eastAsia" w:ascii="宋体" w:hAnsi="宋体" w:eastAsia="宋体" w:cs="宋体"/>
          <w:color w:val="auto"/>
          <w:sz w:val="24"/>
          <w:szCs w:val="24"/>
          <w:highlight w:val="none"/>
        </w:rPr>
      </w:pPr>
    </w:p>
    <w:p w14:paraId="7BAD112B">
      <w:pPr>
        <w:spacing w:line="249" w:lineRule="auto"/>
        <w:jc w:val="both"/>
        <w:rPr>
          <w:rFonts w:hint="eastAsia" w:ascii="宋体" w:hAnsi="宋体" w:eastAsia="宋体" w:cs="宋体"/>
          <w:color w:val="auto"/>
          <w:sz w:val="24"/>
          <w:szCs w:val="24"/>
          <w:highlight w:val="none"/>
        </w:rPr>
      </w:pPr>
    </w:p>
    <w:p w14:paraId="6DAE7C86">
      <w:pPr>
        <w:spacing w:line="251" w:lineRule="auto"/>
        <w:jc w:val="both"/>
        <w:rPr>
          <w:rFonts w:hint="eastAsia" w:ascii="宋体" w:hAnsi="宋体" w:eastAsia="宋体" w:cs="宋体"/>
          <w:color w:val="auto"/>
          <w:sz w:val="24"/>
          <w:szCs w:val="24"/>
          <w:highlight w:val="none"/>
        </w:rPr>
      </w:pPr>
    </w:p>
    <w:p w14:paraId="6F984186">
      <w:pPr>
        <w:spacing w:before="92" w:line="369" w:lineRule="auto"/>
        <w:ind w:left="2792" w:right="19"/>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(盖章)</w:t>
      </w:r>
    </w:p>
    <w:p w14:paraId="1CF6520D">
      <w:pPr>
        <w:spacing w:before="92" w:line="369" w:lineRule="auto"/>
        <w:ind w:left="120" w:right="19" w:hanging="120"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(签字或盖章)</w:t>
      </w:r>
    </w:p>
    <w:p w14:paraId="68239926">
      <w:pPr>
        <w:spacing w:before="92" w:line="369" w:lineRule="auto"/>
        <w:ind w:left="115" w:right="19" w:hanging="115" w:hangingChars="50"/>
        <w:jc w:val="right"/>
        <w:rPr>
          <w:rFonts w:hint="eastAsia" w:ascii="宋体" w:hAnsi="宋体" w:eastAsia="宋体" w:cs="宋体"/>
          <w:color w:val="auto"/>
          <w:sz w:val="24"/>
          <w:szCs w:val="24"/>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596CF4CA">
      <w:pPr>
        <w:jc w:val="both"/>
        <w:rPr>
          <w:rFonts w:hint="eastAsia" w:ascii="宋体" w:hAnsi="宋体" w:eastAsia="宋体" w:cs="宋体"/>
          <w:color w:val="auto"/>
          <w:highlight w:val="none"/>
        </w:rPr>
        <w:sectPr>
          <w:footerReference r:id="rId11" w:type="default"/>
          <w:pgSz w:w="11906" w:h="16839"/>
          <w:pgMar w:top="1418" w:right="1559" w:bottom="1418" w:left="1474" w:header="0" w:footer="1035" w:gutter="0"/>
          <w:cols w:space="720" w:num="1"/>
        </w:sectPr>
      </w:pPr>
    </w:p>
    <w:p w14:paraId="2AAA7F48">
      <w:pPr>
        <w:spacing w:before="91" w:line="220" w:lineRule="auto"/>
        <w:jc w:val="both"/>
        <w:outlineLvl w:val="1"/>
        <w:rPr>
          <w:rFonts w:hint="eastAsia" w:ascii="宋体" w:hAnsi="宋体" w:eastAsia="宋体" w:cs="宋体"/>
          <w:color w:val="auto"/>
          <w:sz w:val="28"/>
          <w:szCs w:val="28"/>
          <w:highlight w:val="none"/>
        </w:rPr>
      </w:pPr>
      <w:bookmarkStart w:id="44" w:name="_bookmark8"/>
      <w:bookmarkEnd w:id="44"/>
      <w:r>
        <w:rPr>
          <w:rFonts w:hint="eastAsia" w:ascii="宋体" w:hAnsi="宋体" w:eastAsia="宋体" w:cs="宋体"/>
          <w:color w:val="auto"/>
          <w:sz w:val="28"/>
          <w:szCs w:val="28"/>
          <w:highlight w:val="none"/>
        </w:rPr>
        <w:t>附表四：中标通知书</w:t>
      </w:r>
    </w:p>
    <w:p w14:paraId="605CFEE1">
      <w:pPr>
        <w:spacing w:before="266" w:line="227" w:lineRule="auto"/>
        <w:ind w:left="442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中标通知书</w:t>
      </w:r>
    </w:p>
    <w:p w14:paraId="242C8588">
      <w:pPr>
        <w:spacing w:before="157" w:line="358" w:lineRule="auto"/>
        <w:ind w:left="237" w:leftChars="113" w:right="53" w:firstLine="458" w:firstLineChars="191"/>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中标通知书为招标人向中标的投标人发出的告知其中标的书面通知文件，中标结果根据投标人提交的投标文件经评、定标委员会评审做出。本中标通知书对招标人和中标人具有法律效力，一经发出后，中标人放弃中标项目的应当依法承担法律责任。中标具体内容如下：</w:t>
      </w:r>
    </w:p>
    <w:p w14:paraId="6417B031">
      <w:pPr>
        <w:jc w:val="both"/>
        <w:rPr>
          <w:rFonts w:hint="eastAsia" w:ascii="宋体" w:hAnsi="宋体" w:eastAsia="宋体" w:cs="宋体"/>
          <w:color w:val="auto"/>
          <w:highlight w:val="none"/>
        </w:rPr>
      </w:pPr>
    </w:p>
    <w:p w14:paraId="36C0F204">
      <w:pPr>
        <w:spacing w:line="27" w:lineRule="exact"/>
        <w:jc w:val="both"/>
        <w:rPr>
          <w:rFonts w:hint="eastAsia" w:ascii="宋体" w:hAnsi="宋体" w:eastAsia="宋体" w:cs="宋体"/>
          <w:color w:val="auto"/>
          <w:highlight w:val="none"/>
        </w:rPr>
      </w:pPr>
    </w:p>
    <w:tbl>
      <w:tblPr>
        <w:tblStyle w:val="58"/>
        <w:tblW w:w="8567" w:type="dxa"/>
        <w:tblInd w:w="28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29"/>
        <w:gridCol w:w="6438"/>
      </w:tblGrid>
      <w:tr w14:paraId="536420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2129" w:type="dxa"/>
          </w:tcPr>
          <w:p w14:paraId="58C58510">
            <w:pPr>
              <w:spacing w:before="200"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招标项目名称</w:t>
            </w:r>
          </w:p>
        </w:tc>
        <w:tc>
          <w:tcPr>
            <w:tcW w:w="6438" w:type="dxa"/>
          </w:tcPr>
          <w:p w14:paraId="77563CF3">
            <w:pPr>
              <w:jc w:val="both"/>
              <w:rPr>
                <w:rFonts w:hint="eastAsia" w:ascii="宋体" w:hAnsi="宋体" w:eastAsia="宋体" w:cs="宋体"/>
                <w:color w:val="auto"/>
                <w:highlight w:val="none"/>
              </w:rPr>
            </w:pPr>
          </w:p>
        </w:tc>
      </w:tr>
      <w:tr w14:paraId="20E415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2129" w:type="dxa"/>
          </w:tcPr>
          <w:p w14:paraId="28F2998C">
            <w:pPr>
              <w:spacing w:before="138"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招标人名称</w:t>
            </w:r>
          </w:p>
        </w:tc>
        <w:tc>
          <w:tcPr>
            <w:tcW w:w="6438" w:type="dxa"/>
          </w:tcPr>
          <w:p w14:paraId="3C85FB49">
            <w:pPr>
              <w:jc w:val="both"/>
              <w:rPr>
                <w:rFonts w:hint="eastAsia" w:ascii="宋体" w:hAnsi="宋体" w:eastAsia="宋体" w:cs="宋体"/>
                <w:color w:val="auto"/>
                <w:highlight w:val="none"/>
              </w:rPr>
            </w:pPr>
          </w:p>
        </w:tc>
      </w:tr>
      <w:tr w14:paraId="4D9A86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4" w:hRule="atLeast"/>
        </w:trPr>
        <w:tc>
          <w:tcPr>
            <w:tcW w:w="2129" w:type="dxa"/>
          </w:tcPr>
          <w:p w14:paraId="0849380D">
            <w:pPr>
              <w:spacing w:before="159"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中标人名称</w:t>
            </w:r>
          </w:p>
        </w:tc>
        <w:tc>
          <w:tcPr>
            <w:tcW w:w="6438" w:type="dxa"/>
          </w:tcPr>
          <w:p w14:paraId="25E09B35">
            <w:pPr>
              <w:jc w:val="both"/>
              <w:rPr>
                <w:rFonts w:hint="eastAsia" w:ascii="宋体" w:hAnsi="宋体" w:eastAsia="宋体" w:cs="宋体"/>
                <w:color w:val="auto"/>
                <w:highlight w:val="none"/>
              </w:rPr>
            </w:pPr>
          </w:p>
        </w:tc>
      </w:tr>
      <w:tr w14:paraId="5E98D7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2129" w:type="dxa"/>
          </w:tcPr>
          <w:p w14:paraId="5DE58464">
            <w:pPr>
              <w:spacing w:before="116"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项目负责人</w:t>
            </w:r>
          </w:p>
        </w:tc>
        <w:tc>
          <w:tcPr>
            <w:tcW w:w="6438" w:type="dxa"/>
          </w:tcPr>
          <w:p w14:paraId="645087C7">
            <w:pPr>
              <w:jc w:val="both"/>
              <w:rPr>
                <w:rFonts w:hint="eastAsia" w:ascii="宋体" w:hAnsi="宋体" w:eastAsia="宋体" w:cs="宋体"/>
                <w:color w:val="auto"/>
                <w:highlight w:val="none"/>
              </w:rPr>
            </w:pPr>
          </w:p>
        </w:tc>
      </w:tr>
      <w:tr w14:paraId="2B4BE1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7" w:hRule="atLeast"/>
        </w:trPr>
        <w:tc>
          <w:tcPr>
            <w:tcW w:w="2129" w:type="dxa"/>
          </w:tcPr>
          <w:p w14:paraId="2EF4DEDC">
            <w:pPr>
              <w:spacing w:before="267"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中标金额</w:t>
            </w:r>
          </w:p>
        </w:tc>
        <w:tc>
          <w:tcPr>
            <w:tcW w:w="6438" w:type="dxa"/>
          </w:tcPr>
          <w:p w14:paraId="28AA98A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(大写)：</w:t>
            </w:r>
          </w:p>
          <w:p w14:paraId="71A1278D">
            <w:pPr>
              <w:spacing w:before="267" w:line="229" w:lineRule="auto"/>
              <w:ind w:left="12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(小写)：</w:t>
            </w:r>
          </w:p>
        </w:tc>
      </w:tr>
      <w:tr w14:paraId="2EE36B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7" w:hRule="atLeast"/>
        </w:trPr>
        <w:tc>
          <w:tcPr>
            <w:tcW w:w="2129" w:type="dxa"/>
          </w:tcPr>
          <w:p w14:paraId="44E73C04">
            <w:pPr>
              <w:spacing w:before="178"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中标内容范围</w:t>
            </w:r>
          </w:p>
        </w:tc>
        <w:tc>
          <w:tcPr>
            <w:tcW w:w="6438" w:type="dxa"/>
          </w:tcPr>
          <w:p w14:paraId="2F089549">
            <w:pPr>
              <w:jc w:val="both"/>
              <w:rPr>
                <w:rFonts w:hint="eastAsia" w:ascii="宋体" w:hAnsi="宋体" w:eastAsia="宋体" w:cs="宋体"/>
                <w:color w:val="auto"/>
                <w:highlight w:val="none"/>
              </w:rPr>
            </w:pPr>
          </w:p>
        </w:tc>
      </w:tr>
      <w:tr w14:paraId="59DF50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0" w:hRule="atLeast"/>
        </w:trPr>
        <w:tc>
          <w:tcPr>
            <w:tcW w:w="2129" w:type="dxa"/>
          </w:tcPr>
          <w:p w14:paraId="4EF89A56">
            <w:pPr>
              <w:spacing w:before="116" w:line="468" w:lineRule="exact"/>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position w:val="17"/>
                <w:sz w:val="23"/>
                <w:szCs w:val="23"/>
                <w:highlight w:val="none"/>
              </w:rPr>
              <w:t>中标人与招标人签订</w:t>
            </w:r>
          </w:p>
          <w:p w14:paraId="2F17C005">
            <w:pPr>
              <w:spacing w:before="1"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中标合同期限</w:t>
            </w:r>
          </w:p>
        </w:tc>
        <w:tc>
          <w:tcPr>
            <w:tcW w:w="6438" w:type="dxa"/>
          </w:tcPr>
          <w:p w14:paraId="5A54DFEB">
            <w:pPr>
              <w:jc w:val="both"/>
              <w:rPr>
                <w:rFonts w:hint="eastAsia" w:ascii="宋体" w:hAnsi="宋体" w:eastAsia="宋体" w:cs="宋体"/>
                <w:color w:val="auto"/>
                <w:highlight w:val="none"/>
              </w:rPr>
            </w:pPr>
          </w:p>
        </w:tc>
      </w:tr>
      <w:tr w14:paraId="66D17A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2129" w:type="dxa"/>
          </w:tcPr>
          <w:p w14:paraId="3F7C47A5">
            <w:pPr>
              <w:spacing w:before="196" w:line="229"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签订中标合同地址</w:t>
            </w:r>
          </w:p>
        </w:tc>
        <w:tc>
          <w:tcPr>
            <w:tcW w:w="6438" w:type="dxa"/>
          </w:tcPr>
          <w:p w14:paraId="22F95AE1">
            <w:pPr>
              <w:jc w:val="both"/>
              <w:rPr>
                <w:rFonts w:hint="eastAsia" w:ascii="宋体" w:hAnsi="宋体" w:eastAsia="宋体" w:cs="宋体"/>
                <w:color w:val="auto"/>
                <w:highlight w:val="none"/>
              </w:rPr>
            </w:pPr>
          </w:p>
        </w:tc>
      </w:tr>
      <w:tr w14:paraId="76439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6" w:hRule="atLeast"/>
        </w:trPr>
        <w:tc>
          <w:tcPr>
            <w:tcW w:w="2129" w:type="dxa"/>
          </w:tcPr>
          <w:p w14:paraId="566405CC">
            <w:pPr>
              <w:spacing w:before="159" w:line="228" w:lineRule="auto"/>
              <w:ind w:left="1" w:firstLine="2" w:firstLineChars="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其他需说明内容</w:t>
            </w:r>
          </w:p>
        </w:tc>
        <w:tc>
          <w:tcPr>
            <w:tcW w:w="6438" w:type="dxa"/>
          </w:tcPr>
          <w:p w14:paraId="1D183267">
            <w:pPr>
              <w:jc w:val="both"/>
              <w:rPr>
                <w:rFonts w:hint="eastAsia" w:ascii="宋体" w:hAnsi="宋体" w:eastAsia="宋体" w:cs="宋体"/>
                <w:color w:val="auto"/>
                <w:highlight w:val="none"/>
              </w:rPr>
            </w:pPr>
          </w:p>
        </w:tc>
      </w:tr>
    </w:tbl>
    <w:p w14:paraId="7D6D2F3E">
      <w:pPr>
        <w:spacing w:line="245" w:lineRule="auto"/>
        <w:jc w:val="both"/>
        <w:rPr>
          <w:rFonts w:hint="eastAsia" w:ascii="宋体" w:hAnsi="宋体" w:eastAsia="宋体" w:cs="宋体"/>
          <w:color w:val="auto"/>
          <w:highlight w:val="none"/>
        </w:rPr>
      </w:pPr>
    </w:p>
    <w:p w14:paraId="3139C20D">
      <w:pPr>
        <w:spacing w:line="246" w:lineRule="auto"/>
        <w:jc w:val="both"/>
        <w:rPr>
          <w:rFonts w:hint="eastAsia" w:ascii="宋体" w:hAnsi="宋体" w:eastAsia="宋体" w:cs="宋体"/>
          <w:color w:val="auto"/>
          <w:highlight w:val="none"/>
        </w:rPr>
      </w:pPr>
    </w:p>
    <w:p w14:paraId="5FA9E65E">
      <w:pPr>
        <w:spacing w:line="246" w:lineRule="auto"/>
        <w:jc w:val="both"/>
        <w:rPr>
          <w:rFonts w:hint="eastAsia" w:ascii="宋体" w:hAnsi="宋体" w:eastAsia="宋体" w:cs="宋体"/>
          <w:color w:val="auto"/>
          <w:highlight w:val="none"/>
        </w:rPr>
      </w:pPr>
    </w:p>
    <w:p w14:paraId="3471CD18">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66EEFE">
      <w:pPr>
        <w:spacing w:before="75" w:line="501" w:lineRule="auto"/>
        <w:ind w:left="6280" w:right="410"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经办人：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106CCB1B">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35307768">
      <w:pPr>
        <w:spacing w:before="2" w:line="499" w:lineRule="auto"/>
        <w:ind w:left="6277" w:right="1078" w:hanging="103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传真：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 xml:space="preserve">  </w:t>
      </w:r>
      <w:r>
        <w:rPr>
          <w:rFonts w:hint="eastAsia" w:ascii="宋体" w:hAnsi="宋体" w:eastAsia="宋体" w:cs="宋体"/>
          <w:color w:val="auto"/>
          <w:sz w:val="23"/>
          <w:szCs w:val="23"/>
          <w:highlight w:val="none"/>
          <w:u w:val="single"/>
        </w:rPr>
        <w:t xml:space="preserve">    </w:t>
      </w:r>
    </w:p>
    <w:p w14:paraId="71E625D2">
      <w:pPr>
        <w:tabs>
          <w:tab w:val="left" w:pos="7447"/>
        </w:tabs>
        <w:spacing w:line="228" w:lineRule="auto"/>
        <w:ind w:left="6837" w:hanging="1035"/>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7F5A8DC">
      <w:pPr>
        <w:jc w:val="both"/>
        <w:rPr>
          <w:rFonts w:hint="eastAsia" w:ascii="宋体" w:hAnsi="宋体" w:eastAsia="宋体" w:cs="宋体"/>
          <w:color w:val="auto"/>
          <w:highlight w:val="none"/>
        </w:rPr>
        <w:sectPr>
          <w:footerReference r:id="rId12" w:type="default"/>
          <w:pgSz w:w="11906" w:h="16839"/>
          <w:pgMar w:top="1418" w:right="1559" w:bottom="1418" w:left="1474" w:header="0" w:footer="1035" w:gutter="0"/>
          <w:cols w:space="720" w:num="1"/>
        </w:sectPr>
      </w:pPr>
    </w:p>
    <w:p w14:paraId="71B97203">
      <w:pPr>
        <w:spacing w:before="91" w:line="220" w:lineRule="auto"/>
        <w:jc w:val="both"/>
        <w:outlineLvl w:val="1"/>
        <w:rPr>
          <w:rFonts w:hint="eastAsia" w:ascii="宋体" w:hAnsi="宋体" w:eastAsia="宋体" w:cs="宋体"/>
          <w:color w:val="auto"/>
          <w:sz w:val="28"/>
          <w:szCs w:val="28"/>
          <w:highlight w:val="none"/>
        </w:rPr>
      </w:pPr>
      <w:bookmarkStart w:id="45" w:name="_bookmark10"/>
      <w:bookmarkEnd w:id="45"/>
      <w:r>
        <w:rPr>
          <w:rFonts w:hint="eastAsia" w:ascii="宋体" w:hAnsi="宋体" w:eastAsia="宋体" w:cs="宋体"/>
          <w:color w:val="auto"/>
          <w:sz w:val="28"/>
          <w:szCs w:val="28"/>
          <w:highlight w:val="none"/>
        </w:rPr>
        <w:t>附表五：确认通知</w:t>
      </w:r>
    </w:p>
    <w:p w14:paraId="2BF24DD7">
      <w:pPr>
        <w:spacing w:line="349" w:lineRule="auto"/>
        <w:jc w:val="both"/>
        <w:rPr>
          <w:rFonts w:hint="eastAsia" w:ascii="宋体" w:hAnsi="宋体" w:eastAsia="宋体" w:cs="宋体"/>
          <w:color w:val="auto"/>
          <w:highlight w:val="none"/>
        </w:rPr>
      </w:pPr>
    </w:p>
    <w:p w14:paraId="0675BF2B">
      <w:pPr>
        <w:spacing w:line="350" w:lineRule="auto"/>
        <w:jc w:val="both"/>
        <w:rPr>
          <w:rFonts w:hint="eastAsia" w:ascii="宋体" w:hAnsi="宋体" w:eastAsia="宋体" w:cs="宋体"/>
          <w:color w:val="auto"/>
          <w:highlight w:val="none"/>
        </w:rPr>
      </w:pPr>
    </w:p>
    <w:p w14:paraId="355F40C8">
      <w:pPr>
        <w:spacing w:before="91" w:line="221" w:lineRule="auto"/>
        <w:ind w:left="4094"/>
        <w:jc w:val="both"/>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确认通知</w:t>
      </w:r>
    </w:p>
    <w:p w14:paraId="32810E00">
      <w:pPr>
        <w:spacing w:line="345" w:lineRule="auto"/>
        <w:jc w:val="both"/>
        <w:rPr>
          <w:rFonts w:hint="eastAsia" w:ascii="宋体" w:hAnsi="宋体" w:eastAsia="宋体" w:cs="宋体"/>
          <w:color w:val="auto"/>
          <w:highlight w:val="none"/>
        </w:rPr>
      </w:pPr>
    </w:p>
    <w:p w14:paraId="0E44CAD1">
      <w:pPr>
        <w:spacing w:line="345" w:lineRule="auto"/>
        <w:jc w:val="both"/>
        <w:rPr>
          <w:rFonts w:hint="eastAsia" w:ascii="宋体" w:hAnsi="宋体" w:eastAsia="宋体" w:cs="宋体"/>
          <w:color w:val="auto"/>
          <w:highlight w:val="none"/>
        </w:rPr>
      </w:pPr>
    </w:p>
    <w:p w14:paraId="2AFB314B">
      <w:pPr>
        <w:tabs>
          <w:tab w:val="left" w:pos="1838"/>
        </w:tabs>
        <w:spacing w:before="91" w:line="221" w:lineRule="auto"/>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(招标人名称):</w:t>
      </w:r>
    </w:p>
    <w:p w14:paraId="1D05B105">
      <w:pPr>
        <w:spacing w:before="223" w:line="375" w:lineRule="auto"/>
        <w:ind w:left="10" w:right="72" w:firstLine="562"/>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我方已接到你方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日发出的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标段招标关于中标结果的通知，我方已于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日收到。</w:t>
      </w:r>
    </w:p>
    <w:p w14:paraId="39A1AE9A">
      <w:pPr>
        <w:spacing w:line="441" w:lineRule="auto"/>
        <w:jc w:val="both"/>
        <w:rPr>
          <w:rFonts w:hint="eastAsia" w:ascii="宋体" w:hAnsi="宋体" w:eastAsia="宋体" w:cs="宋体"/>
          <w:color w:val="auto"/>
          <w:sz w:val="24"/>
          <w:szCs w:val="24"/>
          <w:highlight w:val="none"/>
        </w:rPr>
      </w:pPr>
    </w:p>
    <w:p w14:paraId="26D02A61">
      <w:pPr>
        <w:spacing w:before="91" w:line="221" w:lineRule="auto"/>
        <w:ind w:left="570"/>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特此确认。</w:t>
      </w:r>
    </w:p>
    <w:p w14:paraId="0664F51B">
      <w:pPr>
        <w:spacing w:line="249" w:lineRule="auto"/>
        <w:jc w:val="both"/>
        <w:rPr>
          <w:rFonts w:hint="eastAsia" w:ascii="宋体" w:hAnsi="宋体" w:eastAsia="宋体" w:cs="宋体"/>
          <w:color w:val="auto"/>
          <w:sz w:val="24"/>
          <w:szCs w:val="24"/>
          <w:highlight w:val="none"/>
        </w:rPr>
      </w:pPr>
    </w:p>
    <w:p w14:paraId="07156F91">
      <w:pPr>
        <w:spacing w:line="249" w:lineRule="auto"/>
        <w:jc w:val="both"/>
        <w:rPr>
          <w:rFonts w:hint="eastAsia" w:ascii="宋体" w:hAnsi="宋体" w:eastAsia="宋体" w:cs="宋体"/>
          <w:color w:val="auto"/>
          <w:sz w:val="24"/>
          <w:szCs w:val="24"/>
          <w:highlight w:val="none"/>
        </w:rPr>
      </w:pPr>
    </w:p>
    <w:p w14:paraId="386C8C4E">
      <w:pPr>
        <w:spacing w:line="249" w:lineRule="auto"/>
        <w:jc w:val="both"/>
        <w:rPr>
          <w:rFonts w:hint="eastAsia" w:ascii="宋体" w:hAnsi="宋体" w:eastAsia="宋体" w:cs="宋体"/>
          <w:color w:val="auto"/>
          <w:sz w:val="24"/>
          <w:szCs w:val="24"/>
          <w:highlight w:val="none"/>
        </w:rPr>
      </w:pPr>
    </w:p>
    <w:p w14:paraId="78AC372E">
      <w:pPr>
        <w:spacing w:line="249" w:lineRule="auto"/>
        <w:jc w:val="both"/>
        <w:rPr>
          <w:rFonts w:hint="eastAsia" w:ascii="宋体" w:hAnsi="宋体" w:eastAsia="宋体" w:cs="宋体"/>
          <w:color w:val="auto"/>
          <w:sz w:val="24"/>
          <w:szCs w:val="24"/>
          <w:highlight w:val="none"/>
        </w:rPr>
      </w:pPr>
    </w:p>
    <w:p w14:paraId="3DA748AC">
      <w:pPr>
        <w:spacing w:line="249" w:lineRule="auto"/>
        <w:jc w:val="both"/>
        <w:rPr>
          <w:rFonts w:hint="eastAsia" w:ascii="宋体" w:hAnsi="宋体" w:eastAsia="宋体" w:cs="宋体"/>
          <w:color w:val="auto"/>
          <w:sz w:val="24"/>
          <w:szCs w:val="24"/>
          <w:highlight w:val="none"/>
        </w:rPr>
      </w:pPr>
    </w:p>
    <w:p w14:paraId="67880721">
      <w:pPr>
        <w:tabs>
          <w:tab w:val="left" w:pos="7060"/>
        </w:tabs>
        <w:spacing w:before="91" w:line="377" w:lineRule="auto"/>
        <w:ind w:left="6628" w:hanging="1993"/>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 xml:space="preserve"> (盖单位公章)</w:t>
      </w:r>
    </w:p>
    <w:p w14:paraId="2DD53DC5">
      <w:pPr>
        <w:tabs>
          <w:tab w:val="left" w:pos="7060"/>
        </w:tabs>
        <w:spacing w:before="91" w:line="377" w:lineRule="auto"/>
        <w:ind w:left="6628" w:hanging="1993"/>
        <w:jc w:val="both"/>
        <w:rPr>
          <w:rFonts w:hint="eastAsia" w:ascii="宋体" w:hAnsi="宋体" w:eastAsia="宋体" w:cs="宋体"/>
          <w:color w:val="auto"/>
          <w:highlight w:val="none"/>
        </w:rPr>
        <w:sectPr>
          <w:footerReference r:id="rId13" w:type="default"/>
          <w:pgSz w:w="11906" w:h="16839"/>
          <w:pgMar w:top="1418" w:right="1559" w:bottom="1418" w:left="1474" w:header="0" w:footer="1035" w:gutter="0"/>
          <w:cols w:space="720" w:num="1"/>
        </w:sect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4"/>
          <w:szCs w:val="24"/>
          <w:highlight w:val="none"/>
        </w:rPr>
        <w:t>日</w:t>
      </w:r>
    </w:p>
    <w:p w14:paraId="0307AA34">
      <w:pPr>
        <w:spacing w:line="371" w:lineRule="auto"/>
        <w:jc w:val="both"/>
        <w:rPr>
          <w:rFonts w:hint="eastAsia" w:ascii="宋体" w:hAnsi="宋体" w:eastAsia="宋体" w:cs="宋体"/>
          <w:color w:val="auto"/>
          <w:highlight w:val="none"/>
        </w:rPr>
      </w:pPr>
    </w:p>
    <w:p w14:paraId="1243AF38">
      <w:pPr>
        <w:pStyle w:val="2"/>
        <w:jc w:val="center"/>
        <w:rPr>
          <w:rFonts w:hint="eastAsia" w:ascii="宋体" w:hAnsi="宋体" w:eastAsia="宋体" w:cs="宋体"/>
          <w:snapToGrid/>
          <w:color w:val="auto"/>
          <w:sz w:val="36"/>
          <w:szCs w:val="36"/>
          <w:highlight w:val="none"/>
        </w:rPr>
      </w:pPr>
      <w:bookmarkStart w:id="46" w:name="_bookmark11"/>
      <w:bookmarkEnd w:id="46"/>
      <w:r>
        <w:rPr>
          <w:rFonts w:hint="eastAsia" w:ascii="宋体" w:hAnsi="宋体" w:eastAsia="宋体" w:cs="宋体"/>
          <w:color w:val="auto"/>
          <w:sz w:val="31"/>
          <w:szCs w:val="31"/>
          <w:highlight w:val="none"/>
        </w:rPr>
        <w:t>第三章</w:t>
      </w:r>
      <w:r>
        <w:rPr>
          <w:rFonts w:hint="eastAsia" w:ascii="宋体" w:hAnsi="宋体" w:eastAsia="宋体" w:cs="宋体"/>
          <w:snapToGrid/>
          <w:color w:val="auto"/>
          <w:sz w:val="36"/>
          <w:szCs w:val="36"/>
          <w:highlight w:val="none"/>
        </w:rPr>
        <w:t>评标定标办法</w:t>
      </w:r>
    </w:p>
    <w:p w14:paraId="530C7CE4">
      <w:pPr>
        <w:widowControl w:val="0"/>
        <w:kinsoku/>
        <w:autoSpaceDE/>
        <w:autoSpaceDN/>
        <w:adjustRightInd/>
        <w:snapToGrid/>
        <w:jc w:val="both"/>
        <w:textAlignment w:val="auto"/>
        <w:rPr>
          <w:rFonts w:hint="eastAsia" w:ascii="宋体" w:hAnsi="宋体" w:eastAsia="宋体" w:cs="宋体"/>
          <w:snapToGrid/>
          <w:color w:val="auto"/>
          <w:kern w:val="2"/>
          <w:sz w:val="24"/>
          <w:szCs w:val="24"/>
          <w:highlight w:val="none"/>
        </w:rPr>
      </w:pPr>
    </w:p>
    <w:p w14:paraId="16E4E7F1">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一、评标办法：</w:t>
      </w:r>
    </w:p>
    <w:p w14:paraId="645727F5">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rFonts w:hint="eastAsia" w:ascii="宋体" w:hAnsi="宋体" w:eastAsia="宋体" w:cs="宋体"/>
          <w:color w:val="auto"/>
          <w:sz w:val="24"/>
          <w:szCs w:val="24"/>
          <w:highlight w:val="none"/>
        </w:rPr>
        <w:t>经评审的最低投标价法</w:t>
      </w:r>
    </w:p>
    <w:p w14:paraId="2AEC5FC6">
      <w:pPr>
        <w:widowControl w:val="0"/>
        <w:kinsoku/>
        <w:autoSpaceDE/>
        <w:autoSpaceDN/>
        <w:spacing w:line="360" w:lineRule="auto"/>
        <w:ind w:firstLine="480" w:firstLineChars="200"/>
        <w:jc w:val="both"/>
        <w:textAlignment w:val="auto"/>
        <w:rPr>
          <w:rFonts w:hint="eastAsia" w:ascii="宋体" w:hAnsi="宋体" w:eastAsia="宋体" w:cs="宋体"/>
          <w:snapToGrid/>
          <w:color w:val="auto"/>
          <w:kern w:val="2"/>
          <w:sz w:val="24"/>
          <w:szCs w:val="24"/>
          <w:highlight w:val="none"/>
        </w:rPr>
      </w:pPr>
      <w:r>
        <w:rPr>
          <w:rFonts w:hint="eastAsia" w:ascii="宋体" w:hAnsi="宋体" w:eastAsia="宋体" w:cs="宋体"/>
          <w:snapToGrid/>
          <w:color w:val="auto"/>
          <w:kern w:val="2"/>
          <w:sz w:val="24"/>
          <w:szCs w:val="24"/>
          <w:highlight w:val="none"/>
        </w:rPr>
        <w:t>☑</w:t>
      </w:r>
      <w:r>
        <w:rPr>
          <w:color w:val="auto"/>
          <w:highlight w:val="none"/>
        </w:rPr>
        <w:fldChar w:fldCharType="begin"/>
      </w:r>
      <w:r>
        <w:rPr>
          <w:color w:val="auto"/>
          <w:highlight w:val="none"/>
        </w:rPr>
        <w:instrText xml:space="preserve"> HYPERLINK "http://218.108.28.22/zjgcjy/infodetail/?infoid=3561d4c5-1965-4914-8d10-bfd371957ee6&amp;siteid=1&amp;categoryNum=032003" \t "_blank" \o "浙江省重点建设工程施工招标资格后审综合评标示范办法（信用报告）" </w:instrText>
      </w:r>
      <w:r>
        <w:rPr>
          <w:color w:val="auto"/>
          <w:highlight w:val="none"/>
        </w:rPr>
        <w:fldChar w:fldCharType="separate"/>
      </w:r>
      <w:r>
        <w:rPr>
          <w:rFonts w:hint="eastAsia" w:ascii="宋体" w:hAnsi="宋体" w:eastAsia="宋体" w:cs="宋体"/>
          <w:snapToGrid/>
          <w:color w:val="auto"/>
          <w:kern w:val="2"/>
          <w:sz w:val="24"/>
          <w:szCs w:val="24"/>
          <w:highlight w:val="none"/>
        </w:rPr>
        <w:t>综合评估法</w:t>
      </w:r>
      <w:r>
        <w:rPr>
          <w:rFonts w:hint="eastAsia" w:ascii="宋体" w:hAnsi="宋体" w:eastAsia="宋体" w:cs="宋体"/>
          <w:snapToGrid/>
          <w:color w:val="auto"/>
          <w:kern w:val="2"/>
          <w:sz w:val="24"/>
          <w:szCs w:val="24"/>
          <w:highlight w:val="none"/>
        </w:rPr>
        <w:fldChar w:fldCharType="end"/>
      </w:r>
      <w:r>
        <w:rPr>
          <w:rFonts w:hint="eastAsia" w:ascii="宋体" w:hAnsi="宋体" w:eastAsia="宋体" w:cs="宋体"/>
          <w:snapToGrid/>
          <w:color w:val="auto"/>
          <w:kern w:val="2"/>
          <w:sz w:val="24"/>
          <w:szCs w:val="24"/>
          <w:highlight w:val="none"/>
        </w:rPr>
        <w:t>（设技术标）</w:t>
      </w:r>
    </w:p>
    <w:p w14:paraId="624BFEC6">
      <w:pPr>
        <w:widowControl w:val="0"/>
        <w:kinsoku/>
        <w:autoSpaceDE/>
        <w:autoSpaceDN/>
        <w:adjustRightInd/>
        <w:snapToGrid/>
        <w:spacing w:after="120"/>
        <w:jc w:val="both"/>
        <w:textAlignment w:val="auto"/>
        <w:rPr>
          <w:rFonts w:hint="eastAsia" w:ascii="宋体" w:hAnsi="宋体" w:eastAsia="宋体" w:cs="宋体"/>
          <w:snapToGrid/>
          <w:color w:val="auto"/>
          <w:kern w:val="2"/>
          <w:sz w:val="24"/>
          <w:szCs w:val="24"/>
          <w:highlight w:val="none"/>
        </w:rPr>
      </w:pPr>
    </w:p>
    <w:p w14:paraId="07E23A90">
      <w:pPr>
        <w:widowControl w:val="0"/>
        <w:kinsoku/>
        <w:autoSpaceDE/>
        <w:autoSpaceDN/>
        <w:adjustRightInd/>
        <w:snapToGrid/>
        <w:jc w:val="both"/>
        <w:textAlignment w:val="auto"/>
        <w:rPr>
          <w:rFonts w:hint="eastAsia" w:ascii="宋体" w:hAnsi="宋体" w:eastAsia="宋体" w:cs="宋体"/>
          <w:snapToGrid/>
          <w:color w:val="auto"/>
          <w:kern w:val="2"/>
          <w:szCs w:val="24"/>
          <w:highlight w:val="none"/>
        </w:rPr>
      </w:pPr>
    </w:p>
    <w:p w14:paraId="19D07431">
      <w:pPr>
        <w:spacing w:before="101" w:line="225" w:lineRule="auto"/>
        <w:ind w:left="3188"/>
        <w:jc w:val="both"/>
        <w:outlineLvl w:val="0"/>
        <w:rPr>
          <w:rFonts w:hint="eastAsia" w:ascii="宋体" w:hAnsi="宋体" w:eastAsia="宋体" w:cs="宋体"/>
          <w:color w:val="auto"/>
          <w:highlight w:val="none"/>
        </w:rPr>
        <w:sectPr>
          <w:footerReference r:id="rId14" w:type="default"/>
          <w:pgSz w:w="11907" w:h="16840"/>
          <w:pgMar w:top="1418" w:right="1559" w:bottom="1418" w:left="1474" w:header="0" w:footer="723" w:gutter="0"/>
          <w:cols w:space="720" w:num="1"/>
        </w:sectPr>
      </w:pPr>
    </w:p>
    <w:p w14:paraId="55D99BDD">
      <w:pPr>
        <w:spacing w:before="64" w:line="224" w:lineRule="auto"/>
        <w:ind w:left="3326"/>
        <w:jc w:val="both"/>
        <w:rPr>
          <w:rFonts w:hint="eastAsia" w:ascii="宋体" w:hAnsi="宋体" w:eastAsia="宋体" w:cs="宋体"/>
          <w:color w:val="auto"/>
          <w:sz w:val="31"/>
          <w:szCs w:val="31"/>
          <w:highlight w:val="none"/>
        </w:rPr>
      </w:pPr>
    </w:p>
    <w:p w14:paraId="3DFE603F">
      <w:pPr>
        <w:spacing w:before="64" w:line="224" w:lineRule="auto"/>
        <w:jc w:val="cente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综合评估法</w:t>
      </w:r>
    </w:p>
    <w:p w14:paraId="07ED1615">
      <w:pPr>
        <w:spacing w:line="247" w:lineRule="auto"/>
        <w:jc w:val="both"/>
        <w:rPr>
          <w:rFonts w:hint="eastAsia" w:ascii="宋体" w:hAnsi="宋体" w:eastAsia="宋体" w:cs="宋体"/>
          <w:color w:val="auto"/>
          <w:highlight w:val="none"/>
        </w:rPr>
      </w:pPr>
    </w:p>
    <w:p w14:paraId="0A6B7281">
      <w:pPr>
        <w:spacing w:line="248" w:lineRule="auto"/>
        <w:jc w:val="both"/>
        <w:rPr>
          <w:rFonts w:hint="eastAsia" w:ascii="宋体" w:hAnsi="宋体" w:eastAsia="宋体" w:cs="宋体"/>
          <w:color w:val="auto"/>
          <w:highlight w:val="none"/>
        </w:rPr>
      </w:pPr>
    </w:p>
    <w:p w14:paraId="29587918">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根据《中华人民共和国招标投标法》《中华人民共和国招标投标法实施条例》</w:t>
      </w:r>
      <w:r>
        <w:rPr>
          <w:rFonts w:hint="eastAsia" w:ascii="宋体" w:hAnsi="宋体" w:eastAsia="宋体" w:cs="宋体"/>
          <w:strike/>
          <w:color w:val="auto"/>
          <w:sz w:val="23"/>
          <w:szCs w:val="23"/>
          <w:highlight w:val="none"/>
        </w:rPr>
        <w:t>《浙江省招标投标条例》</w:t>
      </w:r>
      <w:r>
        <w:rPr>
          <w:rFonts w:hint="eastAsia" w:ascii="宋体" w:hAnsi="宋体" w:eastAsia="宋体" w:cs="宋体"/>
          <w:color w:val="auto"/>
          <w:sz w:val="23"/>
          <w:szCs w:val="23"/>
          <w:highlight w:val="none"/>
        </w:rPr>
        <w:t>《评标委员会和评标办法暂行规定》《浙江省综合性评标专家库管理办法实施细则》等有关规定，制定本办法。</w:t>
      </w:r>
    </w:p>
    <w:p w14:paraId="64168CA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2"/>
          <w:sz w:val="23"/>
          <w:szCs w:val="23"/>
          <w:highlight w:val="none"/>
        </w:rPr>
        <w:t>一、评标原则</w:t>
      </w:r>
    </w:p>
    <w:p w14:paraId="42CDB2E8">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评标应遵循公平、公正、科学、择优的原则。</w:t>
      </w:r>
    </w:p>
    <w:p w14:paraId="46A90A11">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二、评标组织</w:t>
      </w:r>
    </w:p>
    <w:p w14:paraId="32D9DCE5">
      <w:pPr>
        <w:spacing w:line="324" w:lineRule="auto"/>
        <w:ind w:firstLine="47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评标工作由招标人依法组建的评标委员会负责。评标委员会的组建见投标人须知前附表，成员为不少于5人的单数。</w:t>
      </w:r>
    </w:p>
    <w:p w14:paraId="3DBF2EE4">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推举产生评标委员会负责人，评标委员会负责人负责组织评标、掌握评标进程、主持询标、编写评标报告等工作，评标委员会负责人与其他成员具有同等的权利。评标委员会成员对所提出的评审意见承担个人责任。</w:t>
      </w:r>
    </w:p>
    <w:p w14:paraId="673325FC">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评标委员会应当按照招标文件确定的评标标准和方法，客观、公正对投标文件进行评审和比较，招标文件没有规定的评标标准和方法不得作为评标的依据。</w:t>
      </w:r>
    </w:p>
    <w:p w14:paraId="22937202">
      <w:pPr>
        <w:spacing w:line="324" w:lineRule="auto"/>
        <w:ind w:firstLine="47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评标委员会对投标文件作出的评审结论，应当符合有关法律、法规、规章和招标文件的规定。</w:t>
      </w:r>
    </w:p>
    <w:p w14:paraId="59341417">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三、评标程序和内容</w:t>
      </w:r>
    </w:p>
    <w:p w14:paraId="3ADF3590">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1.熟悉招标文件和评标办法；</w:t>
      </w:r>
    </w:p>
    <w:p w14:paraId="55463A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2.投标文件的符合性评审；</w:t>
      </w:r>
    </w:p>
    <w:p w14:paraId="3D13853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3.投标文件的资信、业绩评审；</w:t>
      </w:r>
    </w:p>
    <w:p w14:paraId="3CB15F11">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4.投标文件的技术标评审；</w:t>
      </w:r>
    </w:p>
    <w:p w14:paraId="01566E13">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5.投标文件的商务标评审；</w:t>
      </w:r>
    </w:p>
    <w:p w14:paraId="164A7CE4">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6.必要时对投标文件中的问题进行询标，包括拟作出否决投标决定前对相关投标人进行的询问核实；</w:t>
      </w:r>
    </w:p>
    <w:p w14:paraId="3BCD6D8B">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7.根据评标办法和标准对投标文件进行综合评分、排序；</w:t>
      </w:r>
    </w:p>
    <w:p w14:paraId="19F47186">
      <w:pPr>
        <w:spacing w:line="324" w:lineRule="auto"/>
        <w:jc w:val="both"/>
        <w:rPr>
          <w:rFonts w:hint="eastAsia" w:ascii="宋体" w:hAnsi="宋体" w:eastAsia="宋体" w:cs="宋体"/>
          <w:color w:val="auto"/>
          <w:position w:val="1"/>
          <w:sz w:val="23"/>
          <w:szCs w:val="23"/>
          <w:highlight w:val="none"/>
        </w:rPr>
      </w:pPr>
      <w:r>
        <w:rPr>
          <w:rFonts w:hint="eastAsia" w:ascii="宋体" w:hAnsi="宋体" w:eastAsia="宋体" w:cs="宋体"/>
          <w:color w:val="auto"/>
          <w:position w:val="1"/>
          <w:sz w:val="23"/>
          <w:szCs w:val="23"/>
          <w:highlight w:val="none"/>
        </w:rPr>
        <w:t>8.完成评标报告，推荐中标候选人。</w:t>
      </w:r>
    </w:p>
    <w:p w14:paraId="52F1B28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四、评审细则</w:t>
      </w:r>
    </w:p>
    <w:p w14:paraId="3FEA28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(一)投标文件的符合性评审</w:t>
      </w:r>
    </w:p>
    <w:p w14:paraId="56F19A6D">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1.评标委员会应依照招标文件的要求和规定，首先对投标人的投标资格和投标文件进行符合性评审。</w:t>
      </w:r>
    </w:p>
    <w:p w14:paraId="00FF6C71">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如评标委员会发现投标文件存在招标文件投标人须知前附表10.1“否决投标的情形”第二款(一)符合性内容、(二)技术标内容、(三)商务标内容之一的，经询问核实并认定后，即可判定该投标文件符合性评审不通过应予以否决，不再进入后续的综合评分程序。</w:t>
      </w:r>
    </w:p>
    <w:p w14:paraId="2E8ECB7F">
      <w:pPr>
        <w:spacing w:line="324" w:lineRule="auto"/>
        <w:ind w:firstLine="575" w:firstLineChars="250"/>
        <w:jc w:val="both"/>
        <w:rPr>
          <w:rFonts w:hint="eastAsia" w:ascii="宋体" w:hAnsi="宋体" w:eastAsia="宋体" w:cs="宋体"/>
          <w:color w:val="auto"/>
          <w:sz w:val="23"/>
          <w:szCs w:val="23"/>
          <w:highlight w:val="none"/>
        </w:rPr>
      </w:pPr>
      <w:r>
        <w:rPr>
          <w:rFonts w:hint="eastAsia" w:ascii="宋体" w:hAnsi="宋体" w:eastAsia="宋体" w:cs="宋体"/>
          <w:color w:val="auto"/>
          <w:position w:val="1"/>
          <w:sz w:val="23"/>
          <w:szCs w:val="23"/>
          <w:highlight w:val="none"/>
        </w:rPr>
        <w:t>2.询标</w:t>
      </w:r>
    </w:p>
    <w:p w14:paraId="1D20B74A">
      <w:pPr>
        <w:spacing w:line="324" w:lineRule="auto"/>
        <w:ind w:firstLine="4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(1)投标文件中有含义不明确的内容、明显文字或计算错误，评标委员会认为需要投标人作出必要澄清、说明的，应当组织询标。</w:t>
      </w:r>
    </w:p>
    <w:p w14:paraId="3CC001F9">
      <w:pPr>
        <w:spacing w:line="324" w:lineRule="auto"/>
        <w:ind w:firstLine="49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凡是评标委员会拟做出否决投标认定的，须组织相关投标人询问核实。未进行询问核实的，不得做出否决投标的认定，投标人放弃询问核实机会的除外。投标人应在规定的时限内投标人不参加核实或不予答复的，视为放弃接受询问核实的机会。</w:t>
      </w:r>
    </w:p>
    <w:p w14:paraId="700ECFD4">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(3)询标问题及投标人的澄清、说明应当采用书面形式，并不得超出投标文件的范围或者改变投标文件的实质性内容。</w:t>
      </w:r>
    </w:p>
    <w:p w14:paraId="7456E1EA">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(4)评标委员会不得暗示或者诱导投标人作出澄清、说明，不得接受投标人主动提出的澄清、说明。</w:t>
      </w:r>
    </w:p>
    <w:p w14:paraId="71BE2D61">
      <w:pPr>
        <w:spacing w:line="324" w:lineRule="auto"/>
        <w:ind w:firstLine="48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(5)投标人不得通过补充、修改或撤销投标文件中的内容使其成为实质性响应的投标，投标人在投标截止时间以后不得提交任何资料作为评标依据。</w:t>
      </w:r>
    </w:p>
    <w:p w14:paraId="37F65DAE">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(二)资信、业绩评审</w:t>
      </w:r>
    </w:p>
    <w:p w14:paraId="38750720">
      <w:pPr>
        <w:spacing w:line="324" w:lineRule="auto"/>
        <w:ind w:firstLine="49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由评标委员会全体成员根据投标人提供的相关证明材料进行集体认定。</w:t>
      </w:r>
    </w:p>
    <w:p w14:paraId="4D7C88C2">
      <w:pPr>
        <w:spacing w:line="324" w:lineRule="auto"/>
        <w:ind w:firstLine="491"/>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业绩评分(</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p w14:paraId="45E558C8">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投标人自2021年7月1日（时间以合同签订时间为准）至投标截止日止，完成过单项合同金额3000万元及以上的医用净化工程业绩的，每项业绩得1.5分。</w:t>
      </w:r>
    </w:p>
    <w:p w14:paraId="208A24FF">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 xml:space="preserve">本项最多提供2个业绩，最高得3分 </w:t>
      </w:r>
    </w:p>
    <w:p w14:paraId="16E03A1A">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业绩证明材料：（1）必须同时提供中标通知书(经县级、区级及以上招投标监管部门核备)或县级、区级及以上公共资源交易中心网站(含政府采购网)发布的中标公示官网截图、合同、单项（或整体）验收证明材料复印件加盖投标人公章，若缺其中任何一项则业绩不予认可（业绩时间以合同签订的日期为准，业绩金额以合同金额为准）。</w:t>
      </w:r>
    </w:p>
    <w:p w14:paraId="3164B163">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 xml:space="preserve">（2）提供的业绩证明材料须能清晰的表明投标人名称、合同金额、时间等需要明示的内容，否则不予认可。投标资格证明中的业绩可以作为本项计分业绩。 </w:t>
      </w:r>
    </w:p>
    <w:p w14:paraId="7E026958">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注：①、投标文件中的提供的相关证明材料必须能反映业绩评分项的相关项目规模，否则不予认可；</w:t>
      </w:r>
    </w:p>
    <w:p w14:paraId="2AABC461">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②、投标人提供的业绩如果为总承包合同，其中应包含相应金额的医用净化工程分部分项工程，还须提供业绩金额证明材料（即经建设单位、承包单位、审标单位三方盖章的分部分项汇总表），同时提供工程所在地建设行政主管部门出具的医用净化工程无分包证明或四库一平台中项目信息截图，否则不予认可；</w:t>
      </w:r>
    </w:p>
    <w:p w14:paraId="532D5560">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③、总承包单位、专业分包单位（含二次招标）以同一项目业绩参与本项目投标的，结合上述业绩评分项材料要求，根据投标人提供的资料，经专家评定后确定实际施工单位身份。</w:t>
      </w:r>
    </w:p>
    <w:p w14:paraId="2ED8A6D8">
      <w:pPr>
        <w:spacing w:line="324" w:lineRule="auto"/>
        <w:ind w:firstLine="462" w:firstLineChars="200"/>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投标资格证明中的业绩可以作为本项计分业绩。</w:t>
      </w:r>
    </w:p>
    <w:p w14:paraId="73EAC88A">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(三)投标文件的技术标评审</w:t>
      </w:r>
    </w:p>
    <w:p w14:paraId="73F36BF7">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采用记名方式各自评分。如发现某个单项的评分超出了规定的分值范围的，则该张评分表无效。此项评分为：从评标专家的有效评分中扣除一个最高总分和一个最低总分后的算术平均值(保留小数2位)。</w:t>
      </w:r>
    </w:p>
    <w:p w14:paraId="2BFC2BCF">
      <w:pPr>
        <w:spacing w:line="324" w:lineRule="auto"/>
        <w:ind w:firstLine="49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2.技术评分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60</w:t>
      </w:r>
      <w:r>
        <w:rPr>
          <w:rFonts w:hint="eastAsia" w:ascii="宋体" w:hAnsi="宋体" w:eastAsia="宋体" w:cs="宋体"/>
          <w:b/>
          <w:bCs/>
          <w:color w:val="auto"/>
          <w:sz w:val="23"/>
          <w:szCs w:val="23"/>
          <w:highlight w:val="none"/>
        </w:rPr>
        <w:t>分)：</w:t>
      </w:r>
    </w:p>
    <w:p w14:paraId="7741FCC2">
      <w:pPr>
        <w:spacing w:line="324" w:lineRule="auto"/>
        <w:ind w:firstLine="48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招标人可根据招标项目的特点设置相应的评审内容和标准，原则上技术含量高的货物，技术评分权重大。可自选评审内容并要求细化，每一打分项分值区间不宜超过3分：</w:t>
      </w:r>
    </w:p>
    <w:p w14:paraId="21E9185E">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□加工能力、制造水平</w:t>
      </w:r>
    </w:p>
    <w:p w14:paraId="06810FD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投标货物技术指标的符合性、优越性（</w:t>
      </w:r>
      <w:r>
        <w:rPr>
          <w:rFonts w:hint="eastAsia" w:ascii="宋体" w:hAnsi="宋体" w:eastAsia="宋体" w:cs="宋体"/>
          <w:b/>
          <w:bCs/>
          <w:color w:val="auto"/>
          <w:sz w:val="23"/>
          <w:szCs w:val="23"/>
          <w:highlight w:val="none"/>
          <w:lang w:val="en-US" w:eastAsia="zh-CN"/>
        </w:rPr>
        <w:t>30</w:t>
      </w:r>
      <w:r>
        <w:rPr>
          <w:rFonts w:hint="eastAsia" w:ascii="宋体" w:hAnsi="宋体" w:eastAsia="宋体" w:cs="宋体"/>
          <w:b/>
          <w:bCs/>
          <w:color w:val="auto"/>
          <w:sz w:val="23"/>
          <w:szCs w:val="23"/>
          <w:highlight w:val="none"/>
        </w:rPr>
        <w:t>分）</w:t>
      </w:r>
    </w:p>
    <w:tbl>
      <w:tblPr>
        <w:tblStyle w:val="31"/>
        <w:tblW w:w="90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8"/>
        <w:gridCol w:w="1662"/>
        <w:gridCol w:w="6824"/>
      </w:tblGrid>
      <w:tr w14:paraId="5B9D90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568" w:type="dxa"/>
            <w:tcBorders>
              <w:top w:val="single" w:color="auto" w:sz="4" w:space="0"/>
              <w:left w:val="single" w:color="auto" w:sz="4" w:space="0"/>
              <w:right w:val="single" w:color="auto" w:sz="4" w:space="0"/>
            </w:tcBorders>
            <w:noWrap w:val="0"/>
            <w:vAlign w:val="center"/>
          </w:tcPr>
          <w:p w14:paraId="6B226ACC">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p>
        </w:tc>
        <w:tc>
          <w:tcPr>
            <w:tcW w:w="1662" w:type="dxa"/>
            <w:tcBorders>
              <w:top w:val="single" w:color="auto" w:sz="4" w:space="0"/>
              <w:left w:val="single" w:color="auto" w:sz="4" w:space="0"/>
              <w:right w:val="single" w:color="auto" w:sz="4" w:space="0"/>
            </w:tcBorders>
            <w:noWrap w:val="0"/>
            <w:vAlign w:val="center"/>
          </w:tcPr>
          <w:p w14:paraId="1EFB0818">
            <w:pPr>
              <w:keepNext w:val="0"/>
              <w:keepLines w:val="0"/>
              <w:pageBreakBefore w:val="0"/>
              <w:wordWrap/>
              <w:overflowPunct/>
              <w:topLinePunct w:val="0"/>
              <w:bidi w:val="0"/>
              <w:adjustRightInd w:val="0"/>
              <w:spacing w:line="420" w:lineRule="exact"/>
              <w:jc w:val="both"/>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投标货物技术指标的符合性、优越性（30分）</w:t>
            </w:r>
          </w:p>
        </w:tc>
        <w:tc>
          <w:tcPr>
            <w:tcW w:w="6824" w:type="dxa"/>
            <w:tcBorders>
              <w:top w:val="single" w:color="auto" w:sz="4" w:space="0"/>
              <w:left w:val="single" w:color="auto" w:sz="4" w:space="0"/>
              <w:bottom w:val="single" w:color="auto" w:sz="4" w:space="0"/>
              <w:right w:val="single" w:color="auto" w:sz="4" w:space="0"/>
            </w:tcBorders>
            <w:noWrap w:val="0"/>
            <w:vAlign w:val="center"/>
          </w:tcPr>
          <w:p w14:paraId="6ADBE28D">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根据所投产品的详细技术参数进行打分。满足需求指标和商务要求的得30分。</w:t>
            </w:r>
          </w:p>
          <w:p w14:paraId="79AFE9A6">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打“▲”号的主要性能指标每负偏离或不响应一项扣1分；其余指标每负偏离或不响应一项扣0.5分；扣完为止。正偏离不加分。(同一设备同一条一般性技术参数不重复扣分)。</w:t>
            </w:r>
          </w:p>
          <w:p w14:paraId="5ED0C642">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bCs/>
                <w:color w:val="auto"/>
                <w:sz w:val="23"/>
                <w:szCs w:val="23"/>
                <w:highlight w:val="none"/>
                <w:u w:val="single"/>
                <w:lang w:val="en-US" w:eastAsia="zh-CN"/>
              </w:rPr>
            </w:pPr>
            <w:r>
              <w:rPr>
                <w:rFonts w:hint="eastAsia" w:ascii="宋体" w:hAnsi="宋体" w:cs="宋体"/>
                <w:color w:val="auto"/>
                <w:sz w:val="23"/>
                <w:szCs w:val="23"/>
                <w:highlight w:val="none"/>
                <w:lang w:val="en-US" w:eastAsia="zh-CN"/>
              </w:rPr>
              <w:t>注：“技术要求”中若需提供相关佐证材料的，请在投标文件中按要求提供；若没有要求提供佐证材料的，投标阶段无需提供。</w:t>
            </w:r>
          </w:p>
        </w:tc>
      </w:tr>
    </w:tbl>
    <w:p w14:paraId="4F213EE2">
      <w:pPr>
        <w:spacing w:line="324" w:lineRule="auto"/>
        <w:ind w:firstLine="425" w:firstLineChars="185"/>
        <w:jc w:val="both"/>
        <w:rPr>
          <w:rFonts w:hint="eastAsia" w:ascii="宋体" w:hAnsi="宋体" w:eastAsia="宋体" w:cs="宋体"/>
          <w:b w:val="0"/>
          <w:bCs w:val="0"/>
          <w:color w:val="auto"/>
          <w:sz w:val="23"/>
          <w:szCs w:val="23"/>
          <w:highlight w:val="none"/>
        </w:rPr>
      </w:pPr>
      <w:r>
        <w:rPr>
          <w:rFonts w:hint="eastAsia" w:ascii="宋体" w:hAnsi="宋体" w:eastAsia="宋体" w:cs="宋体"/>
          <w:b w:val="0"/>
          <w:bCs w:val="0"/>
          <w:color w:val="auto"/>
          <w:sz w:val="23"/>
          <w:szCs w:val="23"/>
          <w:highlight w:val="none"/>
          <w:lang w:eastAsia="zh-CN"/>
        </w:rPr>
        <w:t>□</w:t>
      </w:r>
      <w:r>
        <w:rPr>
          <w:rFonts w:hint="eastAsia" w:ascii="宋体" w:hAnsi="宋体" w:eastAsia="宋体" w:cs="宋体"/>
          <w:b w:val="0"/>
          <w:bCs w:val="0"/>
          <w:color w:val="auto"/>
          <w:sz w:val="23"/>
          <w:szCs w:val="23"/>
          <w:highlight w:val="none"/>
        </w:rPr>
        <w:t>主要制作材料选用的比较</w:t>
      </w:r>
    </w:p>
    <w:p w14:paraId="53A8FFEC">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□辅助制作材料及配件选用的比较</w:t>
      </w:r>
    </w:p>
    <w:p w14:paraId="373A9EA9">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b/>
          <w:bCs/>
          <w:color w:val="auto"/>
          <w:sz w:val="23"/>
          <w:szCs w:val="23"/>
          <w:highlight w:val="none"/>
        </w:rPr>
        <w:t>组织实施方案：投标人组织实施方案的科学性、合理性、规范性和可操作性，包括货物供货、验货、组装就位、关键步骤的思路和要点以及组织机构、工作时间进度表、工作程序和步骤等内容。（</w:t>
      </w:r>
      <w:r>
        <w:rPr>
          <w:rFonts w:hint="eastAsia" w:ascii="宋体" w:hAnsi="宋体" w:eastAsia="宋体" w:cs="宋体"/>
          <w:b/>
          <w:bCs/>
          <w:color w:val="auto"/>
          <w:sz w:val="23"/>
          <w:szCs w:val="23"/>
          <w:highlight w:val="none"/>
          <w:lang w:val="en-US" w:eastAsia="zh-CN"/>
        </w:rPr>
        <w:t>19</w:t>
      </w:r>
      <w:r>
        <w:rPr>
          <w:rFonts w:hint="eastAsia" w:ascii="宋体" w:hAnsi="宋体" w:eastAsia="宋体" w:cs="宋体"/>
          <w:b/>
          <w:bCs/>
          <w:color w:val="auto"/>
          <w:sz w:val="23"/>
          <w:szCs w:val="23"/>
          <w:highlight w:val="none"/>
        </w:rPr>
        <w:t>分）</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8"/>
        <w:gridCol w:w="2799"/>
        <w:gridCol w:w="5758"/>
      </w:tblGrid>
      <w:tr w14:paraId="3024C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90" w:hRule="atLeast"/>
          <w:jc w:val="center"/>
        </w:trPr>
        <w:tc>
          <w:tcPr>
            <w:tcW w:w="291"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4AFF5E12">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1</w:t>
            </w:r>
          </w:p>
        </w:tc>
        <w:tc>
          <w:tcPr>
            <w:tcW w:w="1540"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1943B05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实施</w:t>
            </w:r>
            <w:r>
              <w:rPr>
                <w:rFonts w:hint="eastAsia" w:ascii="宋体" w:hAnsi="宋体" w:eastAsia="宋体" w:cs="宋体"/>
                <w:b w:val="0"/>
                <w:bCs w:val="0"/>
                <w:color w:val="auto"/>
                <w:sz w:val="24"/>
                <w:szCs w:val="24"/>
                <w:highlight w:val="none"/>
              </w:rPr>
              <w:t>方案与技术措施</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2分</w:t>
            </w:r>
            <w:r>
              <w:rPr>
                <w:rFonts w:hint="eastAsia" w:ascii="宋体" w:hAnsi="宋体" w:eastAsia="宋体" w:cs="宋体"/>
                <w:b w:val="0"/>
                <w:bCs w:val="0"/>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top"/>
          </w:tcPr>
          <w:p w14:paraId="16236DEC">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lang w:eastAsia="zh-CN"/>
              </w:rPr>
              <w:t>实施</w:t>
            </w:r>
            <w:r>
              <w:rPr>
                <w:rFonts w:hint="eastAsia" w:ascii="宋体" w:hAnsi="宋体" w:eastAsia="宋体" w:cs="宋体"/>
                <w:color w:val="auto"/>
                <w:sz w:val="24"/>
                <w:szCs w:val="24"/>
                <w:highlight w:val="none"/>
              </w:rPr>
              <w:t>方案内容完整，编制规范统一、齐全，</w:t>
            </w:r>
            <w:r>
              <w:rPr>
                <w:rFonts w:hint="eastAsia" w:ascii="宋体" w:hAnsi="宋体" w:eastAsia="宋体" w:cs="宋体"/>
                <w:color w:val="auto"/>
                <w:sz w:val="24"/>
                <w:szCs w:val="24"/>
                <w:highlight w:val="none"/>
                <w:lang w:eastAsia="zh-CN"/>
              </w:rPr>
              <w:t>实施</w:t>
            </w:r>
            <w:r>
              <w:rPr>
                <w:rFonts w:hint="eastAsia" w:ascii="宋体" w:hAnsi="宋体" w:eastAsia="宋体" w:cs="宋体"/>
                <w:color w:val="auto"/>
                <w:sz w:val="24"/>
                <w:szCs w:val="24"/>
                <w:highlight w:val="none"/>
              </w:rPr>
              <w:t>方案和技术措施科学、合理，有针对性，满足</w:t>
            </w:r>
            <w:r>
              <w:rPr>
                <w:rFonts w:hint="eastAsia" w:ascii="宋体" w:hAnsi="宋体" w:eastAsia="宋体" w:cs="宋体"/>
                <w:color w:val="auto"/>
                <w:sz w:val="24"/>
                <w:szCs w:val="24"/>
                <w:highlight w:val="none"/>
                <w:lang w:eastAsia="zh-CN"/>
              </w:rPr>
              <w:t>实施</w:t>
            </w:r>
            <w:r>
              <w:rPr>
                <w:rFonts w:hint="eastAsia" w:ascii="宋体" w:hAnsi="宋体" w:eastAsia="宋体" w:cs="宋体"/>
                <w:color w:val="auto"/>
                <w:sz w:val="24"/>
                <w:szCs w:val="24"/>
                <w:highlight w:val="none"/>
              </w:rPr>
              <w:t>要求。优秀得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12D0D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F07A8E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2</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9020B6A">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eastAsia="zh-CN"/>
              </w:rPr>
            </w:pPr>
            <w:r>
              <w:rPr>
                <w:rFonts w:hint="eastAsia" w:ascii="宋体" w:hAnsi="宋体" w:eastAsia="宋体" w:cs="宋体"/>
                <w:color w:val="auto"/>
                <w:sz w:val="24"/>
                <w:szCs w:val="24"/>
                <w:highlight w:val="none"/>
              </w:rPr>
              <w:t>质量管理体系与措施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85A1EF4">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strike w:val="0"/>
                <w:color w:val="auto"/>
                <w:sz w:val="24"/>
                <w:szCs w:val="24"/>
                <w:highlight w:val="none"/>
              </w:rPr>
              <w:t>质量保证措施、安全生产保证措施、工期保证措施以及文明</w:t>
            </w:r>
            <w:r>
              <w:rPr>
                <w:rFonts w:hint="eastAsia" w:ascii="宋体" w:hAnsi="宋体" w:eastAsia="宋体" w:cs="宋体"/>
                <w:strike w:val="0"/>
                <w:color w:val="auto"/>
                <w:sz w:val="24"/>
                <w:szCs w:val="24"/>
                <w:highlight w:val="none"/>
                <w:lang w:eastAsia="zh-CN"/>
              </w:rPr>
              <w:t>施工</w:t>
            </w:r>
            <w:r>
              <w:rPr>
                <w:rFonts w:hint="eastAsia" w:ascii="宋体" w:hAnsi="宋体" w:eastAsia="宋体" w:cs="宋体"/>
                <w:strike w:val="0"/>
                <w:color w:val="auto"/>
                <w:sz w:val="24"/>
                <w:szCs w:val="24"/>
                <w:highlight w:val="none"/>
              </w:rPr>
              <w:t>和环境保护的措施科学、合理、全面、有针对性。</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19643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C203BA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3</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866A79F">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工程进度计划与措施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1A61E31">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rPr>
            </w:pP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进度安排合理，工期安排满足</w:t>
            </w: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要求，</w:t>
            </w: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中劳动力计划安排合理，拟投入的机械设备及材料安排科学、合理，有针对性，满足</w:t>
            </w:r>
            <w:r>
              <w:rPr>
                <w:rFonts w:hint="eastAsia" w:ascii="宋体" w:hAnsi="宋体" w:eastAsia="宋体" w:cs="宋体"/>
                <w:strike w:val="0"/>
                <w:dstrike w:val="0"/>
                <w:color w:val="auto"/>
                <w:sz w:val="24"/>
                <w:szCs w:val="24"/>
                <w:highlight w:val="none"/>
                <w:lang w:eastAsia="zh-CN"/>
              </w:rPr>
              <w:t>实施</w:t>
            </w:r>
            <w:r>
              <w:rPr>
                <w:rFonts w:hint="eastAsia" w:ascii="宋体" w:hAnsi="宋体" w:eastAsia="宋体" w:cs="宋体"/>
                <w:strike w:val="0"/>
                <w:dstrike w:val="0"/>
                <w:color w:val="auto"/>
                <w:sz w:val="24"/>
                <w:szCs w:val="24"/>
                <w:highlight w:val="none"/>
              </w:rPr>
              <w:t>要求。</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63A24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8FD3A2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4</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CDCDAB6">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安全、文明施工保证措施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30B8BA5">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安全管理体系、文明施工、扬尘治理、临时用电、消防保卫、高处作业、危大工程管控、应急预案、现场围挡及标准化布置等</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进行横向打分。</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21D05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F4ED43B">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5</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DBE4EAB">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劳动力安排计划与措施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72F36B8">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投标人劳动力配置合理性及保障措施</w:t>
            </w:r>
            <w:r>
              <w:rPr>
                <w:rFonts w:hint="eastAsia" w:ascii="宋体" w:hAnsi="宋体" w:eastAsia="宋体" w:cs="宋体"/>
                <w:color w:val="auto"/>
                <w:sz w:val="24"/>
                <w:szCs w:val="24"/>
                <w:highlight w:val="none"/>
                <w:lang w:val="en-US" w:eastAsia="zh-CN"/>
              </w:rPr>
              <w:t>的完整性</w:t>
            </w:r>
            <w:r>
              <w:rPr>
                <w:rFonts w:hint="eastAsia" w:ascii="宋体" w:hAnsi="宋体" w:eastAsia="宋体" w:cs="宋体"/>
                <w:color w:val="auto"/>
                <w:sz w:val="24"/>
                <w:szCs w:val="24"/>
                <w:highlight w:val="none"/>
                <w:lang w:eastAsia="zh-CN"/>
              </w:rPr>
              <w:t>及人员专业</w:t>
            </w:r>
            <w:r>
              <w:rPr>
                <w:rFonts w:hint="eastAsia" w:ascii="宋体" w:hAnsi="宋体" w:eastAsia="宋体" w:cs="宋体"/>
                <w:color w:val="auto"/>
                <w:sz w:val="24"/>
                <w:szCs w:val="24"/>
                <w:highlight w:val="none"/>
                <w:lang w:val="en-US" w:eastAsia="zh-CN"/>
              </w:rPr>
              <w:t>性</w:t>
            </w:r>
            <w:r>
              <w:rPr>
                <w:rFonts w:hint="eastAsia" w:ascii="宋体" w:hAnsi="宋体" w:eastAsia="宋体" w:cs="宋体"/>
                <w:color w:val="auto"/>
                <w:sz w:val="24"/>
                <w:szCs w:val="24"/>
                <w:highlight w:val="none"/>
                <w:lang w:eastAsia="zh-CN"/>
              </w:rPr>
              <w:t>打分，涉及人员（包括技术负责人、关键岗位人员等）需在标书中提供投标单位为上述人员缴纳的社保证明、证书及劳动合同</w:t>
            </w:r>
            <w:r>
              <w:rPr>
                <w:rFonts w:hint="eastAsia" w:ascii="宋体" w:hAnsi="宋体" w:eastAsia="宋体" w:cs="宋体"/>
                <w:color w:val="auto"/>
                <w:sz w:val="24"/>
                <w:szCs w:val="24"/>
                <w:highlight w:val="none"/>
                <w:lang w:val="en-US" w:eastAsia="zh-CN"/>
              </w:rPr>
              <w:t>的复印件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（含）分、良好得</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.4（含）分、一般得</w:t>
            </w:r>
            <w:r>
              <w:rPr>
                <w:rFonts w:hint="eastAsia" w:ascii="宋体" w:hAnsi="宋体" w:eastAsia="宋体" w:cs="宋体"/>
                <w:color w:val="auto"/>
                <w:sz w:val="24"/>
                <w:szCs w:val="24"/>
                <w:highlight w:val="none"/>
                <w:lang w:val="en-US" w:eastAsia="zh-CN"/>
              </w:rPr>
              <w:t>0.2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.8（含）分。未提供不得分。</w:t>
            </w:r>
          </w:p>
        </w:tc>
      </w:tr>
      <w:tr w14:paraId="223989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EEE3424">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6</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E68F35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材料供应保证措施</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6B75208">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供货计划、到货周期、运输保障、仓储保管措施</w:t>
            </w:r>
            <w:r>
              <w:rPr>
                <w:rFonts w:hint="eastAsia" w:ascii="宋体" w:hAnsi="宋体" w:eastAsia="宋体" w:cs="宋体"/>
                <w:color w:val="auto"/>
                <w:sz w:val="24"/>
                <w:szCs w:val="24"/>
                <w:highlight w:val="none"/>
                <w:lang w:val="en-US" w:eastAsia="zh-CN"/>
              </w:rPr>
              <w:t>方案</w:t>
            </w:r>
            <w:r>
              <w:rPr>
                <w:rFonts w:hint="eastAsia" w:ascii="宋体" w:hAnsi="宋体" w:eastAsia="宋体" w:cs="宋体"/>
                <w:color w:val="auto"/>
                <w:sz w:val="24"/>
                <w:szCs w:val="24"/>
                <w:highlight w:val="none"/>
                <w:lang w:eastAsia="zh-CN"/>
              </w:rPr>
              <w:t>进行横向打分。</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（含）分、良好得</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（含）分、一般得</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（含）分。未提供不得分。对所投主要系统设备选型的配置情况、技术先进性、节能环保性、可靠性和使用方便性进行分析。</w:t>
            </w:r>
          </w:p>
        </w:tc>
      </w:tr>
      <w:tr w14:paraId="27EEB8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5681DB9">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7</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3EE9DD8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项目管理机构人员结构、设备配置情况</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3分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653CF1D4">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color w:val="auto"/>
                <w:sz w:val="24"/>
                <w:szCs w:val="24"/>
                <w:highlight w:val="none"/>
              </w:rPr>
            </w:pPr>
            <w:r>
              <w:rPr>
                <w:rFonts w:hint="eastAsia" w:ascii="宋体" w:hAnsi="宋体" w:eastAsia="宋体" w:cs="宋体"/>
                <w:b w:val="0"/>
                <w:bCs w:val="0"/>
                <w:snapToGrid/>
                <w:color w:val="auto"/>
                <w:sz w:val="24"/>
                <w:szCs w:val="24"/>
                <w:highlight w:val="none"/>
                <w:lang w:val="en-US" w:eastAsia="zh-CN"/>
              </w:rPr>
              <w:t>根据</w:t>
            </w:r>
            <w:r>
              <w:rPr>
                <w:rFonts w:hint="eastAsia" w:ascii="宋体" w:hAnsi="宋体" w:eastAsia="宋体" w:cs="宋体"/>
                <w:b w:val="0"/>
                <w:bCs w:val="0"/>
                <w:snapToGrid/>
                <w:color w:val="auto"/>
                <w:sz w:val="24"/>
                <w:szCs w:val="24"/>
                <w:highlight w:val="none"/>
                <w:lang w:eastAsia="zh-CN"/>
              </w:rPr>
              <w:t>投标人拟派本项目</w:t>
            </w:r>
            <w:r>
              <w:rPr>
                <w:rFonts w:hint="eastAsia" w:ascii="宋体" w:hAnsi="宋体" w:eastAsia="宋体" w:cs="宋体"/>
                <w:b w:val="0"/>
                <w:bCs w:val="0"/>
                <w:snapToGrid/>
                <w:color w:val="auto"/>
                <w:sz w:val="24"/>
                <w:szCs w:val="24"/>
                <w:highlight w:val="none"/>
                <w:lang w:val="en-US" w:eastAsia="zh-CN"/>
              </w:rPr>
              <w:t>人员配备情况、专业全面性，包括但不限于提供其人员与本项目实施有关的资格证书、职业证书</w:t>
            </w:r>
            <w:r>
              <w:rPr>
                <w:rFonts w:hint="eastAsia" w:ascii="宋体" w:hAnsi="宋体" w:eastAsia="宋体" w:cs="宋体"/>
                <w:b w:val="0"/>
                <w:bCs w:val="0"/>
                <w:snapToGrid/>
                <w:color w:val="auto"/>
                <w:sz w:val="24"/>
                <w:szCs w:val="24"/>
                <w:highlight w:val="none"/>
                <w:lang w:eastAsia="zh-CN"/>
              </w:rPr>
              <w:t>等</w:t>
            </w:r>
            <w:r>
              <w:rPr>
                <w:rFonts w:hint="eastAsia" w:ascii="宋体" w:hAnsi="宋体" w:eastAsia="宋体" w:cs="宋体"/>
                <w:b w:val="0"/>
                <w:bCs w:val="0"/>
                <w:snapToGrid/>
                <w:color w:val="auto"/>
                <w:sz w:val="24"/>
                <w:szCs w:val="24"/>
                <w:highlight w:val="none"/>
                <w:lang w:val="en-US" w:eastAsia="zh-CN"/>
              </w:rPr>
              <w:t>进行综合评审</w:t>
            </w:r>
            <w:r>
              <w:rPr>
                <w:rFonts w:hint="eastAsia" w:ascii="宋体" w:hAnsi="宋体" w:eastAsia="宋体" w:cs="宋体"/>
                <w:b w:val="0"/>
                <w:bCs w:val="0"/>
                <w:snapToGrid/>
                <w:color w:val="auto"/>
                <w:sz w:val="24"/>
                <w:szCs w:val="24"/>
                <w:highlight w:val="none"/>
                <w:lang w:eastAsia="zh-CN"/>
              </w:rPr>
              <w:t>。</w:t>
            </w:r>
            <w:r>
              <w:rPr>
                <w:rFonts w:hint="eastAsia" w:ascii="宋体" w:hAnsi="宋体" w:eastAsia="宋体" w:cs="宋体"/>
                <w:color w:val="auto"/>
                <w:sz w:val="24"/>
                <w:szCs w:val="24"/>
                <w:highlight w:val="none"/>
                <w:lang w:eastAsia="zh-CN"/>
              </w:rPr>
              <w:t>需在标书中提供投标单位为上述人员缴纳的社保证明、证书及劳动合同</w:t>
            </w:r>
            <w:r>
              <w:rPr>
                <w:rFonts w:hint="eastAsia" w:ascii="宋体" w:hAnsi="宋体" w:eastAsia="宋体" w:cs="宋体"/>
                <w:color w:val="auto"/>
                <w:sz w:val="24"/>
                <w:szCs w:val="24"/>
                <w:highlight w:val="none"/>
                <w:lang w:val="en-US" w:eastAsia="zh-CN"/>
              </w:rPr>
              <w:t>的复印件。</w:t>
            </w:r>
            <w:r>
              <w:rPr>
                <w:rFonts w:hint="eastAsia" w:ascii="宋体" w:hAnsi="宋体" w:eastAsia="宋体" w:cs="宋体"/>
                <w:color w:val="auto"/>
                <w:sz w:val="24"/>
                <w:szCs w:val="24"/>
                <w:highlight w:val="none"/>
              </w:rPr>
              <w:t>优秀得</w:t>
            </w:r>
            <w:r>
              <w:rPr>
                <w:rFonts w:hint="eastAsia" w:ascii="宋体" w:hAnsi="宋体" w:eastAsia="宋体" w:cs="宋体"/>
                <w:color w:val="auto"/>
                <w:sz w:val="24"/>
                <w:szCs w:val="24"/>
                <w:highlight w:val="none"/>
                <w:lang w:val="en-US" w:eastAsia="zh-CN"/>
              </w:rPr>
              <w:t>2.1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（含）分、良好得</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（含）分、一般得</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（含）分。未提供不得分。</w:t>
            </w:r>
          </w:p>
          <w:p w14:paraId="242FB0D2">
            <w:pPr>
              <w:adjustRightInd w:val="0"/>
              <w:snapToGrid w:val="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注：相关人员需提供相应社保缴纳证明及证书</w:t>
            </w:r>
          </w:p>
        </w:tc>
      </w:tr>
      <w:tr w14:paraId="19AB9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91"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404D70E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8</w:t>
            </w:r>
          </w:p>
        </w:tc>
        <w:tc>
          <w:tcPr>
            <w:tcW w:w="1540"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3B5429D">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针对本工程的合理化建议</w:t>
            </w:r>
            <w:r>
              <w:rPr>
                <w:rFonts w:hint="eastAsia" w:ascii="宋体" w:hAnsi="宋体" w:eastAsia="宋体" w:cs="宋体"/>
                <w:color w:val="auto"/>
                <w:sz w:val="24"/>
                <w:szCs w:val="24"/>
                <w:highlight w:val="none"/>
                <w:lang w:eastAsia="zh-CN"/>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分</w:t>
            </w:r>
            <w:r>
              <w:rPr>
                <w:rFonts w:hint="eastAsia" w:ascii="宋体" w:hAnsi="宋体" w:eastAsia="宋体" w:cs="宋体"/>
                <w:color w:val="auto"/>
                <w:sz w:val="24"/>
                <w:szCs w:val="24"/>
                <w:highlight w:val="none"/>
                <w:lang w:eastAsia="zh-CN"/>
              </w:rPr>
              <w:t>）</w:t>
            </w:r>
          </w:p>
        </w:tc>
        <w:tc>
          <w:tcPr>
            <w:tcW w:w="316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59BE28D9">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snapToGrid/>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评委根据</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针对本工程的合理化建议</w:t>
            </w:r>
            <w:r>
              <w:rPr>
                <w:rFonts w:hint="eastAsia" w:ascii="宋体" w:hAnsi="宋体" w:eastAsia="宋体" w:cs="宋体"/>
                <w:color w:val="auto"/>
                <w:sz w:val="24"/>
                <w:szCs w:val="24"/>
                <w:highlight w:val="none"/>
                <w:lang w:eastAsia="zh-CN"/>
              </w:rPr>
              <w:t>进行横向打分。</w:t>
            </w:r>
            <w:r>
              <w:rPr>
                <w:rFonts w:hint="eastAsia" w:ascii="宋体" w:hAnsi="宋体" w:eastAsia="宋体" w:cs="宋体"/>
                <w:color w:val="auto"/>
                <w:sz w:val="24"/>
                <w:szCs w:val="24"/>
                <w:highlight w:val="none"/>
              </w:rPr>
              <w:t>优秀得</w:t>
            </w: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（含）分、良好得</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rPr>
              <w:t>（含）分、一般得</w:t>
            </w:r>
            <w:r>
              <w:rPr>
                <w:rFonts w:hint="eastAsia" w:ascii="宋体" w:hAnsi="宋体" w:eastAsia="宋体" w:cs="宋体"/>
                <w:color w:val="auto"/>
                <w:sz w:val="24"/>
                <w:szCs w:val="24"/>
                <w:highlight w:val="none"/>
                <w:lang w:val="en-US" w:eastAsia="zh-CN"/>
              </w:rPr>
              <w:t>0.</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w:t>
            </w: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（含）分。未提供不得分。</w:t>
            </w:r>
          </w:p>
        </w:tc>
      </w:tr>
    </w:tbl>
    <w:p w14:paraId="58FA45EE">
      <w:pPr>
        <w:spacing w:line="324" w:lineRule="auto"/>
        <w:ind w:firstLine="427" w:firstLineChars="185"/>
        <w:jc w:val="both"/>
        <w:rPr>
          <w:rFonts w:hint="eastAsia" w:ascii="宋体" w:hAnsi="宋体" w:eastAsia="宋体" w:cs="宋体"/>
          <w:b/>
          <w:bCs/>
          <w:color w:val="auto"/>
          <w:sz w:val="23"/>
          <w:szCs w:val="23"/>
          <w:highlight w:val="none"/>
        </w:rPr>
      </w:pPr>
      <w:r>
        <w:rPr>
          <w:rFonts w:hint="eastAsia" w:ascii="宋体" w:hAnsi="宋体" w:eastAsia="宋体" w:cs="宋体"/>
          <w:b/>
          <w:bCs/>
          <w:color w:val="auto"/>
          <w:sz w:val="23"/>
          <w:szCs w:val="23"/>
          <w:highlight w:val="none"/>
        </w:rPr>
        <w:t>☑投标人是否具有较强的本地化服务能力、售后服务承诺、提供的售后服务方案的可行性、完整性以及服务承诺落实的保障措施，质保期内外的后续技术支持和维护能力情况等。（</w:t>
      </w:r>
      <w:r>
        <w:rPr>
          <w:rFonts w:hint="eastAsia" w:ascii="宋体" w:hAnsi="宋体" w:eastAsia="宋体" w:cs="宋体"/>
          <w:b/>
          <w:bCs/>
          <w:color w:val="auto"/>
          <w:sz w:val="23"/>
          <w:szCs w:val="23"/>
          <w:highlight w:val="none"/>
          <w:lang w:val="en-US" w:eastAsia="zh-CN"/>
        </w:rPr>
        <w:t>5</w:t>
      </w:r>
      <w:r>
        <w:rPr>
          <w:rFonts w:hint="eastAsia" w:ascii="宋体" w:hAnsi="宋体" w:eastAsia="宋体" w:cs="宋体"/>
          <w:b/>
          <w:bCs/>
          <w:color w:val="auto"/>
          <w:sz w:val="23"/>
          <w:szCs w:val="23"/>
          <w:highlight w:val="none"/>
        </w:rPr>
        <w:t>分）</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23"/>
        <w:gridCol w:w="1705"/>
        <w:gridCol w:w="6857"/>
      </w:tblGrid>
      <w:tr w14:paraId="050A6E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00FAAFE1">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938"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0753A45">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color w:val="auto"/>
                <w:sz w:val="24"/>
                <w:szCs w:val="24"/>
                <w:highlight w:val="none"/>
              </w:rPr>
              <w:t>质保期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lang w:eastAsia="zh-CN"/>
              </w:rPr>
              <w:t>）</w:t>
            </w:r>
          </w:p>
        </w:tc>
        <w:tc>
          <w:tcPr>
            <w:tcW w:w="3772"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256637C9">
            <w:pPr>
              <w:tabs>
                <w:tab w:val="left" w:pos="3060"/>
              </w:tabs>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质保期期限（含驻场维保要求）仅满足招标文件规定的质保期（至少24个月）要求的得0分，质保期期限（含驻场维保要求）超过招标文件规定的质保期每12个月的得</w:t>
            </w:r>
            <w:r>
              <w:rPr>
                <w:rFonts w:hint="eastAsia" w:ascii="宋体" w:hAnsi="宋体" w:eastAsia="宋体" w:cs="宋体"/>
                <w:color w:val="auto"/>
                <w:sz w:val="24"/>
                <w:szCs w:val="24"/>
                <w:highlight w:val="none"/>
                <w:lang w:val="en-US" w:eastAsia="zh-CN"/>
              </w:rPr>
              <w:t>1分</w:t>
            </w:r>
            <w:r>
              <w:rPr>
                <w:rFonts w:hint="eastAsia" w:ascii="宋体" w:hAnsi="宋体" w:eastAsia="宋体" w:cs="宋体"/>
                <w:color w:val="auto"/>
                <w:sz w:val="24"/>
                <w:szCs w:val="24"/>
                <w:highlight w:val="none"/>
              </w:rPr>
              <w:t>，最高得</w:t>
            </w:r>
            <w:r>
              <w:rPr>
                <w:rFonts w:hint="eastAsia" w:ascii="宋体" w:hAnsi="宋体" w:eastAsia="宋体" w:cs="宋体"/>
                <w:color w:val="auto"/>
                <w:sz w:val="24"/>
                <w:szCs w:val="24"/>
                <w:highlight w:val="none"/>
                <w:lang w:val="en-US" w:eastAsia="zh-CN"/>
              </w:rPr>
              <w:t>2分</w:t>
            </w:r>
            <w:r>
              <w:rPr>
                <w:rFonts w:hint="eastAsia" w:ascii="宋体" w:hAnsi="宋体" w:eastAsia="宋体" w:cs="宋体"/>
                <w:color w:val="auto"/>
                <w:sz w:val="24"/>
                <w:szCs w:val="24"/>
                <w:highlight w:val="none"/>
              </w:rPr>
              <w:t>。（维保开始时间从竣工验收并移交给使用单位后开始计算）</w:t>
            </w:r>
          </w:p>
          <w:p w14:paraId="73DC2E3B">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rPr>
              <w:t>注：质保期优惠包含人工、差旅住宿费、材料及配件费等质保期间产生的一切费用。</w:t>
            </w:r>
          </w:p>
        </w:tc>
      </w:tr>
      <w:tr w14:paraId="29E11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trHeight w:val="0" w:hRule="atLeast"/>
          <w:jc w:val="center"/>
        </w:trPr>
        <w:tc>
          <w:tcPr>
            <w:tcW w:w="288" w:type="pct"/>
            <w:tcBorders>
              <w:top w:val="single" w:color="auto" w:sz="4" w:space="0"/>
              <w:left w:val="single" w:color="auto" w:sz="4" w:space="0"/>
              <w:bottom w:val="single" w:color="auto" w:sz="4" w:space="0"/>
              <w:right w:val="single" w:color="auto" w:sz="4" w:space="0"/>
            </w:tcBorders>
            <w:shd w:val="clear" w:color="auto" w:fill="FFFFFF"/>
            <w:noWrap w:val="0"/>
            <w:tcMar>
              <w:top w:w="0" w:type="dxa"/>
              <w:left w:w="108" w:type="dxa"/>
              <w:bottom w:w="0" w:type="dxa"/>
              <w:right w:w="108" w:type="dxa"/>
            </w:tcMar>
            <w:vAlign w:val="center"/>
          </w:tcPr>
          <w:p w14:paraId="74D75EB2">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938"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553A254A">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售后服务</w:t>
            </w:r>
          </w:p>
          <w:p w14:paraId="45541415">
            <w:pPr>
              <w:spacing w:line="319" w:lineRule="auto"/>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（3分）</w:t>
            </w:r>
          </w:p>
        </w:tc>
        <w:tc>
          <w:tcPr>
            <w:tcW w:w="3772"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68785450">
            <w:pPr>
              <w:spacing w:line="360" w:lineRule="exact"/>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strike w:val="0"/>
                <w:dstrike w:val="0"/>
                <w:color w:val="auto"/>
                <w:sz w:val="24"/>
                <w:szCs w:val="24"/>
                <w:highlight w:val="none"/>
              </w:rPr>
              <w:t>根据投标人编制的售后服务方案包括维修服务点、保修响应时间、售后服务、标准规范化服务程度、备品备件是否齐全、保修措施是否完善等情况进行综合评审。优秀得</w:t>
            </w:r>
            <w:r>
              <w:rPr>
                <w:rFonts w:hint="eastAsia" w:ascii="宋体" w:hAnsi="宋体" w:eastAsia="宋体" w:cs="宋体"/>
                <w:strike w:val="0"/>
                <w:dstrike w:val="0"/>
                <w:color w:val="auto"/>
                <w:sz w:val="24"/>
                <w:szCs w:val="24"/>
                <w:highlight w:val="none"/>
                <w:lang w:val="en-US" w:eastAsia="zh-CN"/>
              </w:rPr>
              <w:t>2.1</w:t>
            </w:r>
            <w:r>
              <w:rPr>
                <w:rFonts w:hint="eastAsia" w:ascii="宋体" w:hAnsi="宋体" w:eastAsia="宋体" w:cs="宋体"/>
                <w:strike w:val="0"/>
                <w:dstrike w:val="0"/>
                <w:color w:val="auto"/>
                <w:sz w:val="24"/>
                <w:szCs w:val="24"/>
                <w:highlight w:val="none"/>
              </w:rPr>
              <w:t>-</w:t>
            </w:r>
            <w:r>
              <w:rPr>
                <w:rFonts w:hint="eastAsia" w:ascii="宋体" w:hAnsi="宋体" w:eastAsia="宋体" w:cs="宋体"/>
                <w:strike w:val="0"/>
                <w:dstrike w:val="0"/>
                <w:color w:val="auto"/>
                <w:sz w:val="24"/>
                <w:szCs w:val="24"/>
                <w:highlight w:val="none"/>
                <w:lang w:val="en-US" w:eastAsia="zh-CN"/>
              </w:rPr>
              <w:t>3</w:t>
            </w:r>
            <w:r>
              <w:rPr>
                <w:rFonts w:hint="eastAsia" w:ascii="宋体" w:hAnsi="宋体" w:eastAsia="宋体" w:cs="宋体"/>
                <w:strike w:val="0"/>
                <w:dstrike w:val="0"/>
                <w:color w:val="auto"/>
                <w:sz w:val="24"/>
                <w:szCs w:val="24"/>
                <w:highlight w:val="none"/>
              </w:rPr>
              <w:t>（含）分、良好得</w:t>
            </w:r>
            <w:r>
              <w:rPr>
                <w:rFonts w:hint="eastAsia" w:ascii="宋体" w:hAnsi="宋体" w:eastAsia="宋体" w:cs="宋体"/>
                <w:strike w:val="0"/>
                <w:dstrike w:val="0"/>
                <w:color w:val="auto"/>
                <w:sz w:val="24"/>
                <w:szCs w:val="24"/>
                <w:highlight w:val="none"/>
                <w:lang w:val="en-US" w:eastAsia="zh-CN"/>
              </w:rPr>
              <w:t>1.1</w:t>
            </w:r>
            <w:r>
              <w:rPr>
                <w:rFonts w:hint="eastAsia" w:ascii="宋体" w:hAnsi="宋体" w:eastAsia="宋体" w:cs="宋体"/>
                <w:strike w:val="0"/>
                <w:dstrike w:val="0"/>
                <w:color w:val="auto"/>
                <w:sz w:val="24"/>
                <w:szCs w:val="24"/>
                <w:highlight w:val="none"/>
              </w:rPr>
              <w:t>-</w:t>
            </w:r>
            <w:r>
              <w:rPr>
                <w:rFonts w:hint="eastAsia" w:ascii="宋体" w:hAnsi="宋体" w:eastAsia="宋体" w:cs="宋体"/>
                <w:strike w:val="0"/>
                <w:dstrike w:val="0"/>
                <w:color w:val="auto"/>
                <w:sz w:val="24"/>
                <w:szCs w:val="24"/>
                <w:highlight w:val="none"/>
                <w:lang w:val="en-US" w:eastAsia="zh-CN"/>
              </w:rPr>
              <w:t>2</w:t>
            </w:r>
            <w:r>
              <w:rPr>
                <w:rFonts w:hint="eastAsia" w:ascii="宋体" w:hAnsi="宋体" w:eastAsia="宋体" w:cs="宋体"/>
                <w:strike w:val="0"/>
                <w:dstrike w:val="0"/>
                <w:color w:val="auto"/>
                <w:sz w:val="24"/>
                <w:szCs w:val="24"/>
                <w:highlight w:val="none"/>
              </w:rPr>
              <w:t>（含）分、一般得</w:t>
            </w:r>
            <w:r>
              <w:rPr>
                <w:rFonts w:hint="eastAsia" w:ascii="宋体" w:hAnsi="宋体" w:eastAsia="宋体" w:cs="宋体"/>
                <w:strike w:val="0"/>
                <w:dstrike w:val="0"/>
                <w:color w:val="auto"/>
                <w:sz w:val="24"/>
                <w:szCs w:val="24"/>
                <w:highlight w:val="none"/>
                <w:lang w:val="en-US" w:eastAsia="zh-CN"/>
              </w:rPr>
              <w:t>0.1</w:t>
            </w:r>
            <w:r>
              <w:rPr>
                <w:rFonts w:hint="eastAsia" w:ascii="宋体" w:hAnsi="宋体" w:eastAsia="宋体" w:cs="宋体"/>
                <w:strike w:val="0"/>
                <w:dstrike w:val="0"/>
                <w:color w:val="auto"/>
                <w:sz w:val="24"/>
                <w:szCs w:val="24"/>
                <w:highlight w:val="none"/>
              </w:rPr>
              <w:t>-</w:t>
            </w:r>
            <w:r>
              <w:rPr>
                <w:rFonts w:hint="eastAsia" w:ascii="宋体" w:hAnsi="宋体" w:eastAsia="宋体" w:cs="宋体"/>
                <w:strike w:val="0"/>
                <w:dstrike w:val="0"/>
                <w:color w:val="auto"/>
                <w:sz w:val="24"/>
                <w:szCs w:val="24"/>
                <w:highlight w:val="none"/>
                <w:lang w:val="en-US" w:eastAsia="zh-CN"/>
              </w:rPr>
              <w:t>1</w:t>
            </w:r>
            <w:r>
              <w:rPr>
                <w:rFonts w:hint="eastAsia" w:ascii="宋体" w:hAnsi="宋体" w:eastAsia="宋体" w:cs="宋体"/>
                <w:strike w:val="0"/>
                <w:dstrike w:val="0"/>
                <w:color w:val="auto"/>
                <w:sz w:val="24"/>
                <w:szCs w:val="24"/>
                <w:highlight w:val="none"/>
              </w:rPr>
              <w:t>（含）分。未提供不得分。</w:t>
            </w:r>
          </w:p>
        </w:tc>
      </w:tr>
    </w:tbl>
    <w:p w14:paraId="17D9D566">
      <w:pPr>
        <w:spacing w:line="324" w:lineRule="auto"/>
        <w:ind w:firstLine="425" w:firstLineChars="1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b/>
          <w:bCs/>
          <w:color w:val="auto"/>
          <w:sz w:val="23"/>
          <w:szCs w:val="23"/>
          <w:highlight w:val="none"/>
        </w:rPr>
        <w:t>投标人提供的样品质量比较（</w:t>
      </w:r>
      <w:r>
        <w:rPr>
          <w:rFonts w:hint="eastAsia" w:ascii="宋体" w:hAnsi="宋体" w:eastAsia="宋体" w:cs="宋体"/>
          <w:b/>
          <w:bCs/>
          <w:color w:val="auto"/>
          <w:sz w:val="23"/>
          <w:szCs w:val="23"/>
          <w:highlight w:val="none"/>
          <w:lang w:val="en-US" w:eastAsia="zh-CN"/>
        </w:rPr>
        <w:t>3</w:t>
      </w:r>
      <w:r>
        <w:rPr>
          <w:rFonts w:hint="eastAsia" w:ascii="宋体" w:hAnsi="宋体" w:eastAsia="宋体" w:cs="宋体"/>
          <w:b/>
          <w:bCs/>
          <w:color w:val="auto"/>
          <w:sz w:val="23"/>
          <w:szCs w:val="23"/>
          <w:highlight w:val="none"/>
        </w:rPr>
        <w:t>分）</w:t>
      </w:r>
    </w:p>
    <w:tbl>
      <w:tblPr>
        <w:tblStyle w:val="3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31"/>
        <w:gridCol w:w="1667"/>
        <w:gridCol w:w="6805"/>
      </w:tblGrid>
      <w:tr w14:paraId="79ABD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atLeast"/>
        </w:trPr>
        <w:tc>
          <w:tcPr>
            <w:tcW w:w="531" w:type="dxa"/>
            <w:noWrap w:val="0"/>
            <w:vAlign w:val="center"/>
          </w:tcPr>
          <w:p w14:paraId="33A0062D">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667" w:type="dxa"/>
            <w:noWrap w:val="0"/>
            <w:vAlign w:val="center"/>
          </w:tcPr>
          <w:p w14:paraId="743E0F47">
            <w:pPr>
              <w:widowControl w:val="0"/>
              <w:spacing w:line="360" w:lineRule="exact"/>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手动门（3分）</w:t>
            </w:r>
          </w:p>
        </w:tc>
        <w:tc>
          <w:tcPr>
            <w:tcW w:w="6805" w:type="dxa"/>
            <w:noWrap w:val="0"/>
            <w:vAlign w:val="top"/>
          </w:tcPr>
          <w:p w14:paraId="2DE1C1E0">
            <w:pPr>
              <w:widowControl w:val="0"/>
              <w:spacing w:line="360" w:lineRule="exact"/>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评委从整体外观、拼缝细节、五金配件等各方面进行综合评审，在0-3(含)分之间进行打分。尺寸不大于500mm*800mm。</w:t>
            </w:r>
          </w:p>
        </w:tc>
      </w:tr>
    </w:tbl>
    <w:p w14:paraId="39D5BA16">
      <w:pPr>
        <w:spacing w:line="324" w:lineRule="auto"/>
        <w:ind w:firstLine="427" w:firstLineChars="185"/>
        <w:jc w:val="both"/>
        <w:rPr>
          <w:rFonts w:hint="eastAsia" w:ascii="宋体" w:hAnsi="宋体" w:eastAsia="宋体" w:cs="宋体"/>
          <w:b/>
          <w:bCs/>
          <w:color w:val="auto"/>
          <w:sz w:val="23"/>
          <w:szCs w:val="23"/>
          <w:highlight w:val="none"/>
          <w:lang w:val="en-US" w:eastAsia="zh-CN"/>
        </w:rPr>
      </w:pPr>
      <w:r>
        <w:rPr>
          <w:rFonts w:hint="eastAsia" w:ascii="宋体" w:hAnsi="宋体" w:eastAsia="宋体" w:cs="宋体"/>
          <w:b/>
          <w:bCs/>
          <w:color w:val="auto"/>
          <w:sz w:val="23"/>
          <w:szCs w:val="23"/>
          <w:highlight w:val="none"/>
          <w:lang w:eastAsia="zh-CN"/>
        </w:rPr>
        <w:t>☑</w:t>
      </w:r>
      <w:r>
        <w:rPr>
          <w:rFonts w:hint="eastAsia" w:ascii="宋体" w:hAnsi="宋体" w:eastAsia="宋体" w:cs="宋体"/>
          <w:b/>
          <w:bCs/>
          <w:color w:val="auto"/>
          <w:sz w:val="23"/>
          <w:szCs w:val="23"/>
          <w:highlight w:val="none"/>
        </w:rPr>
        <w:t>其它</w:t>
      </w:r>
      <w:r>
        <w:rPr>
          <w:rFonts w:hint="eastAsia" w:ascii="宋体" w:hAnsi="宋体" w:eastAsia="宋体" w:cs="宋体"/>
          <w:b/>
          <w:bCs/>
          <w:color w:val="auto"/>
          <w:sz w:val="23"/>
          <w:szCs w:val="23"/>
          <w:highlight w:val="none"/>
          <w:lang w:val="en-US" w:eastAsia="zh-CN"/>
        </w:rPr>
        <w:t>(3分)</w:t>
      </w:r>
    </w:p>
    <w:tbl>
      <w:tblPr>
        <w:tblStyle w:val="31"/>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autofit"/>
        <w:tblCellMar>
          <w:top w:w="0" w:type="dxa"/>
          <w:left w:w="0" w:type="dxa"/>
          <w:bottom w:w="0" w:type="dxa"/>
          <w:right w:w="0" w:type="dxa"/>
        </w:tblCellMar>
      </w:tblPr>
      <w:tblGrid>
        <w:gridCol w:w="534"/>
        <w:gridCol w:w="1322"/>
        <w:gridCol w:w="7229"/>
      </w:tblGrid>
      <w:tr w14:paraId="51813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271B4623">
            <w:pPr>
              <w:keepNext w:val="0"/>
              <w:keepLines w:val="0"/>
              <w:pageBreakBefore w:val="0"/>
              <w:widowControl w:val="0"/>
              <w:kinsoku/>
              <w:wordWrap/>
              <w:overflowPunct/>
              <w:topLinePunct w:val="0"/>
              <w:autoSpaceDE/>
              <w:autoSpaceDN/>
              <w:bidi w:val="0"/>
              <w:adjustRightInd w:val="0"/>
              <w:snapToGrid w:val="0"/>
              <w:spacing w:line="312" w:lineRule="auto"/>
              <w:jc w:val="center"/>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1</w:t>
            </w:r>
          </w:p>
        </w:tc>
        <w:tc>
          <w:tcPr>
            <w:tcW w:w="727"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745B609F">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项目负责人业绩及荣誉</w:t>
            </w:r>
          </w:p>
          <w:p w14:paraId="468861B1">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tc>
        <w:tc>
          <w:tcPr>
            <w:tcW w:w="3977"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665E0520">
            <w:pPr>
              <w:tabs>
                <w:tab w:val="left" w:pos="3060"/>
              </w:tabs>
              <w:spacing w:line="3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本项目拟派项目负责人自2021年</w:t>
            </w:r>
            <w:r>
              <w:rPr>
                <w:rFonts w:hint="eastAsia" w:ascii="宋体" w:hAnsi="宋体" w:cs="宋体"/>
                <w:color w:val="auto"/>
                <w:sz w:val="24"/>
                <w:szCs w:val="24"/>
                <w:highlight w:val="none"/>
                <w:lang w:val="en-US" w:eastAsia="zh-CN"/>
              </w:rPr>
              <w:t>7</w:t>
            </w:r>
            <w:r>
              <w:rPr>
                <w:rFonts w:hint="eastAsia" w:ascii="宋体" w:hAnsi="宋体" w:eastAsia="宋体" w:cs="宋体"/>
                <w:color w:val="auto"/>
                <w:sz w:val="24"/>
                <w:szCs w:val="24"/>
                <w:highlight w:val="none"/>
              </w:rPr>
              <w:t>月1日（时间以合同签订时间为准）至投标截止日止，完成过单项合同金额</w:t>
            </w:r>
            <w:r>
              <w:rPr>
                <w:rFonts w:hint="eastAsia" w:ascii="宋体" w:hAnsi="宋体" w:eastAsia="宋体" w:cs="宋体"/>
                <w:color w:val="auto"/>
                <w:sz w:val="24"/>
                <w:szCs w:val="24"/>
                <w:highlight w:val="none"/>
                <w:lang w:val="en-US" w:eastAsia="zh-CN"/>
              </w:rPr>
              <w:t>300</w:t>
            </w:r>
            <w:r>
              <w:rPr>
                <w:rFonts w:hint="eastAsia" w:ascii="宋体" w:hAnsi="宋体" w:eastAsia="宋体" w:cs="宋体"/>
                <w:color w:val="auto"/>
                <w:sz w:val="24"/>
                <w:szCs w:val="24"/>
                <w:highlight w:val="none"/>
              </w:rPr>
              <w:t>0万元</w:t>
            </w:r>
            <w:r>
              <w:rPr>
                <w:rFonts w:hint="eastAsia" w:ascii="宋体" w:hAnsi="宋体" w:eastAsia="宋体" w:cs="宋体"/>
                <w:color w:val="auto"/>
                <w:sz w:val="24"/>
                <w:szCs w:val="24"/>
                <w:highlight w:val="none"/>
                <w:lang w:val="en-US" w:eastAsia="zh-CN"/>
              </w:rPr>
              <w:t>及以上</w:t>
            </w:r>
            <w:r>
              <w:rPr>
                <w:rFonts w:hint="eastAsia" w:ascii="宋体" w:hAnsi="宋体" w:eastAsia="宋体" w:cs="宋体"/>
                <w:color w:val="auto"/>
                <w:sz w:val="24"/>
                <w:szCs w:val="24"/>
                <w:highlight w:val="none"/>
              </w:rPr>
              <w:t>医用净化工程实施业绩的，每项业绩得</w:t>
            </w:r>
            <w:r>
              <w:rPr>
                <w:rFonts w:hint="eastAsia" w:ascii="宋体" w:hAnsi="宋体" w:eastAsia="宋体" w:cs="宋体"/>
                <w:b/>
                <w:bCs/>
                <w:color w:val="auto"/>
                <w:sz w:val="24"/>
                <w:szCs w:val="24"/>
                <w:highlight w:val="none"/>
                <w:lang w:val="en-US" w:eastAsia="zh-CN"/>
              </w:rPr>
              <w:t>1.5分</w:t>
            </w:r>
            <w:r>
              <w:rPr>
                <w:rFonts w:hint="eastAsia" w:ascii="宋体" w:hAnsi="宋体" w:eastAsia="宋体" w:cs="宋体"/>
                <w:color w:val="auto"/>
                <w:sz w:val="24"/>
                <w:szCs w:val="24"/>
                <w:highlight w:val="none"/>
              </w:rPr>
              <w:t>。</w:t>
            </w:r>
          </w:p>
          <w:p w14:paraId="1DE30731">
            <w:pPr>
              <w:tabs>
                <w:tab w:val="left" w:pos="3060"/>
              </w:tabs>
              <w:spacing w:line="360" w:lineRule="exact"/>
              <w:rPr>
                <w:rFonts w:hint="eastAsia" w:ascii="宋体" w:hAnsi="宋体" w:eastAsia="宋体" w:cs="宋体"/>
                <w:strike/>
                <w:dstrike w:val="0"/>
                <w:color w:val="auto"/>
                <w:sz w:val="24"/>
                <w:szCs w:val="24"/>
                <w:highlight w:val="none"/>
                <w:lang w:val="en-US" w:eastAsia="zh-CN"/>
              </w:rPr>
            </w:pPr>
            <w:r>
              <w:rPr>
                <w:rFonts w:hint="eastAsia" w:ascii="宋体" w:hAnsi="宋体" w:eastAsia="宋体" w:cs="宋体"/>
                <w:color w:val="auto"/>
                <w:sz w:val="24"/>
                <w:szCs w:val="24"/>
                <w:highlight w:val="none"/>
              </w:rPr>
              <w:t>本项最多提供</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个业绩，最高得</w:t>
            </w:r>
            <w:r>
              <w:rPr>
                <w:rFonts w:hint="eastAsia" w:ascii="宋体" w:hAnsi="宋体" w:eastAsia="宋体" w:cs="宋体"/>
                <w:color w:val="auto"/>
                <w:sz w:val="24"/>
                <w:szCs w:val="24"/>
                <w:highlight w:val="none"/>
                <w:lang w:val="en-US" w:eastAsia="zh-CN"/>
              </w:rPr>
              <w:t>1.5分</w:t>
            </w:r>
            <w:r>
              <w:rPr>
                <w:rFonts w:hint="eastAsia" w:ascii="宋体" w:hAnsi="宋体" w:eastAsia="宋体" w:cs="宋体"/>
                <w:color w:val="auto"/>
                <w:sz w:val="24"/>
                <w:szCs w:val="24"/>
                <w:highlight w:val="none"/>
              </w:rPr>
              <w:t>。</w:t>
            </w:r>
          </w:p>
          <w:p w14:paraId="451462F4">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2" w:firstLineChars="200"/>
              <w:jc w:val="both"/>
              <w:textAlignment w:val="baseline"/>
              <w:rPr>
                <w:rFonts w:hint="eastAsia" w:ascii="宋体" w:hAnsi="宋体" w:eastAsia="宋体" w:cs="宋体"/>
                <w:b w:val="0"/>
                <w:bCs w:val="0"/>
                <w:color w:val="auto"/>
                <w:sz w:val="24"/>
                <w:szCs w:val="24"/>
                <w:highlight w:val="none"/>
                <w:lang w:eastAsia="zh-CN"/>
              </w:rPr>
            </w:pPr>
            <w:r>
              <w:rPr>
                <w:rFonts w:hint="eastAsia" w:ascii="宋体" w:hAnsi="宋体" w:eastAsia="宋体" w:cs="宋体"/>
                <w:b/>
                <w:bCs/>
                <w:color w:val="auto"/>
                <w:sz w:val="24"/>
                <w:szCs w:val="24"/>
                <w:highlight w:val="none"/>
              </w:rPr>
              <w:t>业绩证明材料：</w:t>
            </w:r>
            <w:r>
              <w:rPr>
                <w:rFonts w:hint="eastAsia" w:ascii="宋体" w:hAnsi="宋体" w:eastAsia="宋体" w:cs="宋体"/>
                <w:b w:val="0"/>
                <w:bCs w:val="0"/>
                <w:color w:val="auto"/>
                <w:sz w:val="24"/>
                <w:szCs w:val="24"/>
                <w:highlight w:val="none"/>
              </w:rPr>
              <w:t>（1）必须同时提供中标通知书</w:t>
            </w:r>
            <w:r>
              <w:rPr>
                <w:rFonts w:hint="eastAsia" w:ascii="宋体" w:hAnsi="宋体" w:eastAsia="宋体" w:cs="宋体"/>
                <w:b/>
                <w:bCs/>
                <w:color w:val="auto"/>
                <w:sz w:val="24"/>
                <w:szCs w:val="24"/>
                <w:highlight w:val="none"/>
                <w:u w:val="single"/>
                <w:lang w:eastAsia="zh-CN"/>
              </w:rPr>
              <w:t>(经县级、区级及以上招投标监管部门核备)或县级、区级及以上公共资源交易中心网站(含政府采购网)发布的中标公示官网截图</w:t>
            </w:r>
            <w:r>
              <w:rPr>
                <w:rFonts w:hint="eastAsia" w:ascii="宋体" w:hAnsi="宋体" w:eastAsia="宋体" w:cs="宋体"/>
                <w:b w:val="0"/>
                <w:bCs w:val="0"/>
                <w:color w:val="auto"/>
                <w:sz w:val="24"/>
                <w:szCs w:val="24"/>
                <w:highlight w:val="none"/>
              </w:rPr>
              <w:t>、合同（须体现项目负责人名字）、</w:t>
            </w:r>
            <w:r>
              <w:rPr>
                <w:rFonts w:hint="eastAsia" w:ascii="宋体" w:hAnsi="宋体" w:eastAsia="宋体" w:cs="宋体"/>
                <w:b w:val="0"/>
                <w:bCs w:val="0"/>
                <w:color w:val="auto"/>
                <w:sz w:val="24"/>
                <w:szCs w:val="24"/>
                <w:highlight w:val="none"/>
                <w:lang w:eastAsia="zh-CN"/>
              </w:rPr>
              <w:t>单项（或整体）</w:t>
            </w:r>
            <w:r>
              <w:rPr>
                <w:rFonts w:hint="eastAsia" w:ascii="宋体" w:hAnsi="宋体" w:eastAsia="宋体" w:cs="宋体"/>
                <w:b w:val="0"/>
                <w:bCs w:val="0"/>
                <w:color w:val="auto"/>
                <w:sz w:val="24"/>
                <w:szCs w:val="24"/>
                <w:highlight w:val="none"/>
              </w:rPr>
              <w:t>验收证</w:t>
            </w:r>
            <w:r>
              <w:rPr>
                <w:rFonts w:hint="eastAsia" w:ascii="宋体" w:hAnsi="宋体" w:eastAsia="宋体" w:cs="宋体"/>
                <w:b w:val="0"/>
                <w:bCs w:val="0"/>
                <w:color w:val="auto"/>
                <w:sz w:val="24"/>
                <w:szCs w:val="24"/>
                <w:highlight w:val="none"/>
                <w:lang w:val="en-US" w:eastAsia="zh-CN"/>
              </w:rPr>
              <w:t>明材料</w:t>
            </w:r>
            <w:r>
              <w:rPr>
                <w:rFonts w:hint="eastAsia" w:ascii="宋体" w:hAnsi="宋体" w:eastAsia="宋体" w:cs="宋体"/>
                <w:b w:val="0"/>
                <w:bCs w:val="0"/>
                <w:color w:val="auto"/>
                <w:sz w:val="24"/>
                <w:szCs w:val="24"/>
                <w:highlight w:val="none"/>
              </w:rPr>
              <w:t>复印件加盖投标人公章，若缺其中任何一项则业绩不予认可（</w:t>
            </w:r>
            <w:r>
              <w:rPr>
                <w:rFonts w:hint="eastAsia" w:ascii="宋体" w:hAnsi="宋体" w:eastAsia="宋体" w:cs="宋体"/>
                <w:b w:val="0"/>
                <w:bCs w:val="0"/>
                <w:color w:val="auto"/>
                <w:sz w:val="24"/>
                <w:szCs w:val="24"/>
                <w:highlight w:val="none"/>
                <w:lang w:val="en-US" w:eastAsia="zh-CN"/>
              </w:rPr>
              <w:t>业绩</w:t>
            </w:r>
            <w:r>
              <w:rPr>
                <w:rFonts w:hint="eastAsia" w:ascii="宋体" w:hAnsi="宋体" w:eastAsia="宋体" w:cs="宋体"/>
                <w:b w:val="0"/>
                <w:bCs w:val="0"/>
                <w:color w:val="auto"/>
                <w:sz w:val="24"/>
                <w:szCs w:val="24"/>
                <w:highlight w:val="none"/>
              </w:rPr>
              <w:t>时间以</w:t>
            </w:r>
            <w:r>
              <w:rPr>
                <w:rFonts w:hint="eastAsia" w:ascii="宋体" w:hAnsi="宋体" w:eastAsia="宋体" w:cs="宋体"/>
                <w:b/>
                <w:bCs/>
                <w:strike w:val="0"/>
                <w:dstrike w:val="0"/>
                <w:color w:val="auto"/>
                <w:sz w:val="24"/>
                <w:szCs w:val="24"/>
                <w:highlight w:val="none"/>
                <w:lang w:val="en-US" w:eastAsia="zh-CN"/>
              </w:rPr>
              <w:t>合同签订</w:t>
            </w:r>
            <w:r>
              <w:rPr>
                <w:rFonts w:hint="eastAsia" w:ascii="宋体" w:hAnsi="宋体" w:eastAsia="宋体" w:cs="宋体"/>
                <w:b w:val="0"/>
                <w:bCs w:val="0"/>
                <w:color w:val="auto"/>
                <w:sz w:val="24"/>
                <w:szCs w:val="24"/>
                <w:highlight w:val="none"/>
              </w:rPr>
              <w:t>的日期为准</w:t>
            </w:r>
            <w:r>
              <w:rPr>
                <w:rFonts w:hint="eastAsia" w:ascii="宋体" w:hAnsi="宋体" w:eastAsia="宋体" w:cs="宋体"/>
                <w:b w:val="0"/>
                <w:bCs w:val="0"/>
                <w:color w:val="auto"/>
                <w:sz w:val="24"/>
                <w:szCs w:val="24"/>
                <w:highlight w:val="none"/>
                <w:lang w:eastAsia="zh-CN"/>
              </w:rPr>
              <w:t>，业绩金额以合同金额为准</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eastAsia="zh-CN"/>
              </w:rPr>
              <w:t>。</w:t>
            </w:r>
          </w:p>
          <w:p w14:paraId="789E5D05">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提供的业绩证明材料须能清晰的表明投标人名称、合同金额、时间等需要明示的内容，否则不予认可。投标资格证明</w:t>
            </w:r>
            <w:r>
              <w:rPr>
                <w:rFonts w:hint="eastAsia" w:ascii="宋体" w:hAnsi="宋体" w:eastAsia="宋体" w:cs="宋体"/>
                <w:b w:val="0"/>
                <w:bCs w:val="0"/>
                <w:color w:val="auto"/>
                <w:sz w:val="24"/>
                <w:szCs w:val="24"/>
                <w:highlight w:val="none"/>
                <w:lang w:eastAsia="zh-CN"/>
              </w:rPr>
              <w:t>、业绩评分</w:t>
            </w:r>
            <w:r>
              <w:rPr>
                <w:rFonts w:hint="eastAsia" w:ascii="宋体" w:hAnsi="宋体" w:eastAsia="宋体" w:cs="宋体"/>
                <w:b w:val="0"/>
                <w:bCs w:val="0"/>
                <w:color w:val="auto"/>
                <w:sz w:val="24"/>
                <w:szCs w:val="24"/>
                <w:highlight w:val="none"/>
              </w:rPr>
              <w:t>中的业绩可以作为本项计分业绩。</w:t>
            </w:r>
            <w:r>
              <w:rPr>
                <w:rFonts w:hint="eastAsia" w:ascii="宋体" w:hAnsi="宋体" w:eastAsia="宋体" w:cs="宋体"/>
                <w:b w:val="0"/>
                <w:bCs w:val="0"/>
                <w:color w:val="auto"/>
                <w:sz w:val="24"/>
                <w:szCs w:val="24"/>
                <w:highlight w:val="none"/>
                <w:lang w:val="en-US" w:eastAsia="zh-CN"/>
              </w:rPr>
              <w:t xml:space="preserve"> </w:t>
            </w:r>
          </w:p>
          <w:p w14:paraId="558EF736">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注：①、</w:t>
            </w:r>
            <w:r>
              <w:rPr>
                <w:rFonts w:hint="eastAsia" w:ascii="宋体" w:hAnsi="宋体" w:eastAsia="宋体" w:cs="宋体"/>
                <w:b w:val="0"/>
                <w:bCs w:val="0"/>
                <w:color w:val="auto"/>
                <w:sz w:val="24"/>
                <w:szCs w:val="24"/>
                <w:highlight w:val="none"/>
              </w:rPr>
              <w:t>投标文件中的提供的相关证明材料必须能反映资格审查项的相关项目规模，否则不予认可；</w:t>
            </w:r>
          </w:p>
          <w:p w14:paraId="62F74DB7">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②、</w:t>
            </w:r>
            <w:r>
              <w:rPr>
                <w:rFonts w:hint="eastAsia" w:ascii="宋体" w:hAnsi="宋体" w:eastAsia="宋体" w:cs="宋体"/>
                <w:b w:val="0"/>
                <w:bCs w:val="0"/>
                <w:color w:val="auto"/>
                <w:sz w:val="24"/>
                <w:szCs w:val="24"/>
                <w:highlight w:val="none"/>
              </w:rPr>
              <w:t>投标人</w:t>
            </w:r>
            <w:r>
              <w:rPr>
                <w:rFonts w:hint="eastAsia" w:ascii="宋体" w:hAnsi="宋体" w:eastAsia="宋体" w:cs="宋体"/>
                <w:b w:val="0"/>
                <w:bCs w:val="0"/>
                <w:color w:val="auto"/>
                <w:sz w:val="24"/>
                <w:szCs w:val="24"/>
                <w:highlight w:val="none"/>
                <w:lang w:val="en-US" w:eastAsia="zh-CN"/>
              </w:rPr>
              <w:t>提供的业绩如果为</w:t>
            </w:r>
            <w:r>
              <w:rPr>
                <w:rFonts w:hint="eastAsia" w:ascii="宋体" w:hAnsi="宋体" w:eastAsia="宋体" w:cs="宋体"/>
                <w:b w:val="0"/>
                <w:bCs w:val="0"/>
                <w:color w:val="auto"/>
                <w:sz w:val="24"/>
                <w:szCs w:val="24"/>
                <w:highlight w:val="none"/>
              </w:rPr>
              <w:t>总承包合同，其中应包含</w:t>
            </w:r>
            <w:r>
              <w:rPr>
                <w:rFonts w:hint="eastAsia" w:ascii="宋体" w:hAnsi="宋体" w:eastAsia="宋体" w:cs="宋体"/>
                <w:b w:val="0"/>
                <w:bCs w:val="0"/>
                <w:color w:val="auto"/>
                <w:sz w:val="24"/>
                <w:szCs w:val="24"/>
                <w:highlight w:val="none"/>
                <w:lang w:val="en-US" w:eastAsia="zh-CN"/>
              </w:rPr>
              <w:t>相应金额</w:t>
            </w:r>
            <w:r>
              <w:rPr>
                <w:rFonts w:hint="eastAsia" w:ascii="宋体" w:hAnsi="宋体" w:eastAsia="宋体" w:cs="宋体"/>
                <w:b w:val="0"/>
                <w:bCs w:val="0"/>
                <w:color w:val="auto"/>
                <w:sz w:val="24"/>
                <w:szCs w:val="24"/>
                <w:highlight w:val="none"/>
              </w:rPr>
              <w:t>的</w:t>
            </w:r>
            <w:r>
              <w:rPr>
                <w:rFonts w:hint="eastAsia" w:ascii="宋体" w:hAnsi="宋体" w:eastAsia="宋体" w:cs="宋体"/>
                <w:b w:val="0"/>
                <w:bCs w:val="0"/>
                <w:color w:val="auto"/>
                <w:sz w:val="24"/>
                <w:szCs w:val="24"/>
                <w:highlight w:val="none"/>
                <w:lang w:val="en-US" w:eastAsia="zh-CN"/>
              </w:rPr>
              <w:t>医用净化工程</w:t>
            </w:r>
            <w:r>
              <w:rPr>
                <w:rFonts w:hint="eastAsia" w:ascii="宋体" w:hAnsi="宋体" w:eastAsia="宋体" w:cs="宋体"/>
                <w:b w:val="0"/>
                <w:bCs w:val="0"/>
                <w:color w:val="auto"/>
                <w:sz w:val="24"/>
                <w:szCs w:val="24"/>
                <w:highlight w:val="none"/>
              </w:rPr>
              <w:t>分部分项工程，还须提供业绩金额证明材料</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即</w:t>
            </w:r>
            <w:r>
              <w:rPr>
                <w:rFonts w:hint="eastAsia" w:ascii="宋体" w:hAnsi="宋体" w:eastAsia="宋体" w:cs="宋体"/>
                <w:b w:val="0"/>
                <w:bCs w:val="0"/>
                <w:color w:val="auto"/>
                <w:sz w:val="24"/>
                <w:szCs w:val="24"/>
                <w:highlight w:val="none"/>
              </w:rPr>
              <w:t>经建设单位、</w:t>
            </w:r>
            <w:r>
              <w:rPr>
                <w:rFonts w:hint="eastAsia" w:ascii="宋体" w:hAnsi="宋体" w:eastAsia="宋体" w:cs="宋体"/>
                <w:b w:val="0"/>
                <w:bCs w:val="0"/>
                <w:color w:val="auto"/>
                <w:sz w:val="24"/>
                <w:szCs w:val="24"/>
                <w:highlight w:val="none"/>
                <w:lang w:val="en-US" w:eastAsia="zh-CN"/>
              </w:rPr>
              <w:t>承包</w:t>
            </w:r>
            <w:r>
              <w:rPr>
                <w:rFonts w:hint="eastAsia" w:ascii="宋体" w:hAnsi="宋体" w:eastAsia="宋体" w:cs="宋体"/>
                <w:b w:val="0"/>
                <w:bCs w:val="0"/>
                <w:color w:val="auto"/>
                <w:sz w:val="24"/>
                <w:szCs w:val="24"/>
                <w:highlight w:val="none"/>
              </w:rPr>
              <w:t>单位、</w:t>
            </w:r>
            <w:r>
              <w:rPr>
                <w:rFonts w:hint="eastAsia" w:ascii="宋体" w:hAnsi="宋体" w:eastAsia="宋体" w:cs="宋体"/>
                <w:b w:val="0"/>
                <w:bCs w:val="0"/>
                <w:color w:val="auto"/>
                <w:sz w:val="24"/>
                <w:szCs w:val="24"/>
                <w:highlight w:val="none"/>
                <w:lang w:val="en-US" w:eastAsia="zh-CN"/>
              </w:rPr>
              <w:t>审标单位</w:t>
            </w:r>
            <w:r>
              <w:rPr>
                <w:rFonts w:hint="eastAsia" w:ascii="宋体" w:hAnsi="宋体" w:eastAsia="宋体" w:cs="宋体"/>
                <w:b w:val="0"/>
                <w:bCs w:val="0"/>
                <w:color w:val="auto"/>
                <w:sz w:val="24"/>
                <w:szCs w:val="24"/>
                <w:highlight w:val="none"/>
              </w:rPr>
              <w:t>三方盖章的分部分项汇总表</w:t>
            </w: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rPr>
              <w:t>，同时提供工程所在地建设行政主管部门出具的</w:t>
            </w:r>
            <w:r>
              <w:rPr>
                <w:rFonts w:hint="eastAsia" w:ascii="宋体" w:hAnsi="宋体" w:eastAsia="宋体" w:cs="宋体"/>
                <w:b w:val="0"/>
                <w:bCs w:val="0"/>
                <w:color w:val="auto"/>
                <w:sz w:val="24"/>
                <w:szCs w:val="24"/>
                <w:highlight w:val="none"/>
                <w:lang w:val="en-US" w:eastAsia="zh-CN"/>
              </w:rPr>
              <w:t>医用净化工程</w:t>
            </w:r>
            <w:r>
              <w:rPr>
                <w:rFonts w:hint="eastAsia" w:ascii="宋体" w:hAnsi="宋体" w:eastAsia="宋体" w:cs="宋体"/>
                <w:b w:val="0"/>
                <w:bCs w:val="0"/>
                <w:color w:val="auto"/>
                <w:sz w:val="24"/>
                <w:szCs w:val="24"/>
                <w:highlight w:val="none"/>
              </w:rPr>
              <w:t>无分包证明</w:t>
            </w:r>
            <w:r>
              <w:rPr>
                <w:rFonts w:hint="eastAsia" w:ascii="宋体" w:hAnsi="宋体" w:eastAsia="宋体" w:cs="宋体"/>
                <w:b w:val="0"/>
                <w:bCs w:val="0"/>
                <w:color w:val="auto"/>
                <w:sz w:val="24"/>
                <w:szCs w:val="24"/>
                <w:highlight w:val="none"/>
                <w:lang w:val="en-US" w:eastAsia="zh-CN"/>
              </w:rPr>
              <w:t>或四库一平台中项目信息截图</w:t>
            </w:r>
            <w:r>
              <w:rPr>
                <w:rFonts w:hint="eastAsia" w:ascii="宋体" w:hAnsi="宋体" w:eastAsia="宋体" w:cs="宋体"/>
                <w:b w:val="0"/>
                <w:bCs w:val="0"/>
                <w:color w:val="auto"/>
                <w:sz w:val="24"/>
                <w:szCs w:val="24"/>
                <w:highlight w:val="none"/>
              </w:rPr>
              <w:t>，否则不予认可；</w:t>
            </w:r>
          </w:p>
          <w:p w14:paraId="2664EEA9">
            <w:pPr>
              <w:keepNext w:val="0"/>
              <w:keepLines w:val="0"/>
              <w:pageBreakBefore w:val="0"/>
              <w:widowControl/>
              <w:numPr>
                <w:ilvl w:val="0"/>
                <w:numId w:val="0"/>
              </w:numPr>
              <w:kinsoku w:val="0"/>
              <w:wordWrap/>
              <w:overflowPunct/>
              <w:topLinePunct w:val="0"/>
              <w:autoSpaceDE w:val="0"/>
              <w:autoSpaceDN w:val="0"/>
              <w:bidi w:val="0"/>
              <w:adjustRightInd w:val="0"/>
              <w:snapToGrid w:val="0"/>
              <w:spacing w:line="312" w:lineRule="auto"/>
              <w:ind w:right="0" w:rightChars="0" w:firstLine="480" w:firstLineChars="200"/>
              <w:jc w:val="both"/>
              <w:textAlignment w:val="baseline"/>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③、</w:t>
            </w:r>
            <w:r>
              <w:rPr>
                <w:rFonts w:hint="eastAsia" w:ascii="宋体" w:hAnsi="宋体" w:eastAsia="宋体" w:cs="宋体"/>
                <w:b w:val="0"/>
                <w:bCs w:val="0"/>
                <w:color w:val="auto"/>
                <w:sz w:val="24"/>
                <w:szCs w:val="24"/>
                <w:highlight w:val="none"/>
              </w:rPr>
              <w:t>总承包单位、专业分包单位（含二次招标）以同一项目业绩参与本项目投标的，结合上述业绩证明材料要求，根据投标人提供的资料，经专家评定后确定实际施工</w:t>
            </w:r>
            <w:r>
              <w:rPr>
                <w:rFonts w:hint="eastAsia" w:ascii="宋体" w:hAnsi="宋体" w:eastAsia="宋体" w:cs="宋体"/>
                <w:b w:val="0"/>
                <w:bCs w:val="0"/>
                <w:color w:val="auto"/>
                <w:sz w:val="24"/>
                <w:szCs w:val="24"/>
                <w:highlight w:val="none"/>
                <w:lang w:val="en-US" w:eastAsia="zh-CN"/>
              </w:rPr>
              <w:t>单位</w:t>
            </w:r>
            <w:r>
              <w:rPr>
                <w:rFonts w:hint="eastAsia" w:ascii="宋体" w:hAnsi="宋体" w:eastAsia="宋体" w:cs="宋体"/>
                <w:b w:val="0"/>
                <w:bCs w:val="0"/>
                <w:color w:val="auto"/>
                <w:sz w:val="24"/>
                <w:szCs w:val="24"/>
                <w:highlight w:val="none"/>
              </w:rPr>
              <w:t>身份。</w:t>
            </w:r>
          </w:p>
        </w:tc>
      </w:tr>
      <w:tr w14:paraId="7BE5CB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0" w:type="dxa"/>
            <w:left w:w="0" w:type="dxa"/>
            <w:bottom w:w="0" w:type="dxa"/>
            <w:right w:w="0" w:type="dxa"/>
          </w:tblCellMar>
        </w:tblPrEx>
        <w:trPr>
          <w:jc w:val="center"/>
        </w:trPr>
        <w:tc>
          <w:tcPr>
            <w:tcW w:w="294" w:type="pct"/>
            <w:tcBorders>
              <w:left w:val="single" w:color="auto" w:sz="4" w:space="0"/>
              <w:right w:val="single" w:color="auto" w:sz="4" w:space="0"/>
            </w:tcBorders>
            <w:shd w:val="clear" w:color="auto" w:fill="FFFFFF"/>
            <w:noWrap w:val="0"/>
            <w:tcMar>
              <w:top w:w="0" w:type="dxa"/>
              <w:left w:w="108" w:type="dxa"/>
              <w:bottom w:w="0" w:type="dxa"/>
              <w:right w:w="108" w:type="dxa"/>
            </w:tcMar>
            <w:vAlign w:val="center"/>
          </w:tcPr>
          <w:p w14:paraId="025A4280">
            <w:pPr>
              <w:keepNext w:val="0"/>
              <w:keepLines w:val="0"/>
              <w:pageBreakBefore w:val="0"/>
              <w:widowControl w:val="0"/>
              <w:kinsoku/>
              <w:wordWrap/>
              <w:overflowPunct/>
              <w:topLinePunct w:val="0"/>
              <w:autoSpaceDE/>
              <w:autoSpaceDN/>
              <w:bidi w:val="0"/>
              <w:adjustRightInd w:val="0"/>
              <w:snapToGrid w:val="0"/>
              <w:spacing w:line="312" w:lineRule="auto"/>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2</w:t>
            </w:r>
          </w:p>
        </w:tc>
        <w:tc>
          <w:tcPr>
            <w:tcW w:w="727" w:type="pct"/>
            <w:tcBorders>
              <w:left w:val="single" w:color="auto" w:sz="4" w:space="0"/>
              <w:right w:val="single" w:color="auto" w:sz="4" w:space="0"/>
            </w:tcBorders>
            <w:shd w:val="clear" w:color="000000" w:fill="FFFFFF"/>
            <w:noWrap w:val="0"/>
            <w:tcMar>
              <w:top w:w="0" w:type="dxa"/>
              <w:left w:w="108" w:type="dxa"/>
              <w:bottom w:w="0" w:type="dxa"/>
              <w:right w:w="108" w:type="dxa"/>
            </w:tcMar>
            <w:vAlign w:val="center"/>
          </w:tcPr>
          <w:p w14:paraId="1D1630B3">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企业认证体系</w:t>
            </w:r>
          </w:p>
          <w:p w14:paraId="5F8D85D7">
            <w:pPr>
              <w:spacing w:line="319"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lang w:val="en-US" w:eastAsia="zh-CN"/>
              </w:rPr>
              <w:t>分）</w:t>
            </w:r>
          </w:p>
        </w:tc>
        <w:tc>
          <w:tcPr>
            <w:tcW w:w="3977" w:type="pct"/>
            <w:tcBorders>
              <w:top w:val="single" w:color="auto" w:sz="4" w:space="0"/>
              <w:left w:val="single" w:color="auto" w:sz="4" w:space="0"/>
              <w:bottom w:val="single" w:color="auto" w:sz="4" w:space="0"/>
              <w:right w:val="single" w:color="auto" w:sz="4" w:space="0"/>
            </w:tcBorders>
            <w:shd w:val="clear" w:color="000000" w:fill="FFFFFF"/>
            <w:noWrap w:val="0"/>
            <w:tcMar>
              <w:top w:w="0" w:type="dxa"/>
              <w:left w:w="108" w:type="dxa"/>
              <w:bottom w:w="0" w:type="dxa"/>
              <w:right w:w="108" w:type="dxa"/>
            </w:tcMar>
            <w:vAlign w:val="center"/>
          </w:tcPr>
          <w:p w14:paraId="5C3328CB">
            <w:pPr>
              <w:spacing w:line="360" w:lineRule="exact"/>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投标人具有有效期内的环境管理体系认证、质量管理体系认证证书每有一个得 </w:t>
            </w:r>
            <w:r>
              <w:rPr>
                <w:rFonts w:hint="eastAsia" w:ascii="宋体" w:hAnsi="宋体" w:cs="宋体"/>
                <w:color w:val="auto"/>
                <w:sz w:val="24"/>
                <w:szCs w:val="24"/>
                <w:highlight w:val="none"/>
                <w:lang w:val="en-US" w:eastAsia="zh-CN"/>
              </w:rPr>
              <w:t>0.75</w:t>
            </w:r>
            <w:r>
              <w:rPr>
                <w:rFonts w:hint="eastAsia" w:ascii="宋体" w:hAnsi="宋体" w:eastAsia="宋体" w:cs="宋体"/>
                <w:color w:val="auto"/>
                <w:sz w:val="24"/>
                <w:szCs w:val="24"/>
                <w:highlight w:val="none"/>
              </w:rPr>
              <w:t>分，最多得</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分。</w:t>
            </w:r>
          </w:p>
          <w:p w14:paraId="721E4432">
            <w:pPr>
              <w:spacing w:line="360" w:lineRule="exact"/>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注：</w:t>
            </w:r>
            <w:r>
              <w:rPr>
                <w:rFonts w:hint="eastAsia" w:ascii="宋体" w:hAnsi="宋体" w:eastAsia="宋体" w:cs="宋体"/>
                <w:color w:val="auto"/>
                <w:sz w:val="24"/>
                <w:szCs w:val="24"/>
                <w:highlight w:val="none"/>
                <w:lang w:val="en-US" w:eastAsia="zh-CN"/>
              </w:rPr>
              <w:t>投标文件中提供相关证书扫描件加盖投标单位公章和全国认证认可信息公共服务平台</w:t>
            </w:r>
            <w:r>
              <w:rPr>
                <w:rFonts w:hint="eastAsia" w:ascii="宋体" w:hAnsi="宋体" w:eastAsia="宋体" w:cs="宋体"/>
                <w:color w:val="auto"/>
                <w:sz w:val="24"/>
                <w:szCs w:val="24"/>
                <w:highlight w:val="none"/>
              </w:rPr>
              <w:t>http://cx.cnca.cn/CertECloud/index/index/page 查询结果截图，未提供相应证书、查询结果截图的，相应得分项不得分。</w:t>
            </w:r>
          </w:p>
        </w:tc>
      </w:tr>
    </w:tbl>
    <w:p w14:paraId="1F6BE788">
      <w:pPr>
        <w:spacing w:line="324" w:lineRule="auto"/>
        <w:ind w:firstLine="425" w:firstLineChars="185"/>
        <w:jc w:val="both"/>
        <w:rPr>
          <w:rFonts w:hint="default" w:ascii="宋体" w:hAnsi="宋体" w:eastAsia="宋体" w:cs="宋体"/>
          <w:color w:val="auto"/>
          <w:sz w:val="23"/>
          <w:szCs w:val="23"/>
          <w:highlight w:val="none"/>
          <w:lang w:val="en-US" w:eastAsia="zh-CN"/>
        </w:rPr>
      </w:pPr>
    </w:p>
    <w:p w14:paraId="12EDC4B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(四)投标文件的商务标评审</w:t>
      </w:r>
    </w:p>
    <w:p w14:paraId="15D8914B">
      <w:pPr>
        <w:spacing w:line="324" w:lineRule="auto"/>
        <w:ind w:firstLine="49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1.由评标委员会全体成员对投标文件的报价进行评审。评标专家应对报价的范围、数量、单价、费用组成和总价等进行全面审阅和对比分析，找出报价差异的原因及存在的问题。</w:t>
      </w:r>
    </w:p>
    <w:p w14:paraId="67E48039">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2.报价评审应以报价口径范围一致的投标评标价为依据。投标评标价应在最终报价的基础上，按照招标文件约定的因素和方法进行计算。</w:t>
      </w:r>
    </w:p>
    <w:p w14:paraId="75AF5565">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评标基准价由评标委员会依据下述方法计算，除计算差错外，确认后的评标基准价在本次招标期间保持不变。计算差错，仅限于以下两种情况：(1)纯算术性四则运算差错；(2)未按约定的计算方法，多计或者少计投标人报价的。由于评标差错，导致否决投标错误，重新评标纠正等其他情况，不属于计算差错。</w:t>
      </w:r>
    </w:p>
    <w:p w14:paraId="43192C3C">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4.报价评分</w:t>
      </w:r>
      <w:r>
        <w:rPr>
          <w:rFonts w:hint="eastAsia" w:ascii="宋体" w:hAnsi="宋体" w:eastAsia="宋体" w:cs="宋体"/>
          <w:b/>
          <w:bCs/>
          <w:color w:val="auto"/>
          <w:sz w:val="23"/>
          <w:szCs w:val="23"/>
          <w:highlight w:val="none"/>
        </w:rPr>
        <w:t>(</w:t>
      </w:r>
      <w:r>
        <w:rPr>
          <w:rFonts w:hint="eastAsia" w:ascii="宋体" w:hAnsi="宋体" w:eastAsia="宋体" w:cs="宋体"/>
          <w:b/>
          <w:bCs/>
          <w:color w:val="auto"/>
          <w:sz w:val="23"/>
          <w:szCs w:val="23"/>
          <w:highlight w:val="none"/>
          <w:lang w:val="en-US" w:eastAsia="zh-CN"/>
        </w:rPr>
        <w:t>37</w:t>
      </w:r>
      <w:r>
        <w:rPr>
          <w:rFonts w:hint="eastAsia" w:ascii="宋体" w:hAnsi="宋体" w:eastAsia="宋体" w:cs="宋体"/>
          <w:b/>
          <w:bCs/>
          <w:color w:val="auto"/>
          <w:sz w:val="23"/>
          <w:szCs w:val="23"/>
          <w:highlight w:val="none"/>
        </w:rPr>
        <w:t>分)</w:t>
      </w:r>
    </w:p>
    <w:p w14:paraId="3C8CC8F5">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bookmarkStart w:id="47" w:name="_Toc23267"/>
      <w:r>
        <w:rPr>
          <w:rFonts w:hint="eastAsia" w:ascii="宋体" w:hAnsi="宋体" w:eastAsia="宋体" w:cs="宋体"/>
          <w:color w:val="auto"/>
          <w:sz w:val="23"/>
          <w:szCs w:val="23"/>
          <w:highlight w:val="none"/>
          <w:lang w:val="en-US" w:eastAsia="zh-CN"/>
        </w:rPr>
        <w:t>平均价法（方法一）</w:t>
      </w:r>
    </w:p>
    <w:p w14:paraId="2A2F85A2">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(1)评分范围：通过符合性审查的所有投标文件进入评分范围。</w:t>
      </w:r>
    </w:p>
    <w:p w14:paraId="0727B1DC">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(2)评标基准价：进入评分范围的投标评标价的算术平均值为评标基准价(其中，</w:t>
      </w:r>
    </w:p>
    <w:p w14:paraId="4D9065E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投标评标价在5个至7个时，去除一个最高价和一个最低价；投标评标价在8个及以上时，去除一个最高、次高价和一个最低、次低价)。</w:t>
      </w:r>
    </w:p>
    <w:p w14:paraId="0BB1BC33">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(3)根据投标文件的投标评标价与评标基准价对比，计算投标人的商务报价的得分值。</w:t>
      </w:r>
    </w:p>
    <w:p w14:paraId="13B2935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即：</w:t>
      </w:r>
    </w:p>
    <w:p w14:paraId="2ACCC006">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a.投标评标价等于评标基准价时，得满分(37分)；</w:t>
      </w:r>
    </w:p>
    <w:p w14:paraId="24F1529F">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b.投标评标价每低于评标基准价1个百分点，扣0.5分；</w:t>
      </w:r>
    </w:p>
    <w:p w14:paraId="44501BBA">
      <w:pPr>
        <w:spacing w:line="324" w:lineRule="auto"/>
        <w:ind w:firstLine="483"/>
        <w:jc w:val="both"/>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c.投标评标价每高于评标基准价1个百分点，扣1分。</w:t>
      </w:r>
    </w:p>
    <w:p w14:paraId="363D0CCD">
      <w:pPr>
        <w:spacing w:line="324"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以上报价得分不足一个百分点时，使用直线插入法计算，保留小数2位。投标文件的商务标评分不足10分的，计为10分。</w:t>
      </w:r>
      <w:bookmarkEnd w:id="47"/>
    </w:p>
    <w:p w14:paraId="50DB10B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(五)投标文件的综合评分：投标文件的资信业绩评分、技术评分、商务评分的总和。</w:t>
      </w:r>
    </w:p>
    <w:p w14:paraId="2B3904F6">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(六)对投标人进行排序，推荐中标候选人</w:t>
      </w:r>
    </w:p>
    <w:p w14:paraId="39606E6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1.评标委员会根据综合评分对进入评分范围的投标文件按最终得分由高到低进行排序，评分相同时，报价低者优先；评分、报价均相同时，技术得分高优先；评分、报价、技术得分均相同时，由评标委员会通过</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抽签(或</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记名投票表决)方式排序。</w:t>
      </w:r>
    </w:p>
    <w:p w14:paraId="4E87F22B">
      <w:pPr>
        <w:spacing w:line="324" w:lineRule="auto"/>
        <w:ind w:firstLine="460" w:firstLineChars="2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2.评标委员会根据投标人须知前附表7.1规定，确定中标人或推荐中标候选人。</w:t>
      </w:r>
    </w:p>
    <w:p w14:paraId="339D2272">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五、完成评标报告</w:t>
      </w:r>
    </w:p>
    <w:p w14:paraId="34944BF3">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评标委员会应当向招标人提交书面评标报告。评标报告由评标委员会全体成员签字。对评标结果有不同意见的评标委员会成员应当以书面形式说明其不同意见和理由，评标报告应当注明该不同意见。评标委员会成员拒绝在评标报告上签字又不书面说明其不同意见和理由的，视为同意评标结果。</w:t>
      </w:r>
    </w:p>
    <w:p w14:paraId="268096BF">
      <w:pPr>
        <w:spacing w:line="324" w:lineRule="auto"/>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(二)评标报告应包括以下内容：</w:t>
      </w:r>
    </w:p>
    <w:p w14:paraId="5850B6A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1.开标记录；</w:t>
      </w:r>
    </w:p>
    <w:p w14:paraId="59F264AD">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2.评标内容、过程和结果；</w:t>
      </w:r>
    </w:p>
    <w:p w14:paraId="4ADFCB45">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3.询标澄清纪要；</w:t>
      </w:r>
    </w:p>
    <w:p w14:paraId="079215D3">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4.否决投标情况说明及依据；</w:t>
      </w:r>
    </w:p>
    <w:p w14:paraId="67F3D5C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5.推荐中标候选人；</w:t>
      </w:r>
    </w:p>
    <w:p w14:paraId="1A87F409">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6.中标候选人投标资格条件业绩和评分业绩(招标文件对投标资格或评分有业绩要求的)；</w:t>
      </w:r>
    </w:p>
    <w:p w14:paraId="52D0C24C">
      <w:pPr>
        <w:spacing w:line="324" w:lineRule="auto"/>
        <w:ind w:firstLine="49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7.其他建议。</w:t>
      </w:r>
    </w:p>
    <w:p w14:paraId="5A43D6EA">
      <w:pPr>
        <w:spacing w:line="324" w:lineRule="auto"/>
        <w:jc w:val="both"/>
        <w:rPr>
          <w:rFonts w:hint="eastAsia" w:ascii="宋体" w:hAnsi="宋体" w:eastAsia="宋体" w:cs="宋体"/>
          <w:color w:val="auto"/>
          <w:highlight w:val="none"/>
        </w:rPr>
        <w:sectPr>
          <w:footerReference r:id="rId15" w:type="default"/>
          <w:pgSz w:w="11907" w:h="16840"/>
          <w:pgMar w:top="1418" w:right="1559" w:bottom="1418" w:left="1474" w:header="0" w:footer="723" w:gutter="0"/>
          <w:cols w:space="720" w:num="1"/>
        </w:sectPr>
      </w:pPr>
    </w:p>
    <w:p w14:paraId="3CE86A51">
      <w:pPr>
        <w:spacing w:line="243" w:lineRule="auto"/>
        <w:jc w:val="both"/>
        <w:rPr>
          <w:rFonts w:hint="eastAsia" w:ascii="宋体" w:hAnsi="宋体" w:eastAsia="宋体" w:cs="宋体"/>
          <w:color w:val="auto"/>
          <w:highlight w:val="none"/>
        </w:rPr>
      </w:pPr>
    </w:p>
    <w:p w14:paraId="3F457AD7">
      <w:pPr>
        <w:spacing w:line="243" w:lineRule="auto"/>
        <w:jc w:val="both"/>
        <w:rPr>
          <w:rFonts w:hint="eastAsia" w:ascii="宋体" w:hAnsi="宋体" w:eastAsia="宋体" w:cs="宋体"/>
          <w:color w:val="auto"/>
          <w:highlight w:val="none"/>
        </w:rPr>
      </w:pPr>
    </w:p>
    <w:p w14:paraId="584BD49A">
      <w:pPr>
        <w:spacing w:before="101" w:line="225" w:lineRule="auto"/>
        <w:ind w:left="2654"/>
        <w:jc w:val="both"/>
        <w:outlineLvl w:val="0"/>
        <w:rPr>
          <w:rFonts w:hint="eastAsia" w:ascii="宋体" w:hAnsi="宋体" w:eastAsia="宋体" w:cs="宋体"/>
          <w:color w:val="auto"/>
          <w:sz w:val="31"/>
          <w:szCs w:val="31"/>
          <w:highlight w:val="none"/>
        </w:rPr>
      </w:pPr>
      <w:bookmarkStart w:id="48" w:name="_bookmark12"/>
      <w:bookmarkEnd w:id="48"/>
      <w:r>
        <w:rPr>
          <w:rFonts w:hint="eastAsia" w:ascii="宋体" w:hAnsi="宋体" w:eastAsia="宋体" w:cs="宋体"/>
          <w:color w:val="auto"/>
          <w:sz w:val="31"/>
          <w:szCs w:val="31"/>
          <w:highlight w:val="none"/>
        </w:rPr>
        <w:t>第四章合同条款及格式</w:t>
      </w:r>
    </w:p>
    <w:p w14:paraId="09FBAA5D">
      <w:pPr>
        <w:bidi w:val="0"/>
        <w:jc w:val="center"/>
        <w:rPr>
          <w:rFonts w:hint="eastAsia" w:ascii="宋体" w:hAnsi="宋体" w:eastAsia="宋体" w:cs="宋体"/>
          <w:color w:val="auto"/>
          <w:sz w:val="23"/>
          <w:szCs w:val="23"/>
          <w:highlight w:val="none"/>
        </w:rPr>
      </w:pPr>
      <w:bookmarkStart w:id="49" w:name="_Toc351203480"/>
      <w:bookmarkStart w:id="50" w:name="_Toc296890982"/>
      <w:bookmarkStart w:id="51" w:name="_Toc296503025"/>
    </w:p>
    <w:bookmarkEnd w:id="49"/>
    <w:bookmarkEnd w:id="50"/>
    <w:bookmarkEnd w:id="51"/>
    <w:p w14:paraId="4AF2D13E">
      <w:pPr>
        <w:spacing w:line="360" w:lineRule="auto"/>
        <w:ind w:firstLine="462" w:firstLineChars="200"/>
        <w:rPr>
          <w:rFonts w:ascii="宋体" w:hAnsi="宋体" w:eastAsia="宋体" w:cs="宋体"/>
          <w:b/>
          <w:bCs/>
          <w:color w:val="auto"/>
          <w:sz w:val="23"/>
          <w:szCs w:val="23"/>
          <w:highlight w:val="none"/>
        </w:rPr>
      </w:pPr>
      <w:bookmarkStart w:id="52" w:name="_bookmark13"/>
      <w:bookmarkEnd w:id="52"/>
      <w:r>
        <w:rPr>
          <w:rFonts w:hint="eastAsia" w:ascii="宋体" w:hAnsi="宋体" w:eastAsia="宋体" w:cs="宋体"/>
          <w:b/>
          <w:bCs/>
          <w:color w:val="auto"/>
          <w:sz w:val="23"/>
          <w:szCs w:val="23"/>
          <w:highlight w:val="none"/>
        </w:rPr>
        <w:t>第一节通用合同条款</w:t>
      </w:r>
    </w:p>
    <w:p w14:paraId="273FE865">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1.一般约定</w:t>
      </w:r>
    </w:p>
    <w:p w14:paraId="443E9E3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1.1词语定义</w:t>
      </w:r>
    </w:p>
    <w:p w14:paraId="7B9E762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除专用合同条款另有约定外，合同中的下列词语应具有本款所赋予的含义。</w:t>
      </w:r>
    </w:p>
    <w:p w14:paraId="28CCC2C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1.1.1合同</w:t>
      </w:r>
    </w:p>
    <w:p w14:paraId="6340B3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合同文件（或称合同）：指合同协议书、中标通知书、投标函、商务和技术偏差表、专用合同条款、通用合同条款、供货要求、分项报价表、中标设备(材料)技术性能指标的详细描述、技术服务和质保期服务计划，以及其他构成合同组成部分的文件。</w:t>
      </w:r>
    </w:p>
    <w:p w14:paraId="7414DAE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1.1.1.2合同协议书：指买方和卖方共同签署的合同协议书。</w:t>
      </w:r>
    </w:p>
    <w:p w14:paraId="3CD5560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1.1.1.3中标通知书：指买方通知卖方中标的函件。</w:t>
      </w:r>
    </w:p>
    <w:p w14:paraId="1CBEAC2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1.1.1.4投标函：指由卖方填写并签署的，名为“投标函”的函件。</w:t>
      </w:r>
    </w:p>
    <w:p w14:paraId="2215BE3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1.1.1.5商务和技术偏差表：指卖方投标文件中的商务和技术偏差表。</w:t>
      </w:r>
    </w:p>
    <w:p w14:paraId="72106D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1.1.1.6供货要求：指合同文件中名为“供货要求”的文件。</w:t>
      </w:r>
    </w:p>
    <w:p w14:paraId="4DEA038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1.1.1.7中标设备(材料)技术性能指标的详细描述：指卖方投标文件中的投标设备(材料)技术性能指标的详细描述。</w:t>
      </w:r>
    </w:p>
    <w:p w14:paraId="771647E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1.1.1.8技术服务和质保期服务计划：指卖方投标文件中的技术服务和质保期服务计划。</w:t>
      </w:r>
    </w:p>
    <w:p w14:paraId="27BC75C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1.1.1.9分项报价表：指卖方投标文件中的分项报价表。</w:t>
      </w:r>
    </w:p>
    <w:p w14:paraId="0DD940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1.1.1.10其他合同文件：指经合同双方当事人确认构成合同文件的其他文件。</w:t>
      </w:r>
    </w:p>
    <w:p w14:paraId="1E1FE29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1.1.2合同当事人</w:t>
      </w:r>
    </w:p>
    <w:p w14:paraId="73923B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1.1.2.1合同当事人：指买方和（或）卖方。</w:t>
      </w:r>
    </w:p>
    <w:p w14:paraId="128A08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1.1.2.2买方：指与卖方签订合同协议书，购买合同设备(材料)和技术服务和质保期服务的当事人，及其合法继承人。</w:t>
      </w:r>
    </w:p>
    <w:p w14:paraId="05C026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1.1.2.3卖方：指与买方签订合同协议书，提供合同设备(材料)和技术服务和质保期服务的当事人，及其合法继承人。</w:t>
      </w:r>
    </w:p>
    <w:p w14:paraId="2979880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1.1.3合同价格</w:t>
      </w:r>
    </w:p>
    <w:p w14:paraId="1CB2285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1.1.3.1签约合同价：是签订合同时合同协议书中写明的合同总金额。</w:t>
      </w:r>
    </w:p>
    <w:p w14:paraId="72022D8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1.1.3.2合同价格：指卖方按合同约定履行了全部合同义务后，买方应付给卖方的金额。</w:t>
      </w:r>
    </w:p>
    <w:p w14:paraId="774C4F9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1.1.4合同设备(材料)：指卖方按合同约定应向买方提供的设备(材料)、装置、备品、备件、易损易耗件、配套使用的软件或其他辅助电子应用程序及技术资料，或其中任何一部分。</w:t>
      </w:r>
    </w:p>
    <w:p w14:paraId="6B3270C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1.1.5技术资料：指各种纸质及电子载体的与合同设备(材料)的设计、检验、安装、调试、考核、操作、维修以及保养等有关的技术指标、规格、图纸和说明文件。</w:t>
      </w:r>
    </w:p>
    <w:p w14:paraId="1948207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1.1.6安装：指对合同设备(材料)进行的组装、连接以及根据需要将合同设备(材料)固定在施工场地内一定的位置上，使其就位并与相关设备(材料)、工程实现连接。</w:t>
      </w:r>
    </w:p>
    <w:p w14:paraId="58FBC4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1.1.7调试：指在合同设备(材料)安装完成后，对合同设备(材料)所进行的调校和测试。</w:t>
      </w:r>
    </w:p>
    <w:p w14:paraId="1086C6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1.1.8考核：指在合同设备(材料)调试完成后，对合同设备(材料)进行的用于确定其是否达到合同约定的技术性能考核指标的考核。</w:t>
      </w:r>
    </w:p>
    <w:p w14:paraId="5828F06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1.1.9验收：指合同设备(材料)通过考核达到合同约定的技术性能考核指标后，买方作出接受合同设备(材料)的确认。</w:t>
      </w:r>
    </w:p>
    <w:p w14:paraId="62A116E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1.1.10技术服务：指卖方按合同约定，在合同设备(材料)验收前，向买方提供的安装、调试服务，或者在由买方负责的安装、调试、考核中对买方进行的技术指导、协助、监督和培训等。</w:t>
      </w:r>
    </w:p>
    <w:p w14:paraId="6CC7CE0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1.1.11质量保证期：指合同设备(材料)验收后，卖方按合同约定保证合同设备(材料)适当、稳定运行，并负责消除合同设备(材料)故障的期限。</w:t>
      </w:r>
    </w:p>
    <w:p w14:paraId="2DB6AD4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1.1.12质保期服务：指在质量保证期内，卖方向买方提供的合同设备(材料)维护服务、咨询服务、技术指导、协助以及对出现故障的合同设备(材料)进行修理或更换的服务。</w:t>
      </w:r>
    </w:p>
    <w:p w14:paraId="2A67ACC9">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1.1.13工程</w:t>
      </w:r>
    </w:p>
    <w:p w14:paraId="68F29D3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1.1.13.1工程：指在专用合同条款中指明的，安装运行合同设备(材料)的工程。</w:t>
      </w:r>
    </w:p>
    <w:p w14:paraId="7B20E15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1.1.13.2施工场地（或称工地、施工现场）：指专用合同条款中指明的工程所在场所。</w:t>
      </w:r>
    </w:p>
    <w:p w14:paraId="71D1628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1.1.14天（或称日）：除特别指明外，指日历天。合同中按天计算时间的，开始当天不计入，从次日开始计算。合同约定的期间的最后一天是星期日或者其他法定休假日的，以休假日的次日为期间的最后一天。</w:t>
      </w:r>
    </w:p>
    <w:p w14:paraId="36F8A5E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1.1.15月：按照公历月计算。合同中按月计算时间的，开始当天不计入，从次日开始计算。合同约定的期间的最后一天是星期日或者其他法定休假日的，以休假日的次日为期间的最后一天。</w:t>
      </w:r>
    </w:p>
    <w:p w14:paraId="215EBB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1.1.16书面形式：指合同文件、信件和数据电文（包括电报、电传、传真、电子数据交换和电子邮件）等可以有形地表现所载内容的形式。</w:t>
      </w:r>
    </w:p>
    <w:p w14:paraId="4FD9932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1.2语言文字</w:t>
      </w:r>
    </w:p>
    <w:p w14:paraId="038BEB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合同使用的语言文字为中文。专用术语使用外文的，应附有中文注释。</w:t>
      </w:r>
    </w:p>
    <w:p w14:paraId="35C689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1.3合同文件的优先顺序</w:t>
      </w:r>
    </w:p>
    <w:p w14:paraId="40424C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组成合同的各项文件应互相解释，互为说明。除专用合同条款另有约定外，解释合同文件的优先顺序如下：</w:t>
      </w:r>
    </w:p>
    <w:p w14:paraId="1397AA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（1）合同协议书；</w:t>
      </w:r>
    </w:p>
    <w:p w14:paraId="4BCD27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（2）中标通知书；</w:t>
      </w:r>
    </w:p>
    <w:p w14:paraId="37B6845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（3）投标函；</w:t>
      </w:r>
    </w:p>
    <w:p w14:paraId="770C0A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（4）商务和技术偏差表；</w:t>
      </w:r>
    </w:p>
    <w:p w14:paraId="374242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（5）专用合同条款；</w:t>
      </w:r>
    </w:p>
    <w:p w14:paraId="1688D4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（6）通用合同条款；</w:t>
      </w:r>
    </w:p>
    <w:p w14:paraId="65753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（7）供货要求；</w:t>
      </w:r>
    </w:p>
    <w:p w14:paraId="394EE17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（8）分项报价表；</w:t>
      </w:r>
    </w:p>
    <w:p w14:paraId="69DA532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（9）中标设备(材料)技术性能指标的详细描述；</w:t>
      </w:r>
    </w:p>
    <w:p w14:paraId="0AB1F0D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（10）技术服务和质保期服务计划；</w:t>
      </w:r>
    </w:p>
    <w:p w14:paraId="21E50CA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（11）其他合同文件。</w:t>
      </w:r>
    </w:p>
    <w:p w14:paraId="6DC4CF5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1.4合同的生效及变更</w:t>
      </w:r>
    </w:p>
    <w:p w14:paraId="7977E1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1.4.1除专用合同条款另有约定外，买方和卖方的法定代表人（单位负责人）或其授权代表在合同协议书上签字并加盖单位章后，合同生效。</w:t>
      </w:r>
    </w:p>
    <w:p w14:paraId="72CAA5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1.4.2除专用合同条款另有约定外，在合同履行过程中，如需对合同进行变更，双方应签订书面协议，并经双方法定代表人（单位负责人）或其授权代表签字并加盖单位章后生效。</w:t>
      </w:r>
    </w:p>
    <w:p w14:paraId="310160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1.5联络</w:t>
      </w:r>
    </w:p>
    <w:p w14:paraId="3EBC3D1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1.5.1买卖双方应就合同履行中有关的事项及时进行联络，重要事项应通过书面形式进行联络或确认。合同履行过程中的任何联络及相关文件的签署，均应通过专用合同条款指定的联系人和联系方式进行。合同履行过程中，双方可以书面形式增加或变更指定联系人。</w:t>
      </w:r>
    </w:p>
    <w:p w14:paraId="75CC0C7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1.5.2合同履行中或与合同有关的任何联络，送达到第1.5.1项指定的联系人即视为送达。</w:t>
      </w:r>
    </w:p>
    <w:p w14:paraId="166025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1.5.3买方可以安排监理等相关人员作为买方人员，与卖方进行联络或参加合同设备(材料)的监造（如有）、交货前检验（如有）、开箱检验、安装、调试、考核、验收等，但应按照第1.5.1项的约定事先书面通知卖方。</w:t>
      </w:r>
    </w:p>
    <w:p w14:paraId="3CE34DE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1.6联合体</w:t>
      </w:r>
    </w:p>
    <w:p w14:paraId="2F9C356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1.6.1卖方为联合体的，联合体各方应当共同与买方签订合同，并向买方为履行合同承担连带责任。</w:t>
      </w:r>
    </w:p>
    <w:p w14:paraId="0BFE31E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1.6.2在合同履行过程中，未经买方同意，不得修改联合体协议。联合体协议中关于联合体成员间权利义务的划分，并不影响或减损联合体各方应就履行合同向买方承担的连带责任。</w:t>
      </w:r>
    </w:p>
    <w:p w14:paraId="1E3CD5B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联合体牵头人代表联合体与买方联系，并接受指示，负责组织联合体各成员全面履行合同。除非专用合同条款另有约定，牵头人在履行合同中的所有行为均视为已获得联合体各方的授权。买方可将合同价款全部支付给牵头人并视为其已适当履行了付款义务。如牵头人的行为将构成对合同内容的变更，则牵头人须事先获得联合体各方的特别授权。</w:t>
      </w:r>
    </w:p>
    <w:p w14:paraId="608978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1.7转让</w:t>
      </w:r>
    </w:p>
    <w:p w14:paraId="70A663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未经对方当事人书面同意，合同任何一方均不得转让其在合同项下的权利和（或）义务。</w:t>
      </w:r>
    </w:p>
    <w:p w14:paraId="3AA9850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2.合同范围</w:t>
      </w:r>
    </w:p>
    <w:p w14:paraId="1B6BB9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卖方应根据供货要求、中标设备(材料)技术性能指标的详细描述、技术服务和质保期服务计划等合同文件的约定向买方提供合同设备(材料)、技术服务和质保期服务。</w:t>
      </w:r>
    </w:p>
    <w:p w14:paraId="18D6FB9D">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3.合同价格与支付</w:t>
      </w:r>
    </w:p>
    <w:p w14:paraId="0E5EA6E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3.1合同价格</w:t>
      </w:r>
    </w:p>
    <w:p w14:paraId="09CDCF2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3.1.1合同协议书中载明的签约合同价包括卖方为完成合同全部义务应承担的一切成本、费用和支出以及卖方的合理利润。</w:t>
      </w:r>
    </w:p>
    <w:p w14:paraId="279A1FF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3.1.2除专用合同条款另有约定外，签约合同价为固定价格。</w:t>
      </w:r>
    </w:p>
    <w:p w14:paraId="076133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3.2合同价款的支付</w:t>
      </w:r>
    </w:p>
    <w:p w14:paraId="6C4DE9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strike/>
          <w:color w:val="auto"/>
          <w:sz w:val="23"/>
          <w:szCs w:val="23"/>
          <w:highlight w:val="none"/>
        </w:rPr>
        <w:t>除按</w:t>
      </w:r>
      <w:r>
        <w:rPr>
          <w:rFonts w:hint="eastAsia" w:ascii="宋体" w:hAnsi="宋体" w:eastAsia="宋体" w:cs="宋体"/>
          <w:color w:val="auto"/>
          <w:sz w:val="23"/>
          <w:szCs w:val="23"/>
          <w:highlight w:val="none"/>
        </w:rPr>
        <w:t>专用合同条款约定</w:t>
      </w:r>
      <w:r>
        <w:rPr>
          <w:rFonts w:hint="eastAsia" w:ascii="宋体" w:hAnsi="宋体" w:eastAsia="宋体" w:cs="宋体"/>
          <w:strike/>
          <w:color w:val="auto"/>
          <w:sz w:val="23"/>
          <w:szCs w:val="23"/>
          <w:highlight w:val="none"/>
        </w:rPr>
        <w:t>外，买方应通过以下方式和比例向卖方支付合同价款：</w:t>
      </w:r>
    </w:p>
    <w:p w14:paraId="44DD6269">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3.2.1预付款</w:t>
      </w:r>
    </w:p>
    <w:p w14:paraId="5D3918D0">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合同生效后，买方在收到卖方开具的注明应付预付款金额的财务收据正本一份并经审核无误后28日内，向卖方支付签约合同价的10%作为预付款。买方支付预付款后，如卖方未履行合同义务，则买方有权收回预付款；如卖方依约履行了合同义务，则预付款抵作合同价款。</w:t>
      </w:r>
    </w:p>
    <w:p w14:paraId="553D41B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3.2.2交货款</w:t>
      </w:r>
    </w:p>
    <w:p w14:paraId="024C91AE">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卖方按合同约定交付全部合同设备(材料)后，买方在收到卖方提交的下列全部单据并经审核无误后28日内，向卖方支付合同价格的60%：</w:t>
      </w:r>
    </w:p>
    <w:p w14:paraId="36EA06E2">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（1）卖方出具的交货清单正本一份；</w:t>
      </w:r>
    </w:p>
    <w:p w14:paraId="6DA3BB93">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（2）买方签署的收货清单正本一份；</w:t>
      </w:r>
    </w:p>
    <w:p w14:paraId="0439C0F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（3）制造商出具的出厂质量合格证正本一份；</w:t>
      </w:r>
    </w:p>
    <w:p w14:paraId="21AC68EC">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（4）合同价格100%金额的增值税发票正本一份。</w:t>
      </w:r>
    </w:p>
    <w:p w14:paraId="4EED3DD6">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3.2.3验收款</w:t>
      </w:r>
    </w:p>
    <w:p w14:paraId="5F3CA3F8">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买方在收到卖方提交的买卖双方签署的合同设备(材料)验收证书或已生效的验收款支付函正本一份并经审核无误后28日内，向卖方支付合同价格的25%。</w:t>
      </w:r>
    </w:p>
    <w:p w14:paraId="7C9D446B">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3.2.4结清款</w:t>
      </w:r>
    </w:p>
    <w:p w14:paraId="7ED41305">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买方在收到卖方提交的买方签署的质量保证期届满证书或已生效的结清款支付函正本一份并经审核无误后28日内，向卖方支付合同价格的5%。</w:t>
      </w:r>
    </w:p>
    <w:p w14:paraId="6B5B998D">
      <w:pPr>
        <w:spacing w:line="360" w:lineRule="auto"/>
        <w:ind w:firstLine="460" w:firstLineChars="200"/>
        <w:rPr>
          <w:rFonts w:ascii="宋体" w:hAnsi="宋体" w:eastAsia="宋体" w:cs="宋体"/>
          <w:strike/>
          <w:color w:val="auto"/>
          <w:sz w:val="23"/>
          <w:szCs w:val="23"/>
          <w:highlight w:val="none"/>
        </w:rPr>
      </w:pPr>
      <w:r>
        <w:rPr>
          <w:rFonts w:hint="eastAsia" w:ascii="宋体" w:hAnsi="宋体" w:eastAsia="宋体" w:cs="宋体"/>
          <w:strike/>
          <w:color w:val="auto"/>
          <w:sz w:val="23"/>
          <w:szCs w:val="23"/>
          <w:highlight w:val="none"/>
        </w:rPr>
        <w:t>如果依照合同第9.1项，卖方应向买方支付费用的，买方有权从结清款中直接扣除该笔费用。</w:t>
      </w:r>
    </w:p>
    <w:p w14:paraId="337C14C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除专用合同条款另有约定外，在买方向卖方支付验收款的同时或其后的任何时间内，卖方可在向买方提交买方可接受的金额为合同价格5%的合同结清款保函的前提下，要求买方支付合同结清款，买方不得拒绝。</w:t>
      </w:r>
    </w:p>
    <w:p w14:paraId="2976F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3.3买方扣款的权利</w:t>
      </w:r>
    </w:p>
    <w:p w14:paraId="2E6228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当卖方应向买方支付合同项下的违约金或赔偿金时，买方有权从上述任何一笔应付款中予以直接扣除和（或）兑付履约保证金。</w:t>
      </w:r>
    </w:p>
    <w:p w14:paraId="70DE098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4.监造及交货前检验</w:t>
      </w:r>
    </w:p>
    <w:p w14:paraId="247DA6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4.1监造</w:t>
      </w:r>
    </w:p>
    <w:p w14:paraId="091CA4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专用合同条款约定买方对合同设备(材料)进行监造的，双方应按本款及专用合同条款约定履行。</w:t>
      </w:r>
    </w:p>
    <w:p w14:paraId="334AB5B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4.1.1在合同设备(材料)的制造过程中，买方可派出监造人员，对合同设备(材料)的生产制造进行监造，</w:t>
      </w:r>
    </w:p>
    <w:p w14:paraId="780119E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监督合同设备(材料)制造、检验等情况。监造的范围、方式等应符合专用合同条款和（或）供货要求等合同文件的约定。</w:t>
      </w:r>
    </w:p>
    <w:p w14:paraId="505DADE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4.1.2除专用合同条款和（或）供货要求等合同文件另有约定外，买方监造人员可到合同设备及其关键部件的生产制造现场进行监造，卖方应予配合。卖方应免费为买方监造人员提供工作条件及便利，包括但不限于必要的办公场所、技术资料、检测工具及出入许可等。除专用合同条款另有约定外，买方监造人员的交通、食宿费用由买方承担。</w:t>
      </w:r>
    </w:p>
    <w:p w14:paraId="6434AF6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4.1.3卖方制订生产制造合同设备(材料)的进度计划时，应将买方监造纳入计划安排，并提前通知买方；买方进行监造不应影响合同设备(材料)的正常生产。除专用合同条款和（或）供货要求等合同文件另有约定外，卖方应提前7日将需要买方监造人员现场监造事项通知买方；如买方监造人员未按通知出席，不影响合同设备(材料)及其关键部件的制造或检验，但买方监造人员有权事后了解、查阅、复制相关制造或检验记录。</w:t>
      </w:r>
    </w:p>
    <w:p w14:paraId="1CD629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4.1.4买方监造人员在监造中如发现合同设备(材料)及其关键部件不符合合同约定的标准，则有权提出意见和建议。卖方应采取必要措施消除合同设备(材料)的不符，由此增加的费用和（或）造成的延误由卖方负责。</w:t>
      </w:r>
    </w:p>
    <w:p w14:paraId="098BEF6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4.1.5买方监造人员对合同设备(材料)的监造，不视为对合同设备(材料)质量的确认，不影响卖方交货后买方依照合同约定对合同设备(材料)提出质量异议和（或）退货的权利，也不免除卖方依照合同约定对合同设备(材料)所应承担的任何义务或责任。</w:t>
      </w:r>
    </w:p>
    <w:p w14:paraId="314826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4.2交货前检验</w:t>
      </w:r>
    </w:p>
    <w:p w14:paraId="2C788F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专用合同条款约定买方参与交货前检验的，双方应按本款及专用合同条款约定履行。</w:t>
      </w:r>
    </w:p>
    <w:p w14:paraId="5F284D3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4.2.1合同设备(材料)交货前，卖方应会同买方代表根据合同约定对合同设备(材料)进行交货前检验并出具交货前检验记录，有关费用由卖方承担。卖方应免费为买方代表提供工作条件及便利，包括但不限于必要的办公场所、技术资料、检测工具及出入许可等。除专用合同条款另有约定外，买方代表的交通、食宿费用由买方承担。</w:t>
      </w:r>
    </w:p>
    <w:p w14:paraId="69E42F0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4.2.2除专用合同条款和（或）供货要求等合同文件另有约定外，卖方应提前7日将需要买方代表检验事项通知买方；如买方代表未按通知出席，不影响合同设备(材料)的检验。若卖方未依照合同约定提前通知买方而自行检验，则买方有权要求卖方暂停发货并重新进行检验，由此增加的费用和（或）造成的延误由卖方负责。</w:t>
      </w:r>
    </w:p>
    <w:p w14:paraId="23FB9E9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4.2.3买方代表在检验中如发现合同设备(材料)不符合合同约定的标准，则有权提出异议。卖方应采取必要措施消除合同设备(材料)的不符，由此增加的费用和（或）造成的延误由卖方负责。</w:t>
      </w:r>
    </w:p>
    <w:p w14:paraId="68117C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4.2.4买方代表参与交货前检验及签署交货前检验记录的行为，不视为对合同设备(材料)质量的确认，不影响卖方交货后买方依照合同约定对合同设备(材料)提出质量异议和（或）退货的权利，也不免除卖方依照合同约定对合同设备(材料)所应承担的任何义务或责任。</w:t>
      </w:r>
    </w:p>
    <w:p w14:paraId="02E136E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5.包装、标记、运输和交付</w:t>
      </w:r>
    </w:p>
    <w:p w14:paraId="288809D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5.1包装</w:t>
      </w:r>
    </w:p>
    <w:p w14:paraId="006CE8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5.1.1卖方应对合同设备(材料)进行妥善包装，以满足合同设备(材料)运至施工场地及在施工场地保管的需要。包装应采取防潮、防晒、防锈、防腐蚀、防震动及防止其它损坏的必要保护措施，从而保护合同设备(材料)能够经受多次搬运、装卸、长途运输并适宜保管。</w:t>
      </w:r>
    </w:p>
    <w:p w14:paraId="29F55AA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5.1.2每个独立包装箱内应附装箱清单、质量合格证、装配图、说明书、操作指南等资料。</w:t>
      </w:r>
    </w:p>
    <w:p w14:paraId="3166CEC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5.1.3除专用合同条款另有约定外，买方无需将包装物退还给卖方。</w:t>
      </w:r>
    </w:p>
    <w:p w14:paraId="5FECEBF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5.2标记</w:t>
      </w:r>
    </w:p>
    <w:p w14:paraId="3EED9C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5.2.1除专用合同条款另有约定外，卖方应在每一包装箱相邻的四个侧面以不可擦除的、明显的方式标记必要的装运信息和标记，以满足合同设备(材料)运输和保管的需要。</w:t>
      </w:r>
    </w:p>
    <w:p w14:paraId="0FA8D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5.2.2根据合同设备(材料)的特点和运输、保管的不同要求，卖方应在包装箱上清楚地标注“小心轻放”、“此端朝上，请勿倒置”、“保持干燥”等字样和其他适当标记。对于专用合同条款约定的超大超重件，卖方应在包装箱两侧标注“重心”和“起吊点”以便装卸和搬运。如果发运合同设备(材料)中含有易燃易爆物品、腐蚀物品、放射性物质等危险品，则应在包装箱上标明危险品标志。</w:t>
      </w:r>
    </w:p>
    <w:p w14:paraId="092F52C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5.3运输</w:t>
      </w:r>
    </w:p>
    <w:p w14:paraId="12456E7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5.3.1卖方应自行选择适宜的运输工具及线路安排合同设备(材料)运输。</w:t>
      </w:r>
    </w:p>
    <w:p w14:paraId="4168CAE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5.3.2除专用合同条款另有约定外，每件能够独立运行的设备(材料)应整套装运。该设备(材料)安装、调试、考核和运行所使用的备品、备件、易损易耗件等应随相关的主机一齐装运。</w:t>
      </w:r>
    </w:p>
    <w:p w14:paraId="10EDBD3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5.3.3除专用合同条款另有约定外，卖方应在合同设备(材料)预计启运7日前，将合同设备(材料)名称、数量、箱数、总毛重、总体积（用m</w:t>
      </w:r>
      <w:r>
        <w:rPr>
          <w:rFonts w:hint="eastAsia" w:ascii="宋体" w:hAnsi="宋体" w:eastAsia="宋体" w:cs="宋体"/>
          <w:color w:val="auto"/>
          <w:sz w:val="23"/>
          <w:szCs w:val="23"/>
          <w:highlight w:val="none"/>
          <w:vertAlign w:val="superscript"/>
        </w:rPr>
        <w:t>3</w:t>
      </w:r>
      <w:r>
        <w:rPr>
          <w:rFonts w:hint="eastAsia" w:ascii="宋体" w:hAnsi="宋体" w:eastAsia="宋体" w:cs="宋体"/>
          <w:color w:val="auto"/>
          <w:sz w:val="23"/>
          <w:szCs w:val="23"/>
          <w:highlight w:val="none"/>
        </w:rPr>
        <w:t>表示）、每箱尺寸（长×宽×高）、装运合同设备(材料)总金额、运输方式、预计交付日期和合同设备(材料)在运输、装卸、保管中的注意事项等预通知买方，并在合同设备(材料)启运后24小时之内正式通知买方。</w:t>
      </w:r>
    </w:p>
    <w:p w14:paraId="3837A0B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5.3.4卖方在根据第5.3.3项进行通知时，如果发运合同设备(材料)中包括专用合同条款约定的超大超重包装，则卖方应将超大和（或）超重的每个包装箱的重量和尺寸通知买方；如果发运合同设备(材料)中包括易燃易爆物品、腐蚀物品、放射性物质等危险品，则危险品的品名、性质、在运输、装卸、保管方面的特殊要求、注意事项和处理意外情况的方法等，也应一并通知买方。</w:t>
      </w:r>
    </w:p>
    <w:p w14:paraId="55BF64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5.4交付</w:t>
      </w:r>
    </w:p>
    <w:p w14:paraId="6B87DF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5.4.1除专用合同条款另有约定外，卖方应根据合同约定的交付时间和批次在施工场地车面上将合同设备(材料)交付给买方。买方对卖方交付的包装的合同设备(材料)的外观及件数进行清点核验后应签发收货清单，并自负风险和费用进行卸货。买方签发收货清单不代表对合同设备(材料)的接受，双方还应按合同约定进行后续的检验和验收。</w:t>
      </w:r>
    </w:p>
    <w:p w14:paraId="352845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5.4.2合同设备(材料)的所有权和风险自交付时起由卖方转移至买方，合同设备(材料)交付给买方之前包括运输在内的所有风险均由卖方承担。</w:t>
      </w:r>
    </w:p>
    <w:p w14:paraId="67E9278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5.4.3除专用合同条款另有约定外，买方如果发现技术资料存在短缺和（或）损坏，卖方应在收到买方的通知后7日内免费补齐短缺和（或）损坏的部分。如果买方发现卖方提供的技术资料有误，卖方应在收到买方通知后7日内免费替换。如由于买方原因导致技术资料丢失和（或）损坏，卖方应在收到买方的通知后7日内补齐丢失和（或）损坏的部分，但买方应向卖方支付合理的复制、邮寄费用。</w:t>
      </w:r>
    </w:p>
    <w:p w14:paraId="63CCB236">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6.开箱检验、安装、调试、考核、验收</w:t>
      </w:r>
    </w:p>
    <w:p w14:paraId="036720F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6.1开箱检验</w:t>
      </w:r>
    </w:p>
    <w:p w14:paraId="38DB6B1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6.1.1合同设备(材料)交付后应进行开箱检验，即合同设备(材料)数量及外观检验。开箱检验在专用合同</w:t>
      </w:r>
    </w:p>
    <w:p w14:paraId="3C0272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条款约定的下列任一种时间进行：</w:t>
      </w:r>
    </w:p>
    <w:p w14:paraId="514F7B4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（1）合同设备(材料)交付时；</w:t>
      </w:r>
    </w:p>
    <w:p w14:paraId="45657A4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（2）合同设备(材料)交付后的一定期限内。如开箱检验不在合同设备(材料)交付时进行，买方应在开箱检验3日前将开箱检验的时间和地点通知卖方。</w:t>
      </w:r>
    </w:p>
    <w:p w14:paraId="0C2D521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6.1.2除专用合同条款另有约定外，合同设备(材料)的开箱检验应在施工场地进行。</w:t>
      </w:r>
    </w:p>
    <w:p w14:paraId="776F10D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6.1.3开箱检验由买卖双方共同进行，卖方应自负费用派遣代表到场参加开箱检验。</w:t>
      </w:r>
    </w:p>
    <w:p w14:paraId="1E083BE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6.1.4在开箱检验中，买方和卖方应共同签署数量、外观检验报告，报告应列明检验结果，包括检验合格或发现的任何短缺、损坏或其它与合同约定不符的情形。</w:t>
      </w:r>
    </w:p>
    <w:p w14:paraId="5B0CB8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6.1.5如果卖方代表未能依约或按买方通知到场参加开箱检验，买方有权在卖方代表未在场的情况下进行开箱检验，并签署数量、外观检验报告，对于该检验报告和检验结果，视为卖方已接受，但卖方确有合理理由且事先与买方协商推迟开箱检验时间的除外。</w:t>
      </w:r>
    </w:p>
    <w:p w14:paraId="387AFED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6.1.6如开箱检验不在合同设备(材料)交付时进行，则合同设备(材料)交付以后到开箱检验之前，应由买方负责按交货时外包装原样对合同设备(材料)进行妥善保管。除专用合同条款另有约定外，在开箱检验时如果合同设备(材料)外包装与交货时一致，则开箱检验中发现的合同设备(材料)的短缺、损坏或其它与合同约定不符的情形，由卖方负责，卖方应补齐、更换及采取其他补救措施。如果在开箱检验时合同设备(材料)外包装不是交货时的包装或虽是交货时的包装但与交货时不一致且出现很可能导致合同设备(材料)短缺或损坏的包装破损，则开箱检验中发现合同设备(材料)短缺、损坏或其它与合同约定不符的情形的风险，由买方承担，但买方能够证明是由于卖方原因或合同设备(材料)交付前非买方原因导致的除外。</w:t>
      </w:r>
    </w:p>
    <w:p w14:paraId="3B9C059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6.1.7如双方在专用合同条款和（或）供货要求等合同文件中约定由第三方检测机构对合同设备(材料)进行开箱检验或在开箱检验过程中另行约定由第三方检验的，则第三方检测机构的检验结果对双方均具有约束力。</w:t>
      </w:r>
    </w:p>
    <w:p w14:paraId="1AC9399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6.1.8开箱检验的检验结果不能对抗在合同设备(材料)的安装、调试、考核、验收中及质量保证期内发现的合同设备(材料)质量问题，也不能免除或影响卖方依照合同约定对买方负有的包括合同设备(材料)质量在内的任何义务或责任。</w:t>
      </w:r>
    </w:p>
    <w:p w14:paraId="3B136D4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6.2安装、调试</w:t>
      </w:r>
    </w:p>
    <w:p w14:paraId="39E4650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6.2.1开箱检验完成后，双方应对合同设备(材料)进行安装、调试，以使其具备考核的状态。安装、调试应按照专用合同条款约定的下列任一种方式进行：</w:t>
      </w:r>
    </w:p>
    <w:p w14:paraId="7B403E4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（1）卖方按照合同约定完成合同设备(材料)的安装、调试工作；</w:t>
      </w:r>
    </w:p>
    <w:p w14:paraId="3878AB2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买方或买方安排第三方负责合同设备(材料)的安装、调试工作，卖方提供技术服务。除专用合同条款另有约定外，在安装、调试过程中，如由于买方或买方安排的第三方未按照卖方现场服务人员的指导导致安装、调试不成功和（或）出现合同设备(材料)损坏，买方应自行承担责任。如在买方或买方安排的第三方按照卖方现场服务人员的指导进行安装、调试的情况下出现安装、调试不成功和（或）造成合同设备(材料)损坏的情况，卖方应承担责任。</w:t>
      </w:r>
    </w:p>
    <w:p w14:paraId="358F7C3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6.2.2除专用合同条款另有约定外，安装、调试中合同设备(材料)运行需要的用水、用电、其他动力和原材料（如需要）等均由买方承担。</w:t>
      </w:r>
    </w:p>
    <w:p w14:paraId="350CF60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6.2.3双方应对合同设备(材料)的安装、调试情况共同及时进行记录。</w:t>
      </w:r>
    </w:p>
    <w:p w14:paraId="2C5B377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6.3考核</w:t>
      </w:r>
    </w:p>
    <w:p w14:paraId="0CFF45D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6.3.1安装、调试完成后，双方应对合同设备(材料)进行考核，以确定合同设备(材料)是否达到合同约定的技术性能考核指标。除专用合同条款另有约定外，考核中合同设备(材料)运行需要的用水、用电、其他动力和原材料（如需要）等均由买方承担。</w:t>
      </w:r>
    </w:p>
    <w:p w14:paraId="39665BB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6.3.2如由于卖方原因合同设备(材料)在考核中未能达到合同约定的技术性能考核指标，则卖方应在双方同意的期限内采取措施消除合同设备(材料)中存在的缺陷，并在缺陷消除以后，尽快进行再次考核。</w:t>
      </w:r>
    </w:p>
    <w:p w14:paraId="556A9E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6.3.3由于卖方原因未能达到技术性能考核指标时，为卖方进行考核的机会不超过三次。如果由于卖方原因，三次考核均未能达到合同约定的技术性能考核指标，则买卖双方应就合同的后续履行进行协商，协商不成的，买方有权解除合同。但如合同中约定了或双方在考核中另行达成了合同设备(材料)的最低技术性能考核指标，且合同设备(材料)达到了最低技术性能考核指标的，视为合同设备(材料)已达到技术性能考核指标，买方无权解除合同，且应接受合同设备(材料)，但卖方应按专用合同条款的约定进行减价或向买方支付补偿金。</w:t>
      </w:r>
    </w:p>
    <w:p w14:paraId="46A5E38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6.3.4如由于买方原因合同设备(材料)在考核中未能达到合同约定的技术性能考核指标，则卖方应协助买方安排再次考核。由于买方原因未能达到技术性能考核指标时，为买方进行考核的机会不超过三次。</w:t>
      </w:r>
    </w:p>
    <w:p w14:paraId="36517CD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6.3.5考核期间，双方应及时共同记录合同设备(材料)的用水、用电、其他动力和原材料（如有）的使用及设备(材料)考核情况。对于未达到技术性能考核指标的，应如实记录设备(材料)表现、可能原因及处理情况等。</w:t>
      </w:r>
    </w:p>
    <w:p w14:paraId="753F9EA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6.4验收</w:t>
      </w:r>
    </w:p>
    <w:p w14:paraId="091A88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6.4.1如合同设备(材料)在考核中达到或视为达到技术性能考核指标，则买卖双方应在考核完成后7日内或专用合同条款另行约定的时间内签署合同设备(材料)验收证书一式二份，双方各持一份。验收日期应为合同设备(材料)达到或视为达到技术性能考核指标的日期。</w:t>
      </w:r>
    </w:p>
    <w:p w14:paraId="25E089A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6.4.2如由于买方原因合同设备(材料)在三次考核中均未能达到技术性能考核指标，买卖双方应在考核结束后7日内或专用合同条款另行约定的时间内签署验收款支付函。除专用合同条款另有约定外，卖方有义务在验收款支付函签署后12个月内应买方要求提供相关技术服务，协助买方采取一切必要措施使合同设备(材料)达到技术性能考核指标。买方应承担卖方因此产生的全部费用。在上述12个月的期限内，如合同设备(材料)经过考核达到或视为达到技术性能考核指标，则买卖双方应按照第6.4.1项的约定签署合同设备(材料)验收证书。</w:t>
      </w:r>
    </w:p>
    <w:p w14:paraId="257A1AB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6.4.3除专用合同条款另有约定外，如由于买方原因在最后一批合同设备(材料)交货后6个月内未能开始考核，则买卖双方应在上述期限届满后7日内或专用合同条款另行约定的时间内签署验收款支付函。除专用合同条款另有约定外，卖方有义务在验收款支付函签署后6个月内应买方要求提供不超出合同范围的技术服务，协助买方采取一切必要措施使合同设备(材料)达到技术性能考核指标，且买方无需因此向卖方支付费用。在上述6个月的期限内，如合同设备(材料)经过考核达到或视为达到技术性能考核指标，则买卖双方应按照第6.4.1项的约定签署合同设备(材料)验收证书。</w:t>
      </w:r>
    </w:p>
    <w:p w14:paraId="0EFC34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6.4.4在第6.4.2项和第6.4.3项情形下，卖方也可单方签署验收款支付函提交买方，如果买方在收到卖方签署的验收款支付函后14日内未向卖方提出书面异议，则验收款支付函自签署之日起生效。</w:t>
      </w:r>
    </w:p>
    <w:p w14:paraId="6DF3CF2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6.4.5合同设备(材料)验收证书的签署不能免除卖方在质量保证期内对合同设备(材料)应承担的保证责任。</w:t>
      </w:r>
    </w:p>
    <w:p w14:paraId="560F8111">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7.技术服务</w:t>
      </w:r>
    </w:p>
    <w:p w14:paraId="424A88B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7.1卖方应派遣技术熟练、称职的技术人员到施工场地为买方提供技术服务。卖方的技术服务应符合合同的约定。</w:t>
      </w:r>
    </w:p>
    <w:p w14:paraId="561E73E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7.2买方应免费为卖方技术人员提供工作条件及便利，包括但不限于必要的办公场所、技术资料及出入许可等。除专用合同条款另有约定外，卖方技术人员的交通、食宿费用由卖方承担。</w:t>
      </w:r>
    </w:p>
    <w:p w14:paraId="22D7D3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7.3卖方技术人员应遵守买方施工现场的各项规章制度和安全操作规程，并服从买方的现场管理。</w:t>
      </w:r>
    </w:p>
    <w:p w14:paraId="417A0C9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7.4如果任何技术人员不合格，买方有权要求卖方撤换，因撤换而产生的费用应由卖方承担。在不影响技术服务并且征得买方同意的条件下，卖方也可自负费用更换其技术人员。</w:t>
      </w:r>
    </w:p>
    <w:p w14:paraId="346B476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8.质量保证期</w:t>
      </w:r>
    </w:p>
    <w:p w14:paraId="02D8208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8.1除专用合同条款和（或）供货要求等合同文件另有约定外，合同设备(材料)整体质量保证期为验收之日起12个月。如对合同设备(材料)中关键部件的质量保证期有特殊要求的，买卖双方可在专用合同条款中约定。在合同第6.4.2项情形下，无论合同设备(材料)何时验收，其质量保证期最长为签署验收款支付函后12个月。在合同第6.4.3项情形下，无论合同设备(材料)何时验收，其质量保证期最长为签署验收款支付函后6个月。</w:t>
      </w:r>
    </w:p>
    <w:p w14:paraId="40C8E9A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8.2在质量保证期内如果合同设备(材料)出现故障，卖方应自负费用提供质保期服务，对相关合同设备(材料)进行修理或更换以消除故障。更换的合同设备(材料)和（或）关键部件的质量保证期应重新计算。但如果合同设备(材料)的故障是由于买方原因造成的，则对合同设备(材料)进行修理和更换的费用应由买方承担。</w:t>
      </w:r>
    </w:p>
    <w:p w14:paraId="67E25D0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8.3质量保证期届满后，买方应在7日内或专用合同条款另行约定的时间内向卖方出具合同设备(材料)的质量保证期届满证书。</w:t>
      </w:r>
    </w:p>
    <w:p w14:paraId="1D649EB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8.4在合同第6.4.2项情形下，如在验收款支付函签署后12个月内由于买方原因合同设备(材料)仍未能达到技术性能考核指标，则买卖双方应在该12个月届满后7日内或专用合同条款另行约定的时间内签署结清款支付函。</w:t>
      </w:r>
    </w:p>
    <w:p w14:paraId="37FA89A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8.5在合同第6.4.3项情形下，如在验收款支付函签署后6个月内由于买方原因合同设备(材料)仍未进行考核或仍未达到技术性能考核指标，则买卖双方应在该6个月届满后7日内或专用合同条款另行约定的时间内签署结清款支付函。</w:t>
      </w:r>
    </w:p>
    <w:p w14:paraId="07D80F8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8.6在第8.4款和第8.5款情形下，卖方也可单方签署结清款支付函提交买方，如果买方在收到卖方签署的结清款支付函后14日内未向卖方提出书面异议，则结清款支付函自签署之日起生效。</w:t>
      </w:r>
    </w:p>
    <w:p w14:paraId="05238BB4">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9.质保期服务</w:t>
      </w:r>
    </w:p>
    <w:p w14:paraId="57E1FA6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9.1卖方应为质保期服务配备充足的技术人员、工具和备件并保证提供的联系方式畅通。除专用合同条款和（或）供货要求等合同文件另有约定外，卖方应在收到买方通知后24小时内做出响应，如需卖方到合同设备(材料)现场，卖方应在收到买方通知后48小时内到达，并在到达后7日内解决合同设备(材料)的故障（重大故障除外）。如果卖方未在上述时间内作出响应，则买方有权自行或委托他人解决相关问题或查找和解决合同设备(材料)的故障，卖方应承担由此发生的全部费用。</w:t>
      </w:r>
    </w:p>
    <w:p w14:paraId="4676856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9.2如卖方技术人员需到合同设备(材料)现场进行质保期服务，则买方应免费为卖方技术人员提供工作条件及便利，包括但不限于必要的办公场所、技术资料及出入许可等。除专用合同条款另有约定外，卖方技术人员的交通、食宿费用由卖方承担。卖方技术人员应遵守买方施工现场的各项规章制度和安全操作规程，并服从买方的现场管理。</w:t>
      </w:r>
    </w:p>
    <w:p w14:paraId="40FC5B1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9.3如果任何技术人员不合格，买方有权要求卖方撤换，因撤换而产生的费用应由卖方承担。在不影响质保期服务并且征得买方同意的条件下，卖方也可自负费用更换其技术人员。</w:t>
      </w:r>
    </w:p>
    <w:p w14:paraId="30ACC21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9.4除专用合同条款另有约定外，卖方应就在施工现场进行质保期服务的情况进行记录，记载合同设备(材料)故障发生的时间、原因及解决情况等，由买方签字确认，并在质量保证期结束后提交给买方。</w:t>
      </w:r>
    </w:p>
    <w:p w14:paraId="29C5383B">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10.履约保证金</w:t>
      </w:r>
    </w:p>
    <w:p w14:paraId="3D80E9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履约保证金自合同生效之日起生效，在合同设备(材料)验收证书或验收款支付函签署之日起28日后失效。如果卖方不履行合同约定的义务或其履行不符合合同的约定，买方有权扣划相应金额的履约保证金。</w:t>
      </w:r>
    </w:p>
    <w:p w14:paraId="57A78FAF">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11.保证</w:t>
      </w:r>
    </w:p>
    <w:p w14:paraId="182C3D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11.1卖方保证其具有完全的能力履行本合同项下的全部义务。</w:t>
      </w:r>
    </w:p>
    <w:p w14:paraId="51BB9F9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11.2卖方保证其所提供的合同设备(材料)及对合同的履行符合所有应适用的法律、行政法规、地方性法规、自治条例和单行条例、规章及其他规范性文件的强制性规定。</w:t>
      </w:r>
    </w:p>
    <w:p w14:paraId="43B97C7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11.3卖方保证其对合同设备(材料)的销售不损害任何第三方的合法权益和社会公众利益。任何第三方不会因卖方原因而基于所有权、抵押权、留置权或其他任何权利或事由对合同设备(材料)主张权利。</w:t>
      </w:r>
    </w:p>
    <w:p w14:paraId="60A3386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11.4卖方保证合同设备(材料)符合合同约定的规格、标准、技术性能考核指标等，能够安全和稳定地运行，且合同设备(材料)（包括全部部件）全新、完整、未使用过，除非专用合同条款和（或）供货要求等合同文件另有约定。</w:t>
      </w:r>
    </w:p>
    <w:p w14:paraId="4EF52DC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11.5卖方保证，卖方所提供的技术资料完整、清晰、准确，符合合同约定并且能够满足合同设备(材料)的安装、调试、考核、操作以及维修和保养的需要。</w:t>
      </w:r>
    </w:p>
    <w:p w14:paraId="248EA51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11.6卖方保证合同范围内提供的备品备件能够满足合同设备(材料)在质量保证期结束前正常运行及维修的需要，如在质量保证期结束前因卖方原因出现备品备件短缺影响合同设备(材料)正常运行的，卖方应免费提供。</w:t>
      </w:r>
    </w:p>
    <w:p w14:paraId="796FE2F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11.7除专用合同条款和（或）供货要求等合同文件另有约定外，如果在合同设备(材料)设计使用寿命期内发生合同项下备品备件停止生产的情况，卖方应事先将拟停止生产的计划通知买方，使买方有足够的时间考虑备品备件的需求量。根据买方要求，卖方应：</w:t>
      </w:r>
    </w:p>
    <w:p w14:paraId="4BAB035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（1）以不高于同期市场价格或其向任何第三方销售同类产品的价格提供合同设备(材料)正常运行所需的全部备品备件。或</w:t>
      </w:r>
    </w:p>
    <w:p w14:paraId="54F4E317">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免费提供可供买方或第三方制造停产备品备件所需的全部技术资料，以便买方持续获得上述备品备件以满足合同设备(材料)在寿命期内正常运行的需要。卖方保证买方或买方委托的第三方制造及买方使用这些备品备件不侵犯任何人的知识产权。</w:t>
      </w:r>
    </w:p>
    <w:p w14:paraId="0BC24C0B">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11.8卖方保证，在合同设备(材料)设计使用寿命期内，如果卖方发现合同设备(材料)由于设计、制造、标识等原因存在足以危及人身、财产安全的缺陷，卖方将及时通知买方并及时采取修正或者补充标识、修理、更换等措施消除缺陷。</w:t>
      </w:r>
    </w:p>
    <w:p w14:paraId="782CB64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12.知识产权</w:t>
      </w:r>
    </w:p>
    <w:p w14:paraId="63E152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12.1买方在履行合同过程中提供给卖方的全部图纸、文件和其他含有数据和信息的资料，其知识产权属于买方。</w:t>
      </w:r>
    </w:p>
    <w:p w14:paraId="77B2097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12.2除专用合同条款另有约定外，买方不因签署和履行合同而享有卖方在履行合同过程中提供给买方的图纸、文件、配套软件、电子辅助程序和其他含有数据和信息的资料的知识产权。</w:t>
      </w:r>
    </w:p>
    <w:p w14:paraId="04161FAF">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12.3如合同设备(材料)涉及知识产权，则卖方保证买方在使用合同设备(材料)过程中免于受到第三方提出的有关知识产权侵权的主张、索赔或诉讼的伤害。</w:t>
      </w:r>
    </w:p>
    <w:p w14:paraId="2376D9D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12.4如果买方收到任何第三方有关知识产权的主张、索赔或诉讼，卖方在收到买方通知后，应以买方名义并在买方的协助下，自负费用处理与第三方的索赔或诉讼，并赔偿买方因此发生的费用和遭受的损失。除专用合同条款另有约定外，如果卖方拒绝处理前述索赔或诉讼或在收到买方通知后28日内未作表示，买方可以自己的名义进行这些索赔或诉讼，因此发生的费用和遭受的损失均应由卖方承担。</w:t>
      </w:r>
    </w:p>
    <w:p w14:paraId="2B221547">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13.保密</w:t>
      </w:r>
    </w:p>
    <w:p w14:paraId="776FFF0C">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合同双方应对因履行合同而取得的另一方当事人的信息、资料等予以保密。未经另一方当事人书面同意，任何一方均不得为与履行合同无关的目的使用或向第三方披露另一方当事人提供的信息、资料。</w:t>
      </w:r>
    </w:p>
    <w:p w14:paraId="5A75836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合同当事人的保密义务不适用于下列信息：</w:t>
      </w:r>
    </w:p>
    <w:p w14:paraId="19D2671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（1）非因接受信息一方的过失现在或以后进入公共领域的信息；</w:t>
      </w:r>
    </w:p>
    <w:p w14:paraId="507DC71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（2）接受信息一方当事人合法地从第三方获得并且据其善意了解第三方也不对此承担保密义务的信息；</w:t>
      </w:r>
    </w:p>
    <w:p w14:paraId="75BE9571">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（3）法律或法律的执行要求披露的信息。</w:t>
      </w:r>
    </w:p>
    <w:p w14:paraId="5DEDFEF8">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14.违约责任</w:t>
      </w:r>
    </w:p>
    <w:p w14:paraId="2E6170F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14.1合同一方不履行合同义务、履行合同义务不符合约定或者违反合同项下所作保证的，应向对方承担继续履行、采取修理、更换、退货等补救措施或者赔偿损失等违约责任。</w:t>
      </w:r>
    </w:p>
    <w:p w14:paraId="02941E3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14.2卖方未能按时交付合同设备(材料)（包括仅迟延交付技术资料但足以导致合同设备(材料)安装、调试、考核、验收工作推迟的）的，应向买方支付迟延交付违约金。除专用合同条款另有约定外，迟延交付违约金的计算方法如下：</w:t>
      </w:r>
    </w:p>
    <w:p w14:paraId="4F88E1C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（1）从迟交的第一周到第四周，每周迟延交付违约金为迟交合同设备(材料)价格的0.5%；</w:t>
      </w:r>
    </w:p>
    <w:p w14:paraId="1AAB1DB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（2）从迟交的第五周到第八周，每周迟延交付违约金为迟交合同设备(材料)价格的1%；</w:t>
      </w:r>
    </w:p>
    <w:p w14:paraId="58354A1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交第九周起，每周迟延交付违约金为迟交合同设备(材料)价格的1.5%。在计算迟延交付违约金时，迟交不足一周的按一周计算。迟延交付违约金的总额不得超过合同价格的10%。迟延交付违约金的支付不能免除卖方继续交付相关合同设备(材料)的义务，但如迟延交付必然导致合同设备(材料)安装、调试、考核、验收工作推迟的，相关工作应相应顺延。</w:t>
      </w:r>
    </w:p>
    <w:p w14:paraId="4FB661F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14.3买方未能按合同约定支付合同价款的，应向卖方支付延迟付款违约金。除专用合同条款另有约定外，迟延付款违约金的计算方法如下：</w:t>
      </w:r>
    </w:p>
    <w:p w14:paraId="1AECD78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（1）从迟付的第一周到第四周，每周迟延付款违约金为迟延付款金额的0.5%；</w:t>
      </w:r>
    </w:p>
    <w:p w14:paraId="520ADDFD">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（2）从迟付的第五周到第八周，每周迟延付款违约金为迟延付款金额的1%；</w:t>
      </w:r>
    </w:p>
    <w:p w14:paraId="6B40B3D9">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（3）从迟付第九周起，每周迟延付款违约金为迟延付款金额的1.5%。在计算迟延付款违约金时，迟付不足一周的按一周计算。迟延付款违约金的总额不得超过合同价格的10%。</w:t>
      </w:r>
    </w:p>
    <w:p w14:paraId="785ABB3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15.合同的解除</w:t>
      </w:r>
    </w:p>
    <w:p w14:paraId="34E97D23">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除专用合同条款另有约定外，有下述情形之一，当事人可发出书面通知全部或部分地解除合同，合同自通知到达对方时全部或部分地解除：</w:t>
      </w:r>
    </w:p>
    <w:p w14:paraId="1CDD3AF2">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（1）卖方迟延交付合同设备(材料)超过3个月；</w:t>
      </w:r>
    </w:p>
    <w:p w14:paraId="3D7B57E4">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2）合同设备(材料)由于卖方原因三次考核均未能达到技术性能考核指标或在合同约定了或双方在考核中另行达成了最低技术性能考核指标时均未能达到最低技术性能考核指标，且买卖双方未就合同的后续履行协商达成一致；</w:t>
      </w:r>
    </w:p>
    <w:p w14:paraId="4E9C8B18">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（3）买方迟延付款超过3个月；</w:t>
      </w:r>
    </w:p>
    <w:p w14:paraId="407E0116">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4）合同一方当事人未能履行合同项下任何其它义务（细微义务除外），或在未事先征得另一方当事人同意的情况下，从事任何可能在实质上不利影响其履行合同能力的活动，经另一方当事人书面通知后14日内或在专用合同条款约定的其他期限内未能对其行为作出补救；</w:t>
      </w:r>
    </w:p>
    <w:p w14:paraId="5EBB273E">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（5）合同一方当事人出现破产、清算、资不抵债、成为失信被执行人等可能丧失履约能力的情形，且未能提供令对方满意的履约保证金。</w:t>
      </w:r>
    </w:p>
    <w:p w14:paraId="0E300CD3">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16.不可抗力</w:t>
      </w:r>
    </w:p>
    <w:p w14:paraId="79B1C7C5">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16.1如果任何一方当事人受到不能预见、不能避免且不能克服的不可抗力事件的影响，例如战争、严重的火灾、台风、地震、洪水和专用合同条款约定的其他情形，而无法履行合同项下的任何义务，则受影响的一方当事人应立即将此类事件的发生通知另一方当事人，并应在不可抗力事件发生后28日内将有关当局或机构出具的证明文件提交给另一方当事人。</w:t>
      </w:r>
    </w:p>
    <w:p w14:paraId="70BAC63A">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16.2受不可抗力事件影响的一方当事人对于不可抗力事件导致的任何合同义务的迟延履行或不能履行不承担违约责任。但该方当事人应尽快将不可抗力事件结束或消除的情况通知另一方当事人。</w:t>
      </w:r>
    </w:p>
    <w:p w14:paraId="598A16B0">
      <w:pPr>
        <w:spacing w:line="360" w:lineRule="auto"/>
        <w:ind w:firstLine="460" w:firstLineChars="20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16.3双方当事人应在不可抗力事件结束或其影响消除后立即继续履行其合同义务，合同期限也应相应顺延。除专用合同条款另有约定外，如果不可抗力事件的影响持续超过140日，则任何一方当事人均有权以书面通知解除合同。</w:t>
      </w:r>
    </w:p>
    <w:p w14:paraId="6C47DD4A">
      <w:pPr>
        <w:spacing w:line="360" w:lineRule="auto"/>
        <w:ind w:firstLine="462" w:firstLineChars="200"/>
        <w:rPr>
          <w:rFonts w:ascii="宋体" w:hAnsi="宋体" w:eastAsia="宋体" w:cs="宋体"/>
          <w:color w:val="auto"/>
          <w:sz w:val="23"/>
          <w:szCs w:val="23"/>
          <w:highlight w:val="none"/>
        </w:rPr>
      </w:pPr>
      <w:r>
        <w:rPr>
          <w:rFonts w:hint="eastAsia" w:ascii="宋体" w:hAnsi="宋体" w:eastAsia="宋体" w:cs="宋体"/>
          <w:b/>
          <w:bCs/>
          <w:color w:val="auto"/>
          <w:sz w:val="23"/>
          <w:szCs w:val="23"/>
          <w:highlight w:val="none"/>
        </w:rPr>
        <w:t>17.争议的解决</w:t>
      </w:r>
    </w:p>
    <w:p w14:paraId="5394574A">
      <w:pPr>
        <w:spacing w:beforeLines="50" w:afterLines="50" w:line="400" w:lineRule="exact"/>
        <w:ind w:firstLine="460" w:firstLineChars="200"/>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rPr>
        <w:t>因合同及合同有关事项发生的争议，按向</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u w:val="single"/>
          <w:lang w:val="en-US" w:eastAsia="zh-CN"/>
        </w:rPr>
        <w:t>绍兴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仲裁委员会申请仲裁解决</w:t>
      </w:r>
      <w:r>
        <w:rPr>
          <w:rFonts w:hint="eastAsia" w:ascii="宋体" w:hAnsi="宋体" w:eastAsia="宋体" w:cs="宋体"/>
          <w:color w:val="auto"/>
          <w:sz w:val="23"/>
          <w:szCs w:val="23"/>
          <w:highlight w:val="none"/>
          <w:lang w:eastAsia="zh-CN"/>
        </w:rPr>
        <w:t>。</w:t>
      </w:r>
    </w:p>
    <w:p w14:paraId="59002932">
      <w:pPr>
        <w:spacing w:line="360" w:lineRule="auto"/>
        <w:ind w:firstLine="460" w:firstLineChars="200"/>
        <w:rPr>
          <w:rFonts w:hint="eastAsia" w:ascii="宋体" w:hAnsi="宋体" w:eastAsia="宋体" w:cs="宋体"/>
          <w:color w:val="auto"/>
          <w:sz w:val="23"/>
          <w:szCs w:val="23"/>
          <w:highlight w:val="none"/>
        </w:rPr>
      </w:pPr>
    </w:p>
    <w:p w14:paraId="13689E3D">
      <w:pPr>
        <w:pStyle w:val="10"/>
        <w:rPr>
          <w:color w:val="auto"/>
          <w:highlight w:val="none"/>
        </w:rPr>
      </w:pPr>
    </w:p>
    <w:p w14:paraId="24F452BC">
      <w:pPr>
        <w:spacing w:line="360" w:lineRule="auto"/>
        <w:ind w:firstLine="462" w:firstLineChars="200"/>
        <w:jc w:val="both"/>
        <w:rPr>
          <w:rFonts w:hint="eastAsia" w:ascii="宋体" w:hAnsi="宋体" w:eastAsia="宋体" w:cs="宋体"/>
          <w:b/>
          <w:bCs/>
          <w:color w:val="auto"/>
          <w:sz w:val="23"/>
          <w:szCs w:val="23"/>
          <w:highlight w:val="none"/>
          <w:lang w:bidi="ar"/>
        </w:rPr>
      </w:pPr>
    </w:p>
    <w:p w14:paraId="49ECD018">
      <w:pPr>
        <w:spacing w:line="360" w:lineRule="auto"/>
        <w:ind w:firstLine="462" w:firstLineChars="200"/>
        <w:jc w:val="center"/>
        <w:rPr>
          <w:rFonts w:hint="eastAsia" w:ascii="宋体" w:hAnsi="宋体" w:eastAsia="宋体" w:cs="宋体"/>
          <w:color w:val="auto"/>
          <w:sz w:val="23"/>
          <w:szCs w:val="23"/>
          <w:highlight w:val="none"/>
        </w:rPr>
      </w:pPr>
      <w:r>
        <w:rPr>
          <w:rFonts w:hint="eastAsia" w:ascii="宋体" w:hAnsi="宋体" w:eastAsia="宋体" w:cs="宋体"/>
          <w:b/>
          <w:bCs/>
          <w:color w:val="auto"/>
          <w:sz w:val="23"/>
          <w:szCs w:val="23"/>
          <w:highlight w:val="none"/>
          <w:lang w:bidi="ar"/>
        </w:rPr>
        <w:br w:type="page"/>
      </w:r>
      <w:r>
        <w:rPr>
          <w:rFonts w:hint="eastAsia" w:ascii="宋体" w:hAnsi="宋体" w:eastAsia="宋体" w:cs="宋体"/>
          <w:b/>
          <w:bCs/>
          <w:color w:val="auto"/>
          <w:sz w:val="23"/>
          <w:szCs w:val="23"/>
          <w:highlight w:val="none"/>
          <w:lang w:bidi="ar"/>
        </w:rPr>
        <w:t>第二节专用合同条款</w:t>
      </w:r>
    </w:p>
    <w:p w14:paraId="210BD58E">
      <w:pPr>
        <w:jc w:val="left"/>
        <w:rPr>
          <w:rFonts w:asciiTheme="minorEastAsia" w:hAnsiTheme="minorEastAsia" w:cstheme="minorEastAsia"/>
          <w:b/>
          <w:bCs/>
          <w:color w:val="auto"/>
          <w:sz w:val="23"/>
          <w:szCs w:val="23"/>
          <w:highlight w:val="none"/>
        </w:rPr>
      </w:pPr>
      <w:r>
        <w:rPr>
          <w:rFonts w:hint="eastAsia" w:eastAsia="宋体" w:asciiTheme="minorEastAsia" w:hAnsiTheme="minorEastAsia" w:cstheme="minorEastAsia"/>
          <w:b/>
          <w:bCs/>
          <w:color w:val="auto"/>
          <w:sz w:val="23"/>
          <w:szCs w:val="23"/>
          <w:highlight w:val="none"/>
          <w:lang w:val="en-US" w:eastAsia="zh-CN"/>
        </w:rPr>
        <w:t>一</w:t>
      </w:r>
      <w:r>
        <w:rPr>
          <w:rFonts w:hint="eastAsia" w:asciiTheme="minorEastAsia" w:hAnsiTheme="minorEastAsia" w:cstheme="minorEastAsia"/>
          <w:b/>
          <w:bCs/>
          <w:color w:val="auto"/>
          <w:sz w:val="23"/>
          <w:szCs w:val="23"/>
          <w:highlight w:val="none"/>
        </w:rPr>
        <w:t>、合同主要条款</w:t>
      </w:r>
    </w:p>
    <w:p w14:paraId="20437797">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本合同</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条款是对合同一般条款的补充，两者之间如有抵触，以本</w:t>
      </w:r>
      <w:r>
        <w:rPr>
          <w:rFonts w:hint="eastAsia" w:ascii="宋体" w:hAnsi="宋体" w:eastAsia="宋体" w:cs="宋体"/>
          <w:color w:val="auto"/>
          <w:sz w:val="23"/>
          <w:szCs w:val="23"/>
          <w:highlight w:val="none"/>
        </w:rPr>
        <w:t>主要</w:t>
      </w:r>
      <w:r>
        <w:rPr>
          <w:rFonts w:hint="eastAsia" w:ascii="宋体" w:hAnsi="宋体" w:cs="宋体"/>
          <w:color w:val="auto"/>
          <w:sz w:val="23"/>
          <w:szCs w:val="23"/>
          <w:highlight w:val="none"/>
        </w:rPr>
        <w:t xml:space="preserve">条款为准。  </w:t>
      </w:r>
    </w:p>
    <w:p w14:paraId="579079D3">
      <w:pPr>
        <w:tabs>
          <w:tab w:val="left" w:pos="732"/>
        </w:tabs>
        <w:spacing w:line="400" w:lineRule="exact"/>
        <w:ind w:left="210" w:leftChars="100"/>
        <w:rPr>
          <w:rFonts w:ascii="宋体" w:hAnsi="宋体" w:cs="宋体"/>
          <w:color w:val="auto"/>
          <w:sz w:val="23"/>
          <w:szCs w:val="23"/>
          <w:highlight w:val="none"/>
        </w:rPr>
      </w:pPr>
      <w:r>
        <w:rPr>
          <w:rFonts w:hint="eastAsia" w:ascii="宋体" w:hAnsi="宋体" w:cs="宋体"/>
          <w:color w:val="auto"/>
          <w:sz w:val="23"/>
          <w:szCs w:val="23"/>
          <w:highlight w:val="none"/>
        </w:rPr>
        <w:t xml:space="preserve">  </w:t>
      </w:r>
      <w:r>
        <w:rPr>
          <w:rFonts w:hint="eastAsia" w:ascii="宋体" w:hAnsi="宋体" w:eastAsia="宋体" w:cs="宋体"/>
          <w:color w:val="auto"/>
          <w:sz w:val="23"/>
          <w:szCs w:val="23"/>
          <w:highlight w:val="none"/>
        </w:rPr>
        <w:t xml:space="preserve"> </w:t>
      </w:r>
      <w:r>
        <w:rPr>
          <w:rFonts w:hint="eastAsia" w:ascii="宋体" w:hAnsi="宋体" w:cs="宋体"/>
          <w:color w:val="auto"/>
          <w:sz w:val="23"/>
          <w:szCs w:val="23"/>
          <w:highlight w:val="none"/>
        </w:rPr>
        <w:t xml:space="preserve">一、合同工期    </w:t>
      </w:r>
    </w:p>
    <w:p w14:paraId="624E4640">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lang w:val="en-US" w:eastAsia="zh-CN"/>
        </w:rPr>
        <w:t>180日历天，并不得影响总包总进度计划（以招标人发出的开工指令为准，具体应与工程施工总进度计划同步，服从总包管理）。</w:t>
      </w:r>
      <w:r>
        <w:rPr>
          <w:rFonts w:hint="eastAsia" w:ascii="宋体" w:hAnsi="宋体" w:cs="宋体"/>
          <w:color w:val="auto"/>
          <w:sz w:val="23"/>
          <w:szCs w:val="23"/>
          <w:highlight w:val="none"/>
        </w:rPr>
        <w:t xml:space="preserve">    </w:t>
      </w:r>
    </w:p>
    <w:p w14:paraId="3501AA3B">
      <w:pPr>
        <w:spacing w:line="400" w:lineRule="exact"/>
        <w:ind w:left="210" w:leftChars="100" w:firstLine="345" w:firstLineChars="150"/>
        <w:rPr>
          <w:rFonts w:ascii="宋体" w:hAnsi="宋体" w:cs="宋体"/>
          <w:color w:val="auto"/>
          <w:sz w:val="23"/>
          <w:szCs w:val="23"/>
          <w:highlight w:val="none"/>
        </w:rPr>
      </w:pPr>
      <w:r>
        <w:rPr>
          <w:rFonts w:hint="eastAsia" w:ascii="宋体" w:hAnsi="宋体" w:cs="宋体"/>
          <w:color w:val="auto"/>
          <w:sz w:val="23"/>
          <w:szCs w:val="23"/>
          <w:highlight w:val="none"/>
        </w:rPr>
        <w:t xml:space="preserve"> 二、交货方式：现场交货。乙方将设备运抵工地现场并初验合格的日期为交货日期。甲方可以要求乙方根据工程进度要求分批交货但不再额外增加其他费用。</w:t>
      </w:r>
    </w:p>
    <w:p w14:paraId="66DD6554">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三、交货地点：现场交货，并堆放至指定仓库（如需）。</w:t>
      </w:r>
    </w:p>
    <w:p w14:paraId="3A90FB43">
      <w:pPr>
        <w:spacing w:line="400" w:lineRule="exact"/>
        <w:ind w:firstLine="115" w:firstLineChars="50"/>
        <w:rPr>
          <w:rFonts w:ascii="宋体" w:hAnsi="宋体" w:cs="宋体"/>
          <w:color w:val="auto"/>
          <w:sz w:val="23"/>
          <w:szCs w:val="23"/>
          <w:highlight w:val="none"/>
        </w:rPr>
      </w:pPr>
      <w:r>
        <w:rPr>
          <w:rFonts w:hint="eastAsia" w:ascii="宋体" w:hAnsi="宋体" w:cs="宋体"/>
          <w:color w:val="auto"/>
          <w:sz w:val="23"/>
          <w:szCs w:val="23"/>
          <w:highlight w:val="none"/>
        </w:rPr>
        <w:t xml:space="preserve">    四、接货通知</w:t>
      </w:r>
    </w:p>
    <w:p w14:paraId="7DA1A290">
      <w:pPr>
        <w:spacing w:line="400" w:lineRule="exact"/>
        <w:ind w:firstLine="210"/>
        <w:rPr>
          <w:rFonts w:ascii="宋体" w:hAnsi="宋体" w:cs="宋体"/>
          <w:b/>
          <w:bCs/>
          <w:color w:val="auto"/>
          <w:sz w:val="23"/>
          <w:szCs w:val="23"/>
          <w:highlight w:val="none"/>
        </w:rPr>
      </w:pPr>
      <w:r>
        <w:rPr>
          <w:rFonts w:hint="eastAsia" w:ascii="宋体" w:hAnsi="宋体" w:cs="宋体"/>
          <w:color w:val="auto"/>
          <w:sz w:val="23"/>
          <w:szCs w:val="23"/>
          <w:highlight w:val="none"/>
        </w:rPr>
        <w:t xml:space="preserve">   乙方在设备发运前10天，需将准备发运的设备名称、规格、数量、包装箱件数、每件包装箱的尺码、毛重及对货物的卸车、贮存的特殊要求以传真</w:t>
      </w:r>
      <w:r>
        <w:rPr>
          <w:rFonts w:hint="eastAsia" w:ascii="宋体" w:hAnsi="宋体" w:cs="宋体"/>
          <w:color w:val="auto"/>
          <w:sz w:val="23"/>
          <w:szCs w:val="23"/>
          <w:highlight w:val="none"/>
          <w:lang w:val="en-US" w:eastAsia="zh-CN"/>
        </w:rPr>
        <w:t>或双方确定</w:t>
      </w:r>
      <w:r>
        <w:rPr>
          <w:rFonts w:hint="eastAsia" w:ascii="宋体" w:hAnsi="宋体" w:cs="宋体"/>
          <w:color w:val="auto"/>
          <w:sz w:val="23"/>
          <w:szCs w:val="23"/>
          <w:highlight w:val="none"/>
        </w:rPr>
        <w:t>的形式通知甲方，以便接货。甲方只协助乙方接货。</w:t>
      </w:r>
      <w:r>
        <w:rPr>
          <w:rFonts w:hint="eastAsia" w:ascii="宋体" w:hAnsi="宋体" w:cs="宋体"/>
          <w:color w:val="auto"/>
          <w:sz w:val="23"/>
          <w:szCs w:val="23"/>
          <w:highlight w:val="none"/>
          <w:lang w:val="en-US" w:eastAsia="zh-CN"/>
        </w:rPr>
        <w:t>卸</w:t>
      </w:r>
      <w:r>
        <w:rPr>
          <w:rFonts w:hint="eastAsia" w:ascii="宋体" w:hAnsi="宋体" w:cs="宋体"/>
          <w:color w:val="auto"/>
          <w:sz w:val="23"/>
          <w:szCs w:val="23"/>
          <w:highlight w:val="none"/>
        </w:rPr>
        <w:t>货、清点、搬运、保管、安装调试、试运行等均由乙方负责，并承担相应费用。</w:t>
      </w:r>
    </w:p>
    <w:p w14:paraId="0D56B92B">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五、运输及装卸保险</w:t>
      </w:r>
    </w:p>
    <w:p w14:paraId="6D88C69D">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1、货物在装运前由乙方投保，一旦货物在装卸、运输过程中发生损坏或短缺，由乙方负责索赔。</w:t>
      </w:r>
    </w:p>
    <w:p w14:paraId="5555EF25">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2、乙方保证在确认货物因装卸、运输中发生损坏或短缺后，尽快给予调换、修复和补齐缺件，不管其造成的原因如何，也不以办理索赔为由而拖延</w:t>
      </w:r>
      <w:r>
        <w:rPr>
          <w:rFonts w:hint="eastAsia" w:ascii="宋体" w:hAnsi="宋体" w:cs="宋体"/>
          <w:color w:val="auto"/>
          <w:sz w:val="23"/>
          <w:szCs w:val="23"/>
          <w:highlight w:val="none"/>
          <w:lang w:val="en-US" w:eastAsia="zh-CN"/>
        </w:rPr>
        <w:t>交付</w:t>
      </w:r>
      <w:r>
        <w:rPr>
          <w:rFonts w:hint="eastAsia" w:ascii="宋体" w:hAnsi="宋体" w:cs="宋体"/>
          <w:color w:val="auto"/>
          <w:sz w:val="23"/>
          <w:szCs w:val="23"/>
          <w:highlight w:val="none"/>
        </w:rPr>
        <w:t>。</w:t>
      </w:r>
    </w:p>
    <w:p w14:paraId="1B2614A2">
      <w:pPr>
        <w:spacing w:line="400" w:lineRule="exact"/>
        <w:ind w:firstLine="210"/>
        <w:rPr>
          <w:rFonts w:ascii="宋体" w:hAnsi="宋体" w:cs="宋体"/>
          <w:color w:val="auto"/>
          <w:sz w:val="23"/>
          <w:szCs w:val="23"/>
          <w:highlight w:val="none"/>
        </w:rPr>
      </w:pPr>
      <w:r>
        <w:rPr>
          <w:rFonts w:hint="eastAsia" w:ascii="宋体" w:hAnsi="宋体" w:cs="宋体"/>
          <w:color w:val="auto"/>
          <w:sz w:val="23"/>
          <w:szCs w:val="23"/>
          <w:highlight w:val="none"/>
        </w:rPr>
        <w:t xml:space="preserve">   3、乙方工作人员及设备进场时，应遵守交货现场环境卫生管理、安全管理的有关规定，配备相应的环境保护及安全措施。承担因自身原因违反有关规定而导致的所有责任。</w:t>
      </w:r>
    </w:p>
    <w:p w14:paraId="0BF34CB5">
      <w:pPr>
        <w:keepNext/>
        <w:keepLines/>
        <w:spacing w:line="400" w:lineRule="exact"/>
        <w:ind w:firstLine="460" w:firstLineChars="200"/>
        <w:outlineLvl w:val="2"/>
        <w:rPr>
          <w:rFonts w:ascii="宋体" w:hAnsi="宋体" w:cs="宋体"/>
          <w:color w:val="auto"/>
          <w:sz w:val="23"/>
          <w:szCs w:val="23"/>
          <w:highlight w:val="none"/>
        </w:rPr>
      </w:pPr>
      <w:bookmarkStart w:id="53" w:name="_Toc21937"/>
      <w:r>
        <w:rPr>
          <w:rFonts w:hint="eastAsia" w:ascii="宋体" w:hAnsi="宋体" w:cs="宋体"/>
          <w:bCs/>
          <w:color w:val="auto"/>
          <w:sz w:val="23"/>
          <w:szCs w:val="23"/>
          <w:highlight w:val="none"/>
        </w:rPr>
        <w:t>六、</w:t>
      </w:r>
      <w:r>
        <w:rPr>
          <w:rFonts w:hint="eastAsia" w:ascii="宋体" w:hAnsi="宋体" w:cs="宋体"/>
          <w:color w:val="auto"/>
          <w:sz w:val="23"/>
          <w:szCs w:val="23"/>
          <w:highlight w:val="none"/>
        </w:rPr>
        <w:t>付款方式</w:t>
      </w:r>
      <w:bookmarkEnd w:id="53"/>
    </w:p>
    <w:p w14:paraId="330B22FF">
      <w:pPr>
        <w:spacing w:line="400" w:lineRule="exact"/>
        <w:ind w:firstLine="21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（1）合同签订并乙方提交履约担保后支付签约合同价</w:t>
      </w:r>
      <w:r>
        <w:rPr>
          <w:rFonts w:hint="eastAsia" w:ascii="宋体" w:hAnsi="宋体" w:cs="宋体"/>
          <w:color w:val="auto"/>
          <w:sz w:val="23"/>
          <w:szCs w:val="23"/>
          <w:highlight w:val="none"/>
          <w:lang w:val="en-US" w:eastAsia="zh-CN"/>
        </w:rPr>
        <w:t>的</w:t>
      </w:r>
      <w:r>
        <w:rPr>
          <w:rFonts w:hint="eastAsia" w:ascii="宋体" w:hAnsi="宋体" w:cs="宋体"/>
          <w:color w:val="auto"/>
          <w:sz w:val="23"/>
          <w:szCs w:val="23"/>
          <w:highlight w:val="none"/>
        </w:rPr>
        <w:t>10%</w:t>
      </w:r>
      <w:r>
        <w:rPr>
          <w:rFonts w:hint="eastAsia" w:ascii="宋体" w:hAnsi="宋体" w:cs="宋体"/>
          <w:color w:val="auto"/>
          <w:sz w:val="23"/>
          <w:szCs w:val="23"/>
          <w:highlight w:val="none"/>
          <w:lang w:eastAsia="zh-CN"/>
        </w:rPr>
        <w:t>；</w:t>
      </w:r>
    </w:p>
    <w:p w14:paraId="77A11C31">
      <w:pPr>
        <w:spacing w:line="400" w:lineRule="exact"/>
        <w:ind w:firstLine="21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（2）中标人向全咨单位、代建单位和</w:t>
      </w:r>
      <w:r>
        <w:rPr>
          <w:rFonts w:hint="eastAsia" w:ascii="宋体" w:hAnsi="宋体" w:cs="宋体"/>
          <w:color w:val="auto"/>
          <w:sz w:val="23"/>
          <w:szCs w:val="23"/>
          <w:highlight w:val="none"/>
        </w:rPr>
        <w:t>甲方</w:t>
      </w:r>
      <w:r>
        <w:rPr>
          <w:rFonts w:hint="eastAsia" w:ascii="宋体" w:hAnsi="宋体" w:cs="宋体"/>
          <w:color w:val="auto"/>
          <w:sz w:val="23"/>
          <w:szCs w:val="23"/>
          <w:highlight w:val="none"/>
          <w:lang w:val="en-US" w:eastAsia="zh-CN"/>
        </w:rPr>
        <w:t>上报完成的本项目工程量产值的60%后，支付至合同价的50%；</w:t>
      </w:r>
    </w:p>
    <w:p w14:paraId="78FA9F02">
      <w:pPr>
        <w:spacing w:line="400" w:lineRule="exact"/>
        <w:ind w:firstLine="21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（3）本项目完工并通过验收后支付至合同价的85%；</w:t>
      </w:r>
    </w:p>
    <w:p w14:paraId="46A73D2E">
      <w:pPr>
        <w:spacing w:line="400" w:lineRule="exact"/>
        <w:ind w:firstLine="21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4</w:t>
      </w: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本项目提交完整的竣工结算资料，工程竣工结算完成相关部门审核后，付至</w:t>
      </w:r>
      <w:r>
        <w:rPr>
          <w:rFonts w:hint="eastAsia" w:ascii="宋体" w:hAnsi="宋体" w:cs="宋体"/>
          <w:color w:val="auto"/>
          <w:sz w:val="23"/>
          <w:szCs w:val="23"/>
          <w:highlight w:val="none"/>
        </w:rPr>
        <w:t>审定价</w:t>
      </w:r>
      <w:r>
        <w:rPr>
          <w:rFonts w:hint="eastAsia" w:ascii="宋体" w:hAnsi="宋体" w:cs="宋体"/>
          <w:color w:val="auto"/>
          <w:sz w:val="23"/>
          <w:szCs w:val="23"/>
          <w:highlight w:val="none"/>
          <w:lang w:val="en-US" w:eastAsia="zh-CN"/>
        </w:rPr>
        <w:t>的 98.5%</w:t>
      </w:r>
      <w:r>
        <w:rPr>
          <w:rFonts w:hint="eastAsia" w:ascii="宋体" w:hAnsi="宋体" w:cs="宋体"/>
          <w:color w:val="auto"/>
          <w:sz w:val="23"/>
          <w:szCs w:val="23"/>
          <w:highlight w:val="none"/>
          <w:lang w:eastAsia="zh-CN"/>
        </w:rPr>
        <w:t>；</w:t>
      </w:r>
    </w:p>
    <w:p w14:paraId="614BD13D">
      <w:pPr>
        <w:spacing w:line="400" w:lineRule="exact"/>
        <w:ind w:firstLine="21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5</w:t>
      </w:r>
      <w:r>
        <w:rPr>
          <w:rFonts w:hint="eastAsia" w:ascii="宋体" w:hAnsi="宋体" w:cs="宋体"/>
          <w:color w:val="auto"/>
          <w:sz w:val="23"/>
          <w:szCs w:val="23"/>
          <w:highlight w:val="none"/>
        </w:rPr>
        <w:t>）根据乙方投标时承诺的质保期时间，余款1.5%在承诺的质保期满且无质量和服务问题后一次性付清。</w:t>
      </w:r>
    </w:p>
    <w:p w14:paraId="36A129DB">
      <w:pPr>
        <w:spacing w:line="400" w:lineRule="exact"/>
        <w:ind w:firstLine="210"/>
        <w:rPr>
          <w:rFonts w:hint="eastAsia" w:ascii="宋体" w:hAnsi="宋体" w:eastAsia="宋体" w:cs="宋体"/>
          <w:color w:val="auto"/>
          <w:sz w:val="24"/>
          <w:szCs w:val="24"/>
          <w:highlight w:val="none"/>
        </w:rPr>
      </w:pP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6</w:t>
      </w:r>
      <w:r>
        <w:rPr>
          <w:rFonts w:hint="eastAsia" w:ascii="宋体" w:hAnsi="宋体" w:cs="宋体"/>
          <w:color w:val="auto"/>
          <w:sz w:val="23"/>
          <w:szCs w:val="23"/>
          <w:highlight w:val="none"/>
        </w:rPr>
        <w:t>）</w:t>
      </w:r>
      <w:r>
        <w:rPr>
          <w:rFonts w:hint="eastAsia" w:ascii="宋体" w:hAnsi="宋体" w:cs="宋体"/>
          <w:color w:val="auto"/>
          <w:sz w:val="23"/>
          <w:szCs w:val="23"/>
          <w:highlight w:val="none"/>
          <w:lang w:val="en-US" w:eastAsia="zh-CN"/>
        </w:rPr>
        <w:t>本项目付款方为绍兴大学附属医院(发包人)，每次付款时承包人需提供增值税专用发票，经全咨单位、代建人出具支出审批意见后由发包人支付，发包人应在收到代建人付款审批资料后按时足额支付款项，承包人未提供发票的，绍兴大学附属医院有权顺延付款且不视为违约。</w:t>
      </w:r>
    </w:p>
    <w:p w14:paraId="2B28C3DD">
      <w:pPr>
        <w:spacing w:line="400" w:lineRule="exact"/>
        <w:ind w:firstLine="532" w:firstLineChars="231"/>
        <w:rPr>
          <w:rFonts w:hint="eastAsia" w:ascii="宋体" w:hAnsi="宋体" w:eastAsia="宋体" w:cs="宋体"/>
          <w:b/>
          <w:color w:val="auto"/>
          <w:sz w:val="23"/>
          <w:szCs w:val="23"/>
          <w:highlight w:val="none"/>
        </w:rPr>
      </w:pPr>
      <w:r>
        <w:rPr>
          <w:rFonts w:hint="eastAsia" w:ascii="宋体" w:hAnsi="宋体" w:cs="宋体"/>
          <w:b/>
          <w:color w:val="auto"/>
          <w:sz w:val="23"/>
          <w:szCs w:val="23"/>
          <w:highlight w:val="none"/>
        </w:rPr>
        <w:t>七、结算原则</w:t>
      </w:r>
      <w:r>
        <w:rPr>
          <w:rFonts w:hint="eastAsia" w:ascii="宋体" w:hAnsi="宋体" w:eastAsia="宋体" w:cs="宋体"/>
          <w:b/>
          <w:color w:val="auto"/>
          <w:sz w:val="23"/>
          <w:szCs w:val="23"/>
          <w:highlight w:val="none"/>
        </w:rPr>
        <w:t xml:space="preserve"> </w:t>
      </w:r>
    </w:p>
    <w:p w14:paraId="2C963222">
      <w:pPr>
        <w:spacing w:line="360" w:lineRule="auto"/>
        <w:ind w:firstLine="460" w:firstLineChars="200"/>
        <w:rPr>
          <w:rFonts w:hint="eastAsia" w:ascii="宋体" w:hAnsi="宋体" w:cs="宋体"/>
          <w:color w:val="auto"/>
          <w:sz w:val="23"/>
          <w:szCs w:val="23"/>
          <w:highlight w:val="none"/>
          <w:lang w:eastAsia="zh-CN"/>
        </w:rPr>
      </w:pPr>
      <w:r>
        <w:rPr>
          <w:rFonts w:hint="eastAsia" w:ascii="宋体" w:hAnsi="宋体" w:cs="宋体"/>
          <w:color w:val="auto"/>
          <w:sz w:val="23"/>
          <w:szCs w:val="23"/>
          <w:highlight w:val="none"/>
        </w:rPr>
        <w:t>1.合同价格形式：</w:t>
      </w:r>
      <w:r>
        <w:rPr>
          <w:rFonts w:hint="eastAsia" w:ascii="宋体" w:hAnsi="宋体" w:cs="宋体"/>
          <w:color w:val="auto"/>
          <w:sz w:val="23"/>
          <w:szCs w:val="23"/>
          <w:highlight w:val="none"/>
          <w:lang w:val="en-US" w:eastAsia="zh-CN"/>
        </w:rPr>
        <w:t>约定范围内固定单价合同</w:t>
      </w:r>
      <w:r>
        <w:rPr>
          <w:rFonts w:hint="eastAsia" w:ascii="宋体" w:hAnsi="宋体" w:cs="宋体"/>
          <w:strike w:val="0"/>
          <w:dstrike w:val="0"/>
          <w:color w:val="auto"/>
          <w:sz w:val="23"/>
          <w:szCs w:val="23"/>
          <w:highlight w:val="none"/>
          <w:lang w:val="en-US" w:eastAsia="zh-CN"/>
        </w:rPr>
        <w:t>。</w:t>
      </w:r>
    </w:p>
    <w:p w14:paraId="439BDCB0">
      <w:pPr>
        <w:spacing w:line="360" w:lineRule="auto"/>
        <w:ind w:firstLine="460" w:firstLineChars="200"/>
        <w:rPr>
          <w:rFonts w:hint="eastAsia" w:ascii="宋体" w:hAnsi="宋体" w:cs="宋体"/>
          <w:strike w:val="0"/>
          <w:dstrike w:val="0"/>
          <w:color w:val="auto"/>
          <w:sz w:val="23"/>
          <w:szCs w:val="23"/>
          <w:highlight w:val="none"/>
        </w:rPr>
      </w:pPr>
      <w:r>
        <w:rPr>
          <w:rFonts w:hint="eastAsia" w:ascii="宋体" w:hAnsi="宋体" w:cs="宋体"/>
          <w:color w:val="auto"/>
          <w:sz w:val="23"/>
          <w:szCs w:val="23"/>
          <w:highlight w:val="none"/>
        </w:rPr>
        <w:t>2.价款确定：货物清单中的工程量、清单描述若与图纸及答疑不一致时，以图纸及答疑为准并须满足各专业的功能要求。(经审核完成，</w:t>
      </w:r>
      <w:r>
        <w:rPr>
          <w:rFonts w:hint="eastAsia" w:ascii="宋体" w:hAnsi="宋体" w:eastAsia="宋体" w:cs="宋体"/>
          <w:color w:val="auto"/>
          <w:sz w:val="23"/>
          <w:szCs w:val="23"/>
          <w:highlight w:val="none"/>
          <w:lang w:val="en-US" w:eastAsia="zh-CN"/>
        </w:rPr>
        <w:t>本项目</w:t>
      </w:r>
      <w:r>
        <w:rPr>
          <w:rFonts w:hint="eastAsia" w:ascii="宋体" w:hAnsi="宋体" w:cs="宋体"/>
          <w:color w:val="auto"/>
          <w:sz w:val="23"/>
          <w:szCs w:val="23"/>
          <w:highlight w:val="none"/>
        </w:rPr>
        <w:t>除招标人提出的功能需要较大调整造成调整情况除外，其他情况下最终结算价不得突破中标价，突破部分由承包人自行承担)。</w:t>
      </w:r>
    </w:p>
    <w:p w14:paraId="37F2427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如因甲方原因需进行设计变更，则变更内容必须经过全咨单位、设计单位、代建单位同意，乙方需无条件配合实施，未经各方同意，不作为结算依据。</w:t>
      </w:r>
    </w:p>
    <w:p w14:paraId="330E2A1F">
      <w:pPr>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rPr>
        <w:t>设计变更内容结算口径：1</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有投标综合单价的，按投标综合单价</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2</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无投标综合单价的，但有类似工程项目单价的，可以参照合同中类似项目的单价计算，并经监理工程师审核，发包人或其委托的</w:t>
      </w:r>
      <w:bookmarkStart w:id="68" w:name="_GoBack"/>
      <w:r>
        <w:rPr>
          <w:rFonts w:hint="eastAsia" w:ascii="宋体" w:hAnsi="宋体" w:cs="宋体"/>
          <w:color w:val="auto"/>
          <w:sz w:val="23"/>
          <w:szCs w:val="23"/>
          <w:highlight w:val="none"/>
        </w:rPr>
        <w:t>跟审单位</w:t>
      </w:r>
      <w:bookmarkEnd w:id="68"/>
      <w:r>
        <w:rPr>
          <w:rFonts w:hint="eastAsia" w:ascii="宋体" w:hAnsi="宋体" w:cs="宋体"/>
          <w:color w:val="auto"/>
          <w:sz w:val="23"/>
          <w:szCs w:val="23"/>
          <w:highlight w:val="none"/>
        </w:rPr>
        <w:t>工程师审定，并按相关程序批准后确定</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3</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rPr>
        <w:t>无投标综合单价、也无类似工程项目单价的，由承包人按浙江省建设工程计价依据(2018版)计算并按中标下浮率同比率下浮后提出单价，经监理工程师审核，发包人或其委托的跟审单位工程师审定，并按相关程序批准后确定;投标书中既无该项目综合单价、也无类似工程项目单价且无定额可套用的，按照市场询价情况并经全咨单位、代建人、发包人按相关程序签证结算，管理费、利润按12%计取(除税金外不再计取其它任何费用，也不下浮)</w:t>
      </w:r>
      <w:r>
        <w:rPr>
          <w:rFonts w:hint="eastAsia" w:ascii="宋体" w:hAnsi="宋体" w:cs="宋体"/>
          <w:color w:val="auto"/>
          <w:sz w:val="23"/>
          <w:szCs w:val="23"/>
          <w:highlight w:val="none"/>
          <w:lang w:eastAsia="zh-CN"/>
        </w:rPr>
        <w:t>；</w:t>
      </w:r>
    </w:p>
    <w:p w14:paraId="01777CB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总承包管理及配合服务费为本净化工程项目合同价的【2%】，该笔费用计入总承包合同价中，由发包人支付给总承包人。水电费为本净化工程项目合同价的【1%】，由本医用气体项目中标单位支付给总承包人。</w:t>
      </w:r>
    </w:p>
    <w:p w14:paraId="2F1CF742">
      <w:pPr>
        <w:spacing w:line="360" w:lineRule="auto"/>
        <w:ind w:firstLine="460" w:firstLineChars="200"/>
        <w:rPr>
          <w:rFonts w:ascii="宋体" w:hAnsi="宋体" w:cs="宋体"/>
          <w:b/>
          <w:bCs/>
          <w:color w:val="auto"/>
          <w:kern w:val="2"/>
          <w:sz w:val="23"/>
          <w:szCs w:val="23"/>
          <w:highlight w:val="none"/>
        </w:rPr>
      </w:pPr>
      <w:r>
        <w:rPr>
          <w:rFonts w:hint="eastAsia" w:ascii="宋体" w:hAnsi="宋体" w:cs="宋体"/>
          <w:b/>
          <w:bCs/>
          <w:color w:val="auto"/>
          <w:kern w:val="2"/>
          <w:sz w:val="23"/>
          <w:szCs w:val="23"/>
          <w:highlight w:val="none"/>
        </w:rPr>
        <w:t>八、变更：</w:t>
      </w:r>
    </w:p>
    <w:p w14:paraId="139C678A">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 、采购合同履行中甲方需追加与合同标的相同的货物、工程或者服务的，在不改变合同其他条款的前提下，可以与乙方协商签订补充合同，但所有补充合同的采购金额不得超过原合同采购金额的百分之十。</w:t>
      </w:r>
    </w:p>
    <w:p w14:paraId="209BD35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2、当变更只是采购量增减时，按投标所报的单价进行结算。</w:t>
      </w:r>
    </w:p>
    <w:p w14:paraId="3613FFD8">
      <w:pPr>
        <w:spacing w:line="360" w:lineRule="auto"/>
        <w:ind w:firstLine="422"/>
        <w:rPr>
          <w:rFonts w:ascii="宋体" w:hAnsi="宋体" w:eastAsia="宋体" w:cs="宋体"/>
          <w:b/>
          <w:color w:val="auto"/>
          <w:sz w:val="23"/>
          <w:szCs w:val="23"/>
          <w:highlight w:val="none"/>
        </w:rPr>
      </w:pPr>
      <w:r>
        <w:rPr>
          <w:rFonts w:hint="eastAsia" w:ascii="宋体" w:hAnsi="宋体" w:eastAsia="宋体" w:cs="宋体"/>
          <w:b/>
          <w:color w:val="auto"/>
          <w:sz w:val="23"/>
          <w:szCs w:val="23"/>
          <w:highlight w:val="none"/>
        </w:rPr>
        <w:t>九、文件和技术资料</w:t>
      </w:r>
    </w:p>
    <w:p w14:paraId="5F80220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设备交货前乙方向甲方提供下列技术资料、图纸和文件：</w:t>
      </w:r>
    </w:p>
    <w:p w14:paraId="700CE4E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（1）样本及技术规格书，要求有8份。</w:t>
      </w:r>
    </w:p>
    <w:p w14:paraId="4D48ECD8">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（2）施工图，要求有10份。</w:t>
      </w:r>
    </w:p>
    <w:p w14:paraId="29066FD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（3）制造厂的设备生产许可证明和设备合格证书。</w:t>
      </w:r>
    </w:p>
    <w:p w14:paraId="64025B8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（4）制造厂出具的品质保证书正本。</w:t>
      </w:r>
    </w:p>
    <w:p w14:paraId="129AEF5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（5）制作期间的试验、检试报告。</w:t>
      </w:r>
    </w:p>
    <w:p w14:paraId="4B58DA2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（6）出厂检试报告。设备安装、操作、维护手册或说明书，要求有8份。此手册或说明书不应少于如下内容：</w:t>
      </w:r>
    </w:p>
    <w:p w14:paraId="0E37FAF8">
      <w:pPr>
        <w:tabs>
          <w:tab w:val="left" w:pos="560"/>
          <w:tab w:val="left" w:pos="140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a、电气接线图；</w:t>
      </w:r>
    </w:p>
    <w:p w14:paraId="26FAFB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b、设备操作与维修手册。</w:t>
      </w:r>
    </w:p>
    <w:p w14:paraId="05DA45AF">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（7）甲方认为有必要提供的其他技术资料。</w:t>
      </w:r>
    </w:p>
    <w:p w14:paraId="52B6993C">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（8）以上所有资料必须为中文。</w:t>
      </w:r>
    </w:p>
    <w:p w14:paraId="7821AA4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资料：提交的技术资料要符合城建档案馆及其他有关部门的要求，要符合评杯要求。</w:t>
      </w:r>
    </w:p>
    <w:p w14:paraId="1A5D14F8">
      <w:pPr>
        <w:tabs>
          <w:tab w:val="left" w:pos="280"/>
        </w:tabs>
        <w:spacing w:line="360" w:lineRule="auto"/>
        <w:ind w:firstLine="460" w:firstLineChars="200"/>
        <w:rPr>
          <w:rFonts w:hint="eastAsia" w:ascii="宋体" w:hAnsi="宋体" w:cs="宋体"/>
          <w:b/>
          <w:bCs/>
          <w:color w:val="auto"/>
          <w:sz w:val="23"/>
          <w:szCs w:val="23"/>
          <w:highlight w:val="none"/>
          <w:lang w:val="en-US" w:eastAsia="zh-CN"/>
        </w:rPr>
      </w:pPr>
      <w:r>
        <w:rPr>
          <w:rFonts w:hint="eastAsia" w:ascii="宋体" w:hAnsi="宋体" w:cs="宋体"/>
          <w:b/>
          <w:bCs/>
          <w:color w:val="auto"/>
          <w:sz w:val="23"/>
          <w:szCs w:val="23"/>
          <w:highlight w:val="none"/>
        </w:rPr>
        <w:t>十、</w:t>
      </w:r>
      <w:r>
        <w:rPr>
          <w:rFonts w:hint="eastAsia" w:ascii="宋体" w:hAnsi="宋体" w:cs="宋体"/>
          <w:b/>
          <w:bCs/>
          <w:color w:val="auto"/>
          <w:sz w:val="23"/>
          <w:szCs w:val="23"/>
          <w:highlight w:val="none"/>
          <w:lang w:val="en-US" w:eastAsia="zh-CN"/>
        </w:rPr>
        <w:t>人员培训</w:t>
      </w:r>
    </w:p>
    <w:p w14:paraId="0567D47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乙方免费对甲方的操作、维修人员在厂方或使用地进行技术培训。设备交货时乙方向甲方提供设备技术资料、图纸和甲方认为有必要提供的其他技术资料。</w:t>
      </w:r>
    </w:p>
    <w:p w14:paraId="26D2A9EA">
      <w:pPr>
        <w:tabs>
          <w:tab w:val="left" w:pos="280"/>
        </w:tabs>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应针对项目系统中的不同操作角色对使用方的人员进行相应的培训，培训的目标是使使用方能熟练使用和维护该系统，培训具体形式应至少包括集中的基础理论、系统日常管理、运维等内容，培训至熟练使用。</w:t>
      </w:r>
    </w:p>
    <w:p w14:paraId="7829E848">
      <w:pPr>
        <w:tabs>
          <w:tab w:val="left" w:pos="280"/>
        </w:tabs>
        <w:spacing w:line="360" w:lineRule="auto"/>
        <w:ind w:firstLine="460" w:firstLineChars="200"/>
        <w:rPr>
          <w:rFonts w:hint="eastAsia" w:ascii="宋体" w:hAnsi="宋体" w:cs="宋体"/>
          <w:color w:val="auto"/>
          <w:sz w:val="23"/>
          <w:szCs w:val="23"/>
          <w:highlight w:val="none"/>
        </w:rPr>
      </w:pPr>
      <w:r>
        <w:rPr>
          <w:rFonts w:hint="eastAsia" w:ascii="宋体" w:hAnsi="宋体" w:cs="宋体"/>
          <w:color w:val="auto"/>
          <w:sz w:val="23"/>
          <w:szCs w:val="23"/>
          <w:highlight w:val="none"/>
          <w:lang w:val="en-US" w:eastAsia="zh-CN"/>
        </w:rPr>
        <w:t>乙方必须为所有被培训人员提供培训用文字资料和讲义等相关用品。所有的资料必须是中文书写。</w:t>
      </w:r>
    </w:p>
    <w:p w14:paraId="6277C821">
      <w:pPr>
        <w:tabs>
          <w:tab w:val="left" w:pos="280"/>
        </w:tabs>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十一、质量、技术标准</w:t>
      </w:r>
    </w:p>
    <w:p w14:paraId="63F2057C">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设备的制造、安装、验收标准及技术规范，必须符合中国国家标准，或甲方认可的其他标准。乙方必须保证交货产品各项性能不得低于中国国家标准或甲方认可的其他标准，甲方随时有抽检及送检产品的权利，检验机构为政府法定检验机构。对于产品的任何技术及质量不合格，乙方承担检测费用，甲方有权拒收、部分拒收、退货、部分退货直至解除本合同，追究乙方违约责任，并要求乙方支付承担因此造成的所有损失。因此造成工期违约的，同时承担工期违约的违约责任。</w:t>
      </w:r>
    </w:p>
    <w:p w14:paraId="15E3E1CD">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2、未经甲方同意，乙方不得擅自更改或换用投标产品的零部件或配件，否则，乙方承担由此发生的费用，并赔偿甲方的有关损失，延误的供货日期不予顺延。</w:t>
      </w:r>
    </w:p>
    <w:p w14:paraId="3AE686AB">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 xml:space="preserve">十二、设备、材料检验 </w:t>
      </w:r>
    </w:p>
    <w:p w14:paraId="256887CE">
      <w:pPr>
        <w:tabs>
          <w:tab w:val="left" w:pos="280"/>
        </w:tabs>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甲方认为有必要在设备制造过程中派人到生产厂监制，乙方应予以积极配合并对监制或预验收工作提供方便并承担相关费用。但甲方监制并不解除制造商对所有产品在制造质量上应负的全部责任，也不作为甲方的最终验收。</w:t>
      </w:r>
    </w:p>
    <w:p w14:paraId="4A639860">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在第一批设备供货之前，甲方会同监理工程师等相关单位到乙方的设备制造厂进行样品审核，乙方应积极配合并对甲方的工作提供方便并承担相关费用。在检验结束后，乙方须提供必要的技术数据和图纸，并提交一份测试报告给甲方，但甲方的工厂检验并不解除制造商对所有产品在制造质量上应负的全部责任。</w:t>
      </w:r>
    </w:p>
    <w:p w14:paraId="5167DCA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所有的货物准备进场时须同时提供货物出厂合格证书、检测报告。国外生产的必须有合法的进货渠道证明，如海关报关单、原产地证明、商检证明等</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若存在特殊货物需第三方授权的，提供相关授权文件</w:t>
      </w:r>
      <w:r>
        <w:rPr>
          <w:rFonts w:hint="eastAsia" w:ascii="宋体" w:hAnsi="宋体" w:cs="宋体"/>
          <w:color w:val="auto"/>
          <w:sz w:val="23"/>
          <w:szCs w:val="23"/>
          <w:highlight w:val="none"/>
        </w:rPr>
        <w:t>。</w:t>
      </w:r>
    </w:p>
    <w:p w14:paraId="58711C65">
      <w:pPr>
        <w:spacing w:line="360" w:lineRule="auto"/>
        <w:ind w:firstLine="420"/>
        <w:rPr>
          <w:rFonts w:ascii="宋体" w:hAnsi="宋体" w:eastAsia="宋体" w:cs="宋体"/>
          <w:color w:val="auto"/>
          <w:sz w:val="23"/>
          <w:szCs w:val="23"/>
          <w:highlight w:val="none"/>
        </w:rPr>
      </w:pPr>
      <w:r>
        <w:rPr>
          <w:rFonts w:hint="eastAsia" w:ascii="宋体" w:hAnsi="宋体" w:eastAsia="宋体" w:cs="宋体"/>
          <w:color w:val="auto"/>
          <w:sz w:val="23"/>
          <w:szCs w:val="23"/>
          <w:highlight w:val="none"/>
        </w:rPr>
        <w:t>隐蔽工程必须经监理检查、验收签证后，方可进行下一道工序。没有经过监理的批准，工程的任何部分均不得覆盖或使之无法查看。乙方应保证有充分的时间，对隐蔽或无法查看工程的任何部分进行检查或测量。</w:t>
      </w:r>
    </w:p>
    <w:p w14:paraId="74530A3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rPr>
        <w:t>样品的报送与封存：需要乙方报送样品的材料或工程设备，样品的种类、名称、规格、数量要求：</w:t>
      </w:r>
      <w:bookmarkStart w:id="54" w:name="_Toc27309"/>
      <w:bookmarkStart w:id="55" w:name="_Toc812"/>
      <w:r>
        <w:rPr>
          <w:rFonts w:hint="eastAsia" w:ascii="宋体" w:hAnsi="宋体" w:cs="宋体"/>
          <w:color w:val="auto"/>
          <w:sz w:val="23"/>
          <w:szCs w:val="23"/>
          <w:highlight w:val="none"/>
          <w:u w:val="single"/>
          <w:lang w:val="en-US" w:eastAsia="zh-CN"/>
        </w:rPr>
        <w:t>以符合设计和规范要求为原则。a、一般材料由甲方、监理看样认可后自行采购；主要设备应由甲方和监理共同看样定货认可后采购。b 、所有材料必须有质保书和合格证，经认证许可，并符合施工图纸和规范要求，若材料质量不符合规定要求，乙方无条件退换并承担返工损失及工期、质量违约责任 。</w:t>
      </w:r>
    </w:p>
    <w:p w14:paraId="778D3CA0">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十三、设备的安装、调试</w:t>
      </w:r>
      <w:bookmarkEnd w:id="54"/>
      <w:bookmarkEnd w:id="55"/>
    </w:p>
    <w:p w14:paraId="2CC0BE09">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1、合同所订的货物到达甲方后，乙方应在收到甲方通知后2天内，及时派人前往设备交货地点对设备进行安装调试。</w:t>
      </w:r>
    </w:p>
    <w:p w14:paraId="429AFE4E">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2、乙方人员在甲方进行指导安装及设备调试期间，所有费用由乙方负责。</w:t>
      </w:r>
    </w:p>
    <w:p w14:paraId="4067A7D6">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3、乙方应在设备安装完毕后的5日内完成设备调试工作；调试完毕后须经过二个月的试运行。如因乙方责任而造成的延期，所有因安装延期而产生的费用由乙方负担并乙方应承担相应的违约责任。</w:t>
      </w:r>
    </w:p>
    <w:p w14:paraId="69EE087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安装完毕后，乙方应派遣有经验的工程技术人员进行设备的调试及试运行，甲方可以要求乙方或具有检测资质的第三方用专用仪器进行测试，乙方应负责测试和调试所需的人员、工具、材料、仪器及检测费用等一切费用，并填写测试报告交由甲方存档。如需甲方派有关人员配合，乙方应在设备安装调试前一周提出需配合工作人员的工种、人数等计划书交与甲方，以便甲方提前作好准备，确保整个工程顺利进行。甲方组织相关专家进行验收，验收人员、会务等相关的一切费用，由乙方负责。</w:t>
      </w:r>
    </w:p>
    <w:p w14:paraId="27337B55">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十四、设备验收</w:t>
      </w:r>
    </w:p>
    <w:p w14:paraId="33C7CFB3">
      <w:pPr>
        <w:spacing w:line="360" w:lineRule="auto"/>
        <w:ind w:firstLine="460" w:firstLineChars="200"/>
        <w:rPr>
          <w:rFonts w:hint="eastAsia" w:ascii="宋体" w:hAnsi="宋体" w:cs="宋体"/>
          <w:color w:val="auto"/>
          <w:sz w:val="23"/>
          <w:szCs w:val="23"/>
          <w:highlight w:val="none"/>
          <w:lang w:val="en-US" w:eastAsia="zh-CN"/>
        </w:rPr>
      </w:pPr>
      <w:bookmarkStart w:id="56" w:name="_Toc8150"/>
      <w:bookmarkStart w:id="57" w:name="_Toc20765"/>
      <w:r>
        <w:rPr>
          <w:rFonts w:hint="eastAsia" w:ascii="宋体" w:hAnsi="宋体" w:cs="宋体"/>
          <w:color w:val="auto"/>
          <w:sz w:val="23"/>
          <w:szCs w:val="23"/>
          <w:highlight w:val="none"/>
          <w:lang w:val="en-US" w:eastAsia="zh-CN"/>
        </w:rPr>
        <w:t>（1）乙方应提供验收大纲和验收标准供甲方参考，经甲方、代建单位、全咨单位确认后，作为验收的依据。</w:t>
      </w:r>
    </w:p>
    <w:p w14:paraId="1FEF43B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（2）开箱检查：设备到达现场后，乙方派人到现场与甲方、代建单位、全咨单位一起开箱检查，设备的数量、规格、外观质量、其余资料（包括但不限于操作手册，设备参数等）需</w:t>
      </w:r>
      <w:r>
        <w:rPr>
          <w:rFonts w:hint="eastAsia" w:ascii="宋体" w:hAnsi="宋体" w:cs="宋体"/>
          <w:color w:val="auto"/>
          <w:sz w:val="23"/>
          <w:szCs w:val="23"/>
          <w:highlight w:val="none"/>
        </w:rPr>
        <w:t>符合合同约定、满足使用需求的关键环节</w:t>
      </w:r>
      <w:r>
        <w:rPr>
          <w:rFonts w:hint="eastAsia" w:ascii="宋体" w:hAnsi="宋体" w:cs="宋体"/>
          <w:color w:val="auto"/>
          <w:sz w:val="23"/>
          <w:szCs w:val="23"/>
          <w:highlight w:val="none"/>
          <w:lang w:val="en-US" w:eastAsia="zh-CN"/>
        </w:rPr>
        <w:t>并进行纸质记录。</w:t>
      </w:r>
    </w:p>
    <w:p w14:paraId="245FA222">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（3）单项验收：</w:t>
      </w:r>
    </w:p>
    <w:p w14:paraId="1D050F49">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在设备安装调试完成后、系统正式交付前，对设备及系统功能完整性、性能达标性、运行稳定性及文档规范性进行综合性初步检收。乙方负责本合同项目所在地政府主管部门（卫生管理部门等）的备案以及办理所需相关手续(如有)；本项目必须满足消防要求，最终应配合甲方通过消防验收。如需整改，乙方必须按照消防部门要求整改并通过验收。</w:t>
      </w:r>
    </w:p>
    <w:p w14:paraId="181022F5">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设备在安装、调试结束后，试运行阶段满足甲方需求，甲方会同当地有关部门对设备共同进行验收，乙方需自行委托具备资质的第三方检测机构开展自检工作，出具质检合格报告并承担相关费用。项目最终验收结论以招标人另行委托的第三方检查机构出具的正式检测报告为准。</w:t>
      </w:r>
    </w:p>
    <w:p w14:paraId="6313005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注：乙方应在设备安装完毕后的5日内完成设备调试工作；调试完毕后须经过三个月的试运行。试运行阶段需保证不少于1名的专业维保人员进行24小时驻场。</w:t>
      </w:r>
    </w:p>
    <w:p w14:paraId="513C5A0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（4）总包整体竣工验收</w:t>
      </w:r>
    </w:p>
    <w:p w14:paraId="6D88024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乙方配合总包完成工程整体竣工验收，及时根据甲方及总包要求提供相关技术经济资料。</w:t>
      </w:r>
    </w:p>
    <w:p w14:paraId="493CE132">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十五、质保及维修</w:t>
      </w:r>
      <w:bookmarkEnd w:id="56"/>
      <w:bookmarkEnd w:id="57"/>
    </w:p>
    <w:p w14:paraId="3114E3D7">
      <w:pPr>
        <w:keepNext w:val="0"/>
        <w:keepLines w:val="0"/>
        <w:pageBreakBefore w:val="0"/>
        <w:widowControl w:val="0"/>
        <w:kinsoku/>
        <w:wordWrap/>
        <w:overflowPunct/>
        <w:topLinePunct w:val="0"/>
        <w:autoSpaceDE/>
        <w:autoSpaceDN/>
        <w:bidi w:val="0"/>
        <w:adjustRightInd/>
        <w:snapToGrid w:val="0"/>
        <w:spacing w:line="312" w:lineRule="auto"/>
        <w:ind w:firstLine="462"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b/>
          <w:bCs/>
          <w:color w:val="auto"/>
          <w:sz w:val="23"/>
          <w:szCs w:val="23"/>
          <w:highlight w:val="none"/>
          <w:lang w:val="en-US" w:eastAsia="zh-CN"/>
        </w:rPr>
        <w:t>（1）本项目质保期不少于2年</w:t>
      </w:r>
      <w:r>
        <w:rPr>
          <w:rFonts w:hint="eastAsia" w:ascii="宋体" w:hAnsi="宋体" w:eastAsia="宋体" w:cs="宋体"/>
          <w:b/>
          <w:bCs/>
          <w:strike w:val="0"/>
          <w:snapToGrid w:val="0"/>
          <w:color w:val="auto"/>
          <w:kern w:val="0"/>
          <w:sz w:val="23"/>
          <w:szCs w:val="23"/>
          <w:highlight w:val="none"/>
          <w:lang w:val="en-US" w:eastAsia="zh-CN" w:bidi="ar"/>
        </w:rPr>
        <w:t>（提供厂家及供应商盖章承诺）</w:t>
      </w:r>
      <w:r>
        <w:rPr>
          <w:rFonts w:hint="eastAsia" w:ascii="宋体" w:hAnsi="宋体" w:eastAsia="宋体" w:cs="宋体"/>
          <w:b/>
          <w:bCs/>
          <w:color w:val="auto"/>
          <w:sz w:val="23"/>
          <w:szCs w:val="23"/>
          <w:highlight w:val="none"/>
          <w:lang w:val="en-US" w:eastAsia="zh-CN"/>
        </w:rPr>
        <w:t>，</w:t>
      </w:r>
      <w:r>
        <w:rPr>
          <w:rFonts w:hint="eastAsia" w:ascii="宋体" w:hAnsi="宋体" w:eastAsia="宋体" w:cs="宋体"/>
          <w:color w:val="auto"/>
          <w:sz w:val="23"/>
          <w:szCs w:val="23"/>
          <w:highlight w:val="none"/>
          <w:lang w:val="en-US" w:eastAsia="zh-CN"/>
        </w:rPr>
        <w:t>项目质保期为总包整体验收合格且试运行3个月并交付使用之日起</w:t>
      </w:r>
      <w:r>
        <w:rPr>
          <w:rFonts w:hint="eastAsia" w:ascii="宋体" w:hAnsi="宋体" w:eastAsia="宋体" w:cs="宋体"/>
          <w:color w:val="auto"/>
          <w:sz w:val="23"/>
          <w:szCs w:val="23"/>
          <w:highlight w:val="none"/>
          <w:u w:val="single"/>
          <w:lang w:val="en-US" w:eastAsia="zh-CN"/>
        </w:rPr>
        <w:t>（根据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投标时的承诺在合同签订时明确）</w:t>
      </w:r>
      <w:r>
        <w:rPr>
          <w:rFonts w:hint="eastAsia" w:ascii="宋体" w:hAnsi="宋体" w:eastAsia="宋体" w:cs="宋体"/>
          <w:color w:val="auto"/>
          <w:sz w:val="23"/>
          <w:szCs w:val="23"/>
          <w:highlight w:val="none"/>
          <w:lang w:val="en-US" w:eastAsia="zh-CN"/>
        </w:rPr>
        <w:t>个月。质保期内如无问题，则在质保期满时，由</w:t>
      </w:r>
      <w:r>
        <w:rPr>
          <w:rFonts w:hint="eastAsia" w:ascii="宋体" w:hAnsi="宋体" w:cs="宋体"/>
          <w:strike w:val="0"/>
          <w:dstrike w:val="0"/>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提交质保期验收</w:t>
      </w:r>
      <w:r>
        <w:rPr>
          <w:rFonts w:hint="eastAsia" w:ascii="宋体" w:hAnsi="宋体" w:eastAsia="宋体" w:cs="宋体"/>
          <w:strike w:val="0"/>
          <w:dstrike w:val="0"/>
          <w:color w:val="auto"/>
          <w:sz w:val="23"/>
          <w:szCs w:val="23"/>
          <w:highlight w:val="none"/>
          <w:lang w:val="en-US" w:eastAsia="zh-CN"/>
        </w:rPr>
        <w:t>申请</w:t>
      </w:r>
      <w:r>
        <w:rPr>
          <w:rFonts w:hint="eastAsia" w:ascii="宋体" w:hAnsi="宋体" w:eastAsia="宋体" w:cs="宋体"/>
          <w:color w:val="auto"/>
          <w:sz w:val="23"/>
          <w:szCs w:val="23"/>
          <w:highlight w:val="none"/>
          <w:lang w:val="en-US" w:eastAsia="zh-CN"/>
        </w:rPr>
        <w:t>，验收由</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签字认可。</w:t>
      </w:r>
    </w:p>
    <w:p w14:paraId="01DAC3E5">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（2）在项目质保期内，因设备本身的缺陷导致各种故障，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应负责设备维修、提供技术服务，若无法维修的则负责免费更换产品，更换后的产品的质量保证期为更换后的产品使用之日起至少</w:t>
      </w:r>
      <w:r>
        <w:rPr>
          <w:rFonts w:hint="eastAsia" w:ascii="宋体" w:hAnsi="宋体" w:eastAsia="宋体" w:cs="宋体"/>
          <w:color w:val="auto"/>
          <w:sz w:val="23"/>
          <w:szCs w:val="23"/>
          <w:highlight w:val="none"/>
          <w:u w:val="single"/>
          <w:lang w:val="en-US" w:eastAsia="zh-CN"/>
        </w:rPr>
        <w:t xml:space="preserve"> （根据</w:t>
      </w:r>
      <w:r>
        <w:rPr>
          <w:rFonts w:hint="eastAsia" w:ascii="宋体" w:hAnsi="宋体" w:cs="宋体"/>
          <w:color w:val="auto"/>
          <w:sz w:val="23"/>
          <w:szCs w:val="23"/>
          <w:highlight w:val="none"/>
          <w:u w:val="single"/>
          <w:lang w:val="en-US" w:eastAsia="zh-CN"/>
        </w:rPr>
        <w:t>乙方</w:t>
      </w:r>
      <w:r>
        <w:rPr>
          <w:rFonts w:hint="eastAsia" w:ascii="宋体" w:hAnsi="宋体" w:eastAsia="宋体" w:cs="宋体"/>
          <w:color w:val="auto"/>
          <w:sz w:val="23"/>
          <w:szCs w:val="23"/>
          <w:highlight w:val="none"/>
          <w:u w:val="single"/>
          <w:lang w:val="en-US" w:eastAsia="zh-CN"/>
        </w:rPr>
        <w:t xml:space="preserve">投标时的承诺在合同签订时明确）  </w:t>
      </w:r>
      <w:r>
        <w:rPr>
          <w:rFonts w:hint="eastAsia" w:ascii="宋体" w:hAnsi="宋体" w:eastAsia="宋体" w:cs="宋体"/>
          <w:color w:val="auto"/>
          <w:sz w:val="23"/>
          <w:szCs w:val="23"/>
          <w:highlight w:val="none"/>
          <w:lang w:val="en-US" w:eastAsia="zh-CN"/>
        </w:rPr>
        <w:t>个月。</w:t>
      </w:r>
    </w:p>
    <w:p w14:paraId="6F14D029">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（3）如设备在质保期后发生故障，</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在收到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的书面维修通知后，应即时给予响应。在质保期内的工作应包括对所有设备每月至少1次的常规检查、调整和润滑。</w:t>
      </w:r>
    </w:p>
    <w:p w14:paraId="44210998">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（4）</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在投标文件中所承诺的辅材、配件价格及保修期外的保修年费及服务方案做为合同的一部分。</w:t>
      </w:r>
    </w:p>
    <w:p w14:paraId="007E5771">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eastAsia="zh-CN"/>
        </w:rPr>
      </w:pPr>
      <w:r>
        <w:rPr>
          <w:rFonts w:hint="eastAsia" w:ascii="宋体" w:hAnsi="宋体" w:eastAsia="宋体" w:cs="宋体"/>
          <w:color w:val="auto"/>
          <w:sz w:val="23"/>
          <w:szCs w:val="23"/>
          <w:highlight w:val="none"/>
          <w:lang w:val="en-US" w:eastAsia="zh-CN"/>
        </w:rPr>
        <w:t>（5）</w:t>
      </w:r>
      <w:r>
        <w:rPr>
          <w:rFonts w:hint="eastAsia" w:ascii="宋体" w:hAnsi="宋体" w:eastAsia="宋体" w:cs="宋体"/>
          <w:color w:val="auto"/>
          <w:sz w:val="23"/>
          <w:szCs w:val="23"/>
          <w:highlight w:val="none"/>
          <w:lang w:eastAsia="zh-CN"/>
        </w:rPr>
        <w:t>质量保证期内，</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需提供对系统软件的免费升级服务，同时不得设置升级障碍，必须对其他系统软件开</w:t>
      </w:r>
      <w:r>
        <w:rPr>
          <w:rFonts w:hint="eastAsia" w:ascii="宋体" w:hAnsi="宋体" w:eastAsia="宋体" w:cs="宋体"/>
          <w:color w:val="auto"/>
          <w:sz w:val="23"/>
          <w:szCs w:val="23"/>
          <w:highlight w:val="none"/>
          <w:lang w:val="en-US" w:eastAsia="zh-CN"/>
        </w:rPr>
        <w:t>放</w:t>
      </w:r>
      <w:r>
        <w:rPr>
          <w:rFonts w:hint="eastAsia" w:ascii="宋体" w:hAnsi="宋体" w:eastAsia="宋体" w:cs="宋体"/>
          <w:color w:val="auto"/>
          <w:sz w:val="23"/>
          <w:szCs w:val="23"/>
          <w:highlight w:val="none"/>
          <w:lang w:eastAsia="zh-CN"/>
        </w:rPr>
        <w:t>端口。质量保证期满后，</w:t>
      </w:r>
      <w:r>
        <w:rPr>
          <w:rFonts w:hint="eastAsia" w:ascii="宋体" w:hAnsi="宋体" w:cs="宋体"/>
          <w:color w:val="auto"/>
          <w:sz w:val="23"/>
          <w:szCs w:val="23"/>
          <w:highlight w:val="none"/>
          <w:lang w:eastAsia="zh-CN"/>
        </w:rPr>
        <w:t>乙方</w:t>
      </w:r>
      <w:r>
        <w:rPr>
          <w:rFonts w:hint="eastAsia" w:ascii="宋体" w:hAnsi="宋体" w:eastAsia="宋体" w:cs="宋体"/>
          <w:color w:val="auto"/>
          <w:sz w:val="23"/>
          <w:szCs w:val="23"/>
          <w:highlight w:val="none"/>
          <w:lang w:eastAsia="zh-CN"/>
        </w:rPr>
        <w:t>有义务配合</w:t>
      </w:r>
      <w:r>
        <w:rPr>
          <w:rFonts w:hint="eastAsia" w:ascii="宋体" w:hAnsi="宋体" w:cs="宋体"/>
          <w:color w:val="auto"/>
          <w:sz w:val="23"/>
          <w:szCs w:val="23"/>
          <w:highlight w:val="none"/>
          <w:lang w:eastAsia="zh-CN"/>
        </w:rPr>
        <w:t>甲方</w:t>
      </w:r>
      <w:r>
        <w:rPr>
          <w:rFonts w:hint="eastAsia" w:ascii="宋体" w:hAnsi="宋体" w:eastAsia="宋体" w:cs="宋体"/>
          <w:color w:val="auto"/>
          <w:sz w:val="23"/>
          <w:szCs w:val="23"/>
          <w:highlight w:val="none"/>
          <w:lang w:eastAsia="zh-CN"/>
        </w:rPr>
        <w:t>对设备设施</w:t>
      </w:r>
      <w:r>
        <w:rPr>
          <w:rFonts w:hint="eastAsia" w:ascii="宋体" w:hAnsi="宋体" w:eastAsia="宋体" w:cs="宋体"/>
          <w:strike w:val="0"/>
          <w:dstrike w:val="0"/>
          <w:color w:val="auto"/>
          <w:sz w:val="23"/>
          <w:szCs w:val="23"/>
          <w:highlight w:val="none"/>
          <w:lang w:val="en-US" w:eastAsia="zh-CN"/>
        </w:rPr>
        <w:t>进行</w:t>
      </w:r>
      <w:r>
        <w:rPr>
          <w:rFonts w:hint="eastAsia" w:ascii="宋体" w:hAnsi="宋体" w:eastAsia="宋体" w:cs="宋体"/>
          <w:color w:val="auto"/>
          <w:sz w:val="23"/>
          <w:szCs w:val="23"/>
          <w:highlight w:val="none"/>
          <w:lang w:eastAsia="zh-CN"/>
        </w:rPr>
        <w:t>改造升级。</w:t>
      </w:r>
    </w:p>
    <w:p w14:paraId="120CD4D9">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（6）</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应按法律、行政法规或国家关于设备质量保修的有关规定，对交付</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使用的设备在质量保修期内承担质量保修责任。</w:t>
      </w:r>
    </w:p>
    <w:p w14:paraId="3AB441BC">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（7）无论在质量保证期内还是质量保证期满后，一旦设备发生故障，而</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无法自行排除时，在接到</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通知后，</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须在</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书面通知后24小时内赶到现场维修并及时提供备品、备件，并于4小时内完成维修。</w:t>
      </w:r>
    </w:p>
    <w:p w14:paraId="18DDFAC5">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（8）</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承诺，无论属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或其他方责任，在接到通知后，均遵守上述时间性要求不问理由地进行维修，并在维修过程中与</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及管理方共同取证，以判断责任原因，不属</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责任的，由责任方向</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支付材料及人工费用。</w:t>
      </w:r>
    </w:p>
    <w:p w14:paraId="2E65135D">
      <w:pPr>
        <w:pStyle w:val="49"/>
        <w:shd w:val="clear" w:color="auto" w:fill="FFFFFF"/>
        <w:rPr>
          <w:rFonts w:hint="eastAsia" w:ascii="宋体" w:hAnsi="宋体" w:eastAsia="宋体" w:cs="宋体"/>
          <w:color w:val="auto"/>
          <w:kern w:val="2"/>
          <w:sz w:val="23"/>
          <w:szCs w:val="23"/>
          <w:highlight w:val="none"/>
          <w:lang w:val="en-US" w:eastAsia="zh-CN" w:bidi="ar-SA"/>
        </w:rPr>
      </w:pPr>
      <w:r>
        <w:rPr>
          <w:rFonts w:hint="eastAsia" w:ascii="宋体" w:hAnsi="宋体" w:eastAsia="宋体" w:cs="宋体"/>
          <w:color w:val="auto"/>
          <w:kern w:val="2"/>
          <w:sz w:val="23"/>
          <w:szCs w:val="23"/>
          <w:highlight w:val="none"/>
          <w:lang w:val="en-US" w:eastAsia="zh-CN" w:bidi="ar-SA"/>
        </w:rPr>
        <w:t>（9）零配件保持供应8年以上。</w:t>
      </w:r>
    </w:p>
    <w:p w14:paraId="6F584BF9">
      <w:pPr>
        <w:pStyle w:val="49"/>
        <w:shd w:val="clear" w:color="auto" w:fill="FFFFFF"/>
        <w:rPr>
          <w:rFonts w:hint="eastAsia" w:ascii="宋体" w:hAnsi="宋体" w:eastAsia="宋体" w:cs="宋体"/>
          <w:b w:val="0"/>
          <w:bCs w:val="0"/>
          <w:color w:val="auto"/>
          <w:kern w:val="2"/>
          <w:sz w:val="23"/>
          <w:szCs w:val="23"/>
          <w:highlight w:val="none"/>
          <w:lang w:val="en-US" w:eastAsia="zh-CN" w:bidi="ar-SA"/>
        </w:rPr>
      </w:pPr>
      <w:r>
        <w:rPr>
          <w:rFonts w:hint="eastAsia" w:ascii="宋体" w:hAnsi="宋体" w:eastAsia="宋体" w:cs="宋体"/>
          <w:b w:val="0"/>
          <w:bCs w:val="0"/>
          <w:i w:val="0"/>
          <w:iCs w:val="0"/>
          <w:color w:val="auto"/>
          <w:kern w:val="0"/>
          <w:sz w:val="23"/>
          <w:szCs w:val="23"/>
          <w:highlight w:val="none"/>
          <w:u w:val="none"/>
          <w:lang w:val="en-US" w:eastAsia="zh-CN" w:bidi="ar"/>
        </w:rPr>
        <w:t>（10）驻场维保服务方案</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108" w:type="dxa"/>
          <w:bottom w:w="0" w:type="dxa"/>
          <w:right w:w="108" w:type="dxa"/>
        </w:tblCellMar>
      </w:tblPr>
      <w:tblGrid>
        <w:gridCol w:w="687"/>
        <w:gridCol w:w="16"/>
        <w:gridCol w:w="1231"/>
        <w:gridCol w:w="874"/>
        <w:gridCol w:w="1154"/>
        <w:gridCol w:w="1191"/>
        <w:gridCol w:w="3937"/>
      </w:tblGrid>
      <w:tr w14:paraId="1B5C4E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18" w:hRule="atLeast"/>
        </w:trPr>
        <w:tc>
          <w:tcPr>
            <w:tcW w:w="5000" w:type="pct"/>
            <w:gridSpan w:val="7"/>
            <w:tcBorders>
              <w:top w:val="nil"/>
              <w:left w:val="nil"/>
              <w:bottom w:val="nil"/>
              <w:right w:val="nil"/>
            </w:tcBorders>
            <w:shd w:val="clear" w:color="auto" w:fill="FFFFFF"/>
            <w:noWrap/>
            <w:vAlign w:val="center"/>
          </w:tcPr>
          <w:p w14:paraId="3879535D">
            <w:pPr>
              <w:keepNext w:val="0"/>
              <w:keepLines w:val="0"/>
              <w:widowControl/>
              <w:suppressLineNumbers w:val="0"/>
              <w:shd w:val="clear" w:color="auto" w:fill="FFFFFF"/>
              <w:jc w:val="left"/>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（一）人员配置</w:t>
            </w:r>
          </w:p>
        </w:tc>
      </w:tr>
      <w:tr w14:paraId="7A4D6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94"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12DE6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0F9B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项目负责人</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AE04F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1名</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8576B2">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具备同类净化工程项目丰富管理经验，全权负责对接、协调及服务质量管控</w:t>
            </w:r>
          </w:p>
        </w:tc>
      </w:tr>
      <w:tr w14:paraId="6596AB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28"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5BBE1F">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EB488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驻场维保人员</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3BD3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≥2名</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113817">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持有效电工证，提供7×24小时现场值守服务</w:t>
            </w:r>
          </w:p>
        </w:tc>
      </w:tr>
      <w:tr w14:paraId="1A7AEC3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28"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9BA30">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EC5E9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应急增援人员</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C3DDC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按需调配</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391141">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紧急情况下保证2小时内到场增援</w:t>
            </w:r>
          </w:p>
        </w:tc>
      </w:tr>
      <w:tr w14:paraId="721043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28" w:hRule="atLeast"/>
        </w:trPr>
        <w:tc>
          <w:tcPr>
            <w:tcW w:w="5000" w:type="pct"/>
            <w:gridSpan w:val="7"/>
            <w:tcBorders>
              <w:top w:val="nil"/>
              <w:left w:val="nil"/>
              <w:bottom w:val="nil"/>
              <w:right w:val="nil"/>
            </w:tcBorders>
            <w:shd w:val="clear" w:color="auto" w:fill="FFFFFF"/>
            <w:noWrap/>
            <w:vAlign w:val="center"/>
          </w:tcPr>
          <w:p w14:paraId="004173C3">
            <w:pPr>
              <w:keepNext w:val="0"/>
              <w:keepLines w:val="0"/>
              <w:widowControl/>
              <w:suppressLineNumbers w:val="0"/>
              <w:shd w:val="clear" w:color="auto" w:fill="FFFFFF"/>
              <w:jc w:val="left"/>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（二）巡检与检测制度</w:t>
            </w:r>
          </w:p>
        </w:tc>
      </w:tr>
      <w:tr w14:paraId="4C403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8"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2D6B5C">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CA51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日常巡检</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A0F42D">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每日</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D50944">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对净化设备、设施进行全面检查、维护并记录运行状况及关键参数</w:t>
            </w:r>
          </w:p>
        </w:tc>
      </w:tr>
      <w:tr w14:paraId="777ABA2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775"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FBF7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A4737A">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季度自检</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4C9D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每季度</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3AD7B">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对净化区域开展自检，出具书面检测报告，双方签字备案。检测项目：空气洁净度、送风量、风速（换气次数）、噪声、房间压差、温度、湿度、照度；不合格项立即整改</w:t>
            </w:r>
          </w:p>
        </w:tc>
      </w:tr>
      <w:tr w14:paraId="65CD71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7" w:hRule="atLeast"/>
        </w:trPr>
        <w:tc>
          <w:tcPr>
            <w:tcW w:w="37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F8945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686"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3117A">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年度检测</w:t>
            </w:r>
          </w:p>
        </w:tc>
        <w:tc>
          <w:tcPr>
            <w:tcW w:w="481"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7F33C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每年</w:t>
            </w:r>
          </w:p>
        </w:tc>
        <w:tc>
          <w:tcPr>
            <w:tcW w:w="345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D486A">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依据《医院洁净手术部建设技术规范》（GB50333-2013）对净化场所进行一次全面检测，确保达到原设计净化指标</w:t>
            </w:r>
          </w:p>
        </w:tc>
      </w:tr>
      <w:tr w14:paraId="19DDD85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24" w:hRule="atLeast"/>
        </w:trPr>
        <w:tc>
          <w:tcPr>
            <w:tcW w:w="5000" w:type="pct"/>
            <w:gridSpan w:val="7"/>
            <w:tcBorders>
              <w:top w:val="nil"/>
              <w:left w:val="nil"/>
              <w:bottom w:val="nil"/>
              <w:right w:val="nil"/>
            </w:tcBorders>
            <w:shd w:val="clear" w:color="auto" w:fill="FFFFFF"/>
            <w:noWrap/>
            <w:vAlign w:val="center"/>
          </w:tcPr>
          <w:p w14:paraId="0BA237AC">
            <w:pPr>
              <w:keepNext w:val="0"/>
              <w:keepLines w:val="0"/>
              <w:widowControl/>
              <w:suppressLineNumbers w:val="0"/>
              <w:shd w:val="clear" w:color="auto" w:fill="FFFFFF"/>
              <w:jc w:val="left"/>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（三）过滤器及关键耗材维护周期（包工包料）</w:t>
            </w:r>
          </w:p>
        </w:tc>
      </w:tr>
      <w:tr w14:paraId="189DD79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96E6D3">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序号</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8E982CD">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维护项目</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A521F08">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维护周期</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E04850">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工作内容</w:t>
            </w:r>
          </w:p>
        </w:tc>
      </w:tr>
      <w:tr w14:paraId="0D0F9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0B0F6C">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F38ED">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初效过滤器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6F43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每3个月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7EBB0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更换，同步清洗消毒新风采集箱及净化机组</w:t>
            </w:r>
          </w:p>
        </w:tc>
      </w:tr>
      <w:tr w14:paraId="3CF7D6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1FE6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08CAC">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中效过滤器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373E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每3个月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7A981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更换，同步清洗消毒净化机组</w:t>
            </w:r>
          </w:p>
        </w:tc>
      </w:tr>
      <w:tr w14:paraId="41A2E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A805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75C19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高效过滤器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C3F98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每36个月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6621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更换，或根据检测结果动态调整</w:t>
            </w:r>
          </w:p>
        </w:tc>
      </w:tr>
      <w:tr w14:paraId="05FB37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07F39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32520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手术室/ICU/层流病房送、回、排风过滤网</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AFEE0">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每周</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6B85C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清洗，遇特殊污染即时更换</w:t>
            </w:r>
          </w:p>
        </w:tc>
      </w:tr>
      <w:tr w14:paraId="4A2AC8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87F8A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48649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新风机组采集口过滤器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152B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每周</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7770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清洗</w:t>
            </w:r>
          </w:p>
        </w:tc>
      </w:tr>
      <w:tr w14:paraId="0C30A3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0D51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49B29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机组灭菌灯、风机盘管回风口</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9B363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A0DFF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检查、擦洗</w:t>
            </w:r>
          </w:p>
        </w:tc>
      </w:tr>
      <w:tr w14:paraId="0CF268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C432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7</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51D7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机组供水Y型过滤器</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54739">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051D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检查/清洗</w:t>
            </w:r>
          </w:p>
        </w:tc>
      </w:tr>
      <w:tr w14:paraId="4B0E692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E6DCE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8</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E22B8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加湿桶</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25A7F6">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每12个月</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C0D4F">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更换</w:t>
            </w:r>
          </w:p>
        </w:tc>
      </w:tr>
      <w:tr w14:paraId="7007A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5" w:hRule="atLeast"/>
        </w:trPr>
        <w:tc>
          <w:tcPr>
            <w:tcW w:w="387" w:type="pct"/>
            <w:gridSpan w:val="2"/>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A769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9</w:t>
            </w:r>
          </w:p>
        </w:tc>
        <w:tc>
          <w:tcPr>
            <w:tcW w:w="1793" w:type="pct"/>
            <w:gridSpan w:val="3"/>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ECA970">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室内回风口、排风口过滤网</w:t>
            </w:r>
          </w:p>
        </w:tc>
        <w:tc>
          <w:tcPr>
            <w:tcW w:w="65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215B4">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每周</w:t>
            </w:r>
          </w:p>
        </w:tc>
        <w:tc>
          <w:tcPr>
            <w:tcW w:w="216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52811">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清洗</w:t>
            </w:r>
          </w:p>
        </w:tc>
      </w:tr>
      <w:tr w14:paraId="7E4D91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CellMar>
            <w:top w:w="0" w:type="dxa"/>
            <w:left w:w="108" w:type="dxa"/>
            <w:bottom w:w="0" w:type="dxa"/>
            <w:right w:w="108" w:type="dxa"/>
          </w:tblCellMar>
        </w:tblPrEx>
        <w:trPr>
          <w:trHeight w:val="335" w:hRule="atLeast"/>
        </w:trPr>
        <w:tc>
          <w:tcPr>
            <w:tcW w:w="5000" w:type="pct"/>
            <w:gridSpan w:val="7"/>
            <w:tcBorders>
              <w:top w:val="nil"/>
              <w:left w:val="nil"/>
              <w:bottom w:val="nil"/>
              <w:right w:val="nil"/>
            </w:tcBorders>
            <w:shd w:val="clear" w:color="auto" w:fill="FFFFFF"/>
            <w:noWrap w:val="0"/>
            <w:vAlign w:val="center"/>
          </w:tcPr>
          <w:p w14:paraId="48B47C20">
            <w:pPr>
              <w:keepNext w:val="0"/>
              <w:keepLines w:val="0"/>
              <w:widowControl/>
              <w:suppressLineNumbers w:val="0"/>
              <w:shd w:val="clear" w:color="auto" w:fill="FFFFFF"/>
              <w:jc w:val="left"/>
              <w:textAlignment w:val="center"/>
              <w:rPr>
                <w:rFonts w:hint="eastAsia" w:ascii="宋体" w:hAnsi="宋体" w:eastAsia="宋体" w:cs="宋体"/>
                <w:i/>
                <w:iCs/>
                <w:color w:val="auto"/>
                <w:sz w:val="23"/>
                <w:szCs w:val="23"/>
                <w:highlight w:val="none"/>
                <w:u w:val="none"/>
              </w:rPr>
            </w:pPr>
            <w:r>
              <w:rPr>
                <w:rFonts w:hint="eastAsia" w:ascii="宋体" w:hAnsi="宋体" w:eastAsia="宋体" w:cs="宋体"/>
                <w:i/>
                <w:iCs/>
                <w:color w:val="auto"/>
                <w:kern w:val="0"/>
                <w:sz w:val="23"/>
                <w:szCs w:val="23"/>
                <w:highlight w:val="none"/>
                <w:u w:val="none"/>
                <w:lang w:val="en-US" w:eastAsia="zh-CN" w:bidi="ar"/>
              </w:rPr>
              <w:t>注：上述耗材包含初效、中效、亚高效、高效过滤器及加湿桶，全部包工包料计入服务费用。</w:t>
            </w:r>
          </w:p>
        </w:tc>
      </w:tr>
    </w:tbl>
    <w:p w14:paraId="60C824DA">
      <w:pPr>
        <w:shd w:val="clear" w:color="auto" w:fill="FFFFFF"/>
        <w:rPr>
          <w:rFonts w:hint="eastAsia" w:ascii="宋体" w:hAnsi="宋体" w:eastAsia="宋体" w:cs="宋体"/>
          <w:color w:val="auto"/>
          <w:sz w:val="23"/>
          <w:szCs w:val="23"/>
          <w:highlight w:val="none"/>
          <w:lang w:val="en-US"/>
        </w:rPr>
      </w:pPr>
      <w:r>
        <w:rPr>
          <w:rFonts w:hint="eastAsia" w:ascii="宋体" w:hAnsi="宋体" w:eastAsia="宋体" w:cs="宋体"/>
          <w:b/>
          <w:bCs/>
          <w:i w:val="0"/>
          <w:iCs w:val="0"/>
          <w:color w:val="auto"/>
          <w:kern w:val="0"/>
          <w:sz w:val="23"/>
          <w:szCs w:val="23"/>
          <w:highlight w:val="none"/>
          <w:u w:val="none"/>
          <w:lang w:val="en-US" w:eastAsia="zh-CN" w:bidi="ar"/>
        </w:rPr>
        <w:t>（四）维保范围清单</w:t>
      </w:r>
    </w:p>
    <w:tbl>
      <w:tblPr>
        <w:tblStyle w:val="31"/>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FFFFF"/>
        <w:tblLayout w:type="autofit"/>
        <w:tblCellMar>
          <w:top w:w="0" w:type="dxa"/>
          <w:left w:w="108" w:type="dxa"/>
          <w:bottom w:w="0" w:type="dxa"/>
          <w:right w:w="108" w:type="dxa"/>
        </w:tblCellMar>
      </w:tblPr>
      <w:tblGrid>
        <w:gridCol w:w="678"/>
        <w:gridCol w:w="1431"/>
        <w:gridCol w:w="6979"/>
      </w:tblGrid>
      <w:tr w14:paraId="4C175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5512FA">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序号</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0E6CE3E">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系统类别</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4C4E36">
            <w:pPr>
              <w:keepNext w:val="0"/>
              <w:keepLines w:val="0"/>
              <w:widowControl/>
              <w:suppressLineNumbers w:val="0"/>
              <w:shd w:val="clear" w:color="auto" w:fill="FFFFFF"/>
              <w:jc w:val="center"/>
              <w:textAlignment w:val="center"/>
              <w:rPr>
                <w:rFonts w:hint="eastAsia" w:ascii="宋体" w:hAnsi="宋体" w:eastAsia="宋体" w:cs="宋体"/>
                <w:b/>
                <w:bCs/>
                <w:i w:val="0"/>
                <w:iCs w:val="0"/>
                <w:color w:val="auto"/>
                <w:sz w:val="23"/>
                <w:szCs w:val="23"/>
                <w:highlight w:val="none"/>
                <w:u w:val="none"/>
              </w:rPr>
            </w:pPr>
            <w:r>
              <w:rPr>
                <w:rFonts w:hint="eastAsia" w:ascii="宋体" w:hAnsi="宋体" w:eastAsia="宋体" w:cs="宋体"/>
                <w:b/>
                <w:bCs/>
                <w:i w:val="0"/>
                <w:iCs w:val="0"/>
                <w:color w:val="auto"/>
                <w:kern w:val="0"/>
                <w:sz w:val="23"/>
                <w:szCs w:val="23"/>
                <w:highlight w:val="none"/>
                <w:u w:val="none"/>
                <w:lang w:val="en-US" w:eastAsia="zh-CN" w:bidi="ar"/>
              </w:rPr>
              <w:t>具体维保内容</w:t>
            </w:r>
          </w:p>
        </w:tc>
      </w:tr>
      <w:tr w14:paraId="7B3CB7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0"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7A798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5653A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净化装修系统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80E63C">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隔断、吊顶、天花、地胶板、传递窗、记录翻板、三柜及墙面/地面/吊顶面层</w:t>
            </w:r>
          </w:p>
        </w:tc>
      </w:tr>
      <w:tr w14:paraId="6B2D9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63"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A1A6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CF32C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门窗系统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1FE33">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通道门、医用气密门、电动门及控制系统</w:t>
            </w:r>
          </w:p>
        </w:tc>
      </w:tr>
      <w:tr w14:paraId="3B725D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75"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CB0315">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DDB468">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电气系统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F00180">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配电箱、插座、应急照明、观片灯、书写台灯、手术中标志灯、走廊应急照明</w:t>
            </w:r>
          </w:p>
        </w:tc>
      </w:tr>
      <w:tr w14:paraId="5416AD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0"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8329E2">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D9A4C7">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弱电系统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0459D">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呼叫系统、广播及背景音乐系统、监视系统、多功能操作面板、远程控制面板</w:t>
            </w:r>
          </w:p>
        </w:tc>
      </w:tr>
      <w:tr w14:paraId="3167AA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3"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46199">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11D03">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医疗设备</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971549">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不锈钢医疗器械柜、不锈钢自动洗手池及附属设施</w:t>
            </w:r>
          </w:p>
        </w:tc>
      </w:tr>
      <w:tr w14:paraId="5BA237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7" w:hRule="atLeast"/>
        </w:trPr>
        <w:tc>
          <w:tcPr>
            <w:tcW w:w="33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72CA3E">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805"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08A4D">
            <w:pPr>
              <w:keepNext w:val="0"/>
              <w:keepLines w:val="0"/>
              <w:widowControl/>
              <w:suppressLineNumbers w:val="0"/>
              <w:shd w:val="clear" w:color="auto" w:fill="FFFFFF"/>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空调系统</w:t>
            </w:r>
          </w:p>
        </w:tc>
        <w:tc>
          <w:tcPr>
            <w:tcW w:w="3856"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E16A31">
            <w:pPr>
              <w:keepNext w:val="0"/>
              <w:keepLines w:val="0"/>
              <w:widowControl/>
              <w:suppressLineNumbers w:val="0"/>
              <w:shd w:val="clear" w:color="auto" w:fill="FFFFFF"/>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空气处理机组（AHU）、新风机、除湿/加湿/排浊系统、控制柜、分配箱、线路及连接管道</w:t>
            </w:r>
          </w:p>
        </w:tc>
      </w:tr>
    </w:tbl>
    <w:p w14:paraId="0BD3ACFE">
      <w:pPr>
        <w:shd w:val="clear" w:color="auto" w:fill="FFFFFF"/>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五</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rPr>
        <w:t>质量与责任承诺</w:t>
      </w:r>
    </w:p>
    <w:p w14:paraId="632C0B5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1. 保修期：各类维修保修期≥1个检修周期；因维保不当导致的重复维修费用及损失，由净化乙方全额承担。</w:t>
      </w:r>
    </w:p>
    <w:p w14:paraId="6DD5CA8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 安全责任：施工期间一切安全事故及费用由净化乙方承担；作业过程不影响医院正常诊疗秩序，进场前办理交接手续，损坏设施照价赔偿。</w:t>
      </w:r>
    </w:p>
    <w:p w14:paraId="4A362587">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 备件保障：配备充足的应急备品备件，确保易损件及时更换；提供日常巡查、维护、检修、检测工作单范本（涵盖所有项目、内容及参数）。</w:t>
      </w:r>
    </w:p>
    <w:p w14:paraId="71CB07CD">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 检测能力：配备完善的净化系统检测设备，确保自检数据真实有效。</w:t>
      </w:r>
    </w:p>
    <w:p w14:paraId="60D3342B">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 服务考评：接受使用科室护士长、科主任及后勤部联合监督管理，定期回访整改，确保服务质量。</w:t>
      </w:r>
    </w:p>
    <w:p w14:paraId="7697863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6. 记录管理：清洗、更换、维修记录每月上交医院相关科室，接受各类检查。</w:t>
      </w:r>
    </w:p>
    <w:p w14:paraId="26BB44B1">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十六、安全要求：</w:t>
      </w:r>
    </w:p>
    <w:p w14:paraId="4FD7CCD0">
      <w:pPr>
        <w:spacing w:line="360" w:lineRule="auto"/>
        <w:ind w:firstLine="460" w:firstLineChars="200"/>
        <w:rPr>
          <w:rFonts w:hint="eastAsia" w:ascii="宋体" w:hAnsi="宋体" w:cs="宋体"/>
          <w:color w:val="auto"/>
          <w:sz w:val="23"/>
          <w:szCs w:val="23"/>
          <w:highlight w:val="none"/>
          <w:lang w:val="en-US" w:eastAsia="zh-CN"/>
        </w:rPr>
      </w:pPr>
      <w:bookmarkStart w:id="58" w:name="_Toc10358"/>
      <w:bookmarkStart w:id="59" w:name="_Toc6009"/>
      <w:r>
        <w:rPr>
          <w:rFonts w:hint="eastAsia" w:ascii="宋体" w:hAnsi="宋体" w:cs="宋体"/>
          <w:color w:val="auto"/>
          <w:sz w:val="23"/>
          <w:szCs w:val="23"/>
          <w:highlight w:val="none"/>
          <w:lang w:val="en-US" w:eastAsia="zh-CN"/>
        </w:rPr>
        <w:t>（1）乙方在实施作业期间，必须做好安全生产工作。实施过程中，必须严格按照安全程序进行，同时应做好加强安全教育和安全监督，确保不出现各类安全事故。接受行业监督人员依法实施的检查和监督，承包方在所属现场在施工期间，所发生的一切安全问题和治安问题由承包方负责。</w:t>
      </w:r>
    </w:p>
    <w:p w14:paraId="4E7D4999">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（2）乙方在实施过程中应采取必要的安全防护和消防措施，保障作业人员及出入施工现场人员的安全。乙方应为施工人员办理所需的工伤等保险，费用由乙方自行负责。</w:t>
      </w:r>
    </w:p>
    <w:p w14:paraId="33CC061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乙方在实施过程中如发生质量事故责任全部自行承担，及时报告甲方。做到及时查清事故原因，分清事故责任，并采取有效的补救措施。一般质量事故的处理方案应送甲方共同研究实施；重大质量事故的处理按国家相关条例执行。</w:t>
      </w:r>
    </w:p>
    <w:p w14:paraId="2B163D7A">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（4）本项目合同期内出现的作业人员或因承包人原因引起的第三方人员、财务损失，造成的责任和因此发生的费用，由乙方承担。</w:t>
      </w:r>
    </w:p>
    <w:p w14:paraId="064A66C0">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（5）本项目实施过程中，由乙方引起的管线、线路等损坏由乙方承担相应的责任和损失。</w:t>
      </w:r>
    </w:p>
    <w:p w14:paraId="729A8AAA">
      <w:pPr>
        <w:spacing w:line="360" w:lineRule="auto"/>
        <w:ind w:firstLine="460" w:firstLineChars="200"/>
        <w:rPr>
          <w:rFonts w:ascii="宋体" w:hAnsi="宋体" w:cs="宋体"/>
          <w:b/>
          <w:bCs/>
          <w:color w:val="auto"/>
          <w:sz w:val="23"/>
          <w:szCs w:val="23"/>
          <w:highlight w:val="none"/>
        </w:rPr>
      </w:pPr>
      <w:r>
        <w:rPr>
          <w:rFonts w:hint="eastAsia" w:ascii="宋体" w:hAnsi="宋体" w:cs="宋体"/>
          <w:b/>
          <w:bCs/>
          <w:color w:val="auto"/>
          <w:sz w:val="23"/>
          <w:szCs w:val="23"/>
          <w:highlight w:val="none"/>
        </w:rPr>
        <w:t>十七、违约责任</w:t>
      </w:r>
      <w:bookmarkEnd w:id="58"/>
      <w:bookmarkEnd w:id="59"/>
    </w:p>
    <w:p w14:paraId="278125F3">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1、乙方未按合同约定工期节点的（</w:t>
      </w:r>
      <w:r>
        <w:rPr>
          <w:rFonts w:hint="eastAsia" w:ascii="宋体" w:hAnsi="宋体" w:cs="宋体"/>
          <w:b w:val="0"/>
          <w:bCs/>
          <w:color w:val="auto"/>
          <w:sz w:val="23"/>
          <w:szCs w:val="23"/>
          <w:highlight w:val="none"/>
          <w:lang w:val="en-US" w:eastAsia="zh-CN"/>
        </w:rPr>
        <w:t>本项目完工并通过验收后</w:t>
      </w:r>
      <w:r>
        <w:rPr>
          <w:rFonts w:hint="eastAsia" w:ascii="宋体" w:hAnsi="宋体" w:cs="宋体"/>
          <w:color w:val="auto"/>
          <w:sz w:val="23"/>
          <w:szCs w:val="23"/>
          <w:highlight w:val="none"/>
          <w:lang w:val="en-US" w:eastAsia="zh-CN"/>
        </w:rPr>
        <w:t>），每逾期一天，乙方按2000元/天向甲方支付违约金；逾期超过30天的，乙方按4000元/天向甲方支付违约金直至扣除合同价款的3%且甲方有权解除合同，乙方承担所有的违约责任并承担由此造成的甲方的全部损失。乙方总工期超过本合同约定期限的，按照逾期交货承担违约责任。以上违约金经累计后最终在结算时扣除。</w:t>
      </w:r>
    </w:p>
    <w:p w14:paraId="4AFADC7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2、乙方交付的货品不能满足招标文件及合同主要技术标准及质量要求的，应按照要求更换、重做、修理直至按照甲方的要求退货并每发生一次，乙方应向甲方支付违约金2000元，累计发生3次（含）以上的，甲方有权解除本合同、甲方有权没收全部的履约保证金，乙方承担全部的违约责任并乙方应承担因此造成的甲方的所有损失。以上违约金经累计后最终在结算时扣除。</w:t>
      </w:r>
    </w:p>
    <w:p w14:paraId="33463351">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3、乙方接受甲方对供货期调整的要求，具体方式为：甲方提前十五天发出有甲方代表签发的书面通知，乙方进行书面确认后即可执行，对此甲方不承担违约责任。</w:t>
      </w:r>
    </w:p>
    <w:p w14:paraId="25EC557F">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4、如果乙方对本合同的执行敷衍了事，或忽视履行本合同约定的乙方任何工作及责任，而且从甲方发出书面要求其改正之日起30日内仍未采取有效措施并体现效果的，甲方有权解除本合同，并书面通知乙方，由此造成的经济损失，甲方有权在给乙方的任何款项中先行提取补偿，不足部分乙方仍应予以赔偿。</w:t>
      </w:r>
    </w:p>
    <w:p w14:paraId="412F01B5">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5、因乙方原因解除本合同时，乙方应向甲方支付签约合同价款20%的违约金，且甲方有权决定是否接受属于乙方在现场的一切设施、设备、材料使用于本工程，并乙方应承担由此造成的甲方的全部损失。以上违约金经累计后最终在结算时扣除。</w:t>
      </w:r>
    </w:p>
    <w:p w14:paraId="0B232AEE">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6、因乙方原因延误工期给甲方造成损失的（包括但不限于直接损失与间接损失）均由乙方承担相应责任及费用，甲方有权从乙方工程款中扣除相应费用，不足部分甲方有权追偿。</w:t>
      </w:r>
    </w:p>
    <w:p w14:paraId="02AF0F4B">
      <w:pPr>
        <w:spacing w:line="360"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val="en-US" w:eastAsia="zh-CN"/>
        </w:rPr>
        <w:t>7、因乙方原因造成本项目工程单项或整体验收不合格或验收标准的，甲方有权没收乙方缴纳的履约保证金，同时由此产生的一切责任与费用均由乙方承担，甲方有权在乙方工程款中扣除相应费用，不足部分甲方有权追偿。</w:t>
      </w:r>
    </w:p>
    <w:p w14:paraId="1C3F772E">
      <w:pPr>
        <w:spacing w:line="360" w:lineRule="auto"/>
        <w:ind w:firstLine="460" w:firstLineChars="200"/>
        <w:rPr>
          <w:rFonts w:ascii="宋体" w:hAnsi="宋体" w:cs="宋体"/>
          <w:b/>
          <w:bCs/>
          <w:color w:val="auto"/>
          <w:sz w:val="23"/>
          <w:szCs w:val="23"/>
          <w:highlight w:val="none"/>
        </w:rPr>
      </w:pPr>
      <w:bookmarkStart w:id="60" w:name="_Toc1229"/>
      <w:bookmarkStart w:id="61" w:name="_Toc18664"/>
      <w:r>
        <w:rPr>
          <w:rFonts w:hint="eastAsia" w:ascii="宋体" w:hAnsi="宋体" w:cs="宋体"/>
          <w:b/>
          <w:bCs/>
          <w:color w:val="auto"/>
          <w:sz w:val="23"/>
          <w:szCs w:val="23"/>
          <w:highlight w:val="none"/>
        </w:rPr>
        <w:t>十八、</w:t>
      </w:r>
      <w:bookmarkEnd w:id="60"/>
      <w:bookmarkEnd w:id="61"/>
      <w:r>
        <w:rPr>
          <w:rFonts w:hint="eastAsia" w:ascii="宋体" w:hAnsi="宋体" w:cs="宋体"/>
          <w:b/>
          <w:bCs/>
          <w:color w:val="auto"/>
          <w:sz w:val="23"/>
          <w:szCs w:val="23"/>
          <w:highlight w:val="none"/>
        </w:rPr>
        <w:t>不可抗力</w:t>
      </w:r>
    </w:p>
    <w:p w14:paraId="2BFE9C44">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1、如果双方中任何一方由于战争、严重火灾、水灾、台风和地震以及其它经双方同意属于不可抗力的事故，致使合同履行受阻时，履行合同的期限应予延长，延长的期限应相当于事故所影响的时间。</w:t>
      </w:r>
    </w:p>
    <w:p w14:paraId="717CB141">
      <w:pPr>
        <w:spacing w:line="360" w:lineRule="auto"/>
        <w:ind w:firstLine="460" w:firstLineChars="200"/>
        <w:rPr>
          <w:rFonts w:ascii="宋体" w:hAnsi="宋体" w:cs="宋体"/>
          <w:color w:val="auto"/>
          <w:sz w:val="23"/>
          <w:szCs w:val="23"/>
          <w:highlight w:val="none"/>
        </w:rPr>
      </w:pPr>
      <w:r>
        <w:rPr>
          <w:rFonts w:hint="eastAsia" w:ascii="宋体" w:hAnsi="宋体" w:cs="宋体"/>
          <w:color w:val="auto"/>
          <w:sz w:val="23"/>
          <w:szCs w:val="23"/>
          <w:highlight w:val="none"/>
        </w:rPr>
        <w:t xml:space="preserve"> 2、受事故影响的一方应在不可抗力的事故发生后尽快以电报或电传通知另一方，并在事故发生后14天内，将有关部门出具的证明文件用挂号信航寄给或送给另一方。如果不可抗力影响时间延续120天以上的， 双方应通过友好协商在合理的时间内达成进一步履行合同的协议。</w:t>
      </w:r>
    </w:p>
    <w:p w14:paraId="3E69CE88">
      <w:pPr>
        <w:spacing w:line="360" w:lineRule="auto"/>
        <w:ind w:left="420" w:leftChars="200"/>
        <w:rPr>
          <w:rFonts w:ascii="宋体" w:hAnsi="宋体" w:cs="宋体"/>
          <w:b/>
          <w:bCs/>
          <w:color w:val="auto"/>
          <w:sz w:val="23"/>
          <w:szCs w:val="23"/>
          <w:highlight w:val="none"/>
        </w:rPr>
      </w:pPr>
      <w:r>
        <w:rPr>
          <w:rFonts w:hint="eastAsia" w:ascii="宋体" w:hAnsi="宋体" w:eastAsia="宋体" w:cs="宋体"/>
          <w:b/>
          <w:bCs/>
          <w:color w:val="auto"/>
          <w:sz w:val="23"/>
          <w:szCs w:val="23"/>
          <w:highlight w:val="none"/>
          <w:lang w:val="en-US" w:eastAsia="zh-CN"/>
        </w:rPr>
        <w:t>十九</w:t>
      </w:r>
      <w:r>
        <w:rPr>
          <w:rFonts w:hint="eastAsia" w:ascii="宋体" w:hAnsi="宋体" w:cs="宋体"/>
          <w:b/>
          <w:bCs/>
          <w:color w:val="auto"/>
          <w:sz w:val="23"/>
          <w:szCs w:val="23"/>
          <w:highlight w:val="none"/>
        </w:rPr>
        <w:t>、其他</w:t>
      </w:r>
    </w:p>
    <w:p w14:paraId="270325B6">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（1）</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提出使用其他专利技术或特殊工艺，应取得</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和监理单位认可，</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负责办理许可手续并承担有关费用。</w:t>
      </w:r>
    </w:p>
    <w:p w14:paraId="05D85862">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（2）</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擅自使用专利技术侵犯他人专利权的因此产生的侵权纠纷，由</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自行承担并每发生一次，</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应向</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支付违约金 50000 元，如造成</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损失的，</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有权全额向</w:t>
      </w:r>
      <w:r>
        <w:rPr>
          <w:rFonts w:hint="eastAsia" w:ascii="宋体" w:hAnsi="宋体" w:cs="宋体"/>
          <w:color w:val="auto"/>
          <w:sz w:val="23"/>
          <w:szCs w:val="23"/>
          <w:highlight w:val="none"/>
          <w:lang w:val="en-US" w:eastAsia="zh-CN"/>
        </w:rPr>
        <w:t>乙方</w:t>
      </w:r>
      <w:r>
        <w:rPr>
          <w:rFonts w:hint="eastAsia" w:ascii="宋体" w:hAnsi="宋体" w:eastAsia="宋体" w:cs="宋体"/>
          <w:color w:val="auto"/>
          <w:sz w:val="23"/>
          <w:szCs w:val="23"/>
          <w:highlight w:val="none"/>
          <w:lang w:val="en-US" w:eastAsia="zh-CN"/>
        </w:rPr>
        <w:t>追索且</w:t>
      </w:r>
      <w:r>
        <w:rPr>
          <w:rFonts w:hint="eastAsia" w:ascii="宋体" w:hAnsi="宋体" w:cs="宋体"/>
          <w:color w:val="auto"/>
          <w:sz w:val="23"/>
          <w:szCs w:val="23"/>
          <w:highlight w:val="none"/>
          <w:lang w:val="en-US" w:eastAsia="zh-CN"/>
        </w:rPr>
        <w:t>甲方</w:t>
      </w:r>
      <w:r>
        <w:rPr>
          <w:rFonts w:hint="eastAsia" w:ascii="宋体" w:hAnsi="宋体" w:eastAsia="宋体" w:cs="宋体"/>
          <w:color w:val="auto"/>
          <w:sz w:val="23"/>
          <w:szCs w:val="23"/>
          <w:highlight w:val="none"/>
          <w:lang w:val="en-US" w:eastAsia="zh-CN"/>
        </w:rPr>
        <w:t>有权视情形解除本合同。以上违约金经累计后最终在结算时扣除。</w:t>
      </w:r>
    </w:p>
    <w:p w14:paraId="43380DA8">
      <w:pPr>
        <w:keepNext w:val="0"/>
        <w:keepLines w:val="0"/>
        <w:pageBreakBefore w:val="0"/>
        <w:widowControl/>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3</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需服从总包管理，配合总包完成工程整体竣工验收。</w:t>
      </w:r>
    </w:p>
    <w:p w14:paraId="51F1248A">
      <w:pPr>
        <w:keepNext w:val="0"/>
        <w:keepLines w:val="0"/>
        <w:pageBreakBefore w:val="0"/>
        <w:widowControl/>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rPr>
        <w:t>特别注明：本项目所有涉及到的方案或者深化图纸及变更都需经</w:t>
      </w:r>
      <w:r>
        <w:rPr>
          <w:rFonts w:hint="eastAsia" w:ascii="宋体" w:hAnsi="宋体" w:cs="宋体"/>
          <w:color w:val="auto"/>
          <w:sz w:val="23"/>
          <w:szCs w:val="23"/>
          <w:highlight w:val="none"/>
          <w:lang w:eastAsia="zh-CN"/>
        </w:rPr>
        <w:t>甲方</w:t>
      </w:r>
      <w:r>
        <w:rPr>
          <w:rFonts w:hint="eastAsia" w:ascii="宋体" w:hAnsi="宋体" w:cs="宋体"/>
          <w:color w:val="auto"/>
          <w:sz w:val="23"/>
          <w:szCs w:val="23"/>
          <w:highlight w:val="none"/>
        </w:rPr>
        <w:t>书面确认并同意后实施，</w:t>
      </w:r>
      <w:r>
        <w:rPr>
          <w:rFonts w:hint="eastAsia" w:ascii="宋体" w:hAnsi="宋体" w:cs="宋体"/>
          <w:color w:val="auto"/>
          <w:sz w:val="23"/>
          <w:szCs w:val="23"/>
          <w:highlight w:val="none"/>
          <w:lang w:eastAsia="zh-CN"/>
        </w:rPr>
        <w:t>甲方</w:t>
      </w:r>
      <w:r>
        <w:rPr>
          <w:rFonts w:hint="eastAsia" w:ascii="宋体" w:hAnsi="宋体" w:cs="宋体"/>
          <w:color w:val="auto"/>
          <w:sz w:val="23"/>
          <w:szCs w:val="23"/>
          <w:highlight w:val="none"/>
        </w:rPr>
        <w:t>单方面要求</w:t>
      </w:r>
      <w:r>
        <w:rPr>
          <w:rFonts w:hint="eastAsia" w:ascii="宋体" w:hAnsi="宋体" w:cs="宋体"/>
          <w:color w:val="auto"/>
          <w:sz w:val="23"/>
          <w:szCs w:val="23"/>
          <w:highlight w:val="none"/>
          <w:lang w:eastAsia="zh-CN"/>
        </w:rPr>
        <w:t>乙方</w:t>
      </w:r>
      <w:r>
        <w:rPr>
          <w:rFonts w:hint="eastAsia" w:ascii="宋体" w:hAnsi="宋体" w:cs="宋体"/>
          <w:color w:val="auto"/>
          <w:sz w:val="23"/>
          <w:szCs w:val="23"/>
          <w:highlight w:val="none"/>
        </w:rPr>
        <w:t>的变更无效。</w:t>
      </w:r>
      <w:r>
        <w:rPr>
          <w:rFonts w:hint="eastAsia" w:ascii="宋体" w:hAnsi="宋体" w:cs="宋体"/>
          <w:color w:val="auto"/>
          <w:sz w:val="23"/>
          <w:szCs w:val="23"/>
          <w:highlight w:val="none"/>
          <w:lang w:val="en-US" w:eastAsia="zh-CN"/>
        </w:rPr>
        <w:t>”</w:t>
      </w:r>
    </w:p>
    <w:p w14:paraId="4E390B57">
      <w:pPr>
        <w:widowControl/>
        <w:snapToGrid w:val="0"/>
        <w:spacing w:line="312" w:lineRule="auto"/>
        <w:ind w:firstLine="460" w:firstLineChars="200"/>
        <w:rPr>
          <w:rFonts w:hint="eastAsia" w:ascii="宋体" w:hAnsi="宋体" w:cs="宋体"/>
          <w:color w:val="auto"/>
          <w:sz w:val="23"/>
          <w:szCs w:val="23"/>
          <w:highlight w:val="none"/>
          <w:lang w:val="en-US" w:eastAsia="zh-CN"/>
        </w:rPr>
      </w:pP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4</w:t>
      </w:r>
      <w:r>
        <w:rPr>
          <w:rFonts w:hint="eastAsia" w:ascii="宋体" w:hAnsi="宋体" w:cs="宋体"/>
          <w:color w:val="auto"/>
          <w:sz w:val="23"/>
          <w:szCs w:val="23"/>
          <w:highlight w:val="none"/>
          <w:lang w:eastAsia="zh-CN"/>
        </w:rPr>
        <w:t>）</w:t>
      </w:r>
      <w:r>
        <w:rPr>
          <w:rFonts w:hint="eastAsia" w:ascii="宋体" w:hAnsi="宋体" w:cs="宋体"/>
          <w:color w:val="auto"/>
          <w:sz w:val="23"/>
          <w:szCs w:val="23"/>
          <w:highlight w:val="none"/>
          <w:lang w:val="en-US" w:eastAsia="zh-CN"/>
        </w:rPr>
        <w:t>乙方需配合总包做好创杯工作。</w:t>
      </w:r>
    </w:p>
    <w:p w14:paraId="5D06ABCA">
      <w:pPr>
        <w:keepNext w:val="0"/>
        <w:keepLines w:val="0"/>
        <w:pageBreakBefore w:val="0"/>
        <w:widowControl w:val="0"/>
        <w:kinsoku/>
        <w:wordWrap/>
        <w:overflowPunct/>
        <w:topLinePunct w:val="0"/>
        <w:autoSpaceDE/>
        <w:autoSpaceDN/>
        <w:bidi w:val="0"/>
        <w:adjustRightInd/>
        <w:snapToGrid w:val="0"/>
        <w:spacing w:line="312" w:lineRule="auto"/>
        <w:ind w:firstLine="460" w:firstLineChars="200"/>
        <w:textAlignment w:val="auto"/>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（5）</w:t>
      </w:r>
      <w:r>
        <w:rPr>
          <w:rFonts w:hint="default" w:ascii="宋体" w:hAnsi="宋体" w:eastAsia="宋体" w:cs="宋体"/>
          <w:color w:val="auto"/>
          <w:sz w:val="23"/>
          <w:szCs w:val="23"/>
          <w:highlight w:val="none"/>
          <w:lang w:val="en-US" w:eastAsia="zh-CN"/>
        </w:rPr>
        <w:t>未经</w:t>
      </w:r>
      <w:r>
        <w:rPr>
          <w:rFonts w:hint="eastAsia" w:ascii="宋体" w:hAnsi="宋体" w:eastAsia="宋体" w:cs="宋体"/>
          <w:color w:val="auto"/>
          <w:sz w:val="23"/>
          <w:szCs w:val="23"/>
          <w:highlight w:val="none"/>
          <w:lang w:val="en-US" w:eastAsia="zh-CN"/>
        </w:rPr>
        <w:t>甲方</w:t>
      </w:r>
      <w:r>
        <w:rPr>
          <w:rFonts w:hint="default" w:ascii="宋体" w:hAnsi="宋体" w:eastAsia="宋体" w:cs="宋体"/>
          <w:color w:val="auto"/>
          <w:sz w:val="23"/>
          <w:szCs w:val="23"/>
          <w:highlight w:val="none"/>
          <w:lang w:val="en-US" w:eastAsia="zh-CN"/>
        </w:rPr>
        <w:t>书面事先同意，</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不得将本合同项下全部或部分工作、项目、服务及合同权利义务转包、分包、委托给任何第三方。若</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擅自分包、转包，视为</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根本违约，</w:t>
      </w:r>
      <w:r>
        <w:rPr>
          <w:rFonts w:hint="eastAsia" w:ascii="宋体" w:hAnsi="宋体" w:eastAsia="宋体" w:cs="宋体"/>
          <w:color w:val="auto"/>
          <w:sz w:val="23"/>
          <w:szCs w:val="23"/>
          <w:highlight w:val="none"/>
          <w:lang w:val="en-US" w:eastAsia="zh-CN"/>
        </w:rPr>
        <w:t>甲方</w:t>
      </w:r>
      <w:r>
        <w:rPr>
          <w:rFonts w:hint="default" w:ascii="宋体" w:hAnsi="宋体" w:eastAsia="宋体" w:cs="宋体"/>
          <w:color w:val="auto"/>
          <w:sz w:val="23"/>
          <w:szCs w:val="23"/>
          <w:highlight w:val="none"/>
          <w:lang w:val="en-US" w:eastAsia="zh-CN"/>
        </w:rPr>
        <w:t>有权单方解除本合同，</w:t>
      </w:r>
      <w:r>
        <w:rPr>
          <w:rFonts w:hint="eastAsia" w:ascii="宋体" w:hAnsi="宋体" w:eastAsia="宋体" w:cs="宋体"/>
          <w:color w:val="auto"/>
          <w:sz w:val="23"/>
          <w:szCs w:val="23"/>
          <w:highlight w:val="none"/>
          <w:lang w:val="en-US" w:eastAsia="zh-CN"/>
        </w:rPr>
        <w:t>乙方</w:t>
      </w:r>
      <w:r>
        <w:rPr>
          <w:rFonts w:hint="default" w:ascii="宋体" w:hAnsi="宋体" w:eastAsia="宋体" w:cs="宋体"/>
          <w:color w:val="auto"/>
          <w:sz w:val="23"/>
          <w:szCs w:val="23"/>
          <w:highlight w:val="none"/>
          <w:lang w:val="en-US" w:eastAsia="zh-CN"/>
        </w:rPr>
        <w:t>须承担由此给</w:t>
      </w:r>
      <w:r>
        <w:rPr>
          <w:rFonts w:hint="eastAsia" w:ascii="宋体" w:hAnsi="宋体" w:eastAsia="宋体" w:cs="宋体"/>
          <w:color w:val="auto"/>
          <w:sz w:val="23"/>
          <w:szCs w:val="23"/>
          <w:highlight w:val="none"/>
          <w:lang w:val="en-US" w:eastAsia="zh-CN"/>
        </w:rPr>
        <w:t>甲方</w:t>
      </w:r>
      <w:r>
        <w:rPr>
          <w:rFonts w:hint="default" w:ascii="宋体" w:hAnsi="宋体" w:eastAsia="宋体" w:cs="宋体"/>
          <w:color w:val="auto"/>
          <w:sz w:val="23"/>
          <w:szCs w:val="23"/>
          <w:highlight w:val="none"/>
          <w:lang w:val="en-US" w:eastAsia="zh-CN"/>
        </w:rPr>
        <w:t>造成的全部损失，并按合同约定承担违约责任。</w:t>
      </w:r>
    </w:p>
    <w:p w14:paraId="36BAB154">
      <w:pPr>
        <w:spacing w:line="360" w:lineRule="auto"/>
        <w:ind w:firstLine="460" w:firstLineChars="200"/>
        <w:rPr>
          <w:rFonts w:hint="eastAsia" w:ascii="宋体" w:hAnsi="宋体" w:eastAsia="宋体" w:cs="宋体"/>
          <w:color w:val="auto"/>
          <w:sz w:val="23"/>
          <w:szCs w:val="23"/>
          <w:highlight w:val="none"/>
        </w:rPr>
      </w:pPr>
    </w:p>
    <w:p w14:paraId="40CA1615">
      <w:pPr>
        <w:pStyle w:val="76"/>
        <w:rPr>
          <w:rFonts w:hint="eastAsia" w:ascii="宋体" w:hAnsi="宋体" w:eastAsia="宋体" w:cs="宋体"/>
          <w:color w:val="auto"/>
          <w:sz w:val="23"/>
          <w:szCs w:val="23"/>
          <w:highlight w:val="none"/>
        </w:rPr>
      </w:pPr>
    </w:p>
    <w:p w14:paraId="33577CDA">
      <w:pPr>
        <w:pStyle w:val="76"/>
        <w:rPr>
          <w:rFonts w:hint="eastAsia" w:ascii="宋体" w:hAnsi="宋体" w:eastAsia="宋体" w:cs="宋体"/>
          <w:color w:val="auto"/>
          <w:sz w:val="23"/>
          <w:szCs w:val="23"/>
          <w:highlight w:val="none"/>
        </w:rPr>
      </w:pPr>
    </w:p>
    <w:p w14:paraId="501FFFB0">
      <w:pPr>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br w:type="page"/>
      </w:r>
    </w:p>
    <w:p w14:paraId="35EFDE98">
      <w:pPr>
        <w:spacing w:line="360" w:lineRule="auto"/>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合同附件1</w:t>
      </w:r>
    </w:p>
    <w:p w14:paraId="28A14592">
      <w:pPr>
        <w:spacing w:line="360" w:lineRule="auto"/>
        <w:jc w:val="center"/>
        <w:rPr>
          <w:rFonts w:hint="eastAsia" w:ascii="宋体" w:hAnsi="宋体" w:eastAsia="宋体" w:cs="宋体"/>
          <w:b/>
          <w:color w:val="auto"/>
          <w:sz w:val="23"/>
          <w:szCs w:val="23"/>
          <w:highlight w:val="none"/>
        </w:rPr>
      </w:pPr>
      <w:r>
        <w:rPr>
          <w:rFonts w:hint="eastAsia" w:ascii="宋体" w:hAnsi="宋体" w:eastAsia="宋体" w:cs="宋体"/>
          <w:b/>
          <w:color w:val="auto"/>
          <w:sz w:val="23"/>
          <w:szCs w:val="23"/>
          <w:highlight w:val="none"/>
        </w:rPr>
        <w:t>廉政承诺书</w:t>
      </w:r>
    </w:p>
    <w:p w14:paraId="0425E6D9">
      <w:pPr>
        <w:spacing w:line="440" w:lineRule="exact"/>
        <w:rPr>
          <w:rFonts w:hint="eastAsia" w:ascii="宋体" w:hAnsi="宋体" w:eastAsia="宋体" w:cs="宋体"/>
          <w:color w:val="auto"/>
          <w:sz w:val="23"/>
          <w:szCs w:val="23"/>
          <w:highlight w:val="none"/>
          <w:u w:val="single"/>
        </w:rPr>
      </w:pPr>
      <w:r>
        <w:rPr>
          <w:rFonts w:hint="eastAsia" w:ascii="宋体" w:hAnsi="宋体" w:eastAsia="宋体" w:cs="宋体"/>
          <w:color w:val="auto"/>
          <w:sz w:val="23"/>
          <w:szCs w:val="23"/>
          <w:highlight w:val="none"/>
        </w:rPr>
        <w:t>甲方（以下简称</w:t>
      </w:r>
      <w:r>
        <w:rPr>
          <w:rFonts w:hint="eastAsia" w:ascii="宋体" w:hAnsi="宋体" w:eastAsia="宋体" w:cs="宋体"/>
          <w:color w:val="auto"/>
          <w:kern w:val="1"/>
          <w:sz w:val="23"/>
          <w:szCs w:val="23"/>
          <w:highlight w:val="none"/>
        </w:rPr>
        <w:t>买方</w:t>
      </w:r>
      <w:r>
        <w:rPr>
          <w:rFonts w:hint="eastAsia" w:ascii="宋体" w:hAnsi="宋体" w:eastAsia="宋体" w:cs="宋体"/>
          <w:color w:val="auto"/>
          <w:sz w:val="23"/>
          <w:szCs w:val="23"/>
          <w:highlight w:val="none"/>
        </w:rPr>
        <w:t>）：</w:t>
      </w:r>
    </w:p>
    <w:p w14:paraId="0B39C4BE">
      <w:pPr>
        <w:spacing w:line="440" w:lineRule="exact"/>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乙方（以下简称卖方）：</w:t>
      </w:r>
    </w:p>
    <w:p w14:paraId="5FAD37F9">
      <w:pPr>
        <w:spacing w:line="360" w:lineRule="auto"/>
        <w:ind w:firstLine="460" w:firstLineChars="200"/>
        <w:rPr>
          <w:rFonts w:hint="eastAsia" w:ascii="宋体" w:hAnsi="宋体" w:eastAsia="宋体" w:cs="宋体"/>
          <w:bCs/>
          <w:color w:val="auto"/>
          <w:sz w:val="23"/>
          <w:szCs w:val="23"/>
          <w:highlight w:val="none"/>
        </w:rPr>
      </w:pPr>
    </w:p>
    <w:p w14:paraId="5D7850D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根据有关廉政建设的规定，为做好项目过程中的党风廉政建设，保证项目高效优质，保证合同资金的安全和有效使用，特订立如下合同：</w:t>
      </w:r>
    </w:p>
    <w:p w14:paraId="3D71473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第一条 买卖双方的基本要求</w:t>
      </w:r>
    </w:p>
    <w:p w14:paraId="6AFF4DC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（一）严格遵守党和国家有关法律法规。</w:t>
      </w:r>
    </w:p>
    <w:p w14:paraId="4E83078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（二）严格执行_____________________项目合同文件，自觉按合同办事。</w:t>
      </w:r>
    </w:p>
    <w:p w14:paraId="29070AA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（三）双方所涉业务活动坚持公开、公正、诚信、透明的原则（除法律认定的商业秘密和合同文件另有规定之外），不得损害国家和集体利益，违反买卖管理规章制度。</w:t>
      </w:r>
    </w:p>
    <w:p w14:paraId="69C7E94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（四）建立健全廉政制度，开展廉政教育，公布举报电话，监督并认真查处违法违纪行为。</w:t>
      </w:r>
    </w:p>
    <w:p w14:paraId="0592E49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（五）发现对方在业务活动中有违反廉政规定的行为，有及时提醒对方纠正的权利和义务。</w:t>
      </w:r>
    </w:p>
    <w:p w14:paraId="4A6994E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（六）发现对方严重违反本合同义务条款的行为，有向其上级有关部门举报、建议给予处理并要求告知处理结果的权利。</w:t>
      </w:r>
    </w:p>
    <w:p w14:paraId="12B04C7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第二条 买方义务</w:t>
      </w:r>
    </w:p>
    <w:p w14:paraId="3B63469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（一）买方及其工作人员不得索要或接受卖方的礼金、有价证券和贵重物品，不得在卖方报销任何应由买方或个人支付的费用等。</w:t>
      </w:r>
    </w:p>
    <w:p w14:paraId="2618B4F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（二）买方工作人员不得参加卖方安排的宴请和娱乐活动，不得接受卖方提供的通信工具、交通工具和办公用品等。</w:t>
      </w:r>
    </w:p>
    <w:p w14:paraId="133570D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（三）买方及其工作人员不得要求或者接受卖方为其住房装修、婚丧嫁娶活动、配偶子女的工作安排以及出国出境、旅游等提供方便等。</w:t>
      </w:r>
    </w:p>
    <w:p w14:paraId="69C9897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（四）买方工作人员的配偶、子女不得从事与买方项目有关的经济活动。</w:t>
      </w:r>
    </w:p>
    <w:p w14:paraId="5245047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第三条 卖方义务</w:t>
      </w:r>
    </w:p>
    <w:p w14:paraId="0F535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（一）卖方不得以任何理由向买方及其工作人员行贿或馈赠礼金，有价证券、贵重礼品。</w:t>
      </w:r>
    </w:p>
    <w:p w14:paraId="7DB76EE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（二）卖方不得以任何名义为买方及其工作人员报销应由买方或个人支付的任何费用。</w:t>
      </w:r>
    </w:p>
    <w:p w14:paraId="5DC924D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（三）卖方不得以任何理由安排买方工作人员参加宴请及娱乐活动。</w:t>
      </w:r>
    </w:p>
    <w:p w14:paraId="518D61C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（四）卖方不得为买方单位和个人购置或提供通信工具、交通工具和办公用品等。</w:t>
      </w:r>
    </w:p>
    <w:p w14:paraId="7E886AC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第四条  违约责任</w:t>
      </w:r>
    </w:p>
    <w:p w14:paraId="3CCD7C9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（一）买方及其工作人员违反本合同第一，二条，按管理权限，依据有关规定给予党纪、政纪或组织处理；涉嫌犯罪的，移交司法机关追究刑事责任；给卖方单位造成经济损失的，应予以赔偿。</w:t>
      </w:r>
    </w:p>
    <w:p w14:paraId="25C8772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及其工作人员违反本合同第一，三条，按管理权限，依据有关规定、给予党纪、政纪或组织处理；给买方造成经济损失的，应予以赔偿；情节严重的，买方建议招投标主管部门给予卖方一至三年内不得进入其主管的交易市场的处罚。</w:t>
      </w:r>
    </w:p>
    <w:p w14:paraId="3AEB9C1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第五条  本合同有效期为买卖双方签署之日起至该项目服务完成并经买方认可后止。</w:t>
      </w:r>
    </w:p>
    <w:p w14:paraId="427B9B0C">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本合同作为____________________项目合同的附件，与项目合同具有同等的法律效力，经合同双方签署立即生效。</w:t>
      </w:r>
    </w:p>
    <w:p w14:paraId="1BFFE5F1">
      <w:pPr>
        <w:spacing w:line="360" w:lineRule="auto"/>
        <w:ind w:firstLine="460" w:firstLineChars="200"/>
        <w:rPr>
          <w:rFonts w:hint="eastAsia" w:ascii="宋体" w:hAnsi="宋体" w:eastAsia="宋体" w:cs="宋体"/>
          <w:bCs/>
          <w:strike/>
          <w:color w:val="auto"/>
          <w:sz w:val="23"/>
          <w:szCs w:val="23"/>
          <w:highlight w:val="none"/>
        </w:rPr>
      </w:pPr>
    </w:p>
    <w:p w14:paraId="0B360D1F">
      <w:pPr>
        <w:spacing w:line="360" w:lineRule="auto"/>
        <w:ind w:firstLine="460" w:firstLineChars="200"/>
        <w:rPr>
          <w:rFonts w:hint="eastAsia" w:ascii="宋体" w:hAnsi="宋体" w:eastAsia="宋体" w:cs="宋体"/>
          <w:bCs/>
          <w:color w:val="auto"/>
          <w:sz w:val="23"/>
          <w:szCs w:val="23"/>
          <w:highlight w:val="none"/>
        </w:rPr>
      </w:pPr>
    </w:p>
    <w:p w14:paraId="7DB9D47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买方：（盖章）                            </w:t>
      </w:r>
      <w:r>
        <w:rPr>
          <w:rFonts w:hint="eastAsia" w:ascii="宋体" w:hAnsi="宋体" w:eastAsia="宋体" w:cs="宋体"/>
          <w:bCs/>
          <w:color w:val="auto"/>
          <w:sz w:val="23"/>
          <w:szCs w:val="23"/>
          <w:highlight w:val="none"/>
          <w:lang w:val="en-US" w:eastAsia="zh-CN"/>
        </w:rPr>
        <w:t xml:space="preserve">  </w:t>
      </w:r>
      <w:r>
        <w:rPr>
          <w:rFonts w:hint="eastAsia" w:ascii="宋体" w:hAnsi="宋体" w:eastAsia="宋体" w:cs="宋体"/>
          <w:bCs/>
          <w:color w:val="auto"/>
          <w:sz w:val="23"/>
          <w:szCs w:val="23"/>
          <w:highlight w:val="none"/>
        </w:rPr>
        <w:t xml:space="preserve"> 卖方：（盖章）</w:t>
      </w:r>
    </w:p>
    <w:p w14:paraId="6EEC656F">
      <w:pPr>
        <w:spacing w:line="360" w:lineRule="auto"/>
        <w:ind w:firstLine="460" w:firstLineChars="200"/>
        <w:rPr>
          <w:rFonts w:hint="eastAsia" w:ascii="宋体" w:hAnsi="宋体" w:eastAsia="宋体" w:cs="宋体"/>
          <w:bCs/>
          <w:color w:val="auto"/>
          <w:sz w:val="23"/>
          <w:szCs w:val="23"/>
          <w:highlight w:val="none"/>
        </w:rPr>
      </w:pPr>
    </w:p>
    <w:p w14:paraId="67A33B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7B7203E6">
      <w:pPr>
        <w:spacing w:line="360" w:lineRule="auto"/>
        <w:ind w:firstLine="460" w:firstLineChars="200"/>
        <w:rPr>
          <w:rFonts w:hint="eastAsia" w:ascii="宋体" w:hAnsi="宋体" w:eastAsia="宋体" w:cs="宋体"/>
          <w:bCs/>
          <w:color w:val="auto"/>
          <w:sz w:val="23"/>
          <w:szCs w:val="23"/>
          <w:highlight w:val="none"/>
        </w:rPr>
      </w:pPr>
    </w:p>
    <w:p w14:paraId="3AC140B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 xml:space="preserve"> 年    月    日                               年    月    日</w:t>
      </w:r>
    </w:p>
    <w:p w14:paraId="7CB25194">
      <w:pPr>
        <w:spacing w:line="360" w:lineRule="auto"/>
        <w:ind w:firstLine="462" w:firstLineChars="200"/>
        <w:rPr>
          <w:rFonts w:hint="eastAsia" w:ascii="宋体" w:hAnsi="宋体" w:eastAsia="宋体" w:cs="宋体"/>
          <w:bCs/>
          <w:color w:val="auto"/>
          <w:sz w:val="23"/>
          <w:szCs w:val="23"/>
          <w:highlight w:val="none"/>
        </w:rPr>
      </w:pPr>
      <w:r>
        <w:rPr>
          <w:rFonts w:hint="eastAsia" w:ascii="宋体" w:hAnsi="宋体" w:eastAsia="宋体" w:cs="宋体"/>
          <w:b/>
          <w:color w:val="auto"/>
          <w:sz w:val="23"/>
          <w:szCs w:val="23"/>
          <w:highlight w:val="none"/>
        </w:rPr>
        <w:br w:type="page"/>
      </w:r>
      <w:r>
        <w:rPr>
          <w:rFonts w:hint="eastAsia" w:ascii="宋体" w:hAnsi="宋体" w:eastAsia="宋体" w:cs="宋体"/>
          <w:bCs/>
          <w:color w:val="auto"/>
          <w:sz w:val="23"/>
          <w:szCs w:val="23"/>
          <w:highlight w:val="none"/>
        </w:rPr>
        <w:t xml:space="preserve">合同附件2 </w:t>
      </w:r>
    </w:p>
    <w:p w14:paraId="483B3398">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安全协议书</w:t>
      </w:r>
    </w:p>
    <w:p w14:paraId="3162437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甲方（以下简称买方）：</w:t>
      </w:r>
    </w:p>
    <w:p w14:paraId="05ED2A2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乙方（以下简称卖方）：</w:t>
      </w:r>
    </w:p>
    <w:p w14:paraId="588ED7B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为了切实加强本项目的安全管理，双方本着平等、自愿的原则，签订本协议书。买方和卖方均严格遵守本协议书规定的权力、责任和义务，确保实施人员作业的安全。</w:t>
      </w:r>
    </w:p>
    <w:p w14:paraId="5E408894">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一、买方的权利、责任和义务：</w:t>
      </w:r>
    </w:p>
    <w:p w14:paraId="32DA3EA6">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1、贯彻落实国家有关生产现场安全作业的法规和管理规定。</w:t>
      </w:r>
    </w:p>
    <w:p w14:paraId="5806BC1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2、及时纠正卖方的危险行为，并按照有关规定予以查处。</w:t>
      </w:r>
    </w:p>
    <w:p w14:paraId="2F189F8B">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3、对卖方的安全作业培训和危险预知工作提出指导意见，并监督落实情况。</w:t>
      </w:r>
    </w:p>
    <w:p w14:paraId="53A3F3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4、对卖方提出的安全作业要求积极提供帮助。</w:t>
      </w:r>
    </w:p>
    <w:p w14:paraId="79807402">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施工前需与卖方签订协议包括且不仅包括以下内容：安全协议、实施方案的技术交底、现场安全交底、重要相关方记录等。施工期间将监管卖方临时接电（水）、有限空间等危险作业等内容按制度审批工作，并具对其进行相应告知监督义务。</w:t>
      </w:r>
    </w:p>
    <w:p w14:paraId="1EBD5DD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6、施工期间，买方将自行或委派监理公司，根据安全协议、方案等规定，检查卖方是否违规、冒险作业。若存在违反者，将立即停工整改，且整改时间计入工期。</w:t>
      </w:r>
    </w:p>
    <w:p w14:paraId="72B1E2BA">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二、卖方的权利、责任和义务：</w:t>
      </w:r>
    </w:p>
    <w:p w14:paraId="3D41524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1、遵守国家相关工作的法规和管理制度，建立健全安全责任制度。</w:t>
      </w:r>
    </w:p>
    <w:p w14:paraId="0F72E46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2、服从买方安全管理要求，做好项目工作中所有工作人员的安全教育、安全培训、安全交底工作。施工前需出具包括且不仅包括以下证明材料：安全资质证书、工程施工的安全协议、特种作业证等。各类材料须提供原件备查，复印件报备给买方留档。施工期间需临时接电（水）、有限空间等危险作业，须提前按买方相应制度进行申请，审批，备案和登记。作业结束后，卖方须及时清除作业现场的物资和废弃物，做到工完场清。</w:t>
      </w:r>
    </w:p>
    <w:p w14:paraId="1583114F">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3、按照国家安全法律法规要求，做好对工作人员的安全督查，确保工作人员的劳保用品、使用工具等都使用到位，安全可靠。</w:t>
      </w:r>
    </w:p>
    <w:p w14:paraId="0E8DEFF1">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4、经常性开展安全生产检查工作，对发现的隐患及时整改消除，并做好记录，确保安全生产，做到文明作业。</w:t>
      </w:r>
    </w:p>
    <w:p w14:paraId="19F64F15">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5、工作人员的要求：（1）所有工作人员身体健康无缺陷，持《从业人员健康检查合格证》上岗，无传染病；（2）涉及特种作业相关作业人员必须遵守国家有关规定，持有效资格证才能上岗作业。</w:t>
      </w:r>
    </w:p>
    <w:p w14:paraId="41BAA007">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6、发生事故必须按规定及时上报，并严格按“四不放过”的原则进行处理，认真落实防范措施，杜绝同类事故的再次发生。</w:t>
      </w:r>
    </w:p>
    <w:p w14:paraId="152F5D93">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7、卖方造成的安全事故，以及卖方人员在实施项目工作过程中造成的财产损失和人身伤亡，与买方无涉，由卖方承担事故责任和经济责任，并对买方造成的各种损失须进行赔偿。</w:t>
      </w:r>
    </w:p>
    <w:p w14:paraId="541E6C4A">
      <w:pPr>
        <w:spacing w:line="360" w:lineRule="auto"/>
        <w:ind w:firstLine="460" w:firstLineChars="200"/>
        <w:rPr>
          <w:rFonts w:hint="eastAsia" w:ascii="宋体" w:hAnsi="宋体" w:eastAsia="宋体" w:cs="宋体"/>
          <w:bCs/>
          <w:color w:val="auto"/>
          <w:sz w:val="23"/>
          <w:szCs w:val="23"/>
          <w:highlight w:val="none"/>
        </w:rPr>
      </w:pPr>
    </w:p>
    <w:p w14:paraId="502E2580">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本协议作为____________________项目合同的附件，与项目合同具有同等的法律效力，经合同双方签署立即生效。</w:t>
      </w:r>
    </w:p>
    <w:p w14:paraId="4AEEB791">
      <w:pPr>
        <w:spacing w:line="360" w:lineRule="auto"/>
        <w:ind w:firstLine="460" w:firstLineChars="200"/>
        <w:rPr>
          <w:rFonts w:hint="eastAsia" w:ascii="宋体" w:hAnsi="宋体" w:eastAsia="宋体" w:cs="宋体"/>
          <w:bCs/>
          <w:color w:val="auto"/>
          <w:sz w:val="23"/>
          <w:szCs w:val="23"/>
          <w:highlight w:val="none"/>
        </w:rPr>
      </w:pPr>
    </w:p>
    <w:p w14:paraId="1934071F">
      <w:pPr>
        <w:spacing w:line="360" w:lineRule="auto"/>
        <w:ind w:firstLine="460" w:firstLineChars="200"/>
        <w:rPr>
          <w:rFonts w:hint="eastAsia" w:ascii="宋体" w:hAnsi="宋体" w:eastAsia="宋体" w:cs="宋体"/>
          <w:bCs/>
          <w:color w:val="auto"/>
          <w:sz w:val="23"/>
          <w:szCs w:val="23"/>
          <w:highlight w:val="none"/>
        </w:rPr>
      </w:pPr>
    </w:p>
    <w:p w14:paraId="63088F7E">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买方：(盖章）                              卖方：(盖章）</w:t>
      </w:r>
    </w:p>
    <w:p w14:paraId="6233A477">
      <w:pPr>
        <w:spacing w:line="360" w:lineRule="auto"/>
        <w:ind w:firstLine="460" w:firstLineChars="200"/>
        <w:rPr>
          <w:rFonts w:hint="eastAsia" w:ascii="宋体" w:hAnsi="宋体" w:eastAsia="宋体" w:cs="宋体"/>
          <w:bCs/>
          <w:color w:val="auto"/>
          <w:sz w:val="23"/>
          <w:szCs w:val="23"/>
          <w:highlight w:val="none"/>
        </w:rPr>
      </w:pPr>
    </w:p>
    <w:p w14:paraId="2A993609">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法定代表人或其授权代表（签字或盖章）：   法定代表人或其授权代表（签字或盖章）：</w:t>
      </w:r>
    </w:p>
    <w:p w14:paraId="18FB067D">
      <w:pPr>
        <w:spacing w:line="360" w:lineRule="auto"/>
        <w:ind w:firstLine="460" w:firstLineChars="200"/>
        <w:rPr>
          <w:rFonts w:hint="eastAsia" w:ascii="宋体" w:hAnsi="宋体" w:eastAsia="宋体" w:cs="宋体"/>
          <w:bCs/>
          <w:color w:val="auto"/>
          <w:sz w:val="23"/>
          <w:szCs w:val="23"/>
          <w:highlight w:val="none"/>
        </w:rPr>
      </w:pPr>
      <w:r>
        <w:rPr>
          <w:rFonts w:hint="eastAsia" w:ascii="宋体" w:hAnsi="宋体" w:eastAsia="宋体" w:cs="宋体"/>
          <w:bCs/>
          <w:color w:val="auto"/>
          <w:sz w:val="23"/>
          <w:szCs w:val="23"/>
          <w:highlight w:val="none"/>
        </w:rPr>
        <w:t>年   月   日                              年   月   日</w:t>
      </w:r>
    </w:p>
    <w:p w14:paraId="7C0F9B19">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2371224E">
      <w:pPr>
        <w:spacing w:before="63" w:line="225" w:lineRule="auto"/>
        <w:ind w:left="2253"/>
        <w:jc w:val="both"/>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第五章 招标内容和技术要求</w:t>
      </w:r>
    </w:p>
    <w:p w14:paraId="3CC84DA7">
      <w:pPr>
        <w:pStyle w:val="14"/>
        <w:rPr>
          <w:rFonts w:hint="eastAsia" w:hAnsi="宋体" w:eastAsia="宋体" w:cs="宋体"/>
          <w:color w:val="auto"/>
          <w:highlight w:val="none"/>
        </w:rPr>
      </w:pPr>
    </w:p>
    <w:p w14:paraId="73C9C613">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一、净化单位与施工总承包单位界面划分</w:t>
      </w:r>
    </w:p>
    <w:p w14:paraId="7AF5CFE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为明确净化工程与各相关单位的施工界面，避免交叉施工产生争议、漏项及责任不清，确保本项目顺利实施，特制定本界面划分方案。本方案适用于二期工程净化项目范围内“静配中心”（住院楼1楼）、“实验室”（医技楼2楼检验科及住院楼2楼病理科）、净化系统（医技楼3楼手术室及供应室、住院楼2楼ICU、住院楼6楼DSA、住院楼7楼层流病房、住院楼8楼层流病房机房）的施工界面管理。</w:t>
      </w:r>
    </w:p>
    <w:p w14:paraId="5621A18C">
      <w:pPr>
        <w:spacing w:line="360" w:lineRule="auto"/>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总包单位已对净化项目施工范围完成净空处理，各专项单位应依据以下界面划分各司其职，相互配合。</w:t>
      </w:r>
    </w:p>
    <w:p w14:paraId="71617F08">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（一）土建及装饰界面</w:t>
      </w:r>
    </w:p>
    <w:p w14:paraId="60B38A5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 墙体工程</w:t>
      </w:r>
    </w:p>
    <w:p w14:paraId="68B33BD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总承包单位负责：净化区域（含静配中心、检验科、病理科、手术室、供应室、ICU、DSA、层流病房等）内所有土建墙体的砌筑、构造柱施工及抹灰施工。其中，疏散走廊的砌体及粉刷由总承包单位负责完成。</w:t>
      </w:r>
    </w:p>
    <w:p w14:paraId="0D0146E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净化单位负责：净化专项设计图纸中因工艺需要新增的轻质墙体等工程内容；净化区域内墙面装饰面层（含净化板、抗菌涂料等）的施工；墙体基层抹灰以外的装饰层全部工程内容。</w:t>
      </w:r>
    </w:p>
    <w:p w14:paraId="43EE4FB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 楼地面工程</w:t>
      </w:r>
    </w:p>
    <w:p w14:paraId="68BD425C">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总承包单位负责：完成结构楼地面施工，完成各楼层基准标高控制线的现场放线；完成地面找平层及防水层施工（</w:t>
      </w:r>
      <w:r>
        <w:rPr>
          <w:rFonts w:hint="eastAsia" w:ascii="宋体" w:hAnsi="宋体" w:eastAsia="宋体" w:cs="宋体"/>
          <w:color w:val="auto"/>
          <w:sz w:val="23"/>
          <w:szCs w:val="23"/>
          <w:highlight w:val="none"/>
          <w:lang w:val="en-US" w:eastAsia="zh-CN"/>
        </w:rPr>
        <w:t>不</w:t>
      </w:r>
      <w:r>
        <w:rPr>
          <w:rFonts w:hint="eastAsia" w:ascii="宋体" w:hAnsi="宋体" w:eastAsia="宋体" w:cs="宋体"/>
          <w:color w:val="auto"/>
          <w:sz w:val="23"/>
          <w:szCs w:val="23"/>
          <w:highlight w:val="none"/>
        </w:rPr>
        <w:t>含防辐射房间的地面找平）。</w:t>
      </w:r>
    </w:p>
    <w:p w14:paraId="58D540B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净化单位负责：结构面找平层以上至装饰面层的全部工程内容，含地面装饰面层（PVC地板、环氧树脂自流平等）的施工。</w:t>
      </w:r>
    </w:p>
    <w:p w14:paraId="12FA7C9D">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净化区域内的防辐射单元地面找平由防辐射单位找平。</w:t>
      </w:r>
    </w:p>
    <w:p w14:paraId="04713BA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 天棚（吊顶）工程</w:t>
      </w:r>
    </w:p>
    <w:p w14:paraId="422CC1D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总承包单位负责：施工至结构顶板层。</w:t>
      </w:r>
    </w:p>
    <w:p w14:paraId="2E392A3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净化单位负责：天棚结构面以下的装饰面层及吊顶面层全部工程内容；吊顶面层的灯孔、风口、检修口、消防设备等的开孔及收口。</w:t>
      </w:r>
    </w:p>
    <w:p w14:paraId="0FC0D6F2">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 门窗工程</w:t>
      </w:r>
    </w:p>
    <w:p w14:paraId="5E074D7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总承包单位负责：净化区域内的防火门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防火窗</w:t>
      </w:r>
      <w:r>
        <w:rPr>
          <w:rFonts w:hint="eastAsia" w:ascii="宋体" w:hAnsi="宋体" w:eastAsia="宋体" w:cs="宋体"/>
          <w:color w:val="auto"/>
          <w:sz w:val="23"/>
          <w:szCs w:val="23"/>
          <w:highlight w:val="none"/>
        </w:rPr>
        <w:t>供货及安装。</w:t>
      </w:r>
    </w:p>
    <w:p w14:paraId="78C35E0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净化单位负责：所有净化区的净化门</w:t>
      </w:r>
      <w:r>
        <w:rPr>
          <w:rFonts w:hint="eastAsia" w:ascii="宋体" w:hAnsi="宋体" w:eastAsia="宋体" w:cs="宋体"/>
          <w:color w:val="auto"/>
          <w:sz w:val="23"/>
          <w:szCs w:val="23"/>
          <w:highlight w:val="none"/>
          <w:lang w:val="en-US" w:eastAsia="zh-CN"/>
        </w:rPr>
        <w:t>及管道井暗门</w:t>
      </w:r>
      <w:r>
        <w:rPr>
          <w:rFonts w:hint="eastAsia" w:ascii="宋体" w:hAnsi="宋体" w:eastAsia="宋体" w:cs="宋体"/>
          <w:color w:val="auto"/>
          <w:sz w:val="23"/>
          <w:szCs w:val="23"/>
          <w:highlight w:val="none"/>
        </w:rPr>
        <w:t>（不含防火门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防火窗</w:t>
      </w:r>
      <w:r>
        <w:rPr>
          <w:rFonts w:hint="eastAsia" w:ascii="宋体" w:hAnsi="宋体" w:eastAsia="宋体" w:cs="宋体"/>
          <w:color w:val="auto"/>
          <w:sz w:val="23"/>
          <w:szCs w:val="23"/>
          <w:highlight w:val="none"/>
        </w:rPr>
        <w:t>）及相应附件的供货与安装。</w:t>
      </w:r>
    </w:p>
    <w:p w14:paraId="787D5A2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（二）机电安装界面</w:t>
      </w:r>
    </w:p>
    <w:p w14:paraId="2DB48B5D">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 电气工程</w:t>
      </w:r>
    </w:p>
    <w:p w14:paraId="55298D8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各楼层的总配电箱（含双路电源自动切换装置）及前端进线的采购与安装；从低压配电房到各楼层总配电箱的电缆、桥架施工；净化区域内消防电源箱的供货与安装；各楼层电气竖井内的主干桥架施工。</w:t>
      </w:r>
    </w:p>
    <w:p w14:paraId="2291AB6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各楼层总配电箱出线端至净化区域内所有末端配电箱、控制箱的电缆、桥架、线管施工；净化区域内所有照明灯具、插座、开关的供货与安装；净化空调机组、层流送风装置等净化设备的供电线路敷设及接线；等电位接地系统（含LEB等电位端子箱及接地线）的施工。</w:t>
      </w:r>
    </w:p>
    <w:p w14:paraId="372A843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 给排水工程</w:t>
      </w:r>
    </w:p>
    <w:p w14:paraId="539DA4CD">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总承包单位负责：给排水主干管的施工至净化区域各楼层管井，立管到位并预留接口；净化区域内消防给水系统的施工。</w:t>
      </w:r>
    </w:p>
    <w:p w14:paraId="602832F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净化单位负责：各楼层管井给排水主干管预留接口至净化区域内所有末端给排水管道的施工；净化区域内卫生洁具、洗手池、地漏等给排水终端的供货与安装；净化空调机组的给排水管道连接</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机房地漏连接</w:t>
      </w:r>
      <w:r>
        <w:rPr>
          <w:rFonts w:hint="eastAsia" w:ascii="宋体" w:hAnsi="宋体" w:eastAsia="宋体" w:cs="宋体"/>
          <w:color w:val="auto"/>
          <w:sz w:val="23"/>
          <w:szCs w:val="23"/>
          <w:highlight w:val="none"/>
        </w:rPr>
        <w:t>。</w:t>
      </w:r>
    </w:p>
    <w:p w14:paraId="0E838152">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 消防工程</w:t>
      </w:r>
    </w:p>
    <w:p w14:paraId="4AB3BCF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总承包单位负责：净化区域内所有消防系统内容（含消防喷淋系统、消防报警系统、消防排烟系统、消火栓系统等）的施工；疏散指示标志、应急照明等消防设施的施工。</w:t>
      </w:r>
    </w:p>
    <w:p w14:paraId="7633553B">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净化单位负责：配合总承包单位进行消防设施的安装，负责吊顶面层消防设备（喷淋头、烟感探测器等）的开孔及收口。</w:t>
      </w:r>
    </w:p>
    <w:p w14:paraId="5CEB80E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 暖通工程</w:t>
      </w:r>
    </w:p>
    <w:p w14:paraId="0AAE2AEF">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总承包单位负责：净化区域外的新风系统主干管施工；净化区域内消防排烟风管系统的施工。</w:t>
      </w:r>
    </w:p>
    <w:p w14:paraId="167DB27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净化单位负责：净化区域内所有净化空调系统（含净化空调机组、送回风管道、高效过滤器、层流送风装置、排风系统等）的供货与安装；净化区域内暖通自控系统的施工；净化区域空调水系统的施工。</w:t>
      </w:r>
    </w:p>
    <w:p w14:paraId="2635769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三、净化单位与医用气体单位界面划分</w:t>
      </w:r>
    </w:p>
    <w:p w14:paraId="7BF1FEB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 总管及阀门箱</w:t>
      </w:r>
    </w:p>
    <w:p w14:paraId="3DD90F2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医用气体单位负责：将医用气体（医用氧气、医用吸引、医用压缩空气等）供气管道引至各楼层净化区域管井出口处，并安装区域阀门箱（含阀门）。层流病房的总管和阀门箱由医用气体单位负责安装到位。</w:t>
      </w:r>
    </w:p>
    <w:p w14:paraId="1461F2D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（二）阀门箱之后</w:t>
      </w:r>
    </w:p>
    <w:p w14:paraId="264F948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医用气体单位负责：区域阀门箱出口之后至各用气终端的全部医用气体施工（含设备带上的气体终端部件、阀门等）的供货与安装施工；</w:t>
      </w:r>
    </w:p>
    <w:p w14:paraId="7DF8395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净化单位负责：区域阀门箱出口之后至层流病房用气终端的全部医用气体施工。</w:t>
      </w:r>
    </w:p>
    <w:p w14:paraId="0A22ADB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 配合与协调</w:t>
      </w:r>
    </w:p>
    <w:p w14:paraId="308393E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医用气体单位负责：向净化单位提供医用气体系统相关管道在净化区域管井出口的预留阀门位置及参数，并对其准确性负责。</w:t>
      </w:r>
    </w:p>
    <w:p w14:paraId="1CBE9E59">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净化单位负责：按照医用气体单位提供的预留接口位置进行对接施工；负责净化区域内的医用气体管道安装完成后的压力试验及严密性试验。</w:t>
      </w:r>
    </w:p>
    <w:p w14:paraId="3150FD5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四、净化单位与防辐射单位界面划分</w:t>
      </w:r>
    </w:p>
    <w:p w14:paraId="466E434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（一）防辐射工程范围</w:t>
      </w:r>
    </w:p>
    <w:p w14:paraId="3D5B2FC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防辐射单位负责：净化系统范围内除手术室防辐射门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防辐射窗</w:t>
      </w:r>
      <w:r>
        <w:rPr>
          <w:rFonts w:hint="eastAsia" w:ascii="宋体" w:hAnsi="宋体" w:eastAsia="宋体" w:cs="宋体"/>
          <w:color w:val="auto"/>
          <w:sz w:val="23"/>
          <w:szCs w:val="23"/>
          <w:highlight w:val="none"/>
        </w:rPr>
        <w:t>外的所有防辐射工程内容，含防辐射墙面、防辐射地面、防辐射顶面等的施工。</w:t>
      </w:r>
    </w:p>
    <w:p w14:paraId="76BBACD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净化单位负责：手术室的防辐射门</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防辐射窗</w:t>
      </w:r>
      <w:r>
        <w:rPr>
          <w:rFonts w:hint="eastAsia" w:ascii="宋体" w:hAnsi="宋体" w:eastAsia="宋体" w:cs="宋体"/>
          <w:color w:val="auto"/>
          <w:sz w:val="23"/>
          <w:szCs w:val="23"/>
          <w:highlight w:val="none"/>
        </w:rPr>
        <w:t>供货与安装。</w:t>
      </w:r>
    </w:p>
    <w:p w14:paraId="797086F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（二）配合工作</w:t>
      </w:r>
    </w:p>
    <w:p w14:paraId="7941360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净化单位负责：为防辐射单位提供施工工作面及作业条件；配合防辐射单位完成防辐射工程的安装，包括防辐射板材安装后的收边收口；负责防辐射区域内的净化装饰面层施工。</w:t>
      </w:r>
    </w:p>
    <w:p w14:paraId="542B3B8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五、净化单位与精装修单位界面划分</w:t>
      </w:r>
    </w:p>
    <w:p w14:paraId="1F0EB616">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（一）范围界定</w:t>
      </w:r>
    </w:p>
    <w:p w14:paraId="1316B17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净化单位负责：净化区域（含静配中心、实验室、手术室、ICU、DSA、层流病房等）内所有净化装饰工程的施工，包括净化区域内的地面、墙面、天棚装饰面层。</w:t>
      </w:r>
    </w:p>
    <w:p w14:paraId="0CF143E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精装修单位负责：净化区域以外的公共区域、办公区域、辅助用房等区域的精装修施工。</w:t>
      </w:r>
    </w:p>
    <w:p w14:paraId="19BD094F">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（二）交界处处理</w:t>
      </w:r>
    </w:p>
    <w:p w14:paraId="1C0A89C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净化单位与精装修单位应在各净化区域边界处明确交接面，交界处的收边收口由后施工方负责完成，确保装饰效果的统一与美观。</w:t>
      </w:r>
    </w:p>
    <w:p w14:paraId="48F17F6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净化单位负责：向精装修单位提供净化区域边界定位及装饰完成面标高要求。</w:t>
      </w:r>
    </w:p>
    <w:p w14:paraId="1D501690">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精装修单位负责：配合净化单位在交界处进行收边收口处理。</w:t>
      </w:r>
    </w:p>
    <w:p w14:paraId="29705D8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六、净化单位与智能化单位的界面划分</w:t>
      </w:r>
    </w:p>
    <w:p w14:paraId="21888EAC">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区域的智能化系统涵盖综合布线系统、安全技术防范系统（视频监控、门禁）、建筑设备监控系统（楼宇自控）、医护对讲系统等多个子系统。净化单位与智能化单位的界面划分遵循“主干管线由总包/智能化单位负责，末端设备及净化区域内二次管线由净化单位负责”的基本原则。</w:t>
      </w:r>
    </w:p>
    <w:p w14:paraId="20382C8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（一）综合布线系统（电话、网络）</w:t>
      </w:r>
    </w:p>
    <w:p w14:paraId="671B7C0A">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智能化单位负责： 将各楼层弱电井内的网络、电话主干线缆及配线架安装到位；负责净化区域外至各楼层弱电井的主干桥架施工；负责弱电井内数据配线架和语音配线架的供货</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智能化单位预留机柜安装空间</w:t>
      </w:r>
      <w:r>
        <w:rPr>
          <w:rFonts w:hint="eastAsia" w:ascii="宋体" w:hAnsi="宋体" w:eastAsia="宋体" w:cs="宋体"/>
          <w:color w:val="auto"/>
          <w:sz w:val="23"/>
          <w:szCs w:val="23"/>
          <w:highlight w:val="none"/>
        </w:rPr>
        <w:t>。</w:t>
      </w:r>
    </w:p>
    <w:p w14:paraId="7B2D78EF">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 从各楼层就近弱电井（配线架）接口至净化区域内所有电话、网络末端点位的管线敷设及面板安装</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测试</w:t>
      </w:r>
      <w:r>
        <w:rPr>
          <w:rFonts w:hint="eastAsia" w:ascii="宋体" w:hAnsi="宋体" w:eastAsia="宋体" w:cs="宋体"/>
          <w:color w:val="auto"/>
          <w:sz w:val="23"/>
          <w:szCs w:val="23"/>
          <w:highlight w:val="none"/>
        </w:rPr>
        <w:t>；净化区域内弱电桥架、线管的敷设；手术室情报面板、墙面网络终端、吊塔网络预留口等末端点位的安装；预麻苏醒床位、护士站及其他功能用房网络电话终端的安装</w:t>
      </w:r>
      <w:r>
        <w:rPr>
          <w:rFonts w:hint="eastAsia" w:ascii="宋体" w:hAnsi="宋体" w:eastAsia="宋体" w:cs="宋体"/>
          <w:color w:val="auto"/>
          <w:sz w:val="23"/>
          <w:szCs w:val="23"/>
          <w:highlight w:val="none"/>
          <w:lang w:eastAsia="zh-CN"/>
        </w:rPr>
        <w:t>、</w:t>
      </w:r>
      <w:r>
        <w:rPr>
          <w:rFonts w:hint="eastAsia" w:ascii="宋体" w:hAnsi="宋体" w:eastAsia="宋体" w:cs="宋体"/>
          <w:color w:val="auto"/>
          <w:sz w:val="23"/>
          <w:szCs w:val="23"/>
          <w:highlight w:val="none"/>
          <w:lang w:val="en-US" w:eastAsia="zh-CN"/>
        </w:rPr>
        <w:t>测试</w:t>
      </w:r>
      <w:r>
        <w:rPr>
          <w:rFonts w:hint="eastAsia" w:ascii="宋体" w:hAnsi="宋体" w:eastAsia="宋体" w:cs="宋体"/>
          <w:color w:val="auto"/>
          <w:sz w:val="23"/>
          <w:szCs w:val="23"/>
          <w:highlight w:val="none"/>
        </w:rPr>
        <w:t>。</w:t>
      </w:r>
    </w:p>
    <w:p w14:paraId="1FC9C8B7">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（二）视频监控系统</w:t>
      </w:r>
    </w:p>
    <w:p w14:paraId="0EF8E96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智能化单位负责： 视频监控系统的主机设备、存储设备、显示设备及管理平台的供货与安装；监控主干线缆及桥架的敷设；将监控信号接入医院整体安防管理系统。</w:t>
      </w:r>
    </w:p>
    <w:p w14:paraId="47625C0E">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净化单位负责： 净化区域内监控摄像头、支架及配套线缆的供货与安装；监控摄像头至主干网络的二次接线及调试配合；净化区域内监控设备安装所需的开孔及收口</w:t>
      </w:r>
      <w:r>
        <w:rPr>
          <w:rFonts w:hint="eastAsia" w:ascii="宋体" w:hAnsi="宋体" w:eastAsia="宋体" w:cs="宋体"/>
          <w:color w:val="auto"/>
          <w:sz w:val="23"/>
          <w:szCs w:val="23"/>
          <w:highlight w:val="none"/>
          <w:lang w:val="en-US" w:eastAsia="zh-CN"/>
        </w:rPr>
        <w:t>；视频监控品牌须与智能化单位一致。</w:t>
      </w:r>
    </w:p>
    <w:p w14:paraId="32958DF5">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（三）门禁及出入口控制系统</w:t>
      </w:r>
    </w:p>
    <w:p w14:paraId="29E921D8">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总包/</w:t>
      </w:r>
      <w:r>
        <w:rPr>
          <w:rFonts w:hint="eastAsia" w:ascii="宋体" w:hAnsi="宋体" w:eastAsia="宋体" w:cs="宋体"/>
          <w:color w:val="auto"/>
          <w:sz w:val="23"/>
          <w:szCs w:val="23"/>
          <w:highlight w:val="none"/>
        </w:rPr>
        <w:t>智能化单位负责： 门禁系统的主机设备、管理平台及主干线缆的供货与安装；门禁系统与消防系统的联动接口预留。</w:t>
      </w:r>
    </w:p>
    <w:p w14:paraId="283EAD6F">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rPr>
        <w:t>净化单位负责： 净化区域内门禁控制器、读卡器、电锁、出门按钮等末端设备的供货与安装；门禁系统在净化区域内二次管线的敷设及接线；门禁设备安装的收边收口</w:t>
      </w:r>
      <w:r>
        <w:rPr>
          <w:rFonts w:hint="eastAsia" w:ascii="宋体" w:hAnsi="宋体" w:eastAsia="宋体" w:cs="宋体"/>
          <w:color w:val="auto"/>
          <w:sz w:val="23"/>
          <w:szCs w:val="23"/>
          <w:highlight w:val="none"/>
          <w:lang w:val="en-US" w:eastAsia="zh-CN"/>
        </w:rPr>
        <w:t>；品牌须与智能化单位一致。</w:t>
      </w:r>
    </w:p>
    <w:p w14:paraId="7F5E5D9E">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四</w:t>
      </w:r>
      <w:r>
        <w:rPr>
          <w:rFonts w:hint="eastAsia" w:ascii="宋体" w:hAnsi="宋体" w:eastAsia="宋体" w:cs="宋体"/>
          <w:color w:val="auto"/>
          <w:sz w:val="23"/>
          <w:szCs w:val="23"/>
          <w:highlight w:val="none"/>
        </w:rPr>
        <w:t>）建筑设备监控系统（楼宇自控BA系统）</w:t>
      </w:r>
    </w:p>
    <w:p w14:paraId="490A60FB">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智能化单位负责： 全院建筑设备监控系统（BA系统）的中央监控平台、系统服务器及主干网络的供货与安装；BA系统与净化自控系统的集成接口预留。</w:t>
      </w:r>
    </w:p>
    <w:p w14:paraId="02793B51">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净化单位负责： 净化区域内净化空调机组、层流送风装置、新风系统等净化设备的自动化控制系统（含DDC控制器、传感器、执行器等）的供货与安装；净化自控系统自成独立的中央监控系统，并负责向医院BA系统提供标准数据接口（如BACnet/Modbus等协议）；净化区域内温湿度、压差、风速等环境参数的监测与控制系统。</w:t>
      </w:r>
    </w:p>
    <w:p w14:paraId="14FA5D7F">
      <w:pPr>
        <w:spacing w:line="360" w:lineRule="auto"/>
        <w:ind w:firstLine="460" w:firstLineChars="200"/>
        <w:rPr>
          <w:rFonts w:hint="eastAsia"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七</w:t>
      </w:r>
      <w:r>
        <w:rPr>
          <w:rFonts w:hint="eastAsia" w:ascii="宋体" w:hAnsi="宋体" w:eastAsia="宋体" w:cs="宋体"/>
          <w:color w:val="auto"/>
          <w:sz w:val="23"/>
          <w:szCs w:val="23"/>
          <w:highlight w:val="none"/>
        </w:rPr>
        <w:t>、</w:t>
      </w:r>
      <w:r>
        <w:rPr>
          <w:rFonts w:hint="eastAsia" w:ascii="宋体" w:hAnsi="宋体" w:eastAsia="宋体" w:cs="宋体"/>
          <w:color w:val="auto"/>
          <w:sz w:val="23"/>
          <w:szCs w:val="23"/>
          <w:highlight w:val="none"/>
          <w:lang w:val="en-US" w:eastAsia="zh-CN"/>
        </w:rPr>
        <w:t>投标人报价的约定</w:t>
      </w:r>
    </w:p>
    <w:p w14:paraId="091EBC9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的投标报价包括并不限于：①按照本工程招标人提供的图纸、清单以及本项目技术要求所进行的进一步优化设计费（包括如遇到图纸、清单不明确或缺项的内容须无条件满足招标方要求进行的设计）;②设备费、运输保险费、卸货费、仓储费、工程施工费、设备安装费、设备材料费、安装材料损耗费、安装调试费、技术服务与培训费、试运行费用、验收费、备品备件（含专用工具）费、保险费（含工商保险、设备财产保险）、检测费、质保期内的维修保养费（包括质保期内人员、所有的备品备件、年检年审（如有）等费用）、BIM建模费（竣工图）、施工水电费、规费、税金、政策性文件规定及合同包含的所有风险、责任等完成本项目所有的供货及安装并通过验收合格的所有的一切费用；③优化设计增加的工程施工费用（如有）;④工程施工过程中的开孔和工程完工后的填补、修复（符合消防验收规范）与清理工作（如用水泥砂浆、砼材料填实设备、框架及建筑结构之间的缝隙；外露的电线、管道修补、批灰、面层修饰等工作）等费用；⑤设备机房内的装饰装修费用（含水电暖）、预留孔洞、设备基础、预埋构件、预埋管、套管及其封堵所产生的费用；⑥不可预见费。</w:t>
      </w:r>
    </w:p>
    <w:p w14:paraId="31D6D344">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请各投标人综合分析充分考虑后全部组价计入本次报价中，中标后对上述方面的费用增加将不予调整。</w:t>
      </w:r>
    </w:p>
    <w:p w14:paraId="4A874F2C">
      <w:pPr>
        <w:spacing w:line="360" w:lineRule="auto"/>
        <w:ind w:firstLine="460" w:firstLineChars="20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特别提醒：招标人在招标文件中给出的清单如与图纸工程量不符的，以图纸为准，图纸有优化设计需要的，由投标人在投标时自行考虑其风险因素，请投标人充分考虑全部包含在本次投标总价中，中标后一律不予调整。</w:t>
      </w:r>
    </w:p>
    <w:p w14:paraId="02BB201C">
      <w:pPr>
        <w:rPr>
          <w:rFonts w:hint="eastAsia" w:ascii="宋体" w:hAnsi="宋体" w:eastAsia="宋体" w:cs="宋体"/>
          <w:color w:val="auto"/>
          <w:sz w:val="24"/>
          <w:szCs w:val="24"/>
          <w:highlight w:val="none"/>
        </w:rPr>
      </w:pPr>
    </w:p>
    <w:tbl>
      <w:tblPr>
        <w:tblStyle w:val="31"/>
        <w:tblW w:w="5569" w:type="pct"/>
        <w:tblInd w:w="-325" w:type="dxa"/>
        <w:tblLayout w:type="fixed"/>
        <w:tblCellMar>
          <w:top w:w="0" w:type="dxa"/>
          <w:left w:w="108" w:type="dxa"/>
          <w:bottom w:w="0" w:type="dxa"/>
          <w:right w:w="108" w:type="dxa"/>
        </w:tblCellMar>
      </w:tblPr>
      <w:tblGrid>
        <w:gridCol w:w="1020"/>
        <w:gridCol w:w="1314"/>
        <w:gridCol w:w="7790"/>
      </w:tblGrid>
      <w:tr w14:paraId="2255CDCF">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5882A340">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技术参数——检验病理</w:t>
            </w:r>
          </w:p>
        </w:tc>
      </w:tr>
      <w:tr w14:paraId="4B6D9CC1">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6A872F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72D2E07">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A6E72AA">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16C8701D">
        <w:tblPrEx>
          <w:tblCellMar>
            <w:top w:w="0" w:type="dxa"/>
            <w:left w:w="108" w:type="dxa"/>
            <w:bottom w:w="0" w:type="dxa"/>
            <w:right w:w="108" w:type="dxa"/>
          </w:tblCellMar>
        </w:tblPrEx>
        <w:trPr>
          <w:trHeight w:val="90"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9A829A9">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35A90F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钢制功能柱</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2C865D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1、材质：应采用≥1.2mm镀锌钢板机压成型、焊接制作机压成形、焊接制作，表面应经环氧树脂粉体涂装处理（涂装厚度为≥75μm）。</w:t>
            </w:r>
          </w:p>
          <w:p w14:paraId="39695C1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2、结构：底盒一体折弯成型，背面为双层钢板，方便固定管线。正面板分段设计，易拆卸。</w:t>
            </w:r>
          </w:p>
          <w:p w14:paraId="75A960C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3、功能柱金属喷漆（塑）涂层理化性能：要求硬度≥H；48小时乙酸盐雾试验，外观评级达到10级；附着力达到1级。</w:t>
            </w:r>
          </w:p>
          <w:p w14:paraId="17F041F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4、冲压件外观、焊接件外观，喷涂层外观符合国家标准GB24820-2009。</w:t>
            </w:r>
          </w:p>
        </w:tc>
      </w:tr>
      <w:tr w14:paraId="4D88483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A1E1BB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2C83805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中央台、边台、转角台、仪器台、水槽柜</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AD1DE8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 xml:space="preserve">1、结构：全钢结构，采用≥19mm厚实芯理化板台面，可选配试剂架，功能柱，水槽，感应水龙头，洗眼器，滴水架，插座等。 </w:t>
            </w:r>
          </w:p>
          <w:p w14:paraId="3BC954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2、柜体：</w:t>
            </w:r>
          </w:p>
          <w:p w14:paraId="027C32B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2.1采用实际厚度≥1.2mm镀锌钢板，表面环氧树脂喷涂厚度≥75μm，具备防化、防潮、耐高温及耐磨特性。</w:t>
            </w:r>
          </w:p>
          <w:p w14:paraId="2993EA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2.2柜门和抽屉面板：采用环氧树脂喷涂优质镀锌钢板，双层设计，中间填充有隔音材料，内侧装有防撞贴，内加隔音棉装置。每个柜体配置层板一块。</w:t>
            </w:r>
          </w:p>
          <w:p w14:paraId="5DED61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2.3实验台性能要求符合GB/T24820-2024实验室家具通用技术条件：</w:t>
            </w:r>
          </w:p>
          <w:p w14:paraId="22F796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w:t>
            </w:r>
            <w:r>
              <w:rPr>
                <w:rFonts w:hint="default" w:ascii="宋体" w:hAnsi="宋体" w:eastAsia="宋体" w:cs="宋体"/>
                <w:color w:val="auto"/>
                <w:sz w:val="23"/>
                <w:szCs w:val="23"/>
                <w:highlight w:val="none"/>
                <w:lang w:val="en-US" w:eastAsia="zh-CN"/>
              </w:rPr>
              <w:t>钢板内外面均经环氧树脂粉末静电喷涂，喷涂粉末带有抗菌性，且包括以下所有测试数据:金黄葡萄球菌抗细菌性能检测结果&gt;99%;大肠杆菌抗细菌性能检测结果&gt;99%</w:t>
            </w:r>
          </w:p>
          <w:p w14:paraId="27F5EA6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3、实验台面：采用厚度不小于19mm的专用耐腐蚀实芯理化板台面，需满足以下要求：</w:t>
            </w:r>
          </w:p>
          <w:p w14:paraId="6F01861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3.1物理性能：根据GB/T17657或同类标准进行检测，抗拉强度≥121Mpa，弯曲强度≥168Mpa，耐香烟灼烧5级，耐光色牢度4~5级，耐沸水5级，耐干热5级，耐湿热5级，耐刮划性能≥2N、耐磨性能≥1100转。</w:t>
            </w:r>
          </w:p>
          <w:p w14:paraId="1E8E970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▲3.2抗菌性能:大肠杆菌、肺炎克雷伯氏菌、金黄色葡萄球菌抗菌率≥99.99%;(需提供具有CMA或CNAS资质的第三方检测机构出具的检测报告的复印件)。</w:t>
            </w:r>
          </w:p>
        </w:tc>
      </w:tr>
      <w:tr w14:paraId="0D9D785A">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7DDFED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E75D68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取材台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384FE6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1、柜体外尺寸：1800*750*1950（mm）（+1</w:t>
            </w:r>
            <w:r>
              <w:rPr>
                <w:rFonts w:hint="eastAsia" w:ascii="宋体" w:hAnsi="宋体" w:eastAsia="宋体" w:cs="宋体"/>
                <w:color w:val="auto"/>
                <w:kern w:val="0"/>
                <w:sz w:val="23"/>
                <w:szCs w:val="23"/>
                <w:highlight w:val="none"/>
                <w:lang w:val="en-US" w:eastAsia="zh-CN" w:bidi="ar"/>
              </w:rPr>
              <w:t>0</w:t>
            </w:r>
            <w:r>
              <w:rPr>
                <w:rFonts w:hint="eastAsia" w:ascii="宋体" w:hAnsi="宋体" w:eastAsia="宋体" w:cs="宋体"/>
                <w:color w:val="auto"/>
                <w:kern w:val="0"/>
                <w:sz w:val="23"/>
                <w:szCs w:val="23"/>
                <w:highlight w:val="none"/>
                <w:lang w:bidi="ar"/>
              </w:rPr>
              <w:t>%/-10%）；</w:t>
            </w:r>
          </w:p>
          <w:p w14:paraId="3A54D25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2、操作区尺寸：1695*430（mm）（+1</w:t>
            </w:r>
            <w:r>
              <w:rPr>
                <w:rFonts w:hint="eastAsia" w:ascii="宋体" w:hAnsi="宋体" w:eastAsia="宋体" w:cs="宋体"/>
                <w:color w:val="auto"/>
                <w:kern w:val="0"/>
                <w:sz w:val="23"/>
                <w:szCs w:val="23"/>
                <w:highlight w:val="none"/>
                <w:lang w:val="en-US" w:eastAsia="zh-CN" w:bidi="ar"/>
              </w:rPr>
              <w:t>0</w:t>
            </w:r>
            <w:r>
              <w:rPr>
                <w:rFonts w:hint="eastAsia" w:ascii="宋体" w:hAnsi="宋体" w:eastAsia="宋体" w:cs="宋体"/>
                <w:color w:val="auto"/>
                <w:kern w:val="0"/>
                <w:sz w:val="23"/>
                <w:szCs w:val="23"/>
                <w:highlight w:val="none"/>
                <w:lang w:bidi="ar"/>
              </w:rPr>
              <w:t>%/-10%）；</w:t>
            </w:r>
          </w:p>
          <w:p w14:paraId="520F42F4">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3、电源电压：　AC220V50Hz；</w:t>
            </w:r>
          </w:p>
          <w:p w14:paraId="5A052F47">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4、额定功率：3KW；</w:t>
            </w:r>
          </w:p>
          <w:p w14:paraId="2D0D2E45">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5、排风量：500-600（m³/h）；</w:t>
            </w:r>
          </w:p>
          <w:p w14:paraId="348EEB81">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6、采用防水防腐蚀的1.2mm304#不锈钢外壳，外观大方，流畅，设计合理，防腐、防潮，坚固耐用。</w:t>
            </w:r>
          </w:p>
        </w:tc>
      </w:tr>
      <w:tr w14:paraId="143E268F">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1A4DADC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870243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通风柜</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4F83924">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柜体：全钢结构，采用厚度≥1.2mm优质冷轧钢板或镀锌钢板，表面处理后环氧树脂粉末喷涂，环氧树脂喷涂厚度≥75um。成品表面平整光滑，无喷涂层脱落、鼓泡、凹陷、压痕以及表面划伤、麻点、裂痕、崩角和刃口等等缺陷，具有良好的耐腐蚀、耐热和耐冲击性。</w:t>
            </w:r>
          </w:p>
          <w:p w14:paraId="467AA8E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2、通风柜台面：采用总厚20/25mm碟型陶瓷台面，技术参数满足以下所有指标：</w:t>
            </w:r>
          </w:p>
          <w:p w14:paraId="3370981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（1）质量稳定性：为确保台面的质量稳定性可靠性，产品规格至少包括6种品类陶瓷板供项目上使用选择。</w:t>
            </w:r>
          </w:p>
          <w:p w14:paraId="24BBD56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（2）耐污染性能：台面可见截面，参照GB/T 17657-2022检测依据，污染物接触时间不少于48小时，试件正面和截面的测试对象为同一块样品，包括马克笔（晨光记号笔)，仁和碘伏(碘酒)，二氯甲烷 99.8%，丙酮 99.5%等至少7种试剂检测正面和截面都符合5级无明显变化。</w:t>
            </w:r>
          </w:p>
          <w:p w14:paraId="080176A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3、导流板固定座：采用耐蚀塑料材质(聚丙烯)。</w:t>
            </w:r>
          </w:p>
          <w:p w14:paraId="0114CFF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4、内维修门：采用耐蚀塑料材质(聚丙烯)制作，以确保通风柜内的密封性，避免污染外泄。</w:t>
            </w:r>
          </w:p>
          <w:p w14:paraId="6A53BD65">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5、移动视窗门：无间断平衡、隐蔽式结构设计。视窗配重利用滑轮组连接，保证视窗的平稳上下移动。门框材质为铝合金模具成型，环氧粉末喷涂；移门玻璃：采用≥5mm厚钢化玻璃；</w:t>
            </w:r>
          </w:p>
          <w:p w14:paraId="153873D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6、通风柜底柜：全钢落地底柜：采用≥1.2mm厚优质冷轧钢板或者镀锌钢板，经环氧树脂静电喷涂耐腐蚀处理，涂层厚度≥75μm。</w:t>
            </w:r>
          </w:p>
          <w:p w14:paraId="6FE7EE4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▲7、通风柜性能要求：</w:t>
            </w:r>
            <w:r>
              <w:rPr>
                <w:rFonts w:hint="default" w:cs="仿宋_GB2312" w:asciiTheme="majorEastAsia" w:hAnsiTheme="majorEastAsia" w:eastAsiaTheme="majorEastAsia"/>
                <w:color w:val="auto"/>
                <w:sz w:val="24"/>
                <w:szCs w:val="22"/>
                <w:highlight w:val="none"/>
                <w:lang w:val="en-US" w:eastAsia="zh-CN" w:bidi="ar-SA"/>
              </w:rPr>
              <w:t>根据JB/T 6412-2025《排风柜》要求，并提供满足以下技术参数(需提供具有CMA或CNAS资质的第三方检测机构出具的检测报告的复印件):本通风柜（低风速型）设计面风速为0.3 m/s，面风速均匀度偏差小于15%（各测点最大/最小值与平均值偏差）；采用SF₆示踪气体法（释放速率4.0 L/min）测试泄漏浓度，型式检验平均值不超过0.05 mL/m³；现场安装检验平均值不超过0.1 mL/m³、峰值不超过0.5 mL/m³。</w:t>
            </w:r>
          </w:p>
        </w:tc>
      </w:tr>
      <w:tr w14:paraId="482B1A05">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A5FEC3D">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355624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实验室水池</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18E92C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密度PP材质，具有弹性、韧性,不易老化,耐强酸强碱。外尺寸（长*宽*高）：800*456*320mm，配套高密度PP材质P弯防臭器及伸缩软管。单口鹅颈龙头，脚踏出水，开关使用寿命50万次；龙头主体铜制（自来水）和PP材质（纯水），外部高亮度环氧树脂涂层，耐腐蚀、耐热、防紫外线辐射。</w:t>
            </w:r>
          </w:p>
        </w:tc>
      </w:tr>
      <w:tr w14:paraId="56000D5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7296EB6">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72C61B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变风量蝶阀</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20AD9C8">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变风量阀需满足以下要求：</w:t>
            </w:r>
          </w:p>
          <w:p w14:paraId="7BA32259">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对所提供的通风柜变风量阀，应提供第三方检测机构出具的风量与阀前静压无关性检测报告。在400CMH，800CMH和1200CMH的设定风量下，阀前静压设定为-100Pa，-200Pa，-300Pa，-400Pa以及-500Pa，风量偏差小于3.5%的检测报告。</w:t>
            </w:r>
          </w:p>
          <w:p w14:paraId="083219A6">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2、在阀片两侧设定压差为-200Pa，-300Pa，-400Pa以及-500Pa，阀片漏风量小于15CMH。</w:t>
            </w:r>
          </w:p>
          <w:p w14:paraId="02A2BCA4">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3、变风量监控面板，变风量控制器，位移传感器和带风量测量管变风量阀在温度为0℃和50℃的试验检测中，均能正常工作。</w:t>
            </w:r>
          </w:p>
          <w:p w14:paraId="6F38E31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4、符合静电放电抗扰度以及射频电磁场辐射抗扰度。</w:t>
            </w:r>
          </w:p>
        </w:tc>
      </w:tr>
      <w:tr w14:paraId="476EA45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3F68F4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2E4C8A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生物实验室专用混合废气处理箱</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455710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1、设备采用箱式结构，稳定性强，低功耗设计，可针对病理实验室特定污染气体、致病微生物连续开机运行处理；</w:t>
            </w:r>
          </w:p>
          <w:p w14:paraId="661626B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采用组合式多模处理工艺，组合模块依据病理科特定污染气体、致病微生物特性有序排列组合，污染气体经过低阻过滤模块、氧化分解模块、催化分解模块、低阻吸附模块等多模块多工艺的污染气体处理，有效降解病理实验室外排气体中污染物浓度；</w:t>
            </w:r>
          </w:p>
          <w:p w14:paraId="16DBC223">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3、一体化设计，占地面积≤5㎡，可与实验室环境控制系统集成联动控制，无人值守智能化运行。</w:t>
            </w:r>
          </w:p>
        </w:tc>
      </w:tr>
      <w:tr w14:paraId="41B9693A">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51EA877">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2E1D66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危险化学品及试剂仓库管理设备</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BB77226">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1、危化品管理一体机</w:t>
            </w:r>
          </w:p>
          <w:p w14:paraId="2C74E9E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提供危化品入库、领用、归还、废瓶回收、报废管理。帮助危化品管理人员实现危化品规范化、无纸化、智能化、精细化管理，保障危化品全生命周期安全可控。该系统包括不限于以下功能：</w:t>
            </w:r>
          </w:p>
          <w:p w14:paraId="3E1CEC9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1.1支持刷卡与人脸识别两种身份认证，保证出入库安全高效。</w:t>
            </w:r>
          </w:p>
          <w:p w14:paraId="1762337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1.2支持用二维码或RFID进行危化品“一品一码”识别认证，符合危化品管理规范。</w:t>
            </w:r>
          </w:p>
          <w:p w14:paraId="5AB4826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1.3支持危化品出库双人授权管理，满足危化品出库管理规范。</w:t>
            </w:r>
          </w:p>
          <w:p w14:paraId="072E373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1.4支持一键盘点危化品库存，满足危化品定期盘点管理需要。</w:t>
            </w:r>
          </w:p>
          <w:p w14:paraId="5F24455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1.5支持入库、领用、归还、废瓶回收、报废等管理流程，满足危化品全生命周期管理。</w:t>
            </w:r>
          </w:p>
          <w:p w14:paraId="64A364D9">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1.6硬件参数：</w:t>
            </w:r>
          </w:p>
          <w:p w14:paraId="0990BCD3">
            <w:pPr>
              <w:pStyle w:val="10"/>
              <w:rPr>
                <w:rFonts w:hint="eastAsia" w:cs="仿宋_GB2312" w:asciiTheme="majorEastAsia" w:hAnsiTheme="majorEastAsia" w:eastAsiaTheme="majorEastAsia"/>
                <w:color w:val="auto"/>
                <w:sz w:val="24"/>
                <w:szCs w:val="22"/>
                <w:highlight w:val="none"/>
                <w:lang w:val="en-US" w:eastAsia="zh-CN" w:bidi="ar-SA"/>
              </w:rPr>
            </w:pPr>
            <w:r>
              <w:rPr>
                <w:rFonts w:hint="eastAsia" w:cs="仿宋_GB2312" w:asciiTheme="majorEastAsia" w:hAnsiTheme="majorEastAsia" w:eastAsiaTheme="majorEastAsia"/>
                <w:color w:val="auto"/>
                <w:sz w:val="24"/>
                <w:szCs w:val="22"/>
                <w:highlight w:val="none"/>
                <w:lang w:val="en-US" w:eastAsia="zh-CN" w:bidi="ar-SA"/>
              </w:rPr>
              <w:t>落地式智能一体机由安卓/windows一体机+二维码扫码视窗+二维码标签打印机构成，若选用安卓系统，各部件参数不低于以下配置：板载RK3399、4GEMMC、Flash：32GB</w:t>
            </w:r>
          </w:p>
          <w:p w14:paraId="14D70097">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带二维码扫码视窗。</w:t>
            </w:r>
          </w:p>
          <w:p w14:paraId="4F38E1E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支持30x50二维码标签打印；</w:t>
            </w:r>
          </w:p>
          <w:p w14:paraId="7F90529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支持NFC刷卡；</w:t>
            </w:r>
          </w:p>
          <w:p w14:paraId="22ED37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支持称重功能，精度不低于0.1克，最大量程&gt;3000克。</w:t>
            </w:r>
          </w:p>
          <w:p w14:paraId="7872238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2、RFID智能危化品柜</w:t>
            </w:r>
          </w:p>
          <w:p w14:paraId="5D92676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2.1全自动管理：全自动对危化品借还，进出记录管理，省去人工扫描和录入工作的繁琐和失误可能；</w:t>
            </w:r>
          </w:p>
          <w:p w14:paraId="6769088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2.2一键盘点功能：10秒实现日检及月检工作；</w:t>
            </w:r>
          </w:p>
          <w:p w14:paraId="3AD9950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2.3数据采集，科学分析：危化品领用归还数据实时记录；</w:t>
            </w:r>
          </w:p>
          <w:p w14:paraId="64D600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2.4安全保障，追责到人：可实现安全管控，危化品使用进出有记录，有迹可寻，可通过多种身份识别权限来确认身份，能准确知道借用人身份以及归还时间；</w:t>
            </w:r>
          </w:p>
          <w:p w14:paraId="59ADAA1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3、试剂耗材管理一体机</w:t>
            </w:r>
          </w:p>
          <w:p w14:paraId="7A17A94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提供普通试剂耗材出入库管理，帮助用户出入库智能追溯、智能盘点库存、智能数据报表分析，实现试剂耗材无纸化、精细化管理。该系统具备以下功能：</w:t>
            </w:r>
          </w:p>
          <w:p w14:paraId="5E202E8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3.1支持刷卡与人脸识别两种身份认证方式。</w:t>
            </w:r>
          </w:p>
          <w:p w14:paraId="3E15775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3.2支持二维码对试剂耗材进行出入库识别。</w:t>
            </w:r>
          </w:p>
          <w:p w14:paraId="530590E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3.3支持一键盘点库存，满足定期盘点管理。</w:t>
            </w:r>
          </w:p>
          <w:p w14:paraId="41677CC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3.4支持与普通试剂柜、药品柜对接，实现快速出入库管理。</w:t>
            </w:r>
          </w:p>
          <w:p w14:paraId="465C2C3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3.5支持余量不足、出库时长超限智能提醒。</w:t>
            </w:r>
          </w:p>
          <w:p w14:paraId="3BA7D25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3.6硬件参数：</w:t>
            </w:r>
          </w:p>
          <w:p w14:paraId="16E9B95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壁挂式智能一体机由安卓一体机+二维码扫码视窗+二维码标签打印机构成</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bidi="ar"/>
              </w:rPr>
              <w:t>若选用安卓系统，各部件参数不低于以下配置：15.6寸触摸屏、板载RK3399、4GEMMC、Flash：32GB</w:t>
            </w:r>
          </w:p>
          <w:p w14:paraId="2282538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带二维码扫码视窗</w:t>
            </w:r>
          </w:p>
          <w:p w14:paraId="49C51AA5">
            <w:pPr>
              <w:pStyle w:val="10"/>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15.7免费开放数据接口并配合SPD系统厂家对接。</w:t>
            </w:r>
          </w:p>
        </w:tc>
      </w:tr>
      <w:tr w14:paraId="75AE87F6">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417D81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9</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2CABFA7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智能环境控制塔</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319002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1、钢制外腔体，外型尺寸1230*450*Hmm，高度根据吊顶高度定制。</w:t>
            </w:r>
          </w:p>
          <w:p w14:paraId="78EEABE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2、配置实验室排风控制系统，控制实验室环境系统，实验室排风机的值班启停;显示实验室排风状态、空气质量等相关数值，特定设备故障时报警。含10寸控制屏。</w:t>
            </w:r>
          </w:p>
          <w:p w14:paraId="15422A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3、配置有机物净化模块，甲醛净化模块，开机180分钟后，甲醛去除率≥95%，室内环境需满足GBZ2.1-2019《工作场所有害因素职业接触限值》、GB/T18883-2022《室内空气质量标准》</w:t>
            </w:r>
            <w:r>
              <w:rPr>
                <w:rFonts w:hint="eastAsia" w:ascii="宋体" w:hAnsi="宋体" w:eastAsia="宋体" w:cs="宋体"/>
                <w:color w:val="auto"/>
                <w:kern w:val="0"/>
                <w:sz w:val="23"/>
                <w:szCs w:val="23"/>
                <w:highlight w:val="none"/>
                <w:lang w:eastAsia="zh-CN" w:bidi="ar"/>
              </w:rPr>
              <w:t>（室内甲醛浓度≤0.08mg/m³，二甲苯浓度≤0.2mg/m³）</w:t>
            </w:r>
            <w:r>
              <w:rPr>
                <w:rFonts w:hint="eastAsia" w:ascii="宋体" w:hAnsi="宋体" w:eastAsia="宋体" w:cs="宋体"/>
                <w:color w:val="auto"/>
                <w:kern w:val="0"/>
                <w:sz w:val="23"/>
                <w:szCs w:val="23"/>
                <w:highlight w:val="none"/>
                <w:lang w:bidi="ar"/>
              </w:rPr>
              <w:t>。</w:t>
            </w:r>
          </w:p>
          <w:p w14:paraId="5775B93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4、配置静电耦合双重催化模块，开机60分钟后，空气自然菌的的消亡率≥90%。</w:t>
            </w:r>
          </w:p>
          <w:p w14:paraId="74D68B4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5、配置电离除尘模块，有效去除PM2.5、PM10，减少过敏源、灰尘。</w:t>
            </w:r>
          </w:p>
          <w:p w14:paraId="03C20C6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6、配置智能控制模块，可通过语音操控开机、关机、自动运行、风量大小等。</w:t>
            </w:r>
          </w:p>
          <w:p w14:paraId="32F9D0A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7、配置空气质量显示屏，可显示空气质量等级、PM2.5浓度、二氧化碳浓度、温度、湿度、VOC浓度等。</w:t>
            </w:r>
          </w:p>
        </w:tc>
      </w:tr>
      <w:tr w14:paraId="5BFB5DA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27E1CCC">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10</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A9DB86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样本库环境管理设备</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DA2204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1、样本库环境安全监管仪：可设定并显示设定温度、湿度、压差上限、下限，实际温度、湿度、压差等。</w:t>
            </w:r>
          </w:p>
          <w:p w14:paraId="2853E19B">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2、微压差传感器：范围：-50～50Pa，精度±0.5Pa</w:t>
            </w:r>
          </w:p>
          <w:p w14:paraId="69359A36">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3、房间温湿度传感器：</w:t>
            </w:r>
          </w:p>
          <w:p w14:paraId="2C4B04E2">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温度:量程:-40℃～70℃；精度:±1℃</w:t>
            </w:r>
          </w:p>
          <w:p w14:paraId="11C2A13E">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相对湿度:量程:0～100%r.h，无冷凝；精度:±5%</w:t>
            </w:r>
          </w:p>
          <w:p w14:paraId="74BC3C78">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输出信号：DC0~10V</w:t>
            </w:r>
          </w:p>
          <w:p w14:paraId="1653D698">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工作电压：AC24V</w:t>
            </w:r>
          </w:p>
          <w:p w14:paraId="42F62084">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连接方式：螺丝端子</w:t>
            </w:r>
          </w:p>
          <w:p w14:paraId="01AE9C8B">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防护等级：IP65</w:t>
            </w:r>
          </w:p>
          <w:p w14:paraId="797B1F9D">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用途：用于检测房间温度和相对湿度</w:t>
            </w:r>
          </w:p>
          <w:p w14:paraId="1DD53D4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4、样本库系统控制对接：实现和液氮罐及样本控制器的对接，便于后台服务器统一管理样本库系统。</w:t>
            </w:r>
          </w:p>
        </w:tc>
      </w:tr>
      <w:tr w14:paraId="20014B5E">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16F98A9">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C1384A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大型设备管理系统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41A1F04">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1、主要用于实验室重要仪器设备的共享管理和安全监管。</w:t>
            </w:r>
          </w:p>
          <w:p w14:paraId="2C4C1B8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2、每一个终端仪器配备一套终端管理设备。终端管理设备具备网络通讯功能，接受服务器的控制指令。</w:t>
            </w:r>
          </w:p>
          <w:p w14:paraId="29B8E3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3、终端管理设备具备对仪器设备的控制管理功能，通过对设备的电源、显示及通讯功能实施对仪器设备的使用管理。</w:t>
            </w:r>
          </w:p>
          <w:p w14:paraId="5899C3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4、终端管理设备具备多种使用人身份识别功能，通过身份识别预约的合法使用者，具备合法身份的人才可以合法使用设备。</w:t>
            </w:r>
          </w:p>
          <w:p w14:paraId="49DD5B7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5、使用人可以通过终端设备适度改变预约内容，比如延长使用时间等。</w:t>
            </w:r>
          </w:p>
          <w:p w14:paraId="31CFB8BF">
            <w:pPr>
              <w:pStyle w:val="10"/>
              <w:rPr>
                <w:rFonts w:hint="eastAsia" w:ascii="宋体" w:hAnsi="宋体" w:eastAsia="宋体" w:cs="宋体"/>
                <w:color w:val="auto"/>
                <w:sz w:val="23"/>
                <w:szCs w:val="23"/>
                <w:highlight w:val="none"/>
                <w:lang w:bidi="ar"/>
              </w:rPr>
            </w:pPr>
            <w:r>
              <w:rPr>
                <w:rFonts w:hint="eastAsia" w:ascii="宋体" w:hAnsi="宋体" w:eastAsia="宋体" w:cs="宋体"/>
                <w:color w:val="auto"/>
                <w:sz w:val="23"/>
                <w:szCs w:val="23"/>
                <w:highlight w:val="none"/>
                <w:lang w:bidi="ar"/>
              </w:rPr>
              <w:t>6、</w:t>
            </w:r>
            <w:r>
              <w:rPr>
                <w:rStyle w:val="69"/>
                <w:rFonts w:hint="eastAsia" w:ascii="宋体" w:hAnsi="宋体" w:eastAsia="宋体" w:cs="宋体"/>
                <w:color w:val="auto"/>
                <w:sz w:val="23"/>
                <w:szCs w:val="23"/>
                <w:highlight w:val="none"/>
                <w:lang w:bidi="ar"/>
              </w:rPr>
              <w:t>系统实时记录每次使用行为，包括操作人、起止时间、设备状态及异常告警信息，并同步上传至管理平台，支持多维度统计分析与审计追溯。免费开放数据接口并配合设备厂家对接。</w:t>
            </w:r>
          </w:p>
        </w:tc>
      </w:tr>
      <w:tr w14:paraId="05B32D9B">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D43B62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2369CA3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房间余风量控制系统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613EF5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1、实验室变风量送风控制系统要求</w:t>
            </w:r>
          </w:p>
          <w:p w14:paraId="6C80891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1.1采用“余风量”方式的变风量实验室房间设置一套达到国际先进品质的房间控制系统。</w:t>
            </w:r>
          </w:p>
          <w:p w14:paraId="6028BA4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1.2送风系统依据实验室通风柜等排风设备的实际排风量进行自动调节（采用“大小管测量”工作原理），保持送排风一定差值从而控制房间气流组织的单向性，保持房间微负压，适用于开放性实验室。</w:t>
            </w:r>
          </w:p>
          <w:p w14:paraId="60B02E5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1.3该系统包括一个带大小测量管的压力无关变风量送风阀、一个余风量房间控制器。</w:t>
            </w:r>
          </w:p>
          <w:p w14:paraId="63A488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1.4房间控制系统具有以下功能特性：房间控制器实时计算房间送排风总量，并保持二者差值恒定（可调整设定）；送风跟随排风变化，稳定时间&lt;3秒；可由房间控制器设置房间的最低换风次数。</w:t>
            </w:r>
          </w:p>
          <w:p w14:paraId="1C9AC59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2、房间变风量送风风阀</w:t>
            </w:r>
          </w:p>
          <w:p w14:paraId="126DE8B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2.1金属镀锌钢板精密制造而成；高速执行器，在3秒内的快速响应时间；</w:t>
            </w:r>
          </w:p>
          <w:p w14:paraId="553A1E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2.2压力无关特性：当风管内静压值发生变化时，在3秒内，能自动调节至所需求的风量值，其误差范围应在±3.5%之内），而不受风管内静压变化而有所变化（适用于变化范围在50-1000Pa之内）；</w:t>
            </w:r>
          </w:p>
          <w:p w14:paraId="16D0CC4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2.3风量偏差校正＜3.5%</w:t>
            </w:r>
          </w:p>
          <w:p w14:paraId="674CA85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2.4支持Modbus标准协议，控制器需标配一款开放式通讯协议，便捷接入中控管理。</w:t>
            </w:r>
          </w:p>
          <w:p w14:paraId="3699E3F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3、房间余风量控制器</w:t>
            </w:r>
          </w:p>
          <w:p w14:paraId="4B21980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3.1微处理器控制监控系统；≥10个模拟输入（通风柜等设备的排风实际值），并可以分配给一个或多个模拟输出）控制器可以自由编程；</w:t>
            </w:r>
          </w:p>
          <w:p w14:paraId="6A01555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3.2可以对房间的送风与房间辅助排风进行平衡调整（可自由设置房间换气次数）；</w:t>
            </w:r>
          </w:p>
        </w:tc>
      </w:tr>
      <w:tr w14:paraId="370BB8AE">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3C07826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技术参数——静配中心</w:t>
            </w:r>
          </w:p>
        </w:tc>
      </w:tr>
      <w:tr w14:paraId="455B279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A449EA1">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E801D9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6A3658A">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0A84BD8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C5FF05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536C23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2mm抗静电同质透心PVC卷材</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F63A19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1、PVC卷材，碎花同质透心卷材；厚度：≥2.0ｍｍ；</w:t>
            </w:r>
          </w:p>
          <w:p w14:paraId="63885B1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2、耐磨级别:不低于T级；</w:t>
            </w:r>
          </w:p>
          <w:p w14:paraId="33104BF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3、每平方米总重量:≤2.75Kｇ（+13%/-10%），满足ISO10581:2019要求；</w:t>
            </w:r>
          </w:p>
          <w:p w14:paraId="0BCE766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4、防火等级:不低于BI级(GB8624-2012)；</w:t>
            </w:r>
          </w:p>
          <w:p w14:paraId="42339C6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5、残余凹陷:≤0.1ｍｍ（GB/T 11982.2）；</w:t>
            </w:r>
          </w:p>
          <w:p w14:paraId="1C85618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6、防滑等级:不低于R9级(DIN51130)；</w:t>
            </w:r>
          </w:p>
          <w:p w14:paraId="7669F79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7、颜色牢固性:≥6级(ISO105-B02)；</w:t>
            </w:r>
          </w:p>
          <w:p w14:paraId="3E36D46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8、尺寸稳定性:≤0.25%；</w:t>
            </w:r>
          </w:p>
          <w:p w14:paraId="1FCAC26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9、绿色环保产品(TVOC):经过TVOC测试，小于10μg/m3</w:t>
            </w:r>
          </w:p>
          <w:p w14:paraId="044E618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10、静电负荷:≤2.0KV；</w:t>
            </w:r>
          </w:p>
          <w:p w14:paraId="706F768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11、抗化学腐蚀性能：优良；</w:t>
            </w:r>
          </w:p>
          <w:p w14:paraId="50751AA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12、具有抗菌防菌性能。</w:t>
            </w:r>
          </w:p>
        </w:tc>
      </w:tr>
      <w:tr w14:paraId="238F415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BE7F902">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0714CE2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玻镁岩棉手工彩钢板</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BBFC33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1、板材厚度50mm，四周加强龙骨，基板外贴≥0.476mm厚金属板，内填充A级不燃芯材；</w:t>
            </w:r>
          </w:p>
          <w:p w14:paraId="0592A09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2、防火等级：A级，耐火极限≥60min；(需提供具有CMA或CNAS资质的第三方检测机构出具的检测报告的复印件)</w:t>
            </w:r>
          </w:p>
          <w:p w14:paraId="6F02531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3、彩涂板装饰面涂层2次，总厚度≥20μm，背面涂层1次，厚度≥5μm；</w:t>
            </w:r>
          </w:p>
          <w:p w14:paraId="63AB9FF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4、基层玻镁板厚度≥5mm，满足GB/T33544-2017《玻镁平板》相关要求；</w:t>
            </w:r>
          </w:p>
          <w:p w14:paraId="31A1F1B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5、边龙骨：厚度≥0.7mm；</w:t>
            </w:r>
          </w:p>
          <w:p w14:paraId="310FA53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6、角件：采用镀锌铁角件；</w:t>
            </w:r>
          </w:p>
          <w:p w14:paraId="2DCE02E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7、岩棉：容重≥100Kg/m³；</w:t>
            </w:r>
          </w:p>
          <w:p w14:paraId="231FD95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8、配套型材：天槽、地槽、R50铝合金阴角（表面环氧树脂喷涂）及内阴角底座型材、90度连接铝合金圆弧柱、膨胀螺栓、其余固定五金配件等；</w:t>
            </w:r>
          </w:p>
          <w:p w14:paraId="271EFBD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9、耐腐蚀、耐撞，板面平整，无明显凹凸、翘曲、变形；表面清洁、色泽均匀，无胶痕、油污，无明显划痕、磕碰、伤痕等；</w:t>
            </w:r>
          </w:p>
          <w:p w14:paraId="4B09021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10、工厂定制化生产，施工现场模块化安装；</w:t>
            </w:r>
          </w:p>
        </w:tc>
      </w:tr>
      <w:tr w14:paraId="79576D1D">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1518B93">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净化空调系统主要设备材料技术、质量要求</w:t>
            </w:r>
          </w:p>
        </w:tc>
      </w:tr>
      <w:tr w14:paraId="17B538E1">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9745271">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B19EF5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243C82A0">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529950EF">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3B7DE2F">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57BAD95">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洁净循环空气处理机组</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3496FE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1、箱体采用铝合金框架结构，高强度、防锈、耐酸碱，使用寿命长。箱体内、外部表面应该光滑平整，易于模块化组装，不易积灰。</w:t>
            </w:r>
          </w:p>
          <w:p w14:paraId="779A7E4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2、依据GB/T 14294-2008进行检测，箱体变形率在机组风量≥30000m3/h，机组内保持静压1000Pa条件下，箱体变形率不应超过 4mm/m；用于净化空调系统的机组，机组内静压应保持1000Pa，机组漏风率≤1%；(需提供具有CMA或CNAS资质的第三方检测机构出具的检测报告的复印件)</w:t>
            </w:r>
          </w:p>
          <w:p w14:paraId="42B8AA9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3、依据GB/T 19569-2004进行检测，机组达到凝露工况后，连续运行12小时空调机组外表面无凝露滴下；机组漏风率不大于1%。(需提供具有CMA或CNAS资质的第三方检测机构出具的检测报告的复印件)</w:t>
            </w:r>
          </w:p>
          <w:p w14:paraId="766C621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4、抗菌性能：菌落总数、霉菌、酵母菌、大肠埃希氏菌、金黄色葡萄球菌检验合格(需提供具有CMA或CNAS资质的第三方检测机构出具的检测报告的复印件)</w:t>
            </w:r>
          </w:p>
          <w:p w14:paraId="684F6E10">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5、依据GB/T 19569-2004进行检测，风机转速≤800r/min时，机组的振动速度不大于3mm/s；风机转速＞800r/min时，机组振动速度不大于4mm/s。(需提供具有CMA或CNAS资质的第三方检测机构出具的检测报告的复印件)</w:t>
            </w:r>
          </w:p>
          <w:p w14:paraId="693860E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6、机组长度大于3米时应设置2个或以上的功能段，各功能段之间采用不锈钢或铝合金材质阴阳连接件进行连接，并采取特别设计避免此处生锈，积灰。</w:t>
            </w:r>
          </w:p>
          <w:p w14:paraId="79D313A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应在箱体的适当位置设置服务门，并保证严密。机组的主要功能段，如风机段，过滤段，冷、热盘管段均应设检修门或可以侧抽。正压段的门需配置安全门钩。为方便检修，服务门的高度为：当箱体内部净高度为1.5m及以上时，门的高度为1.5m；当箱体内部净高度为1.5m以下时，门的高度与箱体净高度等高。</w:t>
            </w:r>
          </w:p>
          <w:p w14:paraId="436B2A8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8、水盘采用下沉式结构，保证水盘在箱体的最低位置，同时需保证出水口在水盘的最低位置。水盘设计应使积水能够顺畅排出，不驻留，不易滋生细菌，材料至少为304不锈钢</w:t>
            </w:r>
          </w:p>
          <w:p w14:paraId="21A2247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9、电机：</w:t>
            </w:r>
          </w:p>
          <w:p w14:paraId="78DC06C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电机能效至少为IE3等级，同时应符合我国有关电机技术及安全标准要求，绝缘等级不低于F级，防护等级不低于IP55，电机需配置PTC过热保护装置，电机应方便安装、调整。</w:t>
            </w:r>
          </w:p>
          <w:p w14:paraId="67F375A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10、换热盘管：</w:t>
            </w:r>
          </w:p>
          <w:p w14:paraId="3A99471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优质紫铜管套铝翅片，冷盘管边框采用镀锌钢板或不锈钢材料制作；热盘管边框采用镀锌钢或不锈钢材料制作。翅片采用亲水铝箔。</w:t>
            </w:r>
          </w:p>
        </w:tc>
      </w:tr>
      <w:tr w14:paraId="6E12ACC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1AC040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0714FBF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洁净新风空气处理机组</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05753FA">
            <w:pPr>
              <w:widowControl/>
              <w:textAlignment w:val="top"/>
              <w:rPr>
                <w:rFonts w:hint="eastAsia" w:ascii="宋体" w:hAnsi="宋体" w:eastAsia="宋体" w:cs="宋体"/>
                <w:color w:val="auto"/>
                <w:sz w:val="23"/>
                <w:szCs w:val="23"/>
                <w:highlight w:val="none"/>
                <w:lang w:eastAsia="zh-CN"/>
              </w:rPr>
            </w:pPr>
            <w:r>
              <w:rPr>
                <w:rFonts w:hint="eastAsia" w:ascii="宋体" w:hAnsi="宋体" w:eastAsia="宋体" w:cs="宋体"/>
                <w:color w:val="auto"/>
                <w:kern w:val="0"/>
                <w:sz w:val="23"/>
                <w:szCs w:val="23"/>
                <w:highlight w:val="none"/>
                <w:lang w:bidi="ar"/>
              </w:rPr>
              <w:t>新风引入口，初效段（G4），新风风机段，均流段，空气消毒段（医用 UV-C 动态消毒），中效段（F8），表冷段，氟深度除湿段，加热段，亚高效过滤段（H11），送风段等组成</w:t>
            </w:r>
          </w:p>
        </w:tc>
      </w:tr>
      <w:tr w14:paraId="3FDD14C8">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9BC232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1AD2C8C">
            <w:pPr>
              <w:widowControl/>
              <w:jc w:val="center"/>
              <w:textAlignment w:val="center"/>
              <w:rPr>
                <w:rFonts w:hint="eastAsia" w:ascii="宋体" w:hAnsi="宋体" w:eastAsia="宋体" w:cs="宋体"/>
                <w:color w:val="auto"/>
                <w:sz w:val="23"/>
                <w:szCs w:val="23"/>
                <w:highlight w:val="none"/>
                <w:lang w:eastAsia="zh-CN"/>
              </w:rPr>
            </w:pPr>
            <w:r>
              <w:rPr>
                <w:rFonts w:hint="eastAsia" w:ascii="宋体" w:hAnsi="宋体" w:eastAsia="宋体" w:cs="宋体"/>
                <w:color w:val="auto"/>
                <w:kern w:val="0"/>
                <w:sz w:val="23"/>
                <w:szCs w:val="23"/>
                <w:highlight w:val="none"/>
                <w:lang w:bidi="ar"/>
              </w:rPr>
              <w:t>非净化区新风机组</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EA3078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1、箱体：箱体厚度≥25mm，外板采用烤漆镀锌板厚度≥0.5mm，内板为镀锌板厚度≥0.5mm，保温材料为硬质聚氨酯，冷凝水盘为304不锈钢，机组整体漏风率≯1%；</w:t>
            </w:r>
          </w:p>
          <w:p w14:paraId="74B496F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2、风机：采用皮带传动式离心风机，风机基座采用热镀锌防腐槽钢；</w:t>
            </w:r>
          </w:p>
          <w:p w14:paraId="3F8F9FA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3、电机能效IE3及以上，绝缘等级不低于F级，防护等级不低于IP55；</w:t>
            </w:r>
          </w:p>
          <w:p w14:paraId="726D660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4、盘管翅片采用铜管穿防腐亲水铝翅片，汇管采用防腐处理的厚壁钢管，支管采用紫铜管；</w:t>
            </w:r>
          </w:p>
          <w:p w14:paraId="30743441">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5、配置压力表、（室内型机组）冬季室外温度低于0℃设置停机保温装置。</w:t>
            </w:r>
          </w:p>
        </w:tc>
      </w:tr>
      <w:tr w14:paraId="57E63F95">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7FB7FF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6BCF6F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风机盘管</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40CA60A">
            <w:pPr>
              <w:widowControl/>
              <w:textAlignment w:val="top"/>
              <w:rPr>
                <w:rFonts w:hint="eastAsia" w:ascii="宋体" w:hAnsi="宋体" w:eastAsia="宋体" w:cs="宋体"/>
                <w:color w:val="auto"/>
                <w:kern w:val="0"/>
                <w:sz w:val="23"/>
                <w:szCs w:val="23"/>
                <w:highlight w:val="none"/>
                <w:lang w:eastAsia="zh-CN" w:bidi="ar"/>
              </w:rPr>
            </w:pPr>
            <w:r>
              <w:rPr>
                <w:rFonts w:hint="eastAsia" w:ascii="宋体" w:hAnsi="宋体" w:eastAsia="宋体" w:cs="宋体"/>
                <w:color w:val="auto"/>
                <w:kern w:val="0"/>
                <w:sz w:val="23"/>
                <w:szCs w:val="23"/>
                <w:highlight w:val="none"/>
                <w:lang w:bidi="ar"/>
              </w:rPr>
              <w:t>1、结构坚固：风机盘管采用镀锌板机壳，冷凝水盘采用模压工艺一体成型；</w:t>
            </w:r>
            <w:r>
              <w:rPr>
                <w:rFonts w:hint="eastAsia" w:ascii="宋体" w:hAnsi="宋体" w:eastAsia="宋体" w:cs="宋体"/>
                <w:color w:val="auto"/>
                <w:kern w:val="0"/>
                <w:sz w:val="23"/>
                <w:szCs w:val="23"/>
                <w:highlight w:val="none"/>
                <w:lang w:eastAsia="zh-CN" w:bidi="ar"/>
              </w:rPr>
              <w:t>加长加宽冷凝水接水盘，将所有相关阀门、接头全部纳入接水盘承接范围内；所有冷凝水管接头做好保温包裹，杜绝结露滴水。</w:t>
            </w:r>
          </w:p>
          <w:p w14:paraId="35821D0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2、超低噪声：机组采用多翼式离心风轮，并与低噪声永久电容电机达到最佳匹配；</w:t>
            </w:r>
          </w:p>
          <w:p w14:paraId="18DC251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3、超高效率：热交换器采用优质φ9.52mm铜管和高效亲水覆膜铝翅片，再配以大风量低噪声风机来强化传热；</w:t>
            </w:r>
          </w:p>
          <w:p w14:paraId="1582D22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4、可靠保温：采用整体PE隔热保温，确保在标准工况下机组外表面不会结露；</w:t>
            </w:r>
          </w:p>
        </w:tc>
      </w:tr>
      <w:tr w14:paraId="70EEC37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C593B5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5931DC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医用静音型排风机</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3C62F36">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1、箱体要求：</w:t>
            </w:r>
          </w:p>
          <w:p w14:paraId="561D076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1）箱体厚度：25mm，结构：铝合金/镀锌框架箱体结构；内外板材质：镀锌板；</w:t>
            </w:r>
          </w:p>
          <w:p w14:paraId="59D651E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2）三层板结构：镀锌钢板/喷涂板或彩钢板（外板）+防火降噪材料+镀锌钢板（内板）；</w:t>
            </w:r>
          </w:p>
          <w:p w14:paraId="50EE780B">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3）镀锌层含量≥80g/m2；</w:t>
            </w:r>
          </w:p>
          <w:p w14:paraId="675E0E9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2、风机：</w:t>
            </w:r>
          </w:p>
          <w:p w14:paraId="1CB1E7B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1）电机能效IE3及以上，电机绝缘等级不低于F级；</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2）电机防护等级：外转子风机电机防护等级不小于IP44；三相异步电动机防护等级：室内型不低于IP54，室外型不低于IP55；</w:t>
            </w:r>
          </w:p>
          <w:p w14:paraId="7CC2820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3、叶轮整体经过静态和动态平衡，叶轮平衡等级应达到G2.5（ISO1940）等级；</w:t>
            </w:r>
          </w:p>
          <w:p w14:paraId="0FFAA68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4、采用皮带传动风机时，皮带应按传动功率的150%选用V形皮带，皮带线速度不超过25m/s，皮带与皮带轮应可靠匹配，可在40℃下长久工作。</w:t>
            </w:r>
          </w:p>
          <w:p w14:paraId="7D6DBAAB">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5、风机能效满足《GB/T 19761-2020 通风机能效限定值及能效等级》的相关要求，不低于2级；</w:t>
            </w:r>
          </w:p>
        </w:tc>
      </w:tr>
      <w:tr w14:paraId="511DA0AD">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6F3A609">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2F923AF">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医用电极式加湿器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A0CB3D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1、采用微电脑自动控制系统，集成了ON--OFF无源开关量控制和线性调节控制两个输入端口；可接收0-10V/4-20mA/开关量多种类型加湿量调节信号；</w:t>
            </w:r>
          </w:p>
          <w:p w14:paraId="35036DE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2、加湿器采用耐高温、耐腐蚀阻燃加湿桶；</w:t>
            </w:r>
          </w:p>
          <w:p w14:paraId="66D7D44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3、加湿量连续可调，控制精度±5%以内，加湿效率≥90%；</w:t>
            </w:r>
          </w:p>
          <w:p w14:paraId="438245DD">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4、加湿器需具有手动或自动排水功能，可自动对加湿器桶进行冲洗，加湿桶易拆卸，可更换，从而达到延长加湿器使用寿命的目的。</w:t>
            </w:r>
          </w:p>
          <w:p w14:paraId="6557A17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（用于正压段）</w:t>
            </w:r>
          </w:p>
        </w:tc>
      </w:tr>
      <w:tr w14:paraId="7B46900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3253D1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EDB3A19">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电子压差计</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978144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1、LED液晶屏，操作灵敏；</w:t>
            </w:r>
          </w:p>
          <w:p w14:paraId="3FEEA95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2、电源220VAC/24VAC/24VDC，模拟输出0~10V或4~20mA信号，RS485通讯，可接上位机；</w:t>
            </w:r>
          </w:p>
          <w:p w14:paraId="2C970C8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3、可显示正压、负压，量程范围不低于±100pa，超过压力设定值灯光闪烁报警提示；</w:t>
            </w:r>
          </w:p>
        </w:tc>
      </w:tr>
      <w:tr w14:paraId="5BA0BFE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A0ABEE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5C4966E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医用高效送风口</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DD42BC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1、净化空调的终端过滤装置，满足净化要求；</w:t>
            </w:r>
          </w:p>
          <w:p w14:paraId="29FE0B4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2、过滤效率高、阻力低、容尘量大，可对空气中细菌以及0.5um及以上颗粒物进行有效过滤，过滤效率≥99.97%；</w:t>
            </w:r>
          </w:p>
          <w:p w14:paraId="168442F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3、结构紧凑，密封性能可靠，进风方式有侧进风和顶进风，法兰口有方形和圆形两种结构；</w:t>
            </w:r>
          </w:p>
          <w:p w14:paraId="219F8BC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4、箱体材质：1.0mm厚冷轧钢板喷塑，1.0mm厚面板，采用静电粉末喷涂技术；</w:t>
            </w:r>
          </w:p>
          <w:p w14:paraId="012D964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5、过滤等级：达到H13过滤等级；</w:t>
            </w:r>
          </w:p>
          <w:p w14:paraId="0E00CA3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6、散流网板易拆洗，过滤器更换方便。</w:t>
            </w:r>
          </w:p>
        </w:tc>
      </w:tr>
      <w:tr w14:paraId="088F249B">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FFFF05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9</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DE0232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超静音卫生型微穿孔板消声器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00B7DF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1、腔体厚度≥100mm，双层微穿孔板隔板结构，内层和中层均采用不同孔距的镀锌冲压孔板制作；</w:t>
            </w:r>
          </w:p>
          <w:p w14:paraId="44CC1CC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2、其吸声系数高，吸收频带宽，压力损失很小，气流再生噪声低；</w:t>
            </w:r>
          </w:p>
          <w:p w14:paraId="7C65D2E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3、耐高温、耐油、防水、防火和防腐蚀；</w:t>
            </w:r>
          </w:p>
          <w:p w14:paraId="4D7BA7C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4、微穿孔板穿孔率低，表面光洁，气流的阻力小；</w:t>
            </w:r>
          </w:p>
          <w:p w14:paraId="0D2AB633">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5、采用双层微孔板结构，不使用吸声材料，通过内部作声学处理消声，不产尘，不对净化空气产生影响，阻力损失≤50Pa；</w:t>
            </w:r>
          </w:p>
          <w:p w14:paraId="5FE9BA0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6、成品制作安装，内部平整，不影响气流，对净化风系统中低频声音消音效果≥10dB。</w:t>
            </w:r>
          </w:p>
        </w:tc>
      </w:tr>
      <w:tr w14:paraId="4951913A">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5917B4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10</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75AC96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医用电动密闭阀</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55EBF4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1、满足《建筑通风风量调节阀》JG/T436-2014的相关要求；</w:t>
            </w:r>
          </w:p>
          <w:p w14:paraId="06B0DD8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2、材质：阀体和阀板为镀锌钢板（用于防腐要求的场所阀内部喷涂防腐涂层或采用不锈钢）；</w:t>
            </w:r>
          </w:p>
          <w:p w14:paraId="3C0D00A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3、工作温度：-20℃-50℃；</w:t>
            </w:r>
          </w:p>
          <w:p w14:paraId="249DC526">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4、电动阀门执行器输出开启、关闭信号（无源信号），开关型执行器采用DC24V电源，额定电流不大于0.5A；</w:t>
            </w:r>
          </w:p>
          <w:p w14:paraId="64C040DD">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5、配开关量执行器（带正反转拨码）；</w:t>
            </w:r>
          </w:p>
          <w:p w14:paraId="1B2B605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 xml:space="preserve">6、阀片泄漏等级：允许漏风量≤17△P^0.58；（密闭阀I型）                              </w:t>
            </w:r>
          </w:p>
          <w:p w14:paraId="367D870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7、阀片泄漏等级：允许漏风量≤2.7△P^0.58；（密闭阀II型）</w:t>
            </w:r>
          </w:p>
        </w:tc>
      </w:tr>
      <w:tr w14:paraId="3F9BC1F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CCD5D5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8CAC6B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保温材料</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81E2DA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1、橡塑保温材料以丁腈橡胶为主要原材料，经“凝胶”发泡而成；</w:t>
            </w:r>
          </w:p>
          <w:p w14:paraId="37BACD2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2、表观密度：40-80kg/m；</w:t>
            </w:r>
          </w:p>
          <w:p w14:paraId="1BACA3E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3、氧指数%：≥34%；</w:t>
            </w:r>
          </w:p>
          <w:p w14:paraId="0E08C7D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4、燃烧性能：B-S2，d0,t1</w:t>
            </w:r>
          </w:p>
          <w:p w14:paraId="4FB85C9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5、烟密度等级（SDR）：≤60；</w:t>
            </w:r>
          </w:p>
          <w:p w14:paraId="033073A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6、透湿系数：≤1.2×10－10G/(m.s.pa)；湿阻因子：≥10000；</w:t>
            </w:r>
          </w:p>
          <w:p w14:paraId="005D7E4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7、导热系数0.037W/(m·K)</w:t>
            </w:r>
          </w:p>
          <w:p w14:paraId="0472983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8、压缩回弹率（50%压缩72h）：≥70%；</w:t>
            </w:r>
          </w:p>
          <w:p w14:paraId="15D7235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9、真空吸水率：≤8%；</w:t>
            </w:r>
          </w:p>
        </w:tc>
      </w:tr>
      <w:tr w14:paraId="7AE1A8C5">
        <w:tblPrEx>
          <w:tblCellMar>
            <w:top w:w="0" w:type="dxa"/>
            <w:left w:w="108" w:type="dxa"/>
            <w:bottom w:w="0" w:type="dxa"/>
            <w:right w:w="108" w:type="dxa"/>
          </w:tblCellMar>
        </w:tblPrEx>
        <w:trPr>
          <w:trHeight w:val="4346"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51C5F99">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color w:val="auto"/>
                <w:kern w:val="0"/>
                <w:sz w:val="23"/>
                <w:szCs w:val="23"/>
                <w:highlight w:val="none"/>
                <w:lang w:bidi="ar"/>
              </w:rPr>
              <w:t>12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6FAB84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恒温恒湿自控系统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A0CE78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恒温恒湿控制系统功能包括：净化机组、新风机组温湿度设定，同时拥有保护功能、时间设置、记忆、系统运行状态显示、系统报警显示等功能等，采用32寸</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val="en-US" w:eastAsia="zh-CN" w:bidi="ar"/>
              </w:rPr>
              <w:t>及以上</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bidi="ar"/>
              </w:rPr>
              <w:t>触控一体式屏幕控制及操作，清晰显示系统工作流程与运行状态。</w:t>
            </w:r>
          </w:p>
          <w:p w14:paraId="7CB0273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1）支持两台净化机组多端控制，如触控一体式屏幕一键启停、预约启停，两台净化机组参数设定，紫外灯预约启停、设备运行状态报警、过滤器脏堵提醒（提供现场实际运行状态截图）。</w:t>
            </w:r>
          </w:p>
          <w:p w14:paraId="5340BEC7">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2）支持洁净温湿度显示，同时系统温湿度数据进行自动记录（提供现场实际运行状态截图）。</w:t>
            </w:r>
          </w:p>
          <w:p w14:paraId="16A88CF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3）支持水平层流台、生物安全柜设备启停及紫外灯启停多端控制，如通过触控一体式屏幕操作，减少人员工作量（提供现场实际运行状态截图）。</w:t>
            </w:r>
          </w:p>
          <w:p w14:paraId="5BC06BCE">
            <w:pPr>
              <w:widowControl/>
              <w:textAlignment w:val="top"/>
              <w:rPr>
                <w:rFonts w:hint="eastAsia" w:ascii="宋体" w:hAnsi="宋体" w:eastAsia="宋体" w:cs="宋体"/>
                <w:color w:val="auto"/>
                <w:sz w:val="23"/>
                <w:szCs w:val="23"/>
                <w:highlight w:val="none"/>
                <w:lang w:val="en-US" w:eastAsia="zh-CN"/>
              </w:rPr>
            </w:pPr>
            <w:r>
              <w:rPr>
                <w:rFonts w:hint="eastAsia" w:ascii="宋体" w:hAnsi="宋体" w:eastAsia="宋体" w:cs="宋体"/>
                <w:color w:val="auto"/>
                <w:kern w:val="0"/>
                <w:sz w:val="23"/>
                <w:szCs w:val="23"/>
                <w:highlight w:val="none"/>
                <w:lang w:bidi="ar"/>
              </w:rPr>
              <w:t>4）支持设置系统运行状态、调整系统参数、查询系统报警，以及系统报警自动推送消息（提供现场实际运行状态截图）。</w:t>
            </w:r>
          </w:p>
        </w:tc>
      </w:tr>
      <w:tr w14:paraId="5B35040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F0F0B4C">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8E7AD3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压差集中控制显示</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35F5E85">
            <w:pPr>
              <w:widowControl/>
              <w:numPr>
                <w:ilvl w:val="0"/>
                <w:numId w:val="7"/>
              </w:numPr>
              <w:textAlignment w:val="top"/>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压力表设计要求:一次更衣室、二次更衣室、调配操作间应分别安装压力表，并选择同一非洁净控制区作为压差测量基点，所有的洁净间相对这个测量基点的压差都为正值。</w:t>
            </w:r>
          </w:p>
          <w:p w14:paraId="0EF572E4">
            <w:pPr>
              <w:widowControl/>
              <w:numPr>
                <w:ilvl w:val="0"/>
                <w:numId w:val="7"/>
              </w:numPr>
              <w:textAlignment w:val="top"/>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用于同一洁净区域的压差表宜设置于同一块控制面板上，安装在非洁净控制区方便操作和观察记录的位置</w:t>
            </w:r>
          </w:p>
        </w:tc>
      </w:tr>
      <w:tr w14:paraId="563D5DA7">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9388D67">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CB8B22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排风系统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56BF7F0">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1、抗生素药物药品及危害药品调配操作区内存在对人体有害的气体，故该房间排风采用活性炭过滤器过滤后排放，不与其他排风混合，排风系统均装设止回阀防止气流倒灌；</w:t>
            </w:r>
          </w:p>
          <w:p w14:paraId="1965FDC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2、抗生素药品调配间及危害药物调配间排风与生物安全柜实现联动互锁，保持房间内的动态压差平衡；</w:t>
            </w:r>
          </w:p>
        </w:tc>
      </w:tr>
      <w:tr w14:paraId="4A2E5550">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25DF39AA">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A291A22">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压差恒定控制系统</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371CF2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抗生素调配操作间与危害药品调配操作间送排风系统设计时应考虑部分生物安全柜开闭时对压差梯度的影响，应做到无论开关几台生物安全柜对调配操作间压差梯度都没有影响。（需提供产品功能说明，以及实现原理介绍）</w:t>
            </w:r>
          </w:p>
        </w:tc>
      </w:tr>
      <w:tr w14:paraId="726C7176">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3035128">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电气主要设备材料技术、质量要求</w:t>
            </w:r>
          </w:p>
        </w:tc>
      </w:tr>
      <w:tr w14:paraId="3FED748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9EB51A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320BC3F">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7209742">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产品技术要求</w:t>
            </w:r>
          </w:p>
        </w:tc>
      </w:tr>
      <w:tr w14:paraId="099762D7">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5DDF4C9">
            <w:pPr>
              <w:widowControl/>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1.强电</w:t>
            </w:r>
          </w:p>
        </w:tc>
      </w:tr>
      <w:tr w14:paraId="66D35AF8">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942389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7239E3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10EC47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配电箱</w:t>
            </w:r>
          </w:p>
          <w:p w14:paraId="54FF3A3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1、配电箱内组件应排列整齐、固定可靠、各电气组件应可单独拆装。</w:t>
            </w:r>
          </w:p>
          <w:p w14:paraId="7DCDAB9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2、配电箱柜体应采用优质冷轧钢板，表面应酸洗、磷化后用静电粉末高温喷涂，板材厚度应符合国家配电柜相关标准要求。</w:t>
            </w:r>
          </w:p>
          <w:p w14:paraId="7B72BDB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3、配电箱内所配导线端部应标明线号，箱体内应有一次接线及二次接线原理图。</w:t>
            </w:r>
          </w:p>
          <w:p w14:paraId="6C0845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4、配电箱及箱内所有元器件等均应通过国家相应安全认证，必须有“CQC”认证标志。</w:t>
            </w:r>
          </w:p>
          <w:p w14:paraId="7028F4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5、所有组件应具有经久耐用、操作安全、维护方便等优点。</w:t>
            </w:r>
          </w:p>
          <w:p w14:paraId="72A12BC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配电箱内微型断路器等：</w:t>
            </w:r>
          </w:p>
          <w:p w14:paraId="0F87B72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1、必须有“CQC”认证标志，具有防触电保护；</w:t>
            </w:r>
          </w:p>
          <w:p w14:paraId="17E8801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2、两用端子能同时连接电缆和汇流排，不需任何附件</w:t>
            </w:r>
          </w:p>
          <w:p w14:paraId="491C1C9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3、可容易地安装在35mm导轨上</w:t>
            </w:r>
          </w:p>
          <w:p w14:paraId="378B33F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4、产品在闭合和断开位置时可通过附件被锁定</w:t>
            </w:r>
          </w:p>
          <w:p w14:paraId="55ADD0C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5、具有很高的的短路分析能力</w:t>
            </w:r>
          </w:p>
          <w:p w14:paraId="77FE5D0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6、在短路时通过短路能量低</w:t>
            </w:r>
          </w:p>
          <w:p w14:paraId="29B8BB6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7、上下接线端均可进线，分析能力不变</w:t>
            </w:r>
          </w:p>
        </w:tc>
      </w:tr>
      <w:tr w14:paraId="690461CF">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C74291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DDDC8B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LED灯具</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B10764B">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1、超薄外框一体化设计，体积小巧，外观精致。</w:t>
            </w:r>
          </w:p>
          <w:p w14:paraId="1BAFD7B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2、专业设计，防腐耐潮，不积尘采尘，避免空气乱流。</w:t>
            </w:r>
          </w:p>
          <w:p w14:paraId="52D5AF5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3、灯具应通过电磁兼容型式试验合格报告（依据标准GB17743-2007电气照明和类似设备的无线电骚扰特性的限值和测量方法；GB17625.1-2012 电磁兼容 限值 谐波电流发射限值（设备每相输入电流≤16A））；</w:t>
            </w:r>
          </w:p>
          <w:p w14:paraId="231177A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4、外形尺寸（长*宽*高）：900mm*300mm/1200mm*300mm</w:t>
            </w:r>
          </w:p>
          <w:p w14:paraId="33BA9C4F">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5、光源显色指数(Ra)：80以上，功率因数：η＞0.9，色温：3300K～5300K。</w:t>
            </w:r>
          </w:p>
          <w:p w14:paraId="57601303">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6、灯具采用密封式结构，表面光滑，不积尘，灯具外壳防护等级不小于IP4X。</w:t>
            </w:r>
          </w:p>
        </w:tc>
      </w:tr>
      <w:tr w14:paraId="188549A7">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46831E7">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AF3275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开关、插座</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1AE0526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1、所有开关、插座必须使用同一品牌同一系列的产品。</w:t>
            </w:r>
          </w:p>
          <w:p w14:paraId="2F3B00B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2、优异的耐漏电起痕电性能，良好的对异常发热及火焰的耐性。</w:t>
            </w:r>
          </w:p>
          <w:p w14:paraId="4A9E378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3、阻燃性能好，插座接插件选用优质锡磷青铜加工制成，导电性能好，面无螺孔，超薄流线型面板，插座均采用内封闭结构，双孔压板式接线，用电更安全；外表美观，手感好。</w:t>
            </w:r>
          </w:p>
        </w:tc>
      </w:tr>
      <w:tr w14:paraId="313A1335">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9E086FD">
            <w:pPr>
              <w:widowControl/>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2.弱电</w:t>
            </w:r>
          </w:p>
        </w:tc>
      </w:tr>
      <w:tr w14:paraId="4E1F061D">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5F34CD8">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4A527A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监控摄像机</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6C39F15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1、摄像机采用≥200万像素数字IP网络型，支持H.265。</w:t>
            </w:r>
          </w:p>
          <w:p w14:paraId="5C26D4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2、集成了视音频采集、智能编码压缩及网络传输等多种功能。</w:t>
            </w:r>
          </w:p>
          <w:p w14:paraId="0B4A311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3、采用嵌入式操作系统和高性能硬件处理平台，具有较高稳定性和可靠性。</w:t>
            </w:r>
          </w:p>
          <w:p w14:paraId="7DA588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4、可以通过浏览器或客户端软件，实现远距离传输和实时视频浏览和配置等功能。</w:t>
            </w:r>
          </w:p>
        </w:tc>
      </w:tr>
      <w:tr w14:paraId="0FD91488">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3B1EED3B">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C701FE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网络电话插座</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38F934A">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1、单口面板,双口面板等适合电话模块和网络模块。</w:t>
            </w:r>
          </w:p>
          <w:p w14:paraId="33CDE7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2、86型。</w:t>
            </w:r>
          </w:p>
          <w:p w14:paraId="41CF57A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3、类别： 单孔、双孔等，加厚、豪华，特级环保料。</w:t>
            </w:r>
          </w:p>
          <w:p w14:paraId="700ABCC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4、颜色： 乳白色等可选。</w:t>
            </w:r>
          </w:p>
          <w:p w14:paraId="39B23C4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5、特性：嵌入面框，配有2个螺丝，安装方便。</w:t>
            </w:r>
          </w:p>
          <w:p w14:paraId="260CCC1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6、配有防尘滑门用以保护模块、遮蔽灰尘和污物进入、满足数据及语音应用。</w:t>
            </w:r>
          </w:p>
          <w:p w14:paraId="016A405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7、产品特点：时尚美观 经久耐用。</w:t>
            </w:r>
          </w:p>
          <w:p w14:paraId="5329994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8、适用范围：综合网络布线，网络建设等。</w:t>
            </w:r>
          </w:p>
          <w:p w14:paraId="4AB10AF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9、插口标准通用（网络和电话）。</w:t>
            </w:r>
          </w:p>
        </w:tc>
      </w:tr>
      <w:tr w14:paraId="1171398C">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11139B60">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78AEDDE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六类网线</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3E567542">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1、符合TIA/EIA-568-C.2六类和ISO-IEC11801-2nd ClassE信道性能要求</w:t>
            </w:r>
          </w:p>
          <w:p w14:paraId="19EE3D9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2、四对非屏蔽双绞，线对之间被内部十字支撑架分隔。</w:t>
            </w:r>
          </w:p>
          <w:p w14:paraId="2E181C7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3、信道带宽：ACR有效带宽&gt;250MHz，性能测试达650MHz。</w:t>
            </w:r>
          </w:p>
          <w:p w14:paraId="4B24078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4、防火等级：商用级CM，满足NEC标准UL1581防火规范，满足IEC60332-1标准。</w:t>
            </w:r>
          </w:p>
          <w:p w14:paraId="6B96D53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5、支持应用：以太网10Base-T、以太网100Base-T、千兆以太网1000Base-T</w:t>
            </w:r>
          </w:p>
        </w:tc>
      </w:tr>
      <w:tr w14:paraId="0F1334A3">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59D0FC0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259640F">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读卡器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CFE44A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1、认证方式：采用刷脸或者刷卡方式;</w:t>
            </w:r>
          </w:p>
          <w:p w14:paraId="0E6C43E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2、卡：M1、CPU;</w:t>
            </w:r>
          </w:p>
          <w:p w14:paraId="06384E7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3、感应时间：＜0.8s,具有信号指示灯和提示音（读卡、报警、电源）</w:t>
            </w:r>
          </w:p>
        </w:tc>
      </w:tr>
      <w:tr w14:paraId="1945C79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7D92FD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C7B60C6">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智能门禁系统电磁锁（单门）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B368AEA">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1、工作电：DC12V±10%/ DC24V±10%；</w:t>
            </w:r>
          </w:p>
          <w:p w14:paraId="43A84993">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2、信号输出：门状态信号输出（自带门磁和信号灯）；</w:t>
            </w:r>
          </w:p>
          <w:p w14:paraId="34163DB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3、安全类型：断电开门。</w:t>
            </w:r>
          </w:p>
        </w:tc>
      </w:tr>
      <w:tr w14:paraId="188E823E">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41A217A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CAA8D33">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智能门禁系统电磁锁（单/双门）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F7B1F9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1、工作电压：DC12V±10%/ DC24V±10%；</w:t>
            </w:r>
          </w:p>
          <w:p w14:paraId="23E88A0F">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2、信号输出：门状态信号输出（自带门磁和信号灯）；</w:t>
            </w:r>
          </w:p>
          <w:p w14:paraId="65728EE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3、安全类型：断电开门。</w:t>
            </w:r>
          </w:p>
        </w:tc>
      </w:tr>
      <w:tr w14:paraId="04446162">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2D78C83">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6619226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智能单门门禁控制器</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28D2E3AE">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1、控制数量：1门，2读卡器；</w:t>
            </w:r>
          </w:p>
          <w:p w14:paraId="56DFE1CD">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2、通讯方式：上行TCP/IP</w:t>
            </w:r>
          </w:p>
          <w:p w14:paraId="6F1C535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3、读卡器接口：RS485和Wiegand双通讯接口</w:t>
            </w:r>
          </w:p>
          <w:p w14:paraId="73593064">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4、输入接口（TTL）：至少满足1*开门按钮1*门磁 1*防拆报警 1*消防报警；</w:t>
            </w:r>
          </w:p>
          <w:p w14:paraId="444FB1B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5、工作电压：自带机箱和供电电源（AC220V输入），工作电压DC 12V，功耗≤4W（不带负载）</w:t>
            </w:r>
          </w:p>
          <w:p w14:paraId="06F1A58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6、输出接口：至少满足IO输出接口*2</w:t>
            </w:r>
          </w:p>
          <w:p w14:paraId="3C8753F2">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7、存储容量：10万张卡和30万记录存储</w:t>
            </w:r>
          </w:p>
        </w:tc>
      </w:tr>
      <w:tr w14:paraId="32A19C84">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6AE1166A">
            <w:pPr>
              <w:widowControl/>
              <w:jc w:val="center"/>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给排水主要设备材料技术、质量要求</w:t>
            </w:r>
          </w:p>
        </w:tc>
      </w:tr>
      <w:tr w14:paraId="4AF506B6">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0841AE12">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439F9AC8">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0AAE65E">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0156E774">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99E820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481D5C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陶瓷台盆柜</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7C52F12E">
            <w:pPr>
              <w:widowControl/>
              <w:numPr>
                <w:ilvl w:val="0"/>
                <w:numId w:val="8"/>
              </w:numP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台下盆；</w:t>
            </w:r>
          </w:p>
          <w:p w14:paraId="3643B1C7">
            <w:pPr>
              <w:pStyle w:val="10"/>
              <w:numPr>
                <w:ilvl w:val="0"/>
                <w:numId w:val="8"/>
              </w:numP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陶瓷自洁釉，下水孔Φ45mm，带溢水孔，含面盆排水器、防臭伸缩下水管</w:t>
            </w:r>
          </w:p>
          <w:p w14:paraId="7B82FEA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3、尺寸：符合设计及有关规范要求。</w:t>
            </w:r>
          </w:p>
        </w:tc>
      </w:tr>
      <w:tr w14:paraId="1C5BC81E">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7F3235C1">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DBFBFF3">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感应不锈钢洗手盆</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03069490">
            <w:pPr>
              <w:widowControl/>
              <w:numPr>
                <w:ilvl w:val="0"/>
                <w:numId w:val="9"/>
              </w:numPr>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参考尺寸：600*450*800mm；</w:t>
            </w:r>
          </w:p>
          <w:p w14:paraId="5A34857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2、主体材料：采用优质304不锈钢板制作，表面静电粉末喷涂，具有环保、抑菌、防腐、防酸、不易生锈的特性，且易于清洁和消毒，符合医疗环境的高标准;</w:t>
            </w:r>
          </w:p>
          <w:p w14:paraId="0F3AFC5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3、具有防划、耐脏、易清洁、不易滋生细菌等特性;</w:t>
            </w:r>
          </w:p>
          <w:p w14:paraId="0BAF0848">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4、含五金配件、调温阀、下水器、防臭伸缩下水管等；配置感应出水龙头。</w:t>
            </w:r>
          </w:p>
        </w:tc>
      </w:tr>
      <w:tr w14:paraId="05CB8520">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8A7A0F5">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E74F4AE">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不锈钢拖把池</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566CC01D">
            <w:pPr>
              <w:widowControl/>
              <w:numPr>
                <w:ilvl w:val="0"/>
                <w:numId w:val="9"/>
              </w:numPr>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参考尺寸：570*450*550mm；</w:t>
            </w:r>
          </w:p>
          <w:p w14:paraId="26684F2D">
            <w:pPr>
              <w:widowControl/>
              <w:numPr>
                <w:ilvl w:val="0"/>
                <w:numId w:val="9"/>
              </w:numPr>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1.2mm厚304不锈钢，含地排水，配套下水器、伸缩下水管。</w:t>
            </w:r>
          </w:p>
        </w:tc>
      </w:tr>
      <w:tr w14:paraId="796C3729">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62A9D9C2">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3F22ABE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不锈钢洗涤池</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C3EC1B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1、参考尺寸：1800*650*800mm；</w:t>
            </w:r>
          </w:p>
          <w:p w14:paraId="5C7F01A0">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2、主体材料：采用优质304不锈钢板制作，表面静电粉末喷涂，具有环保、抑菌、防腐、防酸、不易生锈的特性，且易于清洁和消毒，符合医疗环境的高标准;</w:t>
            </w:r>
          </w:p>
          <w:p w14:paraId="1E5EA2A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3、具有防划、耐脏、易清洁、不易滋生细菌等特性;</w:t>
            </w:r>
          </w:p>
          <w:p w14:paraId="33FD746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4、含五金配件、调温阀、下水器、防臭伸缩下水管等；配置感应出水龙头。</w:t>
            </w:r>
          </w:p>
        </w:tc>
      </w:tr>
      <w:tr w14:paraId="360F4CED">
        <w:tblPrEx>
          <w:tblCellMar>
            <w:top w:w="0" w:type="dxa"/>
            <w:left w:w="108" w:type="dxa"/>
            <w:bottom w:w="0" w:type="dxa"/>
            <w:right w:w="108" w:type="dxa"/>
          </w:tblCellMar>
        </w:tblPrEx>
        <w:trPr>
          <w:trHeight w:val="425" w:hRule="atLeast"/>
        </w:trPr>
        <w:tc>
          <w:tcPr>
            <w:tcW w:w="503" w:type="pct"/>
            <w:tcBorders>
              <w:top w:val="single" w:color="000000" w:sz="4" w:space="0"/>
              <w:left w:val="single" w:color="000000" w:sz="4" w:space="0"/>
              <w:bottom w:val="single" w:color="000000" w:sz="4" w:space="0"/>
              <w:right w:val="single" w:color="000000" w:sz="4" w:space="0"/>
            </w:tcBorders>
            <w:noWrap/>
            <w:vAlign w:val="center"/>
          </w:tcPr>
          <w:p w14:paraId="1EA4EE9F">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ign w:val="center"/>
          </w:tcPr>
          <w:p w14:paraId="15E4A49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薄壁不锈钢管</w:t>
            </w:r>
          </w:p>
        </w:tc>
        <w:tc>
          <w:tcPr>
            <w:tcW w:w="3847" w:type="pct"/>
            <w:tcBorders>
              <w:top w:val="single" w:color="000000" w:sz="4" w:space="0"/>
              <w:left w:val="single" w:color="000000" w:sz="4" w:space="0"/>
              <w:bottom w:val="single" w:color="000000" w:sz="4" w:space="0"/>
              <w:right w:val="single" w:color="000000" w:sz="4" w:space="0"/>
            </w:tcBorders>
            <w:noWrap/>
            <w:vAlign w:val="center"/>
          </w:tcPr>
          <w:p w14:paraId="4737FD2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1、抗拉强度、硬度较高；可满足脱脂，无油；</w:t>
            </w:r>
          </w:p>
          <w:p w14:paraId="4D1E3C2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2、能承受较强的内外部载荷，稳定性好；</w:t>
            </w:r>
          </w:p>
          <w:p w14:paraId="752E347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3、能有效消除管道氧化现象，形成清洁焊缝，并防止管道内产生氧化颗粒物；</w:t>
            </w:r>
          </w:p>
          <w:p w14:paraId="15F1896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4、连接方便、耐腐蚀、耐高温、加工性能高；</w:t>
            </w:r>
          </w:p>
          <w:p w14:paraId="5E18FDD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5、外形美观，卫生、无毒，易冲洗；</w:t>
            </w:r>
          </w:p>
          <w:p w14:paraId="681A11D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6、规格：DN25、DN20、DN15等；</w:t>
            </w:r>
          </w:p>
          <w:p w14:paraId="1A06B7D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7、漏水率低，使用寿命长；</w:t>
            </w:r>
          </w:p>
          <w:p w14:paraId="1F1ECA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8、可采用多种方式连接。</w:t>
            </w:r>
          </w:p>
        </w:tc>
      </w:tr>
      <w:tr w14:paraId="68368924">
        <w:tblPrEx>
          <w:tblCellMar>
            <w:top w:w="0" w:type="dxa"/>
            <w:left w:w="108" w:type="dxa"/>
            <w:bottom w:w="0" w:type="dxa"/>
            <w:right w:w="108" w:type="dxa"/>
          </w:tblCellMar>
        </w:tblPrEx>
        <w:trPr>
          <w:trHeight w:val="425"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45125DE3">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技术参数--手术室</w:t>
            </w:r>
          </w:p>
        </w:tc>
      </w:tr>
      <w:tr w14:paraId="13A54125">
        <w:tblPrEx>
          <w:tblCellMar>
            <w:top w:w="0" w:type="dxa"/>
            <w:left w:w="108" w:type="dxa"/>
            <w:bottom w:w="0" w:type="dxa"/>
            <w:right w:w="108" w:type="dxa"/>
          </w:tblCellMar>
        </w:tblPrEx>
        <w:trPr>
          <w:trHeight w:val="411"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D75A891">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nil"/>
            </w:tcBorders>
            <w:noWrap w:val="0"/>
            <w:vAlign w:val="center"/>
          </w:tcPr>
          <w:p w14:paraId="2F5C2345">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D92B3DB">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77B49E9C">
        <w:tblPrEx>
          <w:tblCellMar>
            <w:top w:w="0" w:type="dxa"/>
            <w:left w:w="108" w:type="dxa"/>
            <w:bottom w:w="0" w:type="dxa"/>
            <w:right w:w="108" w:type="dxa"/>
          </w:tblCellMar>
        </w:tblPrEx>
        <w:trPr>
          <w:trHeight w:val="4697"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6463DF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0AB566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1.2mm厚电解钢板</w:t>
            </w:r>
          </w:p>
        </w:tc>
        <w:tc>
          <w:tcPr>
            <w:tcW w:w="3847" w:type="pct"/>
            <w:tcBorders>
              <w:top w:val="nil"/>
              <w:left w:val="single" w:color="000000" w:sz="4" w:space="0"/>
              <w:bottom w:val="single" w:color="000000" w:sz="4" w:space="0"/>
              <w:right w:val="single" w:color="000000" w:sz="4" w:space="0"/>
            </w:tcBorders>
            <w:noWrap w:val="0"/>
            <w:vAlign w:val="center"/>
          </w:tcPr>
          <w:p w14:paraId="682F84C1">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1、手术室墙板、顶板采用拼装式预制结构；</w:t>
            </w:r>
          </w:p>
          <w:p w14:paraId="4B90C52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2、正面1.2mm电解钢板喷涂，背面衬≥9.5mm防火石膏板；</w:t>
            </w:r>
          </w:p>
          <w:p w14:paraId="231E82E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3、安全性要求：模块化电解钢板，燃烧性能达到A级；钢板总热值、涂层总热值、整体制品总热值符合GB/T 14402-2007规范要求；炉内温升、持续燃烧时间、质量损失率符合GB/T 5464-2010规范要求；(需提供具有CMA或CNAS资质的第三方检测机构出具的检测报告的复印件）</w:t>
            </w:r>
          </w:p>
          <w:p w14:paraId="489ED1E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4、板材整体甲酫含量小于5mg/kg；</w:t>
            </w:r>
          </w:p>
          <w:p w14:paraId="0C83F6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5、颜色由甲方看色板定；</w:t>
            </w:r>
          </w:p>
          <w:p w14:paraId="3C03698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抗菌性能：手术室墙顶板的抗菌性能满足：铜绿假单胞菌抗菌率≥99%，金黄色葡萄球菌抗菌率≥99%，大肠杆菌抗菌率≥99%，抗菌性能参数符合国家相关标准及规定。(需提供具有CMA或CNAS资质的第三方检测机构出具的检测报告的复印件)</w:t>
            </w:r>
          </w:p>
          <w:p w14:paraId="1FF8813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▲7、整体性：隔墙系统隔音量≥45dB，未检测出甲醛释放量。隔墙系统经过冲击试验后，墙体无裂缝、龙骨无变形，面板无脱落(需提供具有CMA或CNAS资质的第三方检测机构出具的检测报告的复印件)</w:t>
            </w:r>
          </w:p>
        </w:tc>
      </w:tr>
      <w:tr w14:paraId="310A1550">
        <w:tblPrEx>
          <w:tblCellMar>
            <w:top w:w="0" w:type="dxa"/>
            <w:left w:w="108" w:type="dxa"/>
            <w:bottom w:w="0" w:type="dxa"/>
            <w:right w:w="108" w:type="dxa"/>
          </w:tblCellMar>
        </w:tblPrEx>
        <w:trPr>
          <w:trHeight w:val="63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21F6542">
            <w:pPr>
              <w:widowControl/>
              <w:jc w:val="center"/>
              <w:textAlignment w:val="center"/>
              <w:rPr>
                <w:rFonts w:hint="eastAsia" w:ascii="宋体" w:hAnsi="宋体" w:eastAsia="宋体" w:cs="宋体"/>
                <w:color w:val="auto"/>
                <w:sz w:val="23"/>
                <w:szCs w:val="23"/>
                <w:highlight w:val="none"/>
                <w:lang w:eastAsia="zh-CN"/>
              </w:rPr>
            </w:pPr>
            <w:r>
              <w:rPr>
                <w:rFonts w:hint="eastAsia" w:ascii="宋体" w:hAnsi="宋体" w:cs="宋体"/>
                <w:color w:val="auto"/>
                <w:kern w:val="0"/>
                <w:sz w:val="23"/>
                <w:szCs w:val="23"/>
                <w:highlight w:val="none"/>
                <w:lang w:val="en-US" w:eastAsia="zh-CN"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572882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2mm抗静电同质透心PVC卷材</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603A4CC">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1、PVC卷材，碎花同质透心卷材；厚度：≥2.0ｍｍ；</w:t>
            </w:r>
          </w:p>
          <w:p w14:paraId="7D38A0E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2、耐磨级别:不低于T级；</w:t>
            </w:r>
          </w:p>
          <w:p w14:paraId="732A944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3、每平方米总重量:≤2.75Kｇ（+13%/-10%），满足ISO10581:2019要求；</w:t>
            </w:r>
          </w:p>
          <w:p w14:paraId="49E15EF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4、防火等级:不低于BI级(GB8624-2012)；</w:t>
            </w:r>
          </w:p>
          <w:p w14:paraId="3488A5C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5、残余凹陷:≤0.1ｍｍ（GB/T 11982.2）；</w:t>
            </w:r>
          </w:p>
          <w:p w14:paraId="29379FC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6、防滑等级:不低于R9级(DIN51130)；</w:t>
            </w:r>
          </w:p>
          <w:p w14:paraId="5CCFF8C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7、颜色牢固性:≥6级(ISO105-B02)；</w:t>
            </w:r>
          </w:p>
          <w:p w14:paraId="7820341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8、尺寸稳定性:≤0.25%；</w:t>
            </w:r>
          </w:p>
          <w:p w14:paraId="542576F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9、绿色环保产品(TVOC):经过TVOC测试，小于10μg/m3</w:t>
            </w:r>
          </w:p>
          <w:p w14:paraId="7227B25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10、静电负荷:≤2.0KV；</w:t>
            </w:r>
          </w:p>
          <w:p w14:paraId="5B95909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11、抗化学腐蚀性能：优良；</w:t>
            </w:r>
          </w:p>
          <w:p w14:paraId="4742F36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12、具有抗菌防菌性能。</w:t>
            </w:r>
          </w:p>
        </w:tc>
      </w:tr>
      <w:tr w14:paraId="075E9C10">
        <w:tblPrEx>
          <w:tblCellMar>
            <w:top w:w="0" w:type="dxa"/>
            <w:left w:w="108" w:type="dxa"/>
            <w:bottom w:w="0" w:type="dxa"/>
            <w:right w:w="108" w:type="dxa"/>
          </w:tblCellMar>
        </w:tblPrEx>
        <w:trPr>
          <w:trHeight w:val="564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8A7DA63">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895FB3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无机预涂装饰板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34FE498">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符合国家标准规定及环保要求，满足设计要求。</w:t>
            </w:r>
          </w:p>
          <w:p w14:paraId="4AD62C2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1、基板主要物理特性：（100%无石棉）；</w:t>
            </w:r>
          </w:p>
          <w:p w14:paraId="5E4A9A9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2、防火性：不燃A级材料（GB8624-2012）；</w:t>
            </w:r>
          </w:p>
          <w:p w14:paraId="62BC716A">
            <w:pPr>
              <w:widowControl/>
              <w:ind w:firstLine="230" w:firstLineChars="100"/>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厚度：6 mm；</w:t>
            </w:r>
          </w:p>
          <w:p w14:paraId="3A6262C1">
            <w:pPr>
              <w:widowControl/>
              <w:ind w:firstLine="230" w:firstLineChars="100"/>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密度：1.4-1.7g/立方米；</w:t>
            </w:r>
          </w:p>
          <w:p w14:paraId="6E812E93">
            <w:pPr>
              <w:widowControl/>
              <w:ind w:firstLine="230" w:firstLineChars="100"/>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湿涨率：≤0.23%</w:t>
            </w:r>
          </w:p>
          <w:p w14:paraId="0F80BB5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3、表层涂料特性（氟碳环保涂料）；</w:t>
            </w:r>
          </w:p>
          <w:p w14:paraId="4F8E44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4、硬度（铅笔）：3H到6H；</w:t>
            </w:r>
          </w:p>
          <w:p w14:paraId="3B751D0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5、耐磨性L/um：≥5；</w:t>
            </w:r>
          </w:p>
          <w:p w14:paraId="5BDBB6D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6、耐溶剂擦拭性：丁酮＞100次不漏底，符合；</w:t>
            </w:r>
          </w:p>
          <w:p w14:paraId="3251C9C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7、耐酸性：无影响；</w:t>
            </w:r>
          </w:p>
          <w:p w14:paraId="78A362A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8、耐碱性：48H无变化；</w:t>
            </w:r>
          </w:p>
          <w:p w14:paraId="00BBA60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9、耐洗涤剂性：3%40℃，无影响；</w:t>
            </w:r>
          </w:p>
          <w:p w14:paraId="74C5232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10、耐洗刷性：＞1000次；</w:t>
            </w:r>
          </w:p>
          <w:p w14:paraId="0DB525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11、甲醛释放量≤0.124mgl/m³（EI级）</w:t>
            </w:r>
          </w:p>
          <w:p w14:paraId="0BA4ED4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▲12、抗菌性能：对大肠杆菌、金黄色葡萄球菌、白色念珠菌、肺炎克雷伯氏菌、铜绿假单胞菌体，抗菌率≥99%；(需提供具有CMA或CNAS资质的第三方检测机构出具的检测报告的复印件)；</w:t>
            </w:r>
          </w:p>
        </w:tc>
      </w:tr>
      <w:tr w14:paraId="34778C1B">
        <w:tblPrEx>
          <w:tblCellMar>
            <w:top w:w="0" w:type="dxa"/>
            <w:left w:w="108" w:type="dxa"/>
            <w:bottom w:w="0" w:type="dxa"/>
            <w:right w:w="108" w:type="dxa"/>
          </w:tblCellMar>
        </w:tblPrEx>
        <w:trPr>
          <w:trHeight w:val="9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1256326">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56E9174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轻钢龙骨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6C1488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轻钢龙骨质量应符合国家标准GB/T11981《建筑用轻钢龙骨》的规定要求。</w:t>
            </w:r>
          </w:p>
        </w:tc>
      </w:tr>
      <w:tr w14:paraId="666AB1C6">
        <w:tblPrEx>
          <w:tblCellMar>
            <w:top w:w="0" w:type="dxa"/>
            <w:left w:w="108" w:type="dxa"/>
            <w:bottom w:w="0" w:type="dxa"/>
            <w:right w:w="108" w:type="dxa"/>
          </w:tblCellMar>
        </w:tblPrEx>
        <w:trPr>
          <w:trHeight w:val="199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84F3907">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2FAE4A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多功能</w:t>
            </w:r>
            <w:r>
              <w:rPr>
                <w:rFonts w:hint="eastAsia" w:ascii="宋体" w:hAnsi="宋体" w:cs="宋体"/>
                <w:color w:val="auto"/>
                <w:kern w:val="0"/>
                <w:sz w:val="23"/>
                <w:szCs w:val="23"/>
                <w:highlight w:val="none"/>
                <w:lang w:eastAsia="zh-CN" w:bidi="ar"/>
              </w:rPr>
              <w:t>控制</w:t>
            </w:r>
            <w:r>
              <w:rPr>
                <w:rFonts w:hint="eastAsia" w:ascii="宋体" w:hAnsi="宋体" w:eastAsia="宋体" w:cs="宋体"/>
                <w:color w:val="auto"/>
                <w:kern w:val="0"/>
                <w:sz w:val="23"/>
                <w:szCs w:val="23"/>
                <w:highlight w:val="none"/>
                <w:lang w:bidi="ar"/>
              </w:rPr>
              <w:t>面板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9C73D19">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1、功能区域（大于等于</w:t>
            </w:r>
            <w:r>
              <w:rPr>
                <w:rFonts w:hint="eastAsia" w:ascii="宋体" w:hAnsi="宋体" w:eastAsia="宋体" w:cs="宋体"/>
                <w:color w:val="auto"/>
                <w:kern w:val="0"/>
                <w:sz w:val="23"/>
                <w:szCs w:val="23"/>
                <w:highlight w:val="none"/>
                <w:lang w:val="en-US" w:eastAsia="zh-CN" w:bidi="ar"/>
              </w:rPr>
              <w:t>43</w:t>
            </w:r>
            <w:r>
              <w:rPr>
                <w:rFonts w:hint="eastAsia" w:ascii="宋体" w:hAnsi="宋体" w:eastAsia="宋体" w:cs="宋体"/>
                <w:color w:val="auto"/>
                <w:kern w:val="0"/>
                <w:sz w:val="23"/>
                <w:szCs w:val="23"/>
                <w:highlight w:val="none"/>
                <w:lang w:bidi="ar"/>
              </w:rPr>
              <w:t>寸液晶显示屏）：</w:t>
            </w:r>
          </w:p>
          <w:p w14:paraId="0755DC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1）手术计时：进行手术时间的计时；</w:t>
            </w:r>
          </w:p>
          <w:p w14:paraId="061DC11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2）麻醉计时：对麻醉时间进行倒计时；</w:t>
            </w:r>
          </w:p>
          <w:p w14:paraId="1A0EBA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3）照明及背景音乐：对无影灯、背景音乐等进行控制；</w:t>
            </w:r>
          </w:p>
          <w:p w14:paraId="47EB189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4）时间日期：显示北京时间及日期；</w:t>
            </w:r>
          </w:p>
          <w:p w14:paraId="699E0E7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5）空调系统：对中央空调的温湿度等做出远程控制，对值班运行做出选择，对高效堵塞、消防等做出报警；</w:t>
            </w:r>
          </w:p>
          <w:p w14:paraId="14F5A43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6）医用气体：对医用气体做出压力显示及报警；</w:t>
            </w:r>
          </w:p>
          <w:p w14:paraId="2105A1E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7）室内环境数据实时显示：实时显示手术室内温湿度、压差、PM2.5等环境数据。</w:t>
            </w:r>
          </w:p>
          <w:p w14:paraId="7947DF7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2、其它要求：</w:t>
            </w:r>
          </w:p>
          <w:p w14:paraId="0734928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1）硬件高度集中，由软件来实现各个功能模块的性能，因而扩展性能好，可以方便地根据客户要求进行部分功能更改与扩展；</w:t>
            </w:r>
          </w:p>
          <w:p w14:paraId="68B3FDC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2）工业级别的电脑硬件产品，反应速度快，运行稳定可靠；</w:t>
            </w:r>
          </w:p>
          <w:p w14:paraId="466AB98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3）结构美观，且满足净化手术室的洁净度要求；</w:t>
            </w:r>
          </w:p>
          <w:p w14:paraId="764B73D7">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4）界面友好，操作简便，且可以随时调用帮助文件来指导操作；</w:t>
            </w:r>
          </w:p>
          <w:p w14:paraId="5585BED3">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5）外置电话：配置手术室专用外置电话。</w:t>
            </w:r>
          </w:p>
          <w:p w14:paraId="40734434">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6）一键抢救报警功能（含屏显）：紧急情况下触发，护士站及手术部公共区域声光报警并显示对应手术室编号；</w:t>
            </w:r>
          </w:p>
          <w:p w14:paraId="6DDEFE26">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7）控制权限与数据同步要求：</w:t>
            </w:r>
          </w:p>
          <w:p w14:paraId="642D760F">
            <w:pPr>
              <w:pStyle w:val="11"/>
              <w:ind w:left="0" w:leftChars="0" w:firstLine="0" w:firstLineChars="0"/>
              <w:rPr>
                <w:rFonts w:hint="eastAsia" w:ascii="宋体" w:hAnsi="宋体" w:eastAsia="宋体" w:cs="宋体"/>
                <w:color w:val="auto"/>
                <w:kern w:val="0"/>
                <w:sz w:val="23"/>
                <w:szCs w:val="23"/>
                <w:highlight w:val="none"/>
                <w:lang w:val="en-US" w:eastAsia="zh-CN" w:bidi="ar"/>
              </w:rPr>
            </w:pPr>
            <w:r>
              <w:rPr>
                <w:rFonts w:hint="eastAsia" w:ascii="宋体" w:hAnsi="宋体" w:eastAsia="宋体" w:cs="宋体"/>
                <w:color w:val="auto"/>
                <w:kern w:val="0"/>
                <w:sz w:val="23"/>
                <w:szCs w:val="23"/>
                <w:highlight w:val="none"/>
                <w:lang w:val="en-US" w:eastAsia="zh-CN" w:bidi="ar"/>
              </w:rPr>
              <w:t>1、本面板就地控制指令（含空调启停、温湿度设定、运行模式切换等）优先于护士站远程控制指令，确保手术室内操作权限的绝对优先；</w:t>
            </w:r>
          </w:p>
          <w:p w14:paraId="50B46252">
            <w:pPr>
              <w:pStyle w:val="11"/>
              <w:ind w:left="0" w:leftChars="0" w:firstLine="0" w:firstLineChars="0"/>
              <w:rPr>
                <w:rFonts w:hint="eastAsia" w:ascii="宋体" w:hAnsi="宋体" w:eastAsia="宋体" w:cs="宋体"/>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2、本面板所显示的温度、湿度、压差、运行状态等数据，须与护士站中央监控终端及机房本地控制器显示的数据保持一致，数据刷新时间≤3秒。</w:t>
            </w:r>
          </w:p>
        </w:tc>
      </w:tr>
      <w:tr w14:paraId="2A2236D1">
        <w:tblPrEx>
          <w:tblCellMar>
            <w:top w:w="0" w:type="dxa"/>
            <w:left w:w="108" w:type="dxa"/>
            <w:bottom w:w="0" w:type="dxa"/>
            <w:right w:w="108" w:type="dxa"/>
          </w:tblCellMar>
        </w:tblPrEx>
        <w:trPr>
          <w:trHeight w:val="115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1FCA7475">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6</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1A77B5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电动气密门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0ED0C662">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一、整套门机需包含电机、门体、主控箱、轨道、皮带、五金吊件及门体密封系统等成套品。</w:t>
            </w:r>
          </w:p>
          <w:p w14:paraId="0730F85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1、门体可按防辐射等级配置4mm铅防护量，满足防辐射要求。</w:t>
            </w:r>
          </w:p>
          <w:p w14:paraId="675D2AE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2、门机需具有下沉动作，以确保门体的气密性</w:t>
            </w:r>
          </w:p>
          <w:p w14:paraId="2907A52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3、门机核心部件参数及产地要求：</w:t>
            </w:r>
          </w:p>
          <w:p w14:paraId="5C01AE3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1）电机需为自直流永磁电机（核心部件产地要标识钢印）。</w:t>
            </w:r>
          </w:p>
          <w:p w14:paraId="1969FE3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2）皮带需为洁净区域专用皮带。</w:t>
            </w:r>
          </w:p>
          <w:p w14:paraId="6076477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二、专业技术参数</w:t>
            </w:r>
          </w:p>
          <w:p w14:paraId="464106D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1)200万次</w:t>
            </w:r>
            <w:r>
              <w:rPr>
                <w:rFonts w:hint="eastAsia" w:ascii="宋体" w:hAnsi="宋体" w:eastAsia="宋体" w:cs="宋体"/>
                <w:color w:val="auto"/>
                <w:kern w:val="0"/>
                <w:sz w:val="23"/>
                <w:szCs w:val="23"/>
                <w:highlight w:val="none"/>
                <w:lang w:val="en-US" w:eastAsia="zh-CN" w:bidi="ar"/>
              </w:rPr>
              <w:t>及以上</w:t>
            </w:r>
            <w:r>
              <w:rPr>
                <w:rFonts w:hint="eastAsia" w:ascii="宋体" w:hAnsi="宋体" w:eastAsia="宋体" w:cs="宋体"/>
                <w:color w:val="auto"/>
                <w:kern w:val="0"/>
                <w:sz w:val="23"/>
                <w:szCs w:val="23"/>
                <w:highlight w:val="none"/>
                <w:lang w:bidi="ar"/>
              </w:rPr>
              <w:t>使用寿命；</w:t>
            </w:r>
          </w:p>
          <w:p w14:paraId="6E0548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2)自动门的年工作时间：365天；24小时/天；</w:t>
            </w:r>
          </w:p>
          <w:p w14:paraId="6DAD6DC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3)驱动装置采用大扭矩直流马达、单控制单元系统(方便日常的正常使用以及设备检修和维护)；</w:t>
            </w:r>
          </w:p>
          <w:p w14:paraId="27E4FE5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4)投标人应根据门的重量选择合适的电机承重，并考虑适当的安全系数；有遇阻反弹功能。</w:t>
            </w:r>
          </w:p>
          <w:p w14:paraId="437070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5)高端防夹传感器监测范围高3.5m，宽2.5m，无死角防护，感应角度-7°至4°可调；</w:t>
            </w:r>
          </w:p>
          <w:p w14:paraId="56B7DC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6)电源 AC 100-220V±10％ ；</w:t>
            </w:r>
          </w:p>
          <w:p w14:paraId="47AEE1C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7)环境温度：-15°C～50°C.</w:t>
            </w:r>
          </w:p>
          <w:p w14:paraId="5B17775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8)环境湿度：85%</w:t>
            </w:r>
          </w:p>
          <w:p w14:paraId="4C30793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9)具有适应性能和遇阻反转功能；门页打开和关闭速度和时间均可调</w:t>
            </w:r>
          </w:p>
          <w:p w14:paraId="4CD85F6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10)自动门设有延时自动关闭功能，设有力矩超限停止保护装置，防止人员夹伤事故发生。</w:t>
            </w:r>
          </w:p>
          <w:p w14:paraId="357FD02A">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11）具有联动功能，门开启关闭后可联动信息灯、指示牌响应亮起关闭。</w:t>
            </w:r>
          </w:p>
          <w:p w14:paraId="6D6BCB0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▲12)静电放电抗扰度、浪涌(冲击)抗扰度、辐射抗扰度、射频场感应的传导骚扰抗扰度等检测结果符合 YY 9706.102-2021 电磁兼容要求和试验(需提供具有CMA或CNAS资质的第三方检测机构出具的检测报告的复印件)</w:t>
            </w:r>
          </w:p>
          <w:p w14:paraId="0BFE2F2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三、自动门的速度和承重</w:t>
            </w:r>
          </w:p>
          <w:p w14:paraId="4D932837">
            <w:pPr>
              <w:widowControl/>
              <w:textAlignment w:val="center"/>
              <w:rPr>
                <w:rFonts w:hint="eastAsia" w:ascii="宋体" w:hAnsi="宋体" w:eastAsia="宋体" w:cs="宋体"/>
                <w:strike/>
                <w:color w:val="auto"/>
                <w:sz w:val="23"/>
                <w:szCs w:val="23"/>
                <w:highlight w:val="none"/>
              </w:rPr>
            </w:pPr>
            <w:r>
              <w:rPr>
                <w:rFonts w:hint="eastAsia" w:ascii="宋体" w:hAnsi="宋体" w:eastAsia="宋体" w:cs="宋体"/>
                <w:color w:val="auto"/>
                <w:kern w:val="0"/>
                <w:sz w:val="23"/>
                <w:szCs w:val="23"/>
                <w:highlight w:val="none"/>
                <w:lang w:bidi="ar"/>
              </w:rPr>
              <w:t>1)自动门每扇最大承重不小于200kg；</w:t>
            </w:r>
          </w:p>
          <w:p w14:paraId="5E442A2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2)开门最大速度：V≥0.7米/扇/s，关门可调速度最大≥0.4米/扇/s，可分别调整；</w:t>
            </w:r>
          </w:p>
          <w:p w14:paraId="7EFA211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3)保持开启时间：0-60秒可调；</w:t>
            </w:r>
          </w:p>
          <w:p w14:paraId="7D153CA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4)系统运行噪声：小于40db(A)。</w:t>
            </w:r>
          </w:p>
        </w:tc>
      </w:tr>
      <w:tr w14:paraId="10BCB83D">
        <w:tblPrEx>
          <w:tblCellMar>
            <w:top w:w="0" w:type="dxa"/>
            <w:left w:w="108" w:type="dxa"/>
            <w:bottom w:w="0" w:type="dxa"/>
            <w:right w:w="108" w:type="dxa"/>
          </w:tblCellMar>
        </w:tblPrEx>
        <w:trPr>
          <w:trHeight w:val="415"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3DD0F42">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7</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5BC3755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保温柜</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F0555E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1、高温恒温培养箱，尺寸容积参考图纸要求。</w:t>
            </w:r>
          </w:p>
          <w:p w14:paraId="19A0D4D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2、外部材料为彩色涂层钢板，内部材料为304不锈钢；</w:t>
            </w:r>
          </w:p>
          <w:p w14:paraId="0BA3625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3、采用自然对流循环系统，电加热升温，采用热敏电阻温度传感器，微电脑PID温控，温控范围:＋5℃～＋80℃±1℃（环境温度20℃）；</w:t>
            </w:r>
          </w:p>
          <w:p w14:paraId="15EF361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4、温度均匀度：-2.0℃~+2.0℃之间，温度波动度：-1.0℃~+1.0℃之间(需提供具有CMA或CNAS资质的第三方检测机构出具的检测报告的复印件)</w:t>
            </w:r>
          </w:p>
          <w:p w14:paraId="673AA2D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5、带键锁数字设定，数字显示；</w:t>
            </w:r>
          </w:p>
          <w:p w14:paraId="2144F8A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6、自动设置温度报警，温度偏离设定值±2.5℃，视/听双重报警，报警时可远程提醒，并具备开放联网接口；</w:t>
            </w:r>
          </w:p>
          <w:p w14:paraId="2D7DC5D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7、视/听双重报警过热保护；</w:t>
            </w:r>
          </w:p>
          <w:p w14:paraId="5A08A6F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w:t>
            </w:r>
            <w:r>
              <w:rPr>
                <w:rStyle w:val="82"/>
                <w:rFonts w:hint="eastAsia" w:ascii="宋体" w:hAnsi="宋体" w:eastAsia="宋体" w:cs="宋体"/>
                <w:color w:val="auto"/>
                <w:sz w:val="23"/>
                <w:szCs w:val="23"/>
                <w:highlight w:val="none"/>
                <w:lang w:bidi="ar"/>
              </w:rPr>
              <w:t>参考</w:t>
            </w:r>
            <w:r>
              <w:rPr>
                <w:rFonts w:hint="eastAsia" w:ascii="宋体" w:hAnsi="宋体" w:eastAsia="宋体" w:cs="宋体"/>
                <w:color w:val="auto"/>
                <w:kern w:val="0"/>
                <w:sz w:val="23"/>
                <w:szCs w:val="23"/>
                <w:highlight w:val="none"/>
                <w:lang w:bidi="ar"/>
              </w:rPr>
              <w:t>耗电量(220V，50Hz)：220W。</w:t>
            </w:r>
          </w:p>
        </w:tc>
      </w:tr>
      <w:tr w14:paraId="1AFF7094">
        <w:tblPrEx>
          <w:tblCellMar>
            <w:top w:w="0" w:type="dxa"/>
            <w:left w:w="108" w:type="dxa"/>
            <w:bottom w:w="0" w:type="dxa"/>
            <w:right w:w="108" w:type="dxa"/>
          </w:tblCellMar>
        </w:tblPrEx>
        <w:trPr>
          <w:trHeight w:val="444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E5EEC1A">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8</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F5A842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保冷柜</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5CFAAE3">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1、血液保存箱，尺寸容积参考图纸要求。</w:t>
            </w:r>
          </w:p>
          <w:p w14:paraId="7F8EC40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2、外部材料为彩色涂层钢板，内部材料为304不锈钢，三层吸热玻璃门、带门自关闭装置；</w:t>
            </w:r>
          </w:p>
          <w:p w14:paraId="3F59ACC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3、全封闭型压缩机，制冷剂:HFC，微电脑温控，制冷性能:4℃±1℃（室温35℃）；</w:t>
            </w:r>
          </w:p>
          <w:p w14:paraId="3A2784A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4、强制空气循环制冷方式；自动除霜方式；</w:t>
            </w:r>
          </w:p>
          <w:p w14:paraId="2A7D25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▲5、温度均匀度：-2.0℃~+2.0℃之间(需提供具有CMA或CNAS资质的第三方检测机构出具的检测报告的复印件)</w:t>
            </w:r>
          </w:p>
          <w:p w14:paraId="153E7FA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6、温度报警:视听双重警报（高温6℃，低温2℃），报警时可远程提醒，并具备开放联网接口；</w:t>
            </w:r>
          </w:p>
          <w:p w14:paraId="55A73C1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7、断电报警:视听双重警报（9小时），高效可充电式电池（Ni-Cd）；</w:t>
            </w:r>
          </w:p>
          <w:p w14:paraId="7A152D9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8、配门未关指示灯报警；</w:t>
            </w:r>
          </w:p>
          <w:p w14:paraId="667B97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9、配6W荧光灯；</w:t>
            </w:r>
          </w:p>
          <w:p w14:paraId="5E36037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10、参考耗电量116W(220V，50Hz)。</w:t>
            </w:r>
          </w:p>
        </w:tc>
      </w:tr>
      <w:tr w14:paraId="4890D600">
        <w:tblPrEx>
          <w:tblCellMar>
            <w:top w:w="0" w:type="dxa"/>
            <w:left w:w="108" w:type="dxa"/>
            <w:bottom w:w="0" w:type="dxa"/>
            <w:right w:w="108" w:type="dxa"/>
          </w:tblCellMar>
        </w:tblPrEx>
        <w:trPr>
          <w:trHeight w:val="388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5779C2B8">
            <w:pPr>
              <w:widowControl/>
              <w:jc w:val="center"/>
              <w:textAlignment w:val="center"/>
              <w:rPr>
                <w:rFonts w:hint="eastAsia" w:ascii="宋体" w:hAnsi="宋体" w:eastAsia="宋体" w:cs="宋体"/>
                <w:color w:val="auto"/>
                <w:sz w:val="23"/>
                <w:szCs w:val="23"/>
                <w:highlight w:val="none"/>
                <w:lang w:val="en-US" w:eastAsia="zh-CN"/>
              </w:rPr>
            </w:pPr>
            <w:r>
              <w:rPr>
                <w:rFonts w:hint="eastAsia" w:ascii="宋体" w:hAnsi="宋体" w:cs="宋体"/>
                <w:color w:val="auto"/>
                <w:sz w:val="23"/>
                <w:szCs w:val="23"/>
                <w:highlight w:val="none"/>
                <w:lang w:val="en-US" w:eastAsia="zh-CN"/>
              </w:rPr>
              <w:t>9</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B93BDD3">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手术室门口</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val="en-US" w:eastAsia="zh-CN" w:bidi="ar"/>
              </w:rPr>
              <w:t>办公区</w:t>
            </w:r>
            <w:r>
              <w:rPr>
                <w:rFonts w:hint="eastAsia" w:ascii="宋体" w:hAnsi="宋体" w:eastAsia="宋体" w:cs="宋体"/>
                <w:color w:val="auto"/>
                <w:kern w:val="0"/>
                <w:sz w:val="23"/>
                <w:szCs w:val="23"/>
                <w:highlight w:val="none"/>
                <w:lang w:eastAsia="zh-CN" w:bidi="ar"/>
              </w:rPr>
              <w:t>）</w:t>
            </w:r>
            <w:r>
              <w:rPr>
                <w:rFonts w:hint="eastAsia" w:ascii="宋体" w:hAnsi="宋体" w:eastAsia="宋体" w:cs="宋体"/>
                <w:color w:val="auto"/>
                <w:kern w:val="0"/>
                <w:sz w:val="23"/>
                <w:szCs w:val="23"/>
                <w:highlight w:val="none"/>
                <w:lang w:bidi="ar"/>
              </w:rPr>
              <w:t>信息屏</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E641E3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1.显示屏配置：</w:t>
            </w:r>
            <w:r>
              <w:rPr>
                <w:rFonts w:hint="eastAsia" w:ascii="宋体" w:hAnsi="宋体" w:eastAsia="宋体" w:cs="宋体"/>
                <w:color w:val="auto"/>
                <w:kern w:val="0"/>
                <w:sz w:val="23"/>
                <w:szCs w:val="23"/>
                <w:highlight w:val="none"/>
                <w:lang w:val="en-US" w:eastAsia="zh-CN" w:bidi="ar"/>
              </w:rPr>
              <w:t>55寸及以上，</w:t>
            </w:r>
            <w:r>
              <w:rPr>
                <w:rFonts w:hint="eastAsia" w:ascii="宋体" w:hAnsi="宋体" w:eastAsia="宋体" w:cs="宋体"/>
                <w:color w:val="auto"/>
                <w:kern w:val="0"/>
                <w:sz w:val="23"/>
                <w:szCs w:val="23"/>
                <w:highlight w:val="none"/>
                <w:lang w:bidi="ar"/>
              </w:rPr>
              <w:t>IPS 液晶屏，1920×1080 分辨率，亮度≥350cd/㎡，自带光敏自动调光，对比度≥1000:1，全视角 178°；正面抗菌防眩光钢化玻璃，耐医用消毒剂擦洗，防尘防潮。</w:t>
            </w:r>
          </w:p>
          <w:p w14:paraId="56A165C3">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2.硬件配置：四核主控，2GB 运行内存 + 16GB 存储；配置千兆网口、双频 WiFi、USB 接口，AC220V 供电，支持定时开关机、上电自动开机，壁挂 / 嵌入式安装。</w:t>
            </w:r>
          </w:p>
          <w:p w14:paraId="268E5A3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软件功能：实时显示手术室编号、手术状态、患者信息、主刀医生、助手、麻醉及护理人员、手术名称、手术计时；表格化展示当日手术排班（时段、科室、患者、术式、主刀医师），空闲时段标注空置，支持页面自动轮播、次日排班预览；支持对接医院 HIS / 手术排班系统、后台远程下发数据或 U 盘导入排班表，可存储操作日志，远程发布公告。</w:t>
            </w:r>
          </w:p>
          <w:p w14:paraId="1ABA56A3">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4.使用环境：工作温度 0℃～45℃，满足医院手术室走廊使用要求。</w:t>
            </w:r>
          </w:p>
        </w:tc>
      </w:tr>
      <w:tr w14:paraId="30D4909C">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78C33764">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净化空调系统主要设备材料技术、质量要求</w:t>
            </w:r>
          </w:p>
        </w:tc>
      </w:tr>
      <w:tr w14:paraId="50DB1F5F">
        <w:tblPrEx>
          <w:tblCellMar>
            <w:top w:w="0" w:type="dxa"/>
            <w:left w:w="108" w:type="dxa"/>
            <w:bottom w:w="0" w:type="dxa"/>
            <w:right w:w="108" w:type="dxa"/>
          </w:tblCellMar>
        </w:tblPrEx>
        <w:trPr>
          <w:trHeight w:val="270" w:hRule="atLeast"/>
        </w:trPr>
        <w:tc>
          <w:tcPr>
            <w:tcW w:w="503" w:type="pct"/>
            <w:tcBorders>
              <w:top w:val="single" w:color="000000" w:sz="4" w:space="0"/>
              <w:left w:val="single" w:color="000000" w:sz="4" w:space="0"/>
              <w:bottom w:val="single" w:color="auto" w:sz="4" w:space="0"/>
              <w:right w:val="single" w:color="000000" w:sz="4" w:space="0"/>
            </w:tcBorders>
            <w:noWrap w:val="0"/>
            <w:vAlign w:val="center"/>
          </w:tcPr>
          <w:p w14:paraId="0FD6A8C2">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auto" w:sz="4" w:space="0"/>
              <w:right w:val="single" w:color="000000" w:sz="4" w:space="0"/>
            </w:tcBorders>
            <w:noWrap w:val="0"/>
            <w:vAlign w:val="center"/>
          </w:tcPr>
          <w:p w14:paraId="5101F71F">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968FF89">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4BCDF37D">
        <w:tblPrEx>
          <w:tblCellMar>
            <w:top w:w="0" w:type="dxa"/>
            <w:left w:w="108" w:type="dxa"/>
            <w:bottom w:w="0" w:type="dxa"/>
            <w:right w:w="108" w:type="dxa"/>
          </w:tblCellMar>
        </w:tblPrEx>
        <w:trPr>
          <w:trHeight w:val="11462" w:hRule="atLeast"/>
        </w:trPr>
        <w:tc>
          <w:tcPr>
            <w:tcW w:w="503" w:type="pct"/>
            <w:tcBorders>
              <w:top w:val="single" w:color="auto" w:sz="4" w:space="0"/>
              <w:left w:val="single" w:color="auto" w:sz="4" w:space="0"/>
              <w:bottom w:val="single" w:color="auto" w:sz="4" w:space="0"/>
              <w:right w:val="single" w:color="000000" w:sz="4" w:space="0"/>
            </w:tcBorders>
            <w:noWrap w:val="0"/>
            <w:vAlign w:val="center"/>
          </w:tcPr>
          <w:p w14:paraId="5CB967C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auto" w:sz="4" w:space="0"/>
              <w:left w:val="single" w:color="000000" w:sz="4" w:space="0"/>
              <w:bottom w:val="single" w:color="auto" w:sz="4" w:space="0"/>
              <w:right w:val="single" w:color="auto" w:sz="4" w:space="0"/>
            </w:tcBorders>
            <w:noWrap w:val="0"/>
            <w:vAlign w:val="center"/>
          </w:tcPr>
          <w:p w14:paraId="03816E6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洁净循环空气处理机组</w:t>
            </w:r>
          </w:p>
        </w:tc>
        <w:tc>
          <w:tcPr>
            <w:tcW w:w="3847" w:type="pct"/>
            <w:tcBorders>
              <w:top w:val="single" w:color="000000" w:sz="4" w:space="0"/>
              <w:left w:val="single" w:color="auto" w:sz="4" w:space="0"/>
              <w:bottom w:val="single" w:color="000000" w:sz="4" w:space="0"/>
              <w:right w:val="single" w:color="000000" w:sz="4" w:space="0"/>
            </w:tcBorders>
            <w:noWrap w:val="0"/>
            <w:vAlign w:val="center"/>
          </w:tcPr>
          <w:p w14:paraId="2C32B2E7">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1、箱体采用铝合金框架结构，高强度、防锈、耐酸碱，使用寿命长。箱体内、外部表面应该光滑平整，易于模块化组装，不易积灰。</w:t>
            </w:r>
          </w:p>
          <w:p w14:paraId="56EF3CF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▲2、依据GB/T 14294-2008进行检测，箱体变形率在机组风量≥30000m3/h，机组内保持静压1000Pa条件下，箱体变形率不应超过 4mm/m；用于净化空调系统的机组，机组内静压应保持1000Pa，机组漏风率≤1%；(需提供具有CMA或CNAS资质的第三方检测机构出具的检测报告的复印件)</w:t>
            </w:r>
          </w:p>
          <w:p w14:paraId="4CBDD73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▲3、依据GB/T 19569-2004进行检测，机组达到凝露工况后，连续运行12小时空调机组外表面无凝露滴下；机组漏风率不大于1%。(需提供具有CMA或CNAS资质的第三方检测机构出具的检测报告的复印件)</w:t>
            </w:r>
          </w:p>
          <w:p w14:paraId="77E0A06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sz w:val="23"/>
                <w:szCs w:val="23"/>
                <w:highlight w:val="none"/>
              </w:rPr>
              <w:t>▲</w:t>
            </w:r>
            <w:r>
              <w:rPr>
                <w:rFonts w:hint="eastAsia" w:ascii="宋体" w:hAnsi="宋体" w:eastAsia="宋体" w:cs="宋体"/>
                <w:color w:val="auto"/>
                <w:kern w:val="0"/>
                <w:sz w:val="23"/>
                <w:szCs w:val="23"/>
                <w:highlight w:val="none"/>
                <w:lang w:bidi="ar"/>
              </w:rPr>
              <w:t>4、净化空调机组采用专用卫生型净化空调机组,净化机组箱板微生物测试：需氧菌总数、大肠菌群、金黄色葡萄球菌、霉菌和酵母菌≤10CFU/g，沙门氏菌呈阴性未检出。根据GB21551.2-2010标准检测大肠杆菌、金黄色葡萄球菌抗菌率达到99.99%。(需提供具有CMA或CNAS资质的第三方检测机构出具的检测报告的复印件)</w:t>
            </w:r>
          </w:p>
          <w:p w14:paraId="429F65B5">
            <w:pPr>
              <w:widowControl/>
              <w:numPr>
                <w:ilvl w:val="0"/>
                <w:numId w:val="10"/>
              </w:numPr>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依据GB/T 19569-2004进行检测，风机转速≤800r/min时，机组的振动速度不大于3mm/s；风机转速＞800r/min时，机组振动速度不大于4mm/s。</w:t>
            </w:r>
          </w:p>
          <w:p w14:paraId="352AB83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6、机组长度大于3米时应设置2个或以上的功能段，各功能段之间采用不锈钢或铝合金材质阴阳连接件进行连接，并采取特别设计避免此处生锈，积灰。</w:t>
            </w:r>
          </w:p>
          <w:p w14:paraId="59192F0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应在箱体的适当位置设置服务门，并保证严密。机组的主要功能段，如风机段，过滤段，冷、热盘管段均应设检修门或可以侧抽。正压段的门需配置安全门钩。为方便检修，服务门的高度为：当箱体内部净高度为1.5m及以上时，门的高度为1.5m；当箱体内部净高度为1.5m以下时，门的高度与箱体净高度等高。</w:t>
            </w:r>
          </w:p>
          <w:p w14:paraId="52B3457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8、水盘采用下沉式结构，保证水盘在箱体的最低位置，同时需保证出水口在水盘的最低位置。水盘设计应使积水能够顺畅排出，不驻留，不易滋生细菌，材料至少为304不锈钢</w:t>
            </w:r>
          </w:p>
          <w:p w14:paraId="07CC527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9、电机：</w:t>
            </w:r>
          </w:p>
          <w:p w14:paraId="65DC469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电机能效至少为IE3等级，同时应符合我国有关电机技术及安全标准要求，绝缘等级不低于F级，防护等级不低于IP55，电机需配置PTC过热保护装置，电机应方便安装、调整。</w:t>
            </w:r>
          </w:p>
          <w:p w14:paraId="64B73C9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10、换热盘管：</w:t>
            </w:r>
          </w:p>
          <w:p w14:paraId="0B5180E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优质紫铜管套铝翅片，冷盘管边框采用镀锌钢板或不锈钢材料制作；热盘管边框采用镀锌钢或不锈钢材料制作。翅片采用亲水铝箔。</w:t>
            </w:r>
          </w:p>
        </w:tc>
      </w:tr>
      <w:tr w14:paraId="3DC10DC5">
        <w:tblPrEx>
          <w:tblCellMar>
            <w:top w:w="0" w:type="dxa"/>
            <w:left w:w="108" w:type="dxa"/>
            <w:bottom w:w="0" w:type="dxa"/>
            <w:right w:w="108" w:type="dxa"/>
          </w:tblCellMar>
        </w:tblPrEx>
        <w:trPr>
          <w:trHeight w:val="1090" w:hRule="atLeast"/>
        </w:trPr>
        <w:tc>
          <w:tcPr>
            <w:tcW w:w="503" w:type="pct"/>
            <w:tcBorders>
              <w:top w:val="single" w:color="auto" w:sz="4" w:space="0"/>
              <w:left w:val="single" w:color="000000" w:sz="4" w:space="0"/>
              <w:bottom w:val="single" w:color="000000" w:sz="4" w:space="0"/>
              <w:right w:val="single" w:color="000000" w:sz="4" w:space="0"/>
            </w:tcBorders>
            <w:noWrap w:val="0"/>
            <w:vAlign w:val="center"/>
          </w:tcPr>
          <w:p w14:paraId="63A1C2C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auto" w:sz="4" w:space="0"/>
              <w:left w:val="single" w:color="000000" w:sz="4" w:space="0"/>
              <w:bottom w:val="single" w:color="000000" w:sz="4" w:space="0"/>
              <w:right w:val="single" w:color="000000" w:sz="4" w:space="0"/>
            </w:tcBorders>
            <w:noWrap w:val="0"/>
            <w:vAlign w:val="center"/>
          </w:tcPr>
          <w:p w14:paraId="1F24922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洁净新风空气处理机组</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20FC49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新风引入口，初效段（G4），新风风机段，均流段，空气消毒段（医用 UV-C 动态消毒），中效段（F8），表冷段，氟深度除湿段，加热段，亚高效过滤段（H11），送风段等组成</w:t>
            </w:r>
          </w:p>
        </w:tc>
      </w:tr>
      <w:tr w14:paraId="4057D183">
        <w:tblPrEx>
          <w:tblCellMar>
            <w:top w:w="0" w:type="dxa"/>
            <w:left w:w="108" w:type="dxa"/>
            <w:bottom w:w="0" w:type="dxa"/>
            <w:right w:w="108" w:type="dxa"/>
          </w:tblCellMar>
        </w:tblPrEx>
        <w:trPr>
          <w:trHeight w:val="2368"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26F2CE5">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204FE1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变频器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4CFB7B1">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1、配置“G4初效+F8中效+H11亚高效”三重过滤器。</w:t>
            </w:r>
          </w:p>
          <w:p w14:paraId="6D12C28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2、充分考虑冬季冷热水盘管防冻及保护措施</w:t>
            </w:r>
          </w:p>
          <w:p w14:paraId="2DBB58A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3、其余要求同洁净循环处理机组。</w:t>
            </w:r>
          </w:p>
          <w:p w14:paraId="268FCDE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4、采用风机电机专用变频器系列；</w:t>
            </w:r>
          </w:p>
          <w:p w14:paraId="4BF468F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5、自带PID控制回路；</w:t>
            </w:r>
          </w:p>
          <w:p w14:paraId="0B86B5A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6、能接受控制器输出的模拟量控制信号调节输出频率；</w:t>
            </w:r>
          </w:p>
          <w:p w14:paraId="0EFD798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7、提供自动过载保护功能。</w:t>
            </w:r>
          </w:p>
        </w:tc>
      </w:tr>
      <w:tr w14:paraId="30A36E7F">
        <w:tblPrEx>
          <w:tblCellMar>
            <w:top w:w="0" w:type="dxa"/>
            <w:left w:w="108" w:type="dxa"/>
            <w:bottom w:w="0" w:type="dxa"/>
            <w:right w:w="108" w:type="dxa"/>
          </w:tblCellMar>
        </w:tblPrEx>
        <w:trPr>
          <w:trHeight w:val="249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8B9BB3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CF343C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风机盘管</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2012A65">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1、结构坚固：风机盘管采用镀锌板机壳，冷凝水盘采用模压工艺一体成型；</w:t>
            </w:r>
          </w:p>
          <w:p w14:paraId="378CF04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2、超低噪声：机组采用多翼式离心风轮，并与低噪声永久电容电机达到最佳匹配；</w:t>
            </w:r>
          </w:p>
          <w:p w14:paraId="10C3F64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3、超高效率：热交换器采用优质φ9.52mm铜管和高效亲水覆膜铝翅片，再配以大风量低噪声风机来强化传热；</w:t>
            </w:r>
          </w:p>
          <w:p w14:paraId="2D23FDC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4、可靠保温：采用整体PE隔热保温，确保在标准工况下机组外表面不会结露；</w:t>
            </w:r>
          </w:p>
        </w:tc>
      </w:tr>
      <w:tr w14:paraId="48729174">
        <w:tblPrEx>
          <w:tblCellMar>
            <w:top w:w="0" w:type="dxa"/>
            <w:left w:w="108" w:type="dxa"/>
            <w:bottom w:w="0" w:type="dxa"/>
            <w:right w:w="108" w:type="dxa"/>
          </w:tblCellMar>
        </w:tblPrEx>
        <w:trPr>
          <w:trHeight w:val="459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753405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2EB363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过滤器(中、高效)</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6AF508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中效过滤器：</w:t>
            </w:r>
          </w:p>
          <w:p w14:paraId="1AFCA23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1、机组内使用的采用袋式中效过滤器，合成纤维材料；</w:t>
            </w:r>
          </w:p>
          <w:p w14:paraId="24402B1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2、风口使用的采用板式中效，合成纤维材料；</w:t>
            </w:r>
          </w:p>
          <w:p w14:paraId="1A52C6A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3、连续运行温度≤70℃；</w:t>
            </w:r>
          </w:p>
          <w:p w14:paraId="20ECF58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4、耐湿性能：≤95% RH；</w:t>
            </w:r>
          </w:p>
          <w:p w14:paraId="6078AA7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5、初阻力：小于150Pa，终阻力按照实际运行调试后设定，应不大于300Pa。</w:t>
            </w:r>
          </w:p>
          <w:p w14:paraId="038DBFA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高效过滤器：</w:t>
            </w:r>
          </w:p>
          <w:p w14:paraId="2687276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1、采用无隔板式结构、玻璃纤维滤纸；</w:t>
            </w:r>
          </w:p>
          <w:p w14:paraId="32929E7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2、采用一体注塑无接缝聚氨酯密封垫、聚氨酯密封胶；</w:t>
            </w:r>
          </w:p>
          <w:p w14:paraId="6286555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3、要求每个过滤器出厂前均应经过效率及检漏测试，并能提供独立的监测报告；</w:t>
            </w:r>
          </w:p>
          <w:p w14:paraId="69C5792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4、过滤效率：H13（MPPS），同时应符合设计要求；</w:t>
            </w:r>
          </w:p>
          <w:p w14:paraId="780A329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5、初阻力：小于250Pa，终阻力按照实际运行调试后设定，应不大于500Pa。</w:t>
            </w:r>
          </w:p>
        </w:tc>
      </w:tr>
      <w:tr w14:paraId="7AECE5C9">
        <w:tblPrEx>
          <w:tblCellMar>
            <w:top w:w="0" w:type="dxa"/>
            <w:left w:w="108" w:type="dxa"/>
            <w:bottom w:w="0" w:type="dxa"/>
            <w:right w:w="108" w:type="dxa"/>
          </w:tblCellMar>
        </w:tblPrEx>
        <w:trPr>
          <w:trHeight w:val="96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1D4160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C4F2E2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定风量调节阀</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F7DB458">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1、无需外部动力，自动平衡机械结构；</w:t>
            </w:r>
          </w:p>
          <w:p w14:paraId="58D4AA8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2、阀片机构无需维护；</w:t>
            </w:r>
          </w:p>
          <w:p w14:paraId="12BD822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3、工作温度范围10-50℃；</w:t>
            </w:r>
          </w:p>
          <w:p w14:paraId="50900CD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4、使用范围广，推荐压差范围50-1000Pa；</w:t>
            </w:r>
          </w:p>
          <w:p w14:paraId="1EBE5E0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5、不受位置限制，(入口前要求最小1．5D直管段)；</w:t>
            </w:r>
          </w:p>
          <w:p w14:paraId="4A323F2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6、限流板活动灵活；</w:t>
            </w:r>
          </w:p>
          <w:p w14:paraId="1BA4F25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7、气囊作为阻尼部件；</w:t>
            </w:r>
          </w:p>
          <w:p w14:paraId="1F636FB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8、风量控制精度高，在建议使用范围内，偏差&lt;10％；</w:t>
            </w:r>
          </w:p>
          <w:p w14:paraId="7F3513C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9、外部有刻度指针显示流量；限流板机构无需维护；</w:t>
            </w:r>
          </w:p>
          <w:p w14:paraId="55C12155">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10、可安装电动执行器，自动调节风量；</w:t>
            </w:r>
          </w:p>
          <w:p w14:paraId="0A4E8B3D">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11、可现场调节风量，使用方便、灵活。</w:t>
            </w:r>
          </w:p>
          <w:p w14:paraId="757931D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12、壳体为镀锌钢板；</w:t>
            </w:r>
          </w:p>
          <w:p w14:paraId="5A17AE17">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13、气囊为特殊抗老化塑料材质。</w:t>
            </w:r>
          </w:p>
        </w:tc>
      </w:tr>
      <w:tr w14:paraId="54BBE63C">
        <w:tblPrEx>
          <w:tblCellMar>
            <w:top w:w="0" w:type="dxa"/>
            <w:left w:w="108" w:type="dxa"/>
            <w:bottom w:w="0" w:type="dxa"/>
            <w:right w:w="108" w:type="dxa"/>
          </w:tblCellMar>
        </w:tblPrEx>
        <w:trPr>
          <w:trHeight w:val="2691"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3105FD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1F790AD">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排风机</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5DF46CF">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1、主要技术要求：</w:t>
            </w:r>
          </w:p>
          <w:p w14:paraId="0834903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1）电机：电机转轴采用高精度镜面加工，能持久润滑，永不生锈，难以磨损。应采用合理的电机结构，散热快，能延缓产品材料老化，确保长久的使用寿命；运转平稳，超静音；拆装方便，易于清理；</w:t>
            </w:r>
          </w:p>
          <w:p w14:paraId="07999E8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2）风机：采用离心式风机；用高性能双向吸入型千叶涡轮扇叶设计；</w:t>
            </w:r>
          </w:p>
          <w:p w14:paraId="40AED4B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3）噪音不高于55dB。</w:t>
            </w:r>
          </w:p>
          <w:p w14:paraId="20B774F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▲4）叶轮整体经过静态和动态平衡，叶轮平衡等级应达到G2.5（ISO1940）等级；(每台风机出厂前需经过动平衡检测，提供检测报告)</w:t>
            </w:r>
          </w:p>
        </w:tc>
      </w:tr>
      <w:tr w14:paraId="2C86A9C7">
        <w:tblPrEx>
          <w:tblCellMar>
            <w:top w:w="0" w:type="dxa"/>
            <w:left w:w="108" w:type="dxa"/>
            <w:bottom w:w="0" w:type="dxa"/>
            <w:right w:w="108" w:type="dxa"/>
          </w:tblCellMar>
        </w:tblPrEx>
        <w:trPr>
          <w:trHeight w:val="3255"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0223A7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41B34B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风管材（镀锌钢板）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F688EB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sz w:val="23"/>
                <w:szCs w:val="23"/>
                <w:highlight w:val="none"/>
              </w:rPr>
              <w:fldChar w:fldCharType="begin"/>
            </w:r>
            <w:r>
              <w:rPr>
                <w:rFonts w:hint="eastAsia" w:ascii="宋体" w:hAnsi="宋体" w:eastAsia="宋体" w:cs="宋体"/>
                <w:color w:val="auto"/>
                <w:sz w:val="23"/>
                <w:szCs w:val="23"/>
                <w:highlight w:val="none"/>
              </w:rPr>
              <w:instrText xml:space="preserve"> HYPERLINK "http://www.build365.com/views.asp?bookid=3984" \o "http://www.build365.com/views.asp?bookid=3984" </w:instrText>
            </w:r>
            <w:r>
              <w:rPr>
                <w:rFonts w:hint="eastAsia" w:ascii="宋体" w:hAnsi="宋体" w:eastAsia="宋体" w:cs="宋体"/>
                <w:color w:val="auto"/>
                <w:sz w:val="23"/>
                <w:szCs w:val="23"/>
                <w:highlight w:val="none"/>
              </w:rPr>
              <w:fldChar w:fldCharType="separate"/>
            </w:r>
            <w:r>
              <w:rPr>
                <w:rStyle w:val="41"/>
                <w:rFonts w:hint="eastAsia" w:ascii="宋体" w:hAnsi="宋体" w:eastAsia="宋体" w:cs="宋体"/>
                <w:color w:val="auto"/>
                <w:sz w:val="23"/>
                <w:szCs w:val="23"/>
                <w:highlight w:val="none"/>
                <w:u w:val="none"/>
              </w:rPr>
              <w:t>1、材料品种、规格、性能与厚度等应符合设计和现行国家有关产品标准的规定；当设计无规定时，钢板或镀锌钢板的厚度应按《通风与空调工程施工质量验收规范》（GB50243-2016）执行；生产制作严格按照JGJ141（通风管道技术规程）等国家有关规范标准进行。</w:t>
            </w:r>
            <w:r>
              <w:rPr>
                <w:rStyle w:val="41"/>
                <w:rFonts w:hint="eastAsia" w:ascii="宋体" w:hAnsi="宋体" w:eastAsia="宋体" w:cs="宋体"/>
                <w:color w:val="auto"/>
                <w:sz w:val="23"/>
                <w:szCs w:val="23"/>
                <w:highlight w:val="none"/>
                <w:u w:val="none"/>
              </w:rPr>
              <w:fldChar w:fldCharType="end"/>
            </w:r>
          </w:p>
          <w:p w14:paraId="6A70F39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2、应符合质量要求，有出厂合格证明书或质量鉴定文件；对普通薄钢板，应板材表面平整，厚度均匀，有紧密的氧化层薄膜；表面不得有裂纹、结疤和锈斑；</w:t>
            </w:r>
          </w:p>
          <w:p w14:paraId="48C5790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3、对镀锌薄钢板，镀锌层应均匀，有结晶花纹；锌层应无泛白、麻点、起皮、脱落等缺陷。</w:t>
            </w:r>
          </w:p>
          <w:p w14:paraId="5518CFF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4、所有板材选用优质镀锌钢板。</w:t>
            </w:r>
          </w:p>
          <w:p w14:paraId="43733F4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5、材质符合国家环保要求。</w:t>
            </w:r>
          </w:p>
        </w:tc>
      </w:tr>
      <w:tr w14:paraId="2A3C64BB">
        <w:tblPrEx>
          <w:tblCellMar>
            <w:top w:w="0" w:type="dxa"/>
            <w:left w:w="108" w:type="dxa"/>
            <w:bottom w:w="0" w:type="dxa"/>
            <w:right w:w="108" w:type="dxa"/>
          </w:tblCellMar>
        </w:tblPrEx>
        <w:trPr>
          <w:trHeight w:val="105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61C611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71FCA5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电动比例积分调节阀</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19D557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1、安装方便快捷，无需连杆，标准导管式接线连接，无需调整</w:t>
            </w:r>
          </w:p>
          <w:p w14:paraId="5392C3C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2、阀门定位准确，低功耗，高的关断压力，终端推力限位开关</w:t>
            </w:r>
          </w:p>
          <w:p w14:paraId="2397897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3、带位置反馈信号输出，正反作用可选，同步马达</w:t>
            </w:r>
          </w:p>
        </w:tc>
      </w:tr>
      <w:tr w14:paraId="6FBE442E">
        <w:tblPrEx>
          <w:tblCellMar>
            <w:top w:w="0" w:type="dxa"/>
            <w:left w:w="108" w:type="dxa"/>
            <w:bottom w:w="0" w:type="dxa"/>
            <w:right w:w="108" w:type="dxa"/>
          </w:tblCellMar>
        </w:tblPrEx>
        <w:trPr>
          <w:trHeight w:val="377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00F21E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5E7D19D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保温材料</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2B672BC">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1、橡塑保温材料以丁腈橡胶为主要原材料，经“凝胶”发泡而成；</w:t>
            </w:r>
          </w:p>
          <w:p w14:paraId="5071AD7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2、表观密度：40-80kg/m；</w:t>
            </w:r>
          </w:p>
          <w:p w14:paraId="4EA94B6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3、氧指数%：≥34%；</w:t>
            </w:r>
          </w:p>
          <w:p w14:paraId="2FE66DA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4、燃烧性能：B-S2，d0,t1</w:t>
            </w:r>
          </w:p>
          <w:p w14:paraId="153EDD0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5、烟密度等级（SDR）：≤60；</w:t>
            </w:r>
          </w:p>
          <w:p w14:paraId="00555CA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6、透湿系数：≤1.2×10－10G/(m.s.pa)；湿阻因子：≥10000；</w:t>
            </w:r>
          </w:p>
          <w:p w14:paraId="5F6ABAC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7、导热系数0.037W/(m·K)</w:t>
            </w:r>
          </w:p>
          <w:p w14:paraId="12A16E7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8、压缩回弹率（50%压缩72h）：≥70%；</w:t>
            </w:r>
          </w:p>
          <w:p w14:paraId="22F45F0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9、真空吸水率：≤8%；</w:t>
            </w:r>
          </w:p>
          <w:p w14:paraId="6434DE1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具有防霉（防霉0级）抗菌功能（大肠杆菌、金黄色葡萄球菌、嗜肺军团菌抗菌率≥99.9%）；通过难燃B1(B)级型式检验；单质硫（mg/kg）未检出。</w:t>
            </w:r>
          </w:p>
        </w:tc>
      </w:tr>
      <w:tr w14:paraId="7D9F548A">
        <w:tblPrEx>
          <w:tblCellMar>
            <w:top w:w="0" w:type="dxa"/>
            <w:left w:w="108" w:type="dxa"/>
            <w:bottom w:w="0" w:type="dxa"/>
            <w:right w:w="108" w:type="dxa"/>
          </w:tblCellMar>
        </w:tblPrEx>
        <w:trPr>
          <w:trHeight w:val="658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F74703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FBFCBC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风管各类阀门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010948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防火阀</w:t>
            </w:r>
          </w:p>
          <w:p w14:paraId="16F7AC8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1、常开，70度关闭，一般安装在风管穿越防火墙处，起火灾关断作用，可以设置输出电讯号、温度。</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2、采用高强度铝合金翼形对开风叶及框架制作。</w:t>
            </w:r>
          </w:p>
          <w:p w14:paraId="3A1C1BE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手动调节阀</w:t>
            </w:r>
          </w:p>
          <w:p w14:paraId="2C55A59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1、采用高强度铝合金翼形对开风叶及框架制作，采用O型密封胶条有效的防止泄漏，齿轮驱动使操作轻便可靠。</w:t>
            </w:r>
          </w:p>
          <w:p w14:paraId="44D4119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2、手柄可锁定于任意角度来调整风量，也可选配电动装置。</w:t>
            </w:r>
          </w:p>
          <w:p w14:paraId="6DB81B7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3、使用温度范围：-４０℃～８０℃。产品规格：配合客户订制异形尺寸</w:t>
            </w:r>
          </w:p>
          <w:p w14:paraId="69FA719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电动密闭阀</w:t>
            </w:r>
          </w:p>
          <w:p w14:paraId="2B44C4E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1、电动密闭阀用于转换通风方式，改变空气流程。</w:t>
            </w:r>
          </w:p>
          <w:p w14:paraId="67C02CB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2、本阀适用公称压力Pn≤0.05MPa,</w:t>
            </w:r>
          </w:p>
          <w:p w14:paraId="513DACF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3、工作温度- 30～+40℃,</w:t>
            </w:r>
          </w:p>
          <w:p w14:paraId="5F8134F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4、相对湿度30～90％，</w:t>
            </w:r>
          </w:p>
          <w:p w14:paraId="76FF308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5、介质为空气的管路上，作为单向闭路机构。</w:t>
            </w:r>
          </w:p>
          <w:p w14:paraId="65A07BE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止回阀</w:t>
            </w:r>
          </w:p>
          <w:p w14:paraId="5646857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1、采用高强度铝合金翼形对开风叶及框架制作</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2、可直接安装在风管管道上，与风管相连接，根据管内风压自动开启或关闭阀门法兰均制作为共板法兰，法兰宽为30mm，阀体厚度L=210mm。</w:t>
            </w:r>
          </w:p>
        </w:tc>
      </w:tr>
      <w:tr w14:paraId="2A31A2E2">
        <w:tblPrEx>
          <w:tblCellMar>
            <w:top w:w="0" w:type="dxa"/>
            <w:left w:w="108" w:type="dxa"/>
            <w:bottom w:w="0" w:type="dxa"/>
            <w:right w:w="108" w:type="dxa"/>
          </w:tblCellMar>
        </w:tblPrEx>
        <w:trPr>
          <w:trHeight w:val="3367"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B248A5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0ED7C6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水管各类阀门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449E18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Y型过滤器</w:t>
            </w:r>
          </w:p>
          <w:p w14:paraId="418DFFE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1、介质温度:300(℃);</w:t>
            </w:r>
          </w:p>
          <w:p w14:paraId="52C5EA3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2、工作压差:2KG;</w:t>
            </w:r>
          </w:p>
          <w:p w14:paraId="714FBB3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3、适用范围:液体过滤;</w:t>
            </w:r>
          </w:p>
          <w:p w14:paraId="29D899F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4、材质：DN50以下黄铜（丝接），DN65以上铸铁（法兰连接）；</w:t>
            </w:r>
          </w:p>
          <w:p w14:paraId="0F59B8A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5、类型:直角式;</w:t>
            </w:r>
          </w:p>
          <w:p w14:paraId="7392826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6、流动方向:单向;</w:t>
            </w:r>
          </w:p>
          <w:p w14:paraId="4164B54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7、适用介质:水;</w:t>
            </w:r>
          </w:p>
          <w:p w14:paraId="03EA118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8、压力环境:1.6MPa。</w:t>
            </w:r>
          </w:p>
          <w:p w14:paraId="1860379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蝶阀</w:t>
            </w:r>
          </w:p>
          <w:p w14:paraId="4F4DEC3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1、对夹式蝶阀的蝶板安装于管道的直径方向。阀门则呈全开状态。</w:t>
            </w:r>
          </w:p>
          <w:p w14:paraId="642F850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2、对夹式蝶阀结构简单、体积小、重量轻。</w:t>
            </w:r>
          </w:p>
          <w:p w14:paraId="626EEC4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3、蝶阀有弹性密封和金属密封两种密封型式。</w:t>
            </w:r>
          </w:p>
          <w:p w14:paraId="4A905CB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4、弹性密封阀门，密封圈可以镶嵌在阀体上或附在蝶板周边。</w:t>
            </w:r>
            <w:r>
              <w:rPr>
                <w:rFonts w:hint="eastAsia" w:ascii="宋体" w:hAnsi="宋体" w:eastAsia="宋体" w:cs="宋体"/>
                <w:color w:val="auto"/>
                <w:kern w:val="0"/>
                <w:sz w:val="23"/>
                <w:szCs w:val="23"/>
                <w:highlight w:val="none"/>
                <w:lang w:bidi="ar"/>
              </w:rPr>
              <w:br w:type="textWrapping"/>
            </w:r>
            <w:r>
              <w:rPr>
                <w:rFonts w:hint="eastAsia" w:ascii="宋体" w:hAnsi="宋体" w:eastAsia="宋体" w:cs="宋体"/>
                <w:color w:val="auto"/>
                <w:kern w:val="0"/>
                <w:sz w:val="23"/>
                <w:szCs w:val="23"/>
                <w:highlight w:val="none"/>
                <w:lang w:bidi="ar"/>
              </w:rPr>
              <w:t>5、材质：铸铁</w:t>
            </w:r>
          </w:p>
          <w:p w14:paraId="186D75B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截止阀</w:t>
            </w:r>
          </w:p>
          <w:p w14:paraId="64C3C54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1、双重的密封设计(波纹管+填料)若波纹管失效，阀杆填料也会避免；</w:t>
            </w:r>
          </w:p>
          <w:p w14:paraId="30DE928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2、外泄漏，并符合国家密封标准；</w:t>
            </w:r>
          </w:p>
          <w:p w14:paraId="6F07FEE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3、没有流体损失，降低能源损失，提高工厂设备安全；</w:t>
            </w:r>
          </w:p>
          <w:p w14:paraId="2437D1F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4、使用寿命长，减少维修次数，降低经营成本；</w:t>
            </w:r>
          </w:p>
          <w:p w14:paraId="737C6587">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5、坚固耐用的波纹管密封设计，保证阀杆的零泄漏，提供无需维护的条件。</w:t>
            </w:r>
          </w:p>
          <w:p w14:paraId="6CC1D82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波纹管密封截止阀采用波纹管密封的设计，完全消除了普通阀门阀杆填料密封老化快易泄露的缺点，不但提高了使用能源效率，增加生产设备安全性，减少了维修费用及频繁的维修保养，还提供了清洁安全的工作环境。</w:t>
            </w:r>
          </w:p>
          <w:p w14:paraId="0FBAABE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7、材质：DN50以下黄铜（丝接），DN65以上铸铁（法兰连接）</w:t>
            </w:r>
          </w:p>
          <w:p w14:paraId="42434FF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电子除垢仪</w:t>
            </w:r>
          </w:p>
          <w:p w14:paraId="13C29AF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1、节约加热被水垢堵塞的电器中的水所使用的能量(水垢有隔热作用)。</w:t>
            </w:r>
          </w:p>
          <w:p w14:paraId="162191E5">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2、环保，进行水处理时不会改变水的化学成分，但是改变了水的性能，能够防止硬质水垢的沉积。不含化学品和盐类。</w:t>
            </w:r>
          </w:p>
          <w:p w14:paraId="77E92E3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3、无需担心管道堵塞或电器损坏。</w:t>
            </w:r>
          </w:p>
          <w:p w14:paraId="1395565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4、不会减少水流量。</w:t>
            </w:r>
          </w:p>
        </w:tc>
      </w:tr>
      <w:tr w14:paraId="2D1DF067">
        <w:tblPrEx>
          <w:tblCellMar>
            <w:top w:w="0" w:type="dxa"/>
            <w:left w:w="108" w:type="dxa"/>
            <w:bottom w:w="0" w:type="dxa"/>
            <w:right w:w="108" w:type="dxa"/>
          </w:tblCellMar>
        </w:tblPrEx>
        <w:trPr>
          <w:trHeight w:val="162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02709811">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FBC758A">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超静音卫生型微穿孔板(双层)消声器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37484DF">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1、微穿孔板消声器是衬装微穿孔板结构的消声器。</w:t>
            </w:r>
          </w:p>
          <w:p w14:paraId="4B1D6A11">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2、微穿孔板消声器频带宽，阻力损失小，适合于有防潮、耐高温、洁净要求的通风管道中采用。</w:t>
            </w:r>
          </w:p>
          <w:p w14:paraId="5082953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3、微穿孔板孔径0.8mm,穿孔率内1%,外3%,镀锌钢板δ=0.8mm。</w:t>
            </w:r>
          </w:p>
          <w:p w14:paraId="066B25A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4、其余详见设计要求。</w:t>
            </w:r>
          </w:p>
        </w:tc>
      </w:tr>
      <w:tr w14:paraId="4B06D888">
        <w:tblPrEx>
          <w:tblCellMar>
            <w:top w:w="0" w:type="dxa"/>
            <w:left w:w="108" w:type="dxa"/>
            <w:bottom w:w="0" w:type="dxa"/>
            <w:right w:w="108" w:type="dxa"/>
          </w:tblCellMar>
        </w:tblPrEx>
        <w:trPr>
          <w:trHeight w:val="491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1A756CD7">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1C1D1D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自控系统</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92F24DA">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1、强大的工程和服务工具平台为暖通空调、制冷应用提供全面的支持，可以通过功能强大的且界面友好的的编程工具进行自由编程，从而在暖通空调、制冷应用程序开发与测试过程中节省大量时间和投入。</w:t>
            </w:r>
          </w:p>
          <w:p w14:paraId="3D7D20CB">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2、系统具有可配置的输入/输出通道，为一个主应用程序适应不同的特定需求提供了可能性。</w:t>
            </w:r>
          </w:p>
          <w:p w14:paraId="02A32B2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3、模块化的设计可以扩展主控制器的IO容量，能够更加灵活的适应应用程序的配置，且连接方式可为本地或者远程。</w:t>
            </w:r>
          </w:p>
          <w:p w14:paraId="5CA5E36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4、模块化设计的IO扩展针对暖通空调、制冷领域的实际应用进行了最佳优化。</w:t>
            </w:r>
          </w:p>
          <w:p w14:paraId="506F1F3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5、主控制器板载的通讯接口可提供基本的通讯功能，完善了系统的升级扩展性和智能化，增强的扩展通讯模块为楼宇系统的需要提供了各类接口。</w:t>
            </w:r>
          </w:p>
          <w:p w14:paraId="1BD92374">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6、本工程设计的控制系统能自动调节所处理空气的温度、湿度：手术室多功能控制箱显示和调节每个手术室的温度、湿度，中、高效、高效过滤器报警显示。</w:t>
            </w:r>
          </w:p>
          <w:p w14:paraId="7CDE9FF9">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7、护士站中央监控系统（上位机）：</w:t>
            </w:r>
          </w:p>
          <w:p w14:paraId="379F50B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在护士站设置一套完整的中央监控系统，作为本自控系统的上位集中管理层，对全部净化空调机组进行集中监控与管理。具体要求如下：</w:t>
            </w:r>
          </w:p>
          <w:p w14:paraId="1B608B2E">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7.1 硬件配置： 护士站须设置中央监控终端，配置品牌计算机（≥27英寸液晶显示器），以及必要的网络通讯设备、数据交换机等，形成完整的硬件平台。</w:t>
            </w:r>
          </w:p>
          <w:p w14:paraId="40E5F64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7.2 软件配置： 须配备正版中央监控管理软件（含足够数量的授权），软件须为中文图形化界面，具备完整的数据库支持。</w:t>
            </w:r>
          </w:p>
          <w:p w14:paraId="5F4E03CE">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7.3 核心功能： 护士站中央监控系统应实现对全部手术室净化空调机组的集中监控，功能包括但不限于：</w:t>
            </w:r>
          </w:p>
          <w:p w14:paraId="2CF32BF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（1）以图形化界面动态显示各手术室温度、湿度、压差、各级过滤器压差状态、机组运行状态等；</w:t>
            </w:r>
          </w:p>
          <w:p w14:paraId="18F48DB1">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（2）远程设定各手术室的温度、湿度设定值；</w:t>
            </w:r>
          </w:p>
          <w:p w14:paraId="3114A812">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（3）远程控制各净化机组的启停，以及值班运行/全风量运行模式的切换；</w:t>
            </w:r>
          </w:p>
          <w:p w14:paraId="3E3A24F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（4）一键全部关机功能（应急状态下使用）；</w:t>
            </w:r>
          </w:p>
          <w:p w14:paraId="1537CE48">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（5）接收并记录各手术室的故障报警信号（含温湿度超限报警、过滤器压差报警、机组故障报警等），并具备声光报警提示；</w:t>
            </w:r>
          </w:p>
          <w:p w14:paraId="6345D471">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（6）自动记录各手术室历史运行数据，支持数据查询、统计分析与导出打印。</w:t>
            </w:r>
          </w:p>
          <w:p w14:paraId="123A5533">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7.4 数据一致性： 护士站中央监控系统显示的所有数据，须与各手术室就地情报面板及机房本地控制器的显示数据保持同步一致，数据刷新时间≤3秒。</w:t>
            </w:r>
          </w:p>
          <w:p w14:paraId="435D0F93">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7.5 接口开放： 系统须预留标准通讯接口（支持Modbus、BACnet或OPC UA等开放协议），便于后期接入医院大楼BA系统或后勤综合管理平台。</w:t>
            </w:r>
          </w:p>
          <w:p w14:paraId="78DF49B6">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7.6 控制权限： 手术室就地情报面板的控制指令优先于护士站远程控制指令。护士站远程控制操作须具备操作员权限管理及操作日志记录功能。</w:t>
            </w:r>
          </w:p>
        </w:tc>
      </w:tr>
      <w:tr w14:paraId="4286A2A8">
        <w:tblPrEx>
          <w:tblCellMar>
            <w:top w:w="0" w:type="dxa"/>
            <w:left w:w="108" w:type="dxa"/>
            <w:bottom w:w="0" w:type="dxa"/>
            <w:right w:w="108" w:type="dxa"/>
          </w:tblCellMar>
        </w:tblPrEx>
        <w:trPr>
          <w:trHeight w:val="201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E904B3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4B6C85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层流送风天花装置</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E3C754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1、1.2mm电解钢板制作，本体采用可拆卸拼装设计</w:t>
            </w:r>
          </w:p>
          <w:p w14:paraId="25CC5DCD">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2、过滤器压差密封技术—保证洁净区内无泄漏</w:t>
            </w:r>
          </w:p>
          <w:p w14:paraId="00AEE203">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3、过滤器平铺设计，采用S201不锈钢方管底框，面层为高强度均流膜</w:t>
            </w:r>
          </w:p>
          <w:p w14:paraId="170950E9">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4、过滤器满布技术—压差低，超长使用寿命</w:t>
            </w:r>
          </w:p>
          <w:p w14:paraId="23FA419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5、均流度满足最新规范要求—不均匀度小于15%</w:t>
            </w:r>
          </w:p>
        </w:tc>
      </w:tr>
      <w:tr w14:paraId="7E587B92">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5DD3CCD3">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电气主要设备材料技术、质量要求</w:t>
            </w:r>
          </w:p>
        </w:tc>
      </w:tr>
      <w:tr w14:paraId="5717B9E2">
        <w:tblPrEx>
          <w:tblCellMar>
            <w:top w:w="0" w:type="dxa"/>
            <w:left w:w="108" w:type="dxa"/>
            <w:bottom w:w="0" w:type="dxa"/>
            <w:right w:w="108" w:type="dxa"/>
          </w:tblCellMar>
        </w:tblPrEx>
        <w:trPr>
          <w:trHeight w:val="27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51DE3DB2">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55F9000">
            <w:pPr>
              <w:widowControl/>
              <w:jc w:val="left"/>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22885C3D">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77414808">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3164C5A9">
            <w:pPr>
              <w:jc w:val="left"/>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1.强 电</w:t>
            </w:r>
          </w:p>
        </w:tc>
      </w:tr>
      <w:tr w14:paraId="45C1B718">
        <w:tblPrEx>
          <w:tblCellMar>
            <w:top w:w="0" w:type="dxa"/>
            <w:left w:w="108" w:type="dxa"/>
            <w:bottom w:w="0" w:type="dxa"/>
            <w:right w:w="108" w:type="dxa"/>
          </w:tblCellMar>
        </w:tblPrEx>
        <w:trPr>
          <w:trHeight w:val="543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2F91794">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58F3B0D">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38A8E29">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配电箱</w:t>
            </w:r>
          </w:p>
          <w:p w14:paraId="3B8E67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1、配电箱内组件应排列整齐、固定可靠、各电气组件应可单独拆装。</w:t>
            </w:r>
          </w:p>
          <w:p w14:paraId="5619B8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2、配电箱柜体应采用优质冷轧钢板，表面应酸洗、磷化后用静电粉末高温喷涂，板材厚度应符合国家配电柜相关标准要求。</w:t>
            </w:r>
          </w:p>
          <w:p w14:paraId="2324008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3、配电箱内所配导线端部应标明线号，箱体内应有一次接线及二次接线原理图。</w:t>
            </w:r>
          </w:p>
          <w:p w14:paraId="6A9ACC7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4、配电箱及箱内所有元器件等均应通过国家相应安全认证，必须有“CQC”认证标志。</w:t>
            </w:r>
          </w:p>
          <w:p w14:paraId="2DADD7E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5、所有组件应具有经久耐用、操作安全、维护方便等优点。</w:t>
            </w:r>
          </w:p>
          <w:p w14:paraId="34EE5BF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配电箱内微型断路器等：</w:t>
            </w:r>
          </w:p>
          <w:p w14:paraId="5CFBD86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1、必须有“CQC”认证标志，具有防触电保护；</w:t>
            </w:r>
          </w:p>
          <w:p w14:paraId="7734375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2、两用端子能同时连接电缆和汇流排，不需任何附件</w:t>
            </w:r>
          </w:p>
          <w:p w14:paraId="2F1CFD7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3、可容易地安装在35mm导轨上</w:t>
            </w:r>
          </w:p>
          <w:p w14:paraId="12317B4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4、产品在闭合和断开位置时可通过附件被锁定</w:t>
            </w:r>
          </w:p>
          <w:p w14:paraId="21D7439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5、具有很高的的短路分析能力</w:t>
            </w:r>
          </w:p>
          <w:p w14:paraId="12DABC6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6、在短路时通过短路能量低</w:t>
            </w:r>
          </w:p>
          <w:p w14:paraId="04FC623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7、上下接线端均可进线，分析能力不变</w:t>
            </w:r>
          </w:p>
        </w:tc>
      </w:tr>
      <w:tr w14:paraId="2E15EFF3">
        <w:tblPrEx>
          <w:tblCellMar>
            <w:top w:w="0" w:type="dxa"/>
            <w:left w:w="108" w:type="dxa"/>
            <w:bottom w:w="0" w:type="dxa"/>
            <w:right w:w="108" w:type="dxa"/>
          </w:tblCellMar>
        </w:tblPrEx>
        <w:trPr>
          <w:trHeight w:val="9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778020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FF068A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电缆桥架、金属线槽</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0D92F44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1、电缆桥架含本工程所需的电缆托盘、金属线槽等电缆承载体。</w:t>
            </w:r>
          </w:p>
          <w:p w14:paraId="47B4BA3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2、电缆桥架应在工厂加工完成后在运抵施工现场，尽可能减少在工地切割桥架，严禁在工地加工、制作水平弯、垂直弯以及分支接头等桥架的连接段。</w:t>
            </w:r>
          </w:p>
          <w:p w14:paraId="512457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3、电缆托盘须由低碳钢制作，电缆托盘尺寸与板材厚度要求符合规范规定。</w:t>
            </w:r>
          </w:p>
          <w:p w14:paraId="2CE2E93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4、金属线槽必须用镀锌钢板制作。金属线槽内外应无毛刺，配件应齐全。金属线槽镀锌钢板的厚度要求符合规范规定。</w:t>
            </w:r>
          </w:p>
        </w:tc>
      </w:tr>
      <w:tr w14:paraId="1E2AF5A4">
        <w:tblPrEx>
          <w:tblCellMar>
            <w:top w:w="0" w:type="dxa"/>
            <w:left w:w="108" w:type="dxa"/>
            <w:bottom w:w="0" w:type="dxa"/>
            <w:right w:w="108" w:type="dxa"/>
          </w:tblCellMar>
        </w:tblPrEx>
        <w:trPr>
          <w:trHeight w:val="383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02626D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849C71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电线、电缆</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64A0698">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1、电缆盘上应表明电缆型号、规格、电压等级、长度及出厂日期。并与产品合格证相符。电缆盘应完好无损。</w:t>
            </w:r>
          </w:p>
          <w:p w14:paraId="194EFF1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2、用优质铜材。</w:t>
            </w:r>
          </w:p>
          <w:p w14:paraId="752BF35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3、线、电缆的绝缘材料必须符合电压等级和设计要求。</w:t>
            </w:r>
          </w:p>
          <w:p w14:paraId="145081F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4、电缆未受到机械外力的损伤，铠装无锈蚀，缆线顺直无皱折和扭曲现象。塑料电缆外皮绝缘层无老化和龟裂现象。</w:t>
            </w:r>
          </w:p>
          <w:p w14:paraId="53DAA3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5、电缆终端头应是定型产品，与电缆采用同一产品，附件齐全，封套必须与电缆规格尺寸匹配，应紧裹电缆及其各条导线。套管应完好无损，不得有裂纹和损伤。</w:t>
            </w:r>
          </w:p>
          <w:p w14:paraId="5590214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6、电缆芯线和电线绝缘层的颜色必须满足以下要求：</w:t>
            </w:r>
          </w:p>
          <w:p w14:paraId="21742BE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7、相线：黄、绿、红；零线：淡蓝；地线：黄/绿；控制线：白</w:t>
            </w:r>
          </w:p>
          <w:p w14:paraId="6977800C">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8、电缆的具体型号与大楼整体耐火等级一致。</w:t>
            </w:r>
          </w:p>
        </w:tc>
      </w:tr>
      <w:tr w14:paraId="1CE3D689">
        <w:tblPrEx>
          <w:tblCellMar>
            <w:top w:w="0" w:type="dxa"/>
            <w:left w:w="108" w:type="dxa"/>
            <w:bottom w:w="0" w:type="dxa"/>
            <w:right w:w="108" w:type="dxa"/>
          </w:tblCellMar>
        </w:tblPrEx>
        <w:trPr>
          <w:trHeight w:val="35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94F9AF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60B805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UPS及电池（手术室的除外）</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818506B">
            <w:pPr>
              <w:widowControl/>
              <w:textAlignment w:val="top"/>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1、UPS必须为类模块化UPS的主流品牌，具有较大的市场保有量；为自主设计品牌产品，严禁OEM\ODM贴牌产品。</w:t>
            </w:r>
          </w:p>
          <w:p w14:paraId="387700D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2、当前容量：三进三出，外观黑色，机柜式结构，正面为可开启、关闭的带锁网孔门。</w:t>
            </w:r>
          </w:p>
          <w:p w14:paraId="4347D09C">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3、要求采用LCD中文大屏液晶+LED指示灯双显示操作面板，能够同时提供图形显示和数字显示，适合使用者查看状态、数据和进行操作控制。</w:t>
            </w:r>
          </w:p>
          <w:p w14:paraId="3F85713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4、具备易维护特性和结构，由托盘合可滑出模块组成：将故障模块直接拔除，再更换上新的模块，2～5分钟完成维修。</w:t>
            </w:r>
          </w:p>
          <w:p w14:paraId="3C649A7D">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5、要求UPS的关键部件（IGBT功率半导体、CPU处理器、二极管、风扇、熔断器等）需提供品名、品牌等清单。</w:t>
            </w:r>
          </w:p>
          <w:p w14:paraId="5E1152D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6、所有电子板件都要有PCBA喷涂三防漆，提升UPS设备的防潮、防尘、防漏电、防腐蚀、防锈、防盐雾、防震、防老化、绝缘、耐电晕等性能。</w:t>
            </w:r>
          </w:p>
          <w:p w14:paraId="43B7072E">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7、要求具备易更换风扇结构：UPS的风扇部分是相对容易老化、损坏的部件，因此要求风扇为易更换结构，无需UPS关机、也不需要拆开UPS机壳，即可非常便捷的进行风扇更换。</w:t>
            </w:r>
          </w:p>
          <w:p w14:paraId="2B016942">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8、UPS标配防火级防尘网，防尘网符合防火标准UL94及滤尘网标准UL 900；能拆卸和清洗。</w:t>
            </w:r>
          </w:p>
          <w:p w14:paraId="7065D68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9、具备EPO紧急关断功能，以满足消防安全的需要。</w:t>
            </w:r>
          </w:p>
          <w:p w14:paraId="342850A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10、具备ECO节能工作模式，UPS能通过跟踪和检测市电品质，自动调节UPS的工作模式，即在旁路工作模式和逆变工作模式之间转换，以满足节能环保的需要；也可通过手动方式锁定工作模式。</w:t>
            </w:r>
          </w:p>
          <w:p w14:paraId="67B60EB6">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12、具备N+X并联冗余功能，可支持4台并机运行。并机系统具备根据负载容量大小自动冗余的性能。要求采用业界先进的并机技术，稳态工作时即使并联通信线故障也能正常工作。</w:t>
            </w:r>
          </w:p>
          <w:p w14:paraId="3E47FA04">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12、具备充电休息模式的智能充电功能，以实现延长电池寿命的特性。</w:t>
            </w:r>
          </w:p>
          <w:p w14:paraId="2C27C678">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13、可根据配电实际状况，选装内置在UPS主机机柜内的手动维修旁路。</w:t>
            </w:r>
          </w:p>
          <w:p w14:paraId="460D71A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14、输入功因＞0.99，符合一类UPS的需要标准，且满足绿色节能的需要。</w:t>
            </w:r>
          </w:p>
          <w:p w14:paraId="4C17A643">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15、输入电流谐波＜5%，减少了UPS对电网的污染，符合一类UPS的需要标准（若无法满足此指标的， 必须额外配置“有源滤波器”设备，纳入设备配置及价格清单中）</w:t>
            </w:r>
          </w:p>
          <w:p w14:paraId="1A2F2DE9">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16、具备超宽输入电压范围：285～450VA，符合一类UPS的需要标准。适合中国电力环境，能轻松应对电压过低的异常市电环境；</w:t>
            </w:r>
          </w:p>
          <w:p w14:paraId="08836F1F">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17、具备超宽输入频率范围：42～70HZ，能轻松应对频率过高或过低的异常市电环境（特别是发电机供电时）；</w:t>
            </w:r>
          </w:p>
          <w:p w14:paraId="687F304A">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18、输出功率因素：不小于0.9。</w:t>
            </w:r>
          </w:p>
          <w:p w14:paraId="70B82FB0">
            <w:pPr>
              <w:widowControl/>
              <w:textAlignment w:val="top"/>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19、过载能力强 ：105%的超载可长期，125%的负载可以过载10分钟；</w:t>
            </w:r>
          </w:p>
        </w:tc>
      </w:tr>
      <w:tr w14:paraId="38ACD436">
        <w:tblPrEx>
          <w:tblCellMar>
            <w:top w:w="0" w:type="dxa"/>
            <w:left w:w="108" w:type="dxa"/>
            <w:bottom w:w="0" w:type="dxa"/>
            <w:right w:w="108" w:type="dxa"/>
          </w:tblCellMar>
        </w:tblPrEx>
        <w:trPr>
          <w:trHeight w:val="5492"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1F1118DC">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B603AA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UPS和IT系统一体机（手术室用）</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9A89BB9">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体式医用电源集成系统柜由医用IT隔离电源系统，和UPS不间断电源以及锂电池储能系统三个主要功能部件组成，集成于一个智能配电系统电源柜，方便于手术室、ICU以及其他医院2类场所嵌入式安装，使用和后期运营管理。一体机须满足以下技术与认证要求：</w:t>
            </w:r>
          </w:p>
          <w:p w14:paraId="32433364">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1、智能配电系统柜技术要求：</w:t>
            </w:r>
          </w:p>
          <w:p w14:paraId="2F319F3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1.1智能配电系统柜必须经过中国质量3C认证中心认证，产品须符合中国质量 GB/T 7251.12-2013、GB/T 7251.8-2020认证规则的低压开关成套设备与控制设备智能型成套设备要求</w:t>
            </w:r>
          </w:p>
          <w:p w14:paraId="78A3032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1.2智能配电系统电源柜内，箱体深度≤400mm，箱体宽度≤620。</w:t>
            </w:r>
          </w:p>
          <w:p w14:paraId="023926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1.3手术室采用品牌一体式医用电源集成系统智能柜，箱内IT隔离电源，绝缘监测，互感器须与智能柜采用同一品牌</w:t>
            </w:r>
          </w:p>
          <w:p w14:paraId="3D73D4A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2、UPS以及锂电池储能系统技术要求：</w:t>
            </w:r>
          </w:p>
          <w:p w14:paraId="2AA2428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2.1 一体机内置UPS备用电源，后备时间为30分钟，当市电中断（事故停电）时，UPS立即将电池组的电能向手术室等继续供电，保证其电力供应，须完全满足医用一类场所对UPS的要求实现零秒切换时间，不允许采用静态切换等无物理隔离的切换开关。</w:t>
            </w:r>
          </w:p>
          <w:p w14:paraId="021CF6B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2.2 UPS、IT隔离电源系统及手术室用锂电储能须内置配电箱内，不得外置，每间手术室单独设置，设置与夹层内。麻醉、苏醒间的设置于对应分配电箱内。</w:t>
            </w:r>
          </w:p>
          <w:p w14:paraId="5B68F61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2.3医用UPS须能够完全满足正面人员正面操作与安装：正面接线端子（交流输入输出接线、电池直流接线），操作故障旁路开关。</w:t>
            </w:r>
          </w:p>
          <w:p w14:paraId="433B69B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2.4 UPS不间断电源为单进单出，双变换在线式、带液晶显示操作面板；</w:t>
            </w:r>
          </w:p>
          <w:p w14:paraId="05A0DC6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2.5UPS须能够采用先进的磷酸铁锂电池储能方式，带有自动监控和维护的电池管理BMS系统可显示电池的SOC，SOH，电流，电压，能源状态，和故障报警。</w:t>
            </w:r>
          </w:p>
          <w:p w14:paraId="3C8258F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2.6UPS电源需BMS系统，拥有独立的充放电管理机制，管理磷酸铁锂电池组的均流、均压、温度监控。具有绝缘故障监测，判断故障电池单元，并能够物理切断故障位置电池防止短路故障。</w:t>
            </w:r>
          </w:p>
          <w:p w14:paraId="60CDD69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2.7</w:t>
            </w:r>
            <w:r>
              <w:rPr>
                <w:rStyle w:val="83"/>
                <w:rFonts w:hint="eastAsia" w:ascii="宋体" w:hAnsi="宋体" w:eastAsia="宋体" w:cs="宋体"/>
                <w:color w:val="auto"/>
                <w:sz w:val="23"/>
                <w:szCs w:val="23"/>
                <w:highlight w:val="none"/>
                <w:lang w:bidi="ar"/>
              </w:rPr>
              <w:t>磷酸铁锂储能电池高压箱或者成套电池系统能显示电池的电量，电压与能耗。供应商用具备相应的后台软件平台或监控APP。提供电性能的具体状态展示。</w:t>
            </w:r>
          </w:p>
          <w:p w14:paraId="735FA73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2.8 电池寿命：使用寿命≥10年；</w:t>
            </w:r>
          </w:p>
          <w:p w14:paraId="5F9DE5C6">
            <w:pPr>
              <w:widowControl/>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3、医用IT隔离电源系统技术要求：</w:t>
            </w:r>
          </w:p>
          <w:p w14:paraId="1472434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3.1医用IT隔离变压器技术要求</w:t>
            </w:r>
          </w:p>
          <w:p w14:paraId="3140233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符合以下国家标准： IEC61558-2-15《电力变压器、电源装置和类似产品的安全第16部分：医疗场所供电用隔离变压器的特殊要求》； GB16895.24，IEC60364-7-710《建筑物电气装置第7-710部分，特殊装置或场所的要求一医疗场所》。</w:t>
            </w:r>
          </w:p>
          <w:p w14:paraId="35E031F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a)所采用的隔离变压器的绝缘等级应为（B级）不允许采用H级 180℃ 高温升变压器。</w:t>
            </w:r>
          </w:p>
          <w:p w14:paraId="0F71767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b)变压器空载泄露电流须≤100μA。</w:t>
            </w:r>
          </w:p>
          <w:p w14:paraId="4D47C97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c)变压器内部绕组应具有可供绝缘检测仪温度检测的NTC或PTC温度传感器。</w:t>
            </w:r>
          </w:p>
          <w:p w14:paraId="0A49A71E">
            <w:pPr>
              <w:widowControl/>
              <w:textAlignment w:val="center"/>
              <w:rPr>
                <w:rFonts w:hint="eastAsia" w:ascii="宋体" w:hAnsi="宋体" w:eastAsia="宋体" w:cs="宋体"/>
                <w:color w:val="auto"/>
                <w:sz w:val="23"/>
                <w:szCs w:val="23"/>
                <w:highlight w:val="none"/>
              </w:rPr>
            </w:pPr>
            <w:r>
              <w:rPr>
                <w:rStyle w:val="83"/>
                <w:rFonts w:hint="eastAsia" w:ascii="宋体" w:hAnsi="宋体" w:eastAsia="宋体" w:cs="宋体"/>
                <w:color w:val="auto"/>
                <w:sz w:val="23"/>
                <w:szCs w:val="23"/>
                <w:highlight w:val="none"/>
                <w:lang w:bidi="ar"/>
              </w:rPr>
              <w:t>d)满载噪声须≤ 35dB，空载温升须≤45℃。</w:t>
            </w:r>
          </w:p>
          <w:p w14:paraId="6971F0F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e）隔离变压器须采用全面铜屏蔽和铁屏蔽，输出侧零线（N）不带火（对地 电压≤5V ）的检测报告资料</w:t>
            </w:r>
          </w:p>
          <w:p w14:paraId="6696634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3.2医用电气系统绝缘监视装置：</w:t>
            </w:r>
          </w:p>
          <w:p w14:paraId="055E682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a)须完全符合IEC61557-8和IEC60364-7-710标准</w:t>
            </w:r>
          </w:p>
          <w:p w14:paraId="0B0A7DD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b)实时监视隔离电源系统对地绝缘状况，根据需要设定不同的报警响应值；</w:t>
            </w:r>
          </w:p>
          <w:p w14:paraId="42A0ADC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c)采用先进软硬件设计满足设备自检测功能，动态显示可以直接判断设备状态</w:t>
            </w:r>
          </w:p>
          <w:p w14:paraId="3544B61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d)实时监视电气绝缘值、隔离变压器负荷状况及变压器的绕阻温度实际具体值；</w:t>
            </w:r>
          </w:p>
          <w:p w14:paraId="51EDA134">
            <w:pPr>
              <w:widowControl/>
              <w:textAlignment w:val="center"/>
              <w:rPr>
                <w:rFonts w:hint="eastAsia" w:ascii="宋体" w:hAnsi="宋体" w:eastAsia="宋体" w:cs="宋体"/>
                <w:color w:val="auto"/>
                <w:sz w:val="23"/>
                <w:szCs w:val="23"/>
                <w:highlight w:val="none"/>
              </w:rPr>
            </w:pPr>
            <w:r>
              <w:rPr>
                <w:rStyle w:val="83"/>
                <w:rFonts w:hint="eastAsia" w:ascii="宋体" w:hAnsi="宋体" w:eastAsia="宋体" w:cs="宋体"/>
                <w:color w:val="auto"/>
                <w:sz w:val="23"/>
                <w:szCs w:val="23"/>
                <w:highlight w:val="none"/>
                <w:lang w:bidi="ar"/>
              </w:rPr>
              <w:t>e)仪表产品同时具备的RS485和LORA无线通讯自动组网功能；</w:t>
            </w:r>
          </w:p>
          <w:p w14:paraId="24C45D02">
            <w:pPr>
              <w:widowControl/>
              <w:textAlignment w:val="center"/>
              <w:rPr>
                <w:rFonts w:hint="eastAsia" w:ascii="宋体" w:hAnsi="宋体" w:eastAsia="宋体" w:cs="宋体"/>
                <w:color w:val="auto"/>
                <w:sz w:val="23"/>
                <w:szCs w:val="23"/>
                <w:highlight w:val="none"/>
              </w:rPr>
            </w:pPr>
            <w:r>
              <w:rPr>
                <w:rStyle w:val="83"/>
                <w:rFonts w:hint="eastAsia" w:ascii="宋体" w:hAnsi="宋体" w:eastAsia="宋体" w:cs="宋体"/>
                <w:color w:val="auto"/>
                <w:sz w:val="23"/>
                <w:szCs w:val="23"/>
                <w:highlight w:val="none"/>
                <w:lang w:bidi="ar"/>
              </w:rPr>
              <w:t>f)供应商徐具备相应的后台软件平台或监控APP。提供电性能的具体状态展示。</w:t>
            </w:r>
          </w:p>
          <w:p w14:paraId="648D4B0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3.3外接报警系统</w:t>
            </w:r>
          </w:p>
          <w:p w14:paraId="0F05A18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a)须符合IEC61557-8和IEC60364-7-710标准。</w:t>
            </w:r>
          </w:p>
          <w:p w14:paraId="6767403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b)满足中英文双语显示，图形清晰显示故障和报警问题。</w:t>
            </w:r>
          </w:p>
          <w:p w14:paraId="0228B6E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c)具有抗菌触摸屏实时显示参数，时间同步、并同时支持RS485和LoRA无线远程组网。</w:t>
            </w:r>
          </w:p>
        </w:tc>
      </w:tr>
      <w:tr w14:paraId="3F8E2AFB">
        <w:tblPrEx>
          <w:tblCellMar>
            <w:top w:w="0" w:type="dxa"/>
            <w:left w:w="108" w:type="dxa"/>
            <w:bottom w:w="0" w:type="dxa"/>
            <w:right w:w="108" w:type="dxa"/>
          </w:tblCellMar>
        </w:tblPrEx>
        <w:trPr>
          <w:trHeight w:val="354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157E68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16D038A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IT系统（ICU）</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16FD418B">
            <w:pPr>
              <w:widowControl/>
              <w:textAlignment w:val="center"/>
              <w:rPr>
                <w:rFonts w:hint="eastAsia" w:ascii="宋体" w:hAnsi="宋体" w:eastAsia="宋体" w:cs="宋体"/>
                <w:b/>
                <w:bCs/>
                <w:color w:val="auto"/>
                <w:kern w:val="0"/>
                <w:sz w:val="23"/>
                <w:szCs w:val="23"/>
                <w:highlight w:val="none"/>
                <w:lang w:bidi="ar"/>
              </w:rPr>
            </w:pPr>
            <w:r>
              <w:rPr>
                <w:rFonts w:hint="eastAsia" w:ascii="宋体" w:hAnsi="宋体" w:eastAsia="宋体" w:cs="宋体"/>
                <w:b/>
                <w:bCs/>
                <w:color w:val="auto"/>
                <w:kern w:val="0"/>
                <w:sz w:val="23"/>
                <w:szCs w:val="23"/>
                <w:highlight w:val="none"/>
                <w:lang w:bidi="ar"/>
              </w:rPr>
              <w:t>医用IT隔离电源系统技术要求：</w:t>
            </w:r>
          </w:p>
          <w:p w14:paraId="409B0DB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1、医用IT隔离变压器技术要求</w:t>
            </w:r>
          </w:p>
          <w:p w14:paraId="1006829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a)符合以下国家标准： IEC61558-2-15《电力变压器、电源装置和类似产品的安全第16部分：医疗场所供电用隔离变压器的特殊要求》； GB16895.24，IEC60364-7-710《建筑物电气装置第7-710部分，特殊装置或场所的要求一医疗场所》</w:t>
            </w:r>
          </w:p>
          <w:p w14:paraId="4DF16CC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b)变压器空载泄露电流须≤100μA。</w:t>
            </w:r>
          </w:p>
          <w:p w14:paraId="3F2A59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c)变压器内部绕组应具有可供绝缘检测仪温度检测的NTC或PTC温度传感器。</w:t>
            </w:r>
          </w:p>
          <w:p w14:paraId="70BB5D3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d)满载噪声须≤35dB，空载温升须≤45℃</w:t>
            </w:r>
          </w:p>
          <w:p w14:paraId="7D5DE10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2、医用电气系统绝缘监视装置：</w:t>
            </w:r>
          </w:p>
          <w:p w14:paraId="6BB3208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a)须完全符合IEC61557-8和IEC60364-7-710标准</w:t>
            </w:r>
          </w:p>
          <w:p w14:paraId="6A54632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b)实时监视隔离电源系统对地绝缘状况，根据需要设定不同的报警响应值；</w:t>
            </w:r>
          </w:p>
          <w:p w14:paraId="35754B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c)采用先进软硬件设计满足设备自检测功能，动态显示可以直接判断设备状态</w:t>
            </w:r>
          </w:p>
          <w:p w14:paraId="36BD19A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d)实时监视电气绝缘值、隔离变压器负荷状况及变压器的绕阻温度实际具体值；</w:t>
            </w:r>
          </w:p>
          <w:p w14:paraId="6DECBDE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3、外接报警系统</w:t>
            </w:r>
          </w:p>
          <w:p w14:paraId="7D313B4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a)须符合IEC61557-8和IEC60364-7-710标准；</w:t>
            </w:r>
          </w:p>
          <w:p w14:paraId="1F34302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b)满足中英文双语显示，图形清晰显示故障和报警问题，</w:t>
            </w:r>
          </w:p>
          <w:p w14:paraId="22CB9F2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c)具有抗菌触摸屏实时显示参数，时间同步、并同时支持RS485和LoRA无线远程组网。</w:t>
            </w:r>
          </w:p>
        </w:tc>
      </w:tr>
      <w:tr w14:paraId="016A553B">
        <w:tblPrEx>
          <w:tblCellMar>
            <w:top w:w="0" w:type="dxa"/>
            <w:left w:w="108" w:type="dxa"/>
            <w:bottom w:w="0" w:type="dxa"/>
            <w:right w:w="108" w:type="dxa"/>
          </w:tblCellMar>
        </w:tblPrEx>
        <w:trPr>
          <w:trHeight w:val="2212" w:hRule="atLeast"/>
        </w:trPr>
        <w:tc>
          <w:tcPr>
            <w:tcW w:w="503" w:type="pct"/>
            <w:tcBorders>
              <w:top w:val="single" w:color="000000" w:sz="4" w:space="0"/>
              <w:left w:val="single" w:color="000000" w:sz="4" w:space="0"/>
              <w:bottom w:val="nil"/>
              <w:right w:val="single" w:color="000000" w:sz="4" w:space="0"/>
            </w:tcBorders>
            <w:noWrap w:val="0"/>
            <w:vAlign w:val="center"/>
          </w:tcPr>
          <w:p w14:paraId="4AB5BC3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w:t>
            </w:r>
          </w:p>
        </w:tc>
        <w:tc>
          <w:tcPr>
            <w:tcW w:w="649" w:type="pct"/>
            <w:tcBorders>
              <w:top w:val="single" w:color="000000" w:sz="4" w:space="0"/>
              <w:left w:val="single" w:color="000000" w:sz="4" w:space="0"/>
              <w:bottom w:val="nil"/>
              <w:right w:val="single" w:color="000000" w:sz="4" w:space="0"/>
            </w:tcBorders>
            <w:noWrap w:val="0"/>
            <w:vAlign w:val="center"/>
          </w:tcPr>
          <w:p w14:paraId="76F52B1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净化LED灯具</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F60CFA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1、超薄外框一体化设计，体积小巧，外观精致。</w:t>
            </w:r>
          </w:p>
          <w:p w14:paraId="641B208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2、专业设计，防腐耐潮，不积尘采尘，避免空气乱流。</w:t>
            </w:r>
          </w:p>
          <w:p w14:paraId="7A54A6D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3、无紫外线（UV）和红外线（IR）辐射</w:t>
            </w:r>
          </w:p>
          <w:p w14:paraId="7D733E5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4、灯具应通过电磁兼容型式试验合格报告（依据标准GB17743-2007电气照明和类似设备的无线电骚扰特性的限值和测量方法；GB17625.1-2012 电磁兼容 限值 谐波电流发射限值（设备每相输入电流≤16A））；</w:t>
            </w:r>
          </w:p>
        </w:tc>
      </w:tr>
      <w:tr w14:paraId="5B950FF2">
        <w:tblPrEx>
          <w:tblCellMar>
            <w:top w:w="0" w:type="dxa"/>
            <w:left w:w="108" w:type="dxa"/>
            <w:bottom w:w="0" w:type="dxa"/>
            <w:right w:w="108" w:type="dxa"/>
          </w:tblCellMar>
        </w:tblPrEx>
        <w:trPr>
          <w:trHeight w:val="185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FAED2E8">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4140CCF">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开关、插座</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FDC6C56">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1、所有开关、插座必须使用同一品牌同一系列的产品。</w:t>
            </w:r>
          </w:p>
          <w:p w14:paraId="5AC847D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2、优异的耐漏电起痕电性能，良好的对异常发热及火焰的耐性。</w:t>
            </w:r>
          </w:p>
          <w:p w14:paraId="479F250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3、阻燃性能好，插座接插件选用优质锡磷青铜加工制成，导电性能好，面无螺孔，超薄流线型面板，插座均采用内封闭结构，双孔压板式接线，用电更安全；外表美观，手感好。</w:t>
            </w:r>
          </w:p>
        </w:tc>
      </w:tr>
      <w:tr w14:paraId="46BF4EF9">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0"/>
            <w:vAlign w:val="center"/>
          </w:tcPr>
          <w:p w14:paraId="070D4587">
            <w:pP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2.弱电</w:t>
            </w:r>
          </w:p>
        </w:tc>
      </w:tr>
      <w:tr w14:paraId="7A0750A6">
        <w:tblPrEx>
          <w:tblCellMar>
            <w:top w:w="0" w:type="dxa"/>
            <w:left w:w="108" w:type="dxa"/>
            <w:bottom w:w="0" w:type="dxa"/>
            <w:right w:w="108" w:type="dxa"/>
          </w:tblCellMar>
        </w:tblPrEx>
        <w:trPr>
          <w:trHeight w:val="4128"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7F728E0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9EDBC09">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背景音乐系统设备</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388F36F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（一）功能：</w:t>
            </w:r>
          </w:p>
          <w:p w14:paraId="5EA70F8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1、背景音乐播放功能</w:t>
            </w:r>
          </w:p>
          <w:p w14:paraId="63FDF4E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在公共区域，如过道、病房、等待区，播放温馨的音乐，让病人与家属释放些紧张的感觉。</w:t>
            </w:r>
          </w:p>
          <w:p w14:paraId="5DE7103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背景音乐可分不同时段，根据医院实际使用时间进行自定。</w:t>
            </w:r>
          </w:p>
          <w:p w14:paraId="59C86B1F">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2、广播寻呼功能</w:t>
            </w:r>
          </w:p>
          <w:p w14:paraId="1CDB792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公共广播系统在广播室内配置寻呼话筒，主要用于广播室管理人员在正常作息时间内为不同功能区做友情提示和温馨问候。</w:t>
            </w:r>
          </w:p>
          <w:p w14:paraId="5C7762D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3、全区、分区、定点广播</w:t>
            </w:r>
          </w:p>
          <w:p w14:paraId="7AB71D2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通过对主控机面板的操作，可实现所有区的全体广播或者对某一个分区进行定点广播、寻呼。</w:t>
            </w:r>
          </w:p>
          <w:p w14:paraId="63F091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（二）性能：</w:t>
            </w:r>
          </w:p>
          <w:p w14:paraId="1B978B4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1、技术成熟、应用广泛、功能完备的公共广播经典系列之一。</w:t>
            </w:r>
          </w:p>
          <w:p w14:paraId="07AB4DA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2、现代化智能公共广播系统。</w:t>
            </w:r>
          </w:p>
          <w:p w14:paraId="1A0165E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3、通过寻呼、对选定区域的呼叫分配和对建筑物的优先紧急广播令通讯的基本架构有效触及不同区域的聆听者。</w:t>
            </w:r>
          </w:p>
          <w:p w14:paraId="693ABF8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4、自动定时编程运行，主/备功放自动切换，故障自动告警，支持无人值守。</w:t>
            </w:r>
          </w:p>
          <w:p w14:paraId="2B20C7C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5、多种分区管理功能，支持矩阵分区，不同分区可以同时播放不同的节目。</w:t>
            </w:r>
          </w:p>
          <w:p w14:paraId="24212A3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6、支持分区强行插入突发公共事件紧急广播。</w:t>
            </w:r>
          </w:p>
          <w:p w14:paraId="24E83313">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7、按预编程序自动激活邻区紧急广播，自动激活固化录音广播。</w:t>
            </w:r>
          </w:p>
          <w:p w14:paraId="7608D4D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8、电话远程广播，支持构建电话会议。</w:t>
            </w:r>
          </w:p>
          <w:p w14:paraId="428423F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9、多种室内外、园林草地、近区、远程广播扬声器任由选择。</w:t>
            </w:r>
          </w:p>
        </w:tc>
      </w:tr>
      <w:tr w14:paraId="710C52BE">
        <w:tblPrEx>
          <w:tblCellMar>
            <w:top w:w="0" w:type="dxa"/>
            <w:left w:w="108" w:type="dxa"/>
            <w:bottom w:w="0" w:type="dxa"/>
            <w:right w:w="108" w:type="dxa"/>
          </w:tblCellMar>
        </w:tblPrEx>
        <w:trPr>
          <w:trHeight w:val="1873"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20CDAF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02B6CE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监控摄像机</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41C227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1、摄像机采用≥200万像素数字IP网络型，支持H.265。</w:t>
            </w:r>
          </w:p>
          <w:p w14:paraId="77559E5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2、集成了视音频采集、智能编码压缩及网络传输等多种功能。</w:t>
            </w:r>
          </w:p>
          <w:p w14:paraId="672CFABE">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3、采用嵌入式操作系统和高性能硬件处理平台，具有较高稳定性和可靠性。</w:t>
            </w:r>
          </w:p>
          <w:p w14:paraId="664FEB0D">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4、可以通过浏览器或客户端软件，实现远距离传输和实时视频浏览和配置等功能。</w:t>
            </w:r>
          </w:p>
          <w:p w14:paraId="23A78099">
            <w:pPr>
              <w:pStyle w:val="10"/>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5、具有本地独立存储功能，可断网存续，本地导出，安全加密。</w:t>
            </w:r>
          </w:p>
        </w:tc>
      </w:tr>
      <w:tr w14:paraId="590B9D2F">
        <w:tblPrEx>
          <w:tblCellMar>
            <w:top w:w="0" w:type="dxa"/>
            <w:left w:w="108" w:type="dxa"/>
            <w:bottom w:w="0" w:type="dxa"/>
            <w:right w:w="108" w:type="dxa"/>
          </w:tblCellMar>
        </w:tblPrEx>
        <w:trPr>
          <w:trHeight w:val="3219"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2C89B33">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0148CD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网络电话插座</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4756012E">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1、单口面板,双口面板等适合电话模块和网络模块。</w:t>
            </w:r>
          </w:p>
          <w:p w14:paraId="3B56533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2、86型。</w:t>
            </w:r>
          </w:p>
          <w:p w14:paraId="2C15C4F7">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3、类别： 单孔、双孔等，加厚、豪华，特级环保料。</w:t>
            </w:r>
          </w:p>
          <w:p w14:paraId="1FECD47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4、颜色： 乳白色等可选。</w:t>
            </w:r>
          </w:p>
          <w:p w14:paraId="37D958AA">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5、特性：嵌入面框，配有2个螺丝，安装方便。</w:t>
            </w:r>
          </w:p>
          <w:p w14:paraId="666CA12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6、配有防尘滑门用以保护模块、遮蔽灰尘和污物进入、满足数据及语音应用。</w:t>
            </w:r>
          </w:p>
          <w:p w14:paraId="5079DB7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7、产品特点：时尚美观 经久耐用。</w:t>
            </w:r>
          </w:p>
          <w:p w14:paraId="1DB895F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8、适用范围：综合网络布线，网络建设等。</w:t>
            </w:r>
          </w:p>
          <w:p w14:paraId="73902D9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9、插口标准通用（网络和电话）。</w:t>
            </w:r>
          </w:p>
        </w:tc>
      </w:tr>
      <w:tr w14:paraId="547A8FEA">
        <w:tblPrEx>
          <w:tblCellMar>
            <w:top w:w="0" w:type="dxa"/>
            <w:left w:w="108" w:type="dxa"/>
            <w:bottom w:w="0" w:type="dxa"/>
            <w:right w:w="108" w:type="dxa"/>
          </w:tblCellMar>
        </w:tblPrEx>
        <w:trPr>
          <w:trHeight w:val="2568"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6097B0D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46119BB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六类网线</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15A45C0">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1、符合TIA/EIA-568-C.2六类和ISO-IEC11801-2nd ClassE信道性能要求</w:t>
            </w:r>
          </w:p>
          <w:p w14:paraId="060907DC">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2、四对非屏蔽双绞，线对之间被内部十字支撑架分隔。</w:t>
            </w:r>
          </w:p>
          <w:p w14:paraId="46C4FBE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3、信道带宽：ACR有效带宽&gt;250MHz，性能测试达650MHz。</w:t>
            </w:r>
          </w:p>
          <w:p w14:paraId="14DD6E39">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4、防火等级：商用级CM，满足NEC标准UL1581防火规范，满足IEC60332-1标准。</w:t>
            </w:r>
          </w:p>
          <w:p w14:paraId="1FDB80A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5、支持应用：以太网10Base-T、以太网100Base-T、千兆以太网1000Base-T</w:t>
            </w:r>
          </w:p>
        </w:tc>
      </w:tr>
      <w:tr w14:paraId="52A4462D">
        <w:tblPrEx>
          <w:tblCellMar>
            <w:top w:w="0" w:type="dxa"/>
            <w:left w:w="108" w:type="dxa"/>
            <w:bottom w:w="0" w:type="dxa"/>
            <w:right w:w="108" w:type="dxa"/>
          </w:tblCellMar>
        </w:tblPrEx>
        <w:trPr>
          <w:trHeight w:val="270" w:hRule="atLeast"/>
        </w:trPr>
        <w:tc>
          <w:tcPr>
            <w:tcW w:w="5000" w:type="pct"/>
            <w:gridSpan w:val="3"/>
            <w:tcBorders>
              <w:top w:val="single" w:color="000000" w:sz="4" w:space="0"/>
              <w:left w:val="single" w:color="000000" w:sz="4" w:space="0"/>
              <w:bottom w:val="single" w:color="000000" w:sz="4" w:space="0"/>
              <w:right w:val="single" w:color="000000" w:sz="4" w:space="0"/>
            </w:tcBorders>
            <w:noWrap/>
            <w:vAlign w:val="center"/>
          </w:tcPr>
          <w:p w14:paraId="0B3F13C6">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给排水主要设备材料技术、质量要求</w:t>
            </w:r>
          </w:p>
        </w:tc>
      </w:tr>
      <w:tr w14:paraId="2DD9A52F">
        <w:tblPrEx>
          <w:tblCellMar>
            <w:top w:w="0" w:type="dxa"/>
            <w:left w:w="108" w:type="dxa"/>
            <w:bottom w:w="0" w:type="dxa"/>
            <w:right w:w="108" w:type="dxa"/>
          </w:tblCellMar>
        </w:tblPrEx>
        <w:trPr>
          <w:trHeight w:val="270"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7EE01F4">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序号</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3D2121E1">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产品名称</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57159EB">
            <w:pPr>
              <w:widowControl/>
              <w:jc w:val="center"/>
              <w:textAlignment w:val="center"/>
              <w:rPr>
                <w:rFonts w:hint="eastAsia" w:ascii="宋体" w:hAnsi="宋体" w:eastAsia="宋体" w:cs="宋体"/>
                <w:b/>
                <w:bCs/>
                <w:color w:val="auto"/>
                <w:sz w:val="23"/>
                <w:szCs w:val="23"/>
                <w:highlight w:val="none"/>
              </w:rPr>
            </w:pPr>
            <w:r>
              <w:rPr>
                <w:rFonts w:hint="eastAsia" w:ascii="宋体" w:hAnsi="宋体" w:eastAsia="宋体" w:cs="宋体"/>
                <w:b/>
                <w:bCs/>
                <w:color w:val="auto"/>
                <w:kern w:val="0"/>
                <w:sz w:val="23"/>
                <w:szCs w:val="23"/>
                <w:highlight w:val="none"/>
                <w:lang w:bidi="ar"/>
              </w:rPr>
              <w:t>产品技术要求</w:t>
            </w:r>
          </w:p>
        </w:tc>
      </w:tr>
      <w:tr w14:paraId="67AEB493">
        <w:tblPrEx>
          <w:tblCellMar>
            <w:top w:w="0" w:type="dxa"/>
            <w:left w:w="108" w:type="dxa"/>
            <w:bottom w:w="0" w:type="dxa"/>
            <w:right w:w="108" w:type="dxa"/>
          </w:tblCellMar>
        </w:tblPrEx>
        <w:trPr>
          <w:trHeight w:val="110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2BDC62B">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259DDE8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洗手盆、拖把池</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52D1017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一、产品技术要求：</w:t>
            </w:r>
          </w:p>
          <w:p w14:paraId="2146F98B">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1、台下盆，配套不锈钢存水弯，不锈钢角阀。</w:t>
            </w:r>
          </w:p>
          <w:p w14:paraId="3A6B1E3D">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2、智洁釉面或纳米抗菌陶瓷。</w:t>
            </w:r>
          </w:p>
          <w:p w14:paraId="7DA060C2">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3、尺寸：符合设计及有关规范要求。</w:t>
            </w:r>
          </w:p>
        </w:tc>
      </w:tr>
      <w:tr w14:paraId="5434D5E4">
        <w:tblPrEx>
          <w:tblCellMar>
            <w:top w:w="0" w:type="dxa"/>
            <w:left w:w="108" w:type="dxa"/>
            <w:bottom w:w="0" w:type="dxa"/>
            <w:right w:w="108" w:type="dxa"/>
          </w:tblCellMar>
        </w:tblPrEx>
        <w:trPr>
          <w:trHeight w:val="2886"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2642E6BE">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010EC816">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薄壁不锈钢管</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67AA0AC">
            <w:pPr>
              <w:widowControl/>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1、抗拉强度、硬度较高；可满足脱脂，无油；</w:t>
            </w:r>
          </w:p>
          <w:p w14:paraId="1BD1CD9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2、能承受较强的内外部载荷，稳定性好；</w:t>
            </w:r>
          </w:p>
          <w:p w14:paraId="1D4E729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3、能有效消除管道氧化现象，形成清洁焊缝，并防止管道内产生氧化颗粒物；</w:t>
            </w:r>
          </w:p>
          <w:p w14:paraId="6746D1B8">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4、连接方便、耐腐蚀、耐高温、加工性能高；</w:t>
            </w:r>
          </w:p>
          <w:p w14:paraId="3445B006">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5、外形美观，卫生、无毒，易冲洗；</w:t>
            </w:r>
          </w:p>
          <w:p w14:paraId="04EB2BB1">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6、规格：DN50、DN20、DN15等；</w:t>
            </w:r>
          </w:p>
          <w:p w14:paraId="45CBBB05">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7、漏水率低，使用寿命长；</w:t>
            </w:r>
          </w:p>
          <w:p w14:paraId="7A55C980">
            <w:pPr>
              <w:widowControl/>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8、可采用多种方式连接。</w:t>
            </w:r>
          </w:p>
        </w:tc>
      </w:tr>
      <w:tr w14:paraId="58BCDB33">
        <w:tblPrEx>
          <w:tblCellMar>
            <w:top w:w="0" w:type="dxa"/>
            <w:left w:w="108" w:type="dxa"/>
            <w:bottom w:w="0" w:type="dxa"/>
            <w:right w:w="108" w:type="dxa"/>
          </w:tblCellMar>
        </w:tblPrEx>
        <w:trPr>
          <w:trHeight w:val="260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3F969C52">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7BF752E0">
            <w:pPr>
              <w:widowControl/>
              <w:jc w:val="center"/>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医用刷手池</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692ECE11">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1、采用</w:t>
            </w:r>
            <w:r>
              <w:rPr>
                <w:rFonts w:hint="eastAsia" w:ascii="宋体" w:hAnsi="宋体" w:eastAsia="宋体" w:cs="宋体"/>
                <w:color w:val="auto"/>
                <w:kern w:val="0"/>
                <w:sz w:val="23"/>
                <w:szCs w:val="23"/>
                <w:highlight w:val="none"/>
                <w:lang w:val="en-US" w:eastAsia="zh-CN" w:bidi="ar"/>
              </w:rPr>
              <w:t>不锈钢落地式安装</w:t>
            </w:r>
            <w:r>
              <w:rPr>
                <w:rFonts w:hint="eastAsia" w:ascii="宋体" w:hAnsi="宋体" w:eastAsia="宋体" w:cs="宋体"/>
                <w:color w:val="auto"/>
                <w:kern w:val="0"/>
                <w:sz w:val="23"/>
                <w:szCs w:val="23"/>
                <w:highlight w:val="none"/>
                <w:lang w:bidi="ar"/>
              </w:rPr>
              <w:t>，人体工学设计理念，符合医护手卫生要求，整体优质304不锈钢板喷砂工艺制作，采用红外线或膝控感应供水龙头，设置挡水板,双开检修门，方便耗材更换及检修，UV杀菌装置于一体。</w:t>
            </w:r>
          </w:p>
          <w:p w14:paraId="644023AB">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2、感应式出水龙头每人一组，电控箱及线路防水处理，带漏电保护装置。</w:t>
            </w:r>
          </w:p>
          <w:p w14:paraId="011A0649">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3、配红外线感应出刷装置，配备耐热刷，刷子可高温消毒1000次以上,电动减速机含驱动连杆。</w:t>
            </w:r>
          </w:p>
          <w:p w14:paraId="196C9E0A">
            <w:pPr>
              <w:widowControl/>
              <w:jc w:val="left"/>
              <w:textAlignment w:val="center"/>
              <w:rPr>
                <w:rFonts w:hint="eastAsia" w:ascii="宋体" w:hAnsi="宋体" w:eastAsia="宋体" w:cs="宋体"/>
                <w:color w:val="auto"/>
                <w:sz w:val="23"/>
                <w:szCs w:val="23"/>
                <w:highlight w:val="none"/>
              </w:rPr>
            </w:pPr>
            <w:r>
              <w:rPr>
                <w:rFonts w:hint="eastAsia" w:ascii="宋体" w:hAnsi="宋体" w:eastAsia="宋体" w:cs="宋体"/>
                <w:color w:val="auto"/>
                <w:kern w:val="0"/>
                <w:sz w:val="23"/>
                <w:szCs w:val="23"/>
                <w:highlight w:val="none"/>
                <w:lang w:bidi="ar"/>
              </w:rPr>
              <w:t>4、配非手动膝控水嘴（含感应）、自动刷手器、感应皂液器和电热水系统，带节能控制。</w:t>
            </w:r>
          </w:p>
          <w:p w14:paraId="58209975">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5、适用于二人用感应洗手池、三人用感应洗手池</w:t>
            </w:r>
          </w:p>
          <w:p w14:paraId="5DCB3440">
            <w:pPr>
              <w:pStyle w:val="10"/>
              <w:rPr>
                <w:rFonts w:hint="eastAsia" w:ascii="宋体" w:hAnsi="宋体" w:eastAsia="宋体" w:cs="宋体"/>
                <w:color w:val="auto"/>
                <w:sz w:val="23"/>
                <w:szCs w:val="23"/>
                <w:highlight w:val="none"/>
                <w:lang w:val="en-US" w:eastAsia="zh-CN"/>
              </w:rPr>
            </w:pPr>
            <w:r>
              <w:rPr>
                <w:rFonts w:hint="eastAsia" w:ascii="宋体" w:hAnsi="宋体" w:eastAsia="宋体" w:cs="宋体"/>
                <w:color w:val="auto"/>
                <w:kern w:val="0"/>
                <w:sz w:val="23"/>
                <w:szCs w:val="23"/>
                <w:highlight w:val="none"/>
                <w:lang w:val="en-US" w:eastAsia="zh-CN" w:bidi="ar"/>
              </w:rPr>
              <w:t>6、刷手池自带挡水功能，可以满足正常挡水需求。</w:t>
            </w:r>
          </w:p>
        </w:tc>
      </w:tr>
      <w:tr w14:paraId="5B2E6814">
        <w:tblPrEx>
          <w:tblCellMar>
            <w:top w:w="0" w:type="dxa"/>
            <w:left w:w="108" w:type="dxa"/>
            <w:bottom w:w="0" w:type="dxa"/>
            <w:right w:w="108" w:type="dxa"/>
          </w:tblCellMar>
        </w:tblPrEx>
        <w:trPr>
          <w:trHeight w:val="2604" w:hRule="atLeast"/>
        </w:trPr>
        <w:tc>
          <w:tcPr>
            <w:tcW w:w="503" w:type="pct"/>
            <w:tcBorders>
              <w:top w:val="single" w:color="000000" w:sz="4" w:space="0"/>
              <w:left w:val="single" w:color="000000" w:sz="4" w:space="0"/>
              <w:bottom w:val="single" w:color="000000" w:sz="4" w:space="0"/>
              <w:right w:val="single" w:color="000000" w:sz="4" w:space="0"/>
            </w:tcBorders>
            <w:noWrap w:val="0"/>
            <w:vAlign w:val="center"/>
          </w:tcPr>
          <w:p w14:paraId="48009D17">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4</w:t>
            </w:r>
          </w:p>
        </w:tc>
        <w:tc>
          <w:tcPr>
            <w:tcW w:w="649" w:type="pct"/>
            <w:tcBorders>
              <w:top w:val="single" w:color="000000" w:sz="4" w:space="0"/>
              <w:left w:val="single" w:color="000000" w:sz="4" w:space="0"/>
              <w:bottom w:val="single" w:color="000000" w:sz="4" w:space="0"/>
              <w:right w:val="single" w:color="000000" w:sz="4" w:space="0"/>
            </w:tcBorders>
            <w:noWrap w:val="0"/>
            <w:vAlign w:val="center"/>
          </w:tcPr>
          <w:p w14:paraId="6B299FDD">
            <w:pPr>
              <w:widowControl/>
              <w:jc w:val="center"/>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感应垃圾桶</w:t>
            </w:r>
          </w:p>
        </w:tc>
        <w:tc>
          <w:tcPr>
            <w:tcW w:w="3847" w:type="pct"/>
            <w:tcBorders>
              <w:top w:val="single" w:color="000000" w:sz="4" w:space="0"/>
              <w:left w:val="single" w:color="000000" w:sz="4" w:space="0"/>
              <w:bottom w:val="single" w:color="000000" w:sz="4" w:space="0"/>
              <w:right w:val="single" w:color="000000" w:sz="4" w:space="0"/>
            </w:tcBorders>
            <w:noWrap w:val="0"/>
            <w:vAlign w:val="center"/>
          </w:tcPr>
          <w:p w14:paraId="798E7107">
            <w:pPr>
              <w:widowControl/>
              <w:jc w:val="left"/>
              <w:textAlignment w:val="center"/>
              <w:rPr>
                <w:rFonts w:hint="eastAsia" w:ascii="宋体" w:hAnsi="宋体" w:eastAsia="宋体" w:cs="宋体"/>
                <w:color w:val="auto"/>
                <w:kern w:val="0"/>
                <w:sz w:val="23"/>
                <w:szCs w:val="23"/>
                <w:highlight w:val="none"/>
                <w:lang w:bidi="ar"/>
              </w:rPr>
            </w:pPr>
            <w:r>
              <w:rPr>
                <w:rFonts w:hint="eastAsia" w:ascii="宋体" w:hAnsi="宋体" w:eastAsia="宋体" w:cs="宋体"/>
                <w:color w:val="auto"/>
                <w:kern w:val="0"/>
                <w:sz w:val="23"/>
                <w:szCs w:val="23"/>
                <w:highlight w:val="none"/>
                <w:lang w:bidi="ar"/>
              </w:rPr>
              <w:t>1、感应类型：医用标配红外+微波双传感（防强光/消毒液雾气误触发），防路过自动开盖。</w:t>
            </w:r>
          </w:p>
          <w:p w14:paraId="21D9FEAB">
            <w:pPr>
              <w:pStyle w:val="1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2、感应距离：18~28㎝可调。</w:t>
            </w:r>
          </w:p>
          <w:p w14:paraId="29A59621">
            <w:pPr>
              <w:pStyle w:val="11"/>
              <w:ind w:left="0" w:leftChars="0" w:firstLine="0" w:firstLineChars="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3、开盖响应：≤0.3S快速开盖，离手5~8S缓降静音闭合，支持常启锁定。</w:t>
            </w:r>
          </w:p>
          <w:p w14:paraId="49AAC561">
            <w:pP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4、防护等级：电路板IPX5防水，耐消毒液喷淋、潮湿病房环境。</w:t>
            </w:r>
          </w:p>
          <w:p w14:paraId="7D1A404F">
            <w:pPr>
              <w:pStyle w:val="1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5、供电续航：电池款/充电款多种可选，续航时间平均6~8个月。</w:t>
            </w:r>
          </w:p>
          <w:p w14:paraId="6EED1B06">
            <w:pPr>
              <w:pStyle w:val="11"/>
              <w:ind w:left="0" w:leftChars="0" w:firstLine="0" w:firstLineChars="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6、附加功能：可额外附加紫外抑菌、臭氧除臭、满溢蜂鸣提醒。</w:t>
            </w:r>
          </w:p>
        </w:tc>
      </w:tr>
    </w:tbl>
    <w:p w14:paraId="10DF7EC9">
      <w:pPr>
        <w:rPr>
          <w:rFonts w:hint="eastAsia" w:ascii="宋体" w:hAnsi="宋体" w:eastAsia="宋体" w:cs="宋体"/>
          <w:b/>
          <w:bCs/>
          <w:color w:val="auto"/>
          <w:sz w:val="23"/>
          <w:szCs w:val="23"/>
          <w:highlight w:val="none"/>
        </w:rPr>
      </w:pPr>
      <w:r>
        <w:rPr>
          <w:rFonts w:hint="eastAsia" w:ascii="宋体" w:hAnsi="宋体" w:eastAsia="宋体" w:cs="宋体"/>
          <w:color w:val="auto"/>
          <w:sz w:val="23"/>
          <w:szCs w:val="23"/>
          <w:highlight w:val="none"/>
        </w:rPr>
        <w:br w:type="page"/>
      </w:r>
    </w:p>
    <w:p w14:paraId="2E3F971E">
      <w:pPr>
        <w:widowControl/>
        <w:kinsoku w:val="0"/>
        <w:autoSpaceDE w:val="0"/>
        <w:autoSpaceDN w:val="0"/>
        <w:adjustRightInd w:val="0"/>
        <w:snapToGrid w:val="0"/>
        <w:spacing w:line="420" w:lineRule="exact"/>
        <w:ind w:firstLine="466" w:firstLineChars="200"/>
        <w:jc w:val="left"/>
        <w:textAlignment w:val="baseline"/>
        <w:rPr>
          <w:rFonts w:hint="eastAsia" w:ascii="宋体" w:hAnsi="宋体" w:eastAsia="宋体" w:cs="宋体"/>
          <w:b/>
          <w:bCs/>
          <w:snapToGrid w:val="0"/>
          <w:color w:val="auto"/>
          <w:spacing w:val="1"/>
          <w:kern w:val="0"/>
          <w:sz w:val="23"/>
          <w:szCs w:val="23"/>
          <w:highlight w:val="none"/>
          <w:lang w:val="en-US" w:eastAsia="zh-CN"/>
        </w:rPr>
      </w:pPr>
      <w:r>
        <w:rPr>
          <w:rFonts w:hint="eastAsia" w:ascii="宋体" w:hAnsi="宋体" w:eastAsia="宋体" w:cs="宋体"/>
          <w:b/>
          <w:bCs/>
          <w:snapToGrid w:val="0"/>
          <w:color w:val="auto"/>
          <w:spacing w:val="1"/>
          <w:kern w:val="0"/>
          <w:sz w:val="23"/>
          <w:szCs w:val="23"/>
          <w:highlight w:val="none"/>
          <w:lang w:val="en-US" w:eastAsia="zh-CN"/>
        </w:rPr>
        <w:t>参考品牌</w:t>
      </w:r>
    </w:p>
    <w:tbl>
      <w:tblPr>
        <w:tblStyle w:val="31"/>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700"/>
        <w:gridCol w:w="2830"/>
        <w:gridCol w:w="4080"/>
        <w:gridCol w:w="1480"/>
      </w:tblGrid>
      <w:tr w14:paraId="1C481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000" w:type="pct"/>
            <w:gridSpan w:val="4"/>
            <w:tcBorders>
              <w:top w:val="single" w:color="000000" w:sz="8" w:space="0"/>
              <w:left w:val="single" w:color="000000" w:sz="8" w:space="0"/>
              <w:bottom w:val="single" w:color="000000" w:sz="8" w:space="0"/>
              <w:right w:val="single" w:color="000000" w:sz="8" w:space="0"/>
            </w:tcBorders>
            <w:noWrap/>
            <w:vAlign w:val="center"/>
          </w:tcPr>
          <w:p w14:paraId="5F351D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主要设备材料品牌参考——检验病理</w:t>
            </w:r>
          </w:p>
        </w:tc>
      </w:tr>
      <w:tr w14:paraId="07D53D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5" w:type="pct"/>
            <w:tcBorders>
              <w:top w:val="nil"/>
              <w:left w:val="single" w:color="000000" w:sz="8" w:space="0"/>
              <w:bottom w:val="single" w:color="000000" w:sz="8" w:space="0"/>
              <w:right w:val="single" w:color="000000" w:sz="8" w:space="0"/>
            </w:tcBorders>
            <w:noWrap/>
            <w:vAlign w:val="center"/>
          </w:tcPr>
          <w:p w14:paraId="515448E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序号</w:t>
            </w:r>
          </w:p>
        </w:tc>
        <w:tc>
          <w:tcPr>
            <w:tcW w:w="1556" w:type="pct"/>
            <w:tcBorders>
              <w:top w:val="single" w:color="000000" w:sz="8" w:space="0"/>
              <w:left w:val="single" w:color="000000" w:sz="8" w:space="0"/>
              <w:bottom w:val="single" w:color="000000" w:sz="8" w:space="0"/>
              <w:right w:val="single" w:color="000000" w:sz="8" w:space="0"/>
            </w:tcBorders>
            <w:noWrap/>
            <w:vAlign w:val="center"/>
          </w:tcPr>
          <w:p w14:paraId="2AF96DC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材料设备名称</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6D38D69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参考品牌</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2DA65B0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备注</w:t>
            </w:r>
          </w:p>
        </w:tc>
      </w:tr>
      <w:tr w14:paraId="0B7B45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5BFA750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一、实验室家具</w:t>
            </w:r>
          </w:p>
        </w:tc>
        <w:tc>
          <w:tcPr>
            <w:tcW w:w="814" w:type="pct"/>
            <w:tcBorders>
              <w:top w:val="nil"/>
              <w:left w:val="single" w:color="000000" w:sz="8" w:space="0"/>
              <w:bottom w:val="single" w:color="000000" w:sz="8" w:space="0"/>
              <w:right w:val="single" w:color="000000" w:sz="8" w:space="0"/>
            </w:tcBorders>
            <w:noWrap w:val="0"/>
            <w:vAlign w:val="center"/>
          </w:tcPr>
          <w:p w14:paraId="2F702AE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3BF4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385" w:type="pct"/>
            <w:tcBorders>
              <w:top w:val="nil"/>
              <w:left w:val="single" w:color="000000" w:sz="8" w:space="0"/>
              <w:bottom w:val="single" w:color="000000" w:sz="8" w:space="0"/>
              <w:right w:val="single" w:color="000000" w:sz="8" w:space="0"/>
            </w:tcBorders>
            <w:noWrap/>
            <w:vAlign w:val="center"/>
          </w:tcPr>
          <w:p w14:paraId="2B80622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556" w:type="pct"/>
            <w:tcBorders>
              <w:top w:val="nil"/>
              <w:left w:val="single" w:color="000000" w:sz="8" w:space="0"/>
              <w:bottom w:val="single" w:color="000000" w:sz="8" w:space="0"/>
              <w:right w:val="single" w:color="000000" w:sz="8" w:space="0"/>
            </w:tcBorders>
            <w:noWrap w:val="0"/>
            <w:vAlign w:val="center"/>
          </w:tcPr>
          <w:p w14:paraId="293D921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钢制功能柱、中央台、边台、转角台、脱水台、仪器台、水槽柜、通风柜</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1693E69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上海飞域、浙江巨利、江苏新诺同档次及以上</w:t>
            </w:r>
          </w:p>
        </w:tc>
        <w:tc>
          <w:tcPr>
            <w:tcW w:w="814" w:type="pct"/>
            <w:vMerge w:val="restart"/>
            <w:tcBorders>
              <w:top w:val="single" w:color="000000" w:sz="8" w:space="0"/>
              <w:left w:val="single" w:color="000000" w:sz="8" w:space="0"/>
              <w:bottom w:val="single" w:color="000000" w:sz="8" w:space="0"/>
              <w:right w:val="single" w:color="000000" w:sz="8" w:space="0"/>
            </w:tcBorders>
            <w:noWrap w:val="0"/>
            <w:vAlign w:val="center"/>
          </w:tcPr>
          <w:p w14:paraId="1EF1FFD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3152B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0" w:hRule="atLeast"/>
        </w:trPr>
        <w:tc>
          <w:tcPr>
            <w:tcW w:w="385" w:type="pct"/>
            <w:tcBorders>
              <w:top w:val="nil"/>
              <w:left w:val="single" w:color="000000" w:sz="8" w:space="0"/>
              <w:bottom w:val="single" w:color="000000" w:sz="8" w:space="0"/>
              <w:right w:val="single" w:color="000000" w:sz="8" w:space="0"/>
            </w:tcBorders>
            <w:noWrap/>
            <w:vAlign w:val="center"/>
          </w:tcPr>
          <w:p w14:paraId="3E98C58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556" w:type="pct"/>
            <w:tcBorders>
              <w:top w:val="nil"/>
              <w:left w:val="single" w:color="000000" w:sz="8" w:space="0"/>
              <w:bottom w:val="single" w:color="000000" w:sz="8" w:space="0"/>
              <w:right w:val="single" w:color="000000" w:sz="8" w:space="0"/>
            </w:tcBorders>
            <w:noWrap w:val="0"/>
            <w:vAlign w:val="center"/>
          </w:tcPr>
          <w:p w14:paraId="432256F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净气型试剂柜</w:t>
            </w:r>
          </w:p>
        </w:tc>
        <w:tc>
          <w:tcPr>
            <w:tcW w:w="2244" w:type="pct"/>
            <w:tcBorders>
              <w:top w:val="nil"/>
              <w:left w:val="single" w:color="000000" w:sz="8" w:space="0"/>
              <w:bottom w:val="single" w:color="000000" w:sz="8" w:space="0"/>
              <w:right w:val="single" w:color="000000" w:sz="8" w:space="0"/>
            </w:tcBorders>
            <w:noWrap/>
            <w:vAlign w:val="center"/>
          </w:tcPr>
          <w:p w14:paraId="6A5F36B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广胜科技、泽楷、毕恩思同档次及以上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2440628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D31DC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55FBFC8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1556" w:type="pct"/>
            <w:tcBorders>
              <w:top w:val="nil"/>
              <w:left w:val="single" w:color="000000" w:sz="8" w:space="0"/>
              <w:bottom w:val="single" w:color="000000" w:sz="8" w:space="0"/>
              <w:right w:val="single" w:color="000000" w:sz="8" w:space="0"/>
            </w:tcBorders>
            <w:noWrap/>
            <w:vAlign w:val="center"/>
          </w:tcPr>
          <w:p w14:paraId="4476A58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滴水架</w:t>
            </w:r>
          </w:p>
        </w:tc>
        <w:tc>
          <w:tcPr>
            <w:tcW w:w="2244" w:type="pct"/>
            <w:tcBorders>
              <w:top w:val="nil"/>
              <w:left w:val="single" w:color="000000" w:sz="8" w:space="0"/>
              <w:bottom w:val="single" w:color="000000" w:sz="8" w:space="0"/>
              <w:right w:val="single" w:color="000000" w:sz="8" w:space="0"/>
            </w:tcBorders>
            <w:noWrap/>
            <w:vAlign w:val="center"/>
          </w:tcPr>
          <w:p w14:paraId="55A933D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800A62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5813B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B48E0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556" w:type="pct"/>
            <w:tcBorders>
              <w:top w:val="nil"/>
              <w:left w:val="single" w:color="000000" w:sz="8" w:space="0"/>
              <w:bottom w:val="single" w:color="000000" w:sz="8" w:space="0"/>
              <w:right w:val="single" w:color="000000" w:sz="8" w:space="0"/>
            </w:tcBorders>
            <w:noWrap/>
            <w:vAlign w:val="center"/>
          </w:tcPr>
          <w:p w14:paraId="2C83BD4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器皿柜、试剂柜、货架</w:t>
            </w:r>
          </w:p>
        </w:tc>
        <w:tc>
          <w:tcPr>
            <w:tcW w:w="2244" w:type="pct"/>
            <w:tcBorders>
              <w:top w:val="nil"/>
              <w:left w:val="single" w:color="000000" w:sz="8" w:space="0"/>
              <w:bottom w:val="single" w:color="000000" w:sz="8" w:space="0"/>
              <w:right w:val="single" w:color="000000" w:sz="8" w:space="0"/>
            </w:tcBorders>
            <w:noWrap/>
            <w:vAlign w:val="center"/>
          </w:tcPr>
          <w:p w14:paraId="61EBE3E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D86CBE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D5B65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19BA42D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1556" w:type="pct"/>
            <w:tcBorders>
              <w:top w:val="nil"/>
              <w:left w:val="single" w:color="000000" w:sz="8" w:space="0"/>
              <w:bottom w:val="single" w:color="000000" w:sz="8" w:space="0"/>
              <w:right w:val="single" w:color="000000" w:sz="8" w:space="0"/>
            </w:tcBorders>
            <w:noWrap/>
            <w:vAlign w:val="center"/>
          </w:tcPr>
          <w:p w14:paraId="75451FE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PP水槽</w:t>
            </w:r>
          </w:p>
        </w:tc>
        <w:tc>
          <w:tcPr>
            <w:tcW w:w="2244" w:type="pct"/>
            <w:tcBorders>
              <w:top w:val="nil"/>
              <w:left w:val="single" w:color="000000" w:sz="8" w:space="0"/>
              <w:bottom w:val="single" w:color="000000" w:sz="8" w:space="0"/>
              <w:right w:val="single" w:color="000000" w:sz="8" w:space="0"/>
            </w:tcBorders>
            <w:noWrap/>
            <w:vAlign w:val="center"/>
          </w:tcPr>
          <w:p w14:paraId="425ADD1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612D109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53C8C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5DA01F3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1556" w:type="pct"/>
            <w:tcBorders>
              <w:top w:val="nil"/>
              <w:left w:val="single" w:color="000000" w:sz="8" w:space="0"/>
              <w:bottom w:val="single" w:color="000000" w:sz="8" w:space="0"/>
              <w:right w:val="single" w:color="000000" w:sz="8" w:space="0"/>
            </w:tcBorders>
            <w:noWrap/>
            <w:vAlign w:val="center"/>
          </w:tcPr>
          <w:p w14:paraId="72941E0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三口水龙头</w:t>
            </w:r>
          </w:p>
        </w:tc>
        <w:tc>
          <w:tcPr>
            <w:tcW w:w="2244" w:type="pct"/>
            <w:tcBorders>
              <w:top w:val="nil"/>
              <w:left w:val="single" w:color="000000" w:sz="8" w:space="0"/>
              <w:bottom w:val="single" w:color="000000" w:sz="8" w:space="0"/>
              <w:right w:val="single" w:color="000000" w:sz="8" w:space="0"/>
            </w:tcBorders>
            <w:noWrap/>
            <w:vAlign w:val="center"/>
          </w:tcPr>
          <w:p w14:paraId="44BF40C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35B1E19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9EE78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A972E0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7</w:t>
            </w:r>
          </w:p>
        </w:tc>
        <w:tc>
          <w:tcPr>
            <w:tcW w:w="1556" w:type="pct"/>
            <w:tcBorders>
              <w:top w:val="nil"/>
              <w:left w:val="single" w:color="000000" w:sz="8" w:space="0"/>
              <w:bottom w:val="single" w:color="000000" w:sz="8" w:space="0"/>
              <w:right w:val="single" w:color="000000" w:sz="8" w:space="0"/>
            </w:tcBorders>
            <w:noWrap/>
            <w:vAlign w:val="center"/>
          </w:tcPr>
          <w:p w14:paraId="5B6866C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感应水龙头</w:t>
            </w:r>
          </w:p>
        </w:tc>
        <w:tc>
          <w:tcPr>
            <w:tcW w:w="2244" w:type="pct"/>
            <w:tcBorders>
              <w:top w:val="nil"/>
              <w:left w:val="single" w:color="000000" w:sz="8" w:space="0"/>
              <w:bottom w:val="single" w:color="000000" w:sz="8" w:space="0"/>
              <w:right w:val="single" w:color="000000" w:sz="8" w:space="0"/>
            </w:tcBorders>
            <w:noWrap/>
            <w:vAlign w:val="center"/>
          </w:tcPr>
          <w:p w14:paraId="2098284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FAD021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DA061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538CD3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8</w:t>
            </w:r>
          </w:p>
        </w:tc>
        <w:tc>
          <w:tcPr>
            <w:tcW w:w="1556" w:type="pct"/>
            <w:tcBorders>
              <w:top w:val="nil"/>
              <w:left w:val="single" w:color="000000" w:sz="8" w:space="0"/>
              <w:bottom w:val="single" w:color="000000" w:sz="8" w:space="0"/>
              <w:right w:val="single" w:color="000000" w:sz="8" w:space="0"/>
            </w:tcBorders>
            <w:noWrap/>
            <w:vAlign w:val="center"/>
          </w:tcPr>
          <w:p w14:paraId="1FDAEE8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单口洗眼器</w:t>
            </w:r>
          </w:p>
        </w:tc>
        <w:tc>
          <w:tcPr>
            <w:tcW w:w="2244" w:type="pct"/>
            <w:tcBorders>
              <w:top w:val="nil"/>
              <w:left w:val="single" w:color="000000" w:sz="8" w:space="0"/>
              <w:bottom w:val="single" w:color="000000" w:sz="8" w:space="0"/>
              <w:right w:val="single" w:color="000000" w:sz="8" w:space="0"/>
            </w:tcBorders>
            <w:noWrap/>
            <w:vAlign w:val="center"/>
          </w:tcPr>
          <w:p w14:paraId="4A25D5B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CEFF1B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6A06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1F86A06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9</w:t>
            </w:r>
          </w:p>
        </w:tc>
        <w:tc>
          <w:tcPr>
            <w:tcW w:w="1556" w:type="pct"/>
            <w:tcBorders>
              <w:top w:val="nil"/>
              <w:left w:val="single" w:color="000000" w:sz="8" w:space="0"/>
              <w:bottom w:val="single" w:color="000000" w:sz="8" w:space="0"/>
              <w:right w:val="single" w:color="000000" w:sz="8" w:space="0"/>
            </w:tcBorders>
            <w:noWrap/>
            <w:vAlign w:val="center"/>
          </w:tcPr>
          <w:p w14:paraId="6FD71FB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紧急冲淋带洗眼器</w:t>
            </w:r>
          </w:p>
        </w:tc>
        <w:tc>
          <w:tcPr>
            <w:tcW w:w="2244" w:type="pct"/>
            <w:tcBorders>
              <w:top w:val="nil"/>
              <w:left w:val="single" w:color="000000" w:sz="8" w:space="0"/>
              <w:bottom w:val="single" w:color="000000" w:sz="8" w:space="0"/>
              <w:right w:val="single" w:color="000000" w:sz="8" w:space="0"/>
            </w:tcBorders>
            <w:noWrap/>
            <w:vAlign w:val="center"/>
          </w:tcPr>
          <w:p w14:paraId="0C302C8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4F97BE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C273F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21F5705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10</w:t>
            </w:r>
          </w:p>
        </w:tc>
        <w:tc>
          <w:tcPr>
            <w:tcW w:w="1556" w:type="pct"/>
            <w:tcBorders>
              <w:top w:val="nil"/>
              <w:left w:val="single" w:color="000000" w:sz="8" w:space="0"/>
              <w:bottom w:val="single" w:color="000000" w:sz="8" w:space="0"/>
              <w:right w:val="single" w:color="000000" w:sz="8" w:space="0"/>
            </w:tcBorders>
            <w:noWrap/>
            <w:vAlign w:val="center"/>
          </w:tcPr>
          <w:p w14:paraId="5C46D1D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万向抽气罩</w:t>
            </w:r>
          </w:p>
        </w:tc>
        <w:tc>
          <w:tcPr>
            <w:tcW w:w="2244" w:type="pct"/>
            <w:tcBorders>
              <w:top w:val="nil"/>
              <w:left w:val="single" w:color="000000" w:sz="8" w:space="0"/>
              <w:bottom w:val="single" w:color="000000" w:sz="8" w:space="0"/>
              <w:right w:val="single" w:color="000000" w:sz="8" w:space="0"/>
            </w:tcBorders>
            <w:noWrap/>
            <w:vAlign w:val="center"/>
          </w:tcPr>
          <w:p w14:paraId="636E93C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科恩、润旺达、博朗同档次及以上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3B1806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01A1D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4AA459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二、装饰专业</w:t>
            </w:r>
          </w:p>
        </w:tc>
        <w:tc>
          <w:tcPr>
            <w:tcW w:w="814" w:type="pct"/>
            <w:tcBorders>
              <w:top w:val="nil"/>
              <w:left w:val="single" w:color="000000" w:sz="8" w:space="0"/>
              <w:bottom w:val="single" w:color="000000" w:sz="8" w:space="0"/>
              <w:right w:val="single" w:color="000000" w:sz="8" w:space="0"/>
            </w:tcBorders>
            <w:noWrap w:val="0"/>
            <w:vAlign w:val="center"/>
          </w:tcPr>
          <w:p w14:paraId="2EED1F9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0EE4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0871FCD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11</w:t>
            </w:r>
          </w:p>
        </w:tc>
        <w:tc>
          <w:tcPr>
            <w:tcW w:w="1556" w:type="pct"/>
            <w:tcBorders>
              <w:top w:val="nil"/>
              <w:left w:val="single" w:color="000000" w:sz="8" w:space="0"/>
              <w:bottom w:val="single" w:color="000000" w:sz="8" w:space="0"/>
              <w:right w:val="single" w:color="000000" w:sz="8" w:space="0"/>
            </w:tcBorders>
            <w:noWrap/>
            <w:vAlign w:val="center"/>
          </w:tcPr>
          <w:p w14:paraId="674F95A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手工双玻镁岩棉医疗彩钢板</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148423D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林森、华翱、万事达同档次及以上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1127B67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1E68D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423061D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12</w:t>
            </w:r>
          </w:p>
        </w:tc>
        <w:tc>
          <w:tcPr>
            <w:tcW w:w="1556" w:type="pct"/>
            <w:tcBorders>
              <w:top w:val="nil"/>
              <w:left w:val="single" w:color="000000" w:sz="8" w:space="0"/>
              <w:bottom w:val="single" w:color="000000" w:sz="8" w:space="0"/>
              <w:right w:val="single" w:color="000000" w:sz="8" w:space="0"/>
            </w:tcBorders>
            <w:noWrap/>
            <w:vAlign w:val="center"/>
          </w:tcPr>
          <w:p w14:paraId="1D3CB75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乳胶漆</w:t>
            </w:r>
          </w:p>
        </w:tc>
        <w:tc>
          <w:tcPr>
            <w:tcW w:w="2244" w:type="pct"/>
            <w:tcBorders>
              <w:top w:val="nil"/>
              <w:left w:val="single" w:color="000000" w:sz="8" w:space="0"/>
              <w:bottom w:val="single" w:color="000000" w:sz="8" w:space="0"/>
              <w:right w:val="single" w:color="000000" w:sz="8" w:space="0"/>
            </w:tcBorders>
            <w:noWrap/>
            <w:vAlign w:val="center"/>
          </w:tcPr>
          <w:p w14:paraId="20AA947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立邦、多乐士、三棵树同档次及以上</w:t>
            </w:r>
          </w:p>
        </w:tc>
        <w:tc>
          <w:tcPr>
            <w:tcW w:w="814" w:type="pct"/>
            <w:tcBorders>
              <w:top w:val="nil"/>
              <w:left w:val="single" w:color="000000" w:sz="8" w:space="0"/>
              <w:bottom w:val="single" w:color="000000" w:sz="8" w:space="0"/>
              <w:right w:val="single" w:color="000000" w:sz="8" w:space="0"/>
            </w:tcBorders>
            <w:noWrap w:val="0"/>
            <w:vAlign w:val="center"/>
          </w:tcPr>
          <w:p w14:paraId="3BE3CCB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14F5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25CD3E3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13</w:t>
            </w:r>
          </w:p>
        </w:tc>
        <w:tc>
          <w:tcPr>
            <w:tcW w:w="1556" w:type="pct"/>
            <w:tcBorders>
              <w:top w:val="nil"/>
              <w:left w:val="single" w:color="000000" w:sz="8" w:space="0"/>
              <w:bottom w:val="single" w:color="000000" w:sz="8" w:space="0"/>
              <w:right w:val="single" w:color="000000" w:sz="8" w:space="0"/>
            </w:tcBorders>
            <w:noWrap/>
            <w:vAlign w:val="center"/>
          </w:tcPr>
          <w:p w14:paraId="66D422C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PVC卷材</w:t>
            </w:r>
          </w:p>
        </w:tc>
        <w:tc>
          <w:tcPr>
            <w:tcW w:w="2244" w:type="pct"/>
            <w:tcBorders>
              <w:top w:val="nil"/>
              <w:left w:val="single" w:color="000000" w:sz="8" w:space="0"/>
              <w:bottom w:val="single" w:color="000000" w:sz="8" w:space="0"/>
              <w:right w:val="single" w:color="000000" w:sz="8" w:space="0"/>
            </w:tcBorders>
            <w:noWrap w:val="0"/>
            <w:vAlign w:val="center"/>
          </w:tcPr>
          <w:p w14:paraId="48E715E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得嘉、洁弗乐、阿姆斯壮同档次及以上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5B716B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AC1D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2D9CD78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14</w:t>
            </w:r>
          </w:p>
        </w:tc>
        <w:tc>
          <w:tcPr>
            <w:tcW w:w="1556" w:type="pct"/>
            <w:tcBorders>
              <w:top w:val="nil"/>
              <w:left w:val="single" w:color="000000" w:sz="8" w:space="0"/>
              <w:bottom w:val="single" w:color="000000" w:sz="8" w:space="0"/>
              <w:right w:val="single" w:color="000000" w:sz="8" w:space="0"/>
            </w:tcBorders>
            <w:noWrap/>
            <w:vAlign w:val="center"/>
          </w:tcPr>
          <w:p w14:paraId="7ADD7C1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洁净钢质门</w:t>
            </w:r>
          </w:p>
        </w:tc>
        <w:tc>
          <w:tcPr>
            <w:tcW w:w="2244" w:type="pct"/>
            <w:tcBorders>
              <w:top w:val="nil"/>
              <w:left w:val="single" w:color="000000" w:sz="8" w:space="0"/>
              <w:bottom w:val="single" w:color="000000" w:sz="8" w:space="0"/>
              <w:right w:val="single" w:color="000000" w:sz="8" w:space="0"/>
            </w:tcBorders>
            <w:noWrap/>
            <w:vAlign w:val="center"/>
          </w:tcPr>
          <w:p w14:paraId="345393D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欧尼克、纳博克、必盛同档次及以上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13D6E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79D27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4AA35F2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15</w:t>
            </w:r>
          </w:p>
        </w:tc>
        <w:tc>
          <w:tcPr>
            <w:tcW w:w="1556" w:type="pct"/>
            <w:tcBorders>
              <w:top w:val="nil"/>
              <w:left w:val="single" w:color="000000" w:sz="8" w:space="0"/>
              <w:bottom w:val="single" w:color="000000" w:sz="8" w:space="0"/>
              <w:right w:val="single" w:color="000000" w:sz="8" w:space="0"/>
            </w:tcBorders>
            <w:noWrap/>
            <w:vAlign w:val="center"/>
          </w:tcPr>
          <w:p w14:paraId="5B397B0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电动玻璃移门</w:t>
            </w:r>
          </w:p>
        </w:tc>
        <w:tc>
          <w:tcPr>
            <w:tcW w:w="2244" w:type="pct"/>
            <w:tcBorders>
              <w:top w:val="nil"/>
              <w:left w:val="single" w:color="000000" w:sz="8" w:space="0"/>
              <w:bottom w:val="single" w:color="000000" w:sz="8" w:space="0"/>
              <w:right w:val="single" w:color="000000" w:sz="8" w:space="0"/>
            </w:tcBorders>
            <w:noWrap/>
            <w:vAlign w:val="center"/>
          </w:tcPr>
          <w:p w14:paraId="6628ABC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欧尼克、纳博克、必盛同档次及以上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86C14A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F24D6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665C65D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16</w:t>
            </w:r>
          </w:p>
        </w:tc>
        <w:tc>
          <w:tcPr>
            <w:tcW w:w="1556" w:type="pct"/>
            <w:tcBorders>
              <w:top w:val="nil"/>
              <w:left w:val="single" w:color="000000" w:sz="8" w:space="0"/>
              <w:bottom w:val="single" w:color="000000" w:sz="8" w:space="0"/>
              <w:right w:val="single" w:color="000000" w:sz="8" w:space="0"/>
            </w:tcBorders>
            <w:noWrap/>
            <w:vAlign w:val="center"/>
          </w:tcPr>
          <w:p w14:paraId="1312CE8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传递窗</w:t>
            </w:r>
          </w:p>
        </w:tc>
        <w:tc>
          <w:tcPr>
            <w:tcW w:w="2244" w:type="pct"/>
            <w:tcBorders>
              <w:top w:val="nil"/>
              <w:left w:val="single" w:color="000000" w:sz="8" w:space="0"/>
              <w:bottom w:val="single" w:color="000000" w:sz="8" w:space="0"/>
              <w:right w:val="single" w:color="000000" w:sz="8" w:space="0"/>
            </w:tcBorders>
            <w:noWrap w:val="0"/>
            <w:vAlign w:val="center"/>
          </w:tcPr>
          <w:p w14:paraId="38885DF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劲荣、智迪锐、鸿涛同档次及以上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2D6D96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703E2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5A44EB5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17</w:t>
            </w:r>
          </w:p>
        </w:tc>
        <w:tc>
          <w:tcPr>
            <w:tcW w:w="1556" w:type="pct"/>
            <w:tcBorders>
              <w:top w:val="nil"/>
              <w:left w:val="single" w:color="000000" w:sz="8" w:space="0"/>
              <w:bottom w:val="single" w:color="000000" w:sz="8" w:space="0"/>
              <w:right w:val="single" w:color="000000" w:sz="8" w:space="0"/>
            </w:tcBorders>
            <w:noWrap/>
            <w:vAlign w:val="center"/>
          </w:tcPr>
          <w:p w14:paraId="50080B6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观察窗</w:t>
            </w:r>
          </w:p>
        </w:tc>
        <w:tc>
          <w:tcPr>
            <w:tcW w:w="2244" w:type="pct"/>
            <w:tcBorders>
              <w:top w:val="nil"/>
              <w:left w:val="single" w:color="000000" w:sz="8" w:space="0"/>
              <w:bottom w:val="single" w:color="000000" w:sz="8" w:space="0"/>
              <w:right w:val="single" w:color="000000" w:sz="8" w:space="0"/>
            </w:tcBorders>
            <w:noWrap/>
            <w:vAlign w:val="center"/>
          </w:tcPr>
          <w:p w14:paraId="7997E19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智迪锐、鸿涛、佰伦同档次及以上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6503C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1C54E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7BDD63E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18</w:t>
            </w:r>
          </w:p>
        </w:tc>
        <w:tc>
          <w:tcPr>
            <w:tcW w:w="1556" w:type="pct"/>
            <w:tcBorders>
              <w:top w:val="nil"/>
              <w:left w:val="single" w:color="000000" w:sz="8" w:space="0"/>
              <w:bottom w:val="single" w:color="000000" w:sz="8" w:space="0"/>
              <w:right w:val="single" w:color="000000" w:sz="8" w:space="0"/>
            </w:tcBorders>
            <w:noWrap/>
            <w:vAlign w:val="center"/>
          </w:tcPr>
          <w:p w14:paraId="69F8296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铝扣板</w:t>
            </w:r>
          </w:p>
        </w:tc>
        <w:tc>
          <w:tcPr>
            <w:tcW w:w="2244" w:type="pct"/>
            <w:tcBorders>
              <w:top w:val="nil"/>
              <w:left w:val="single" w:color="000000" w:sz="8" w:space="0"/>
              <w:bottom w:val="single" w:color="000000" w:sz="8" w:space="0"/>
              <w:right w:val="single" w:color="000000" w:sz="8" w:space="0"/>
            </w:tcBorders>
            <w:noWrap/>
            <w:vAlign w:val="center"/>
          </w:tcPr>
          <w:p w14:paraId="15639A4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银飞、欧陆、友邦同档次及以上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EEE059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74B13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6E2C07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19</w:t>
            </w:r>
          </w:p>
        </w:tc>
        <w:tc>
          <w:tcPr>
            <w:tcW w:w="1556" w:type="pct"/>
            <w:tcBorders>
              <w:top w:val="nil"/>
              <w:left w:val="single" w:color="000000" w:sz="8" w:space="0"/>
              <w:bottom w:val="single" w:color="000000" w:sz="8" w:space="0"/>
              <w:right w:val="single" w:color="000000" w:sz="8" w:space="0"/>
            </w:tcBorders>
            <w:noWrap w:val="0"/>
            <w:vAlign w:val="center"/>
          </w:tcPr>
          <w:p w14:paraId="65F683F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瓷砖</w:t>
            </w:r>
          </w:p>
        </w:tc>
        <w:tc>
          <w:tcPr>
            <w:tcW w:w="2244" w:type="pct"/>
            <w:tcBorders>
              <w:top w:val="nil"/>
              <w:left w:val="single" w:color="000000" w:sz="8" w:space="0"/>
              <w:bottom w:val="single" w:color="000000" w:sz="8" w:space="0"/>
              <w:right w:val="single" w:color="000000" w:sz="8" w:space="0"/>
            </w:tcBorders>
            <w:noWrap/>
            <w:vAlign w:val="center"/>
          </w:tcPr>
          <w:p w14:paraId="337FA85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诺贝尔、东鹏、冠军同档次及以上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165F80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7B8AB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29056AF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20</w:t>
            </w:r>
          </w:p>
        </w:tc>
        <w:tc>
          <w:tcPr>
            <w:tcW w:w="1556" w:type="pct"/>
            <w:tcBorders>
              <w:top w:val="nil"/>
              <w:left w:val="single" w:color="000000" w:sz="8" w:space="0"/>
              <w:bottom w:val="single" w:color="000000" w:sz="8" w:space="0"/>
              <w:right w:val="single" w:color="000000" w:sz="8" w:space="0"/>
            </w:tcBorders>
            <w:noWrap w:val="0"/>
            <w:vAlign w:val="center"/>
          </w:tcPr>
          <w:p w14:paraId="61F3DAC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聚合物水泥基防水涂料</w:t>
            </w:r>
          </w:p>
        </w:tc>
        <w:tc>
          <w:tcPr>
            <w:tcW w:w="2244" w:type="pct"/>
            <w:tcBorders>
              <w:top w:val="nil"/>
              <w:left w:val="single" w:color="000000" w:sz="8" w:space="0"/>
              <w:bottom w:val="single" w:color="000000" w:sz="8" w:space="0"/>
              <w:right w:val="single" w:color="000000" w:sz="8" w:space="0"/>
            </w:tcBorders>
            <w:noWrap/>
            <w:vAlign w:val="center"/>
          </w:tcPr>
          <w:p w14:paraId="41DEF9A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东方雨虹、月皇、禹王同档次及以上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39CED4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75C73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700" w:type="dxa"/>
            <w:tcBorders>
              <w:top w:val="nil"/>
              <w:left w:val="single" w:color="000000" w:sz="8" w:space="0"/>
              <w:bottom w:val="single" w:color="000000" w:sz="8" w:space="0"/>
              <w:right w:val="single" w:color="000000" w:sz="8" w:space="0"/>
            </w:tcBorders>
            <w:noWrap/>
            <w:vAlign w:val="center"/>
          </w:tcPr>
          <w:p w14:paraId="74B1B66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21</w:t>
            </w:r>
          </w:p>
        </w:tc>
        <w:tc>
          <w:tcPr>
            <w:tcW w:w="1556" w:type="pct"/>
            <w:tcBorders>
              <w:top w:val="nil"/>
              <w:left w:val="single" w:color="000000" w:sz="8" w:space="0"/>
              <w:bottom w:val="single" w:color="000000" w:sz="8" w:space="0"/>
              <w:right w:val="single" w:color="000000" w:sz="8" w:space="0"/>
            </w:tcBorders>
            <w:noWrap w:val="0"/>
            <w:vAlign w:val="center"/>
          </w:tcPr>
          <w:p w14:paraId="640D43F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常规洁具</w:t>
            </w:r>
          </w:p>
        </w:tc>
        <w:tc>
          <w:tcPr>
            <w:tcW w:w="2244" w:type="pct"/>
            <w:tcBorders>
              <w:top w:val="nil"/>
              <w:left w:val="single" w:color="000000" w:sz="8" w:space="0"/>
              <w:bottom w:val="single" w:color="000000" w:sz="8" w:space="0"/>
              <w:right w:val="single" w:color="000000" w:sz="8" w:space="0"/>
            </w:tcBorders>
            <w:noWrap/>
            <w:vAlign w:val="center"/>
          </w:tcPr>
          <w:p w14:paraId="6FD8A5E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TOTO、科勒、美标同档次及以上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1F9E0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28B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700" w:type="dxa"/>
            <w:tcBorders>
              <w:top w:val="nil"/>
              <w:left w:val="single" w:color="000000" w:sz="8" w:space="0"/>
              <w:bottom w:val="single" w:color="000000" w:sz="8" w:space="0"/>
              <w:right w:val="single" w:color="000000" w:sz="8" w:space="0"/>
            </w:tcBorders>
            <w:noWrap/>
            <w:vAlign w:val="center"/>
          </w:tcPr>
          <w:p w14:paraId="7CDBE62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22</w:t>
            </w:r>
          </w:p>
        </w:tc>
        <w:tc>
          <w:tcPr>
            <w:tcW w:w="1556" w:type="pct"/>
            <w:tcBorders>
              <w:top w:val="nil"/>
              <w:left w:val="single" w:color="000000" w:sz="8" w:space="0"/>
              <w:bottom w:val="single" w:color="000000" w:sz="8" w:space="0"/>
              <w:right w:val="single" w:color="000000" w:sz="8" w:space="0"/>
            </w:tcBorders>
            <w:noWrap/>
            <w:vAlign w:val="center"/>
          </w:tcPr>
          <w:p w14:paraId="0594FB0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热水器</w:t>
            </w:r>
          </w:p>
        </w:tc>
        <w:tc>
          <w:tcPr>
            <w:tcW w:w="2244" w:type="pct"/>
            <w:tcBorders>
              <w:top w:val="nil"/>
              <w:left w:val="single" w:color="000000" w:sz="8" w:space="0"/>
              <w:bottom w:val="single" w:color="000000" w:sz="8" w:space="0"/>
              <w:right w:val="single" w:color="000000" w:sz="8" w:space="0"/>
            </w:tcBorders>
            <w:noWrap/>
            <w:vAlign w:val="center"/>
          </w:tcPr>
          <w:p w14:paraId="5A609FF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美的、海尔、格力同档次及以上</w:t>
            </w:r>
          </w:p>
        </w:tc>
        <w:tc>
          <w:tcPr>
            <w:tcW w:w="814" w:type="pct"/>
            <w:tcBorders>
              <w:top w:val="nil"/>
              <w:left w:val="single" w:color="000000" w:sz="8" w:space="0"/>
              <w:bottom w:val="single" w:color="000000" w:sz="8" w:space="0"/>
              <w:right w:val="single" w:color="000000" w:sz="8" w:space="0"/>
            </w:tcBorders>
            <w:noWrap w:val="0"/>
            <w:vAlign w:val="center"/>
          </w:tcPr>
          <w:p w14:paraId="204F789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78DF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14D6409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三、暖通专业</w:t>
            </w:r>
          </w:p>
        </w:tc>
        <w:tc>
          <w:tcPr>
            <w:tcW w:w="814" w:type="pct"/>
            <w:tcBorders>
              <w:top w:val="nil"/>
              <w:left w:val="single" w:color="000000" w:sz="8" w:space="0"/>
              <w:bottom w:val="single" w:color="000000" w:sz="8" w:space="0"/>
              <w:right w:val="single" w:color="000000" w:sz="8" w:space="0"/>
            </w:tcBorders>
            <w:noWrap w:val="0"/>
            <w:vAlign w:val="center"/>
          </w:tcPr>
          <w:p w14:paraId="39F9867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94D54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6339C62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23</w:t>
            </w:r>
          </w:p>
        </w:tc>
        <w:tc>
          <w:tcPr>
            <w:tcW w:w="1556" w:type="pct"/>
            <w:tcBorders>
              <w:top w:val="nil"/>
              <w:left w:val="single" w:color="000000" w:sz="8" w:space="0"/>
              <w:bottom w:val="single" w:color="000000" w:sz="8" w:space="0"/>
              <w:right w:val="single" w:color="000000" w:sz="8" w:space="0"/>
            </w:tcBorders>
            <w:noWrap w:val="0"/>
            <w:vAlign w:val="center"/>
          </w:tcPr>
          <w:p w14:paraId="67435DA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净化空调机组</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60FF400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restart"/>
            <w:tcBorders>
              <w:top w:val="single" w:color="000000" w:sz="8" w:space="0"/>
              <w:left w:val="single" w:color="000000" w:sz="8" w:space="0"/>
              <w:bottom w:val="single" w:color="000000" w:sz="8" w:space="0"/>
              <w:right w:val="single" w:color="000000" w:sz="8" w:space="0"/>
            </w:tcBorders>
            <w:noWrap w:val="0"/>
            <w:vAlign w:val="center"/>
          </w:tcPr>
          <w:p w14:paraId="5EC17E4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41EEA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06AE05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24</w:t>
            </w:r>
          </w:p>
        </w:tc>
        <w:tc>
          <w:tcPr>
            <w:tcW w:w="1556" w:type="pct"/>
            <w:tcBorders>
              <w:top w:val="nil"/>
              <w:left w:val="single" w:color="000000" w:sz="8" w:space="0"/>
              <w:bottom w:val="single" w:color="000000" w:sz="8" w:space="0"/>
              <w:right w:val="single" w:color="000000" w:sz="8" w:space="0"/>
            </w:tcBorders>
            <w:noWrap w:val="0"/>
            <w:vAlign w:val="center"/>
          </w:tcPr>
          <w:p w14:paraId="2DC21C7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新风机组</w:t>
            </w:r>
          </w:p>
        </w:tc>
        <w:tc>
          <w:tcPr>
            <w:tcW w:w="2244" w:type="pct"/>
            <w:tcBorders>
              <w:top w:val="nil"/>
              <w:left w:val="single" w:color="000000" w:sz="8" w:space="0"/>
              <w:bottom w:val="single" w:color="000000" w:sz="8" w:space="0"/>
              <w:right w:val="single" w:color="000000" w:sz="8" w:space="0"/>
            </w:tcBorders>
            <w:noWrap/>
            <w:vAlign w:val="center"/>
          </w:tcPr>
          <w:p w14:paraId="183E96F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0EB783C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8F23A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744116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25</w:t>
            </w:r>
          </w:p>
        </w:tc>
        <w:tc>
          <w:tcPr>
            <w:tcW w:w="1556" w:type="pct"/>
            <w:tcBorders>
              <w:top w:val="nil"/>
              <w:left w:val="single" w:color="000000" w:sz="8" w:space="0"/>
              <w:bottom w:val="single" w:color="000000" w:sz="8" w:space="0"/>
              <w:right w:val="single" w:color="000000" w:sz="8" w:space="0"/>
            </w:tcBorders>
            <w:noWrap w:val="0"/>
            <w:vAlign w:val="center"/>
          </w:tcPr>
          <w:p w14:paraId="142EE9B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空调机组自控系统</w:t>
            </w:r>
          </w:p>
        </w:tc>
        <w:tc>
          <w:tcPr>
            <w:tcW w:w="2244" w:type="pct"/>
            <w:tcBorders>
              <w:top w:val="nil"/>
              <w:left w:val="single" w:color="000000" w:sz="8" w:space="0"/>
              <w:bottom w:val="single" w:color="000000" w:sz="8" w:space="0"/>
              <w:right w:val="single" w:color="000000" w:sz="8" w:space="0"/>
            </w:tcBorders>
            <w:noWrap/>
            <w:vAlign w:val="center"/>
          </w:tcPr>
          <w:p w14:paraId="6E2930F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F25FA3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2C6B2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04C314B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26</w:t>
            </w:r>
          </w:p>
        </w:tc>
        <w:tc>
          <w:tcPr>
            <w:tcW w:w="1556" w:type="pct"/>
            <w:tcBorders>
              <w:top w:val="nil"/>
              <w:left w:val="single" w:color="000000" w:sz="8" w:space="0"/>
              <w:bottom w:val="single" w:color="000000" w:sz="8" w:space="0"/>
              <w:right w:val="single" w:color="000000" w:sz="8" w:space="0"/>
            </w:tcBorders>
            <w:noWrap w:val="0"/>
            <w:vAlign w:val="center"/>
          </w:tcPr>
          <w:p w14:paraId="1D45A35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镀锌风管</w:t>
            </w:r>
          </w:p>
        </w:tc>
        <w:tc>
          <w:tcPr>
            <w:tcW w:w="2244" w:type="pct"/>
            <w:tcBorders>
              <w:top w:val="nil"/>
              <w:left w:val="single" w:color="000000" w:sz="8" w:space="0"/>
              <w:bottom w:val="single" w:color="000000" w:sz="8" w:space="0"/>
              <w:right w:val="single" w:color="000000" w:sz="8" w:space="0"/>
            </w:tcBorders>
            <w:noWrap/>
            <w:vAlign w:val="center"/>
          </w:tcPr>
          <w:p w14:paraId="53279D7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1E3CB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C71CB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07E61E0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27</w:t>
            </w:r>
          </w:p>
        </w:tc>
        <w:tc>
          <w:tcPr>
            <w:tcW w:w="1556" w:type="pct"/>
            <w:tcBorders>
              <w:top w:val="nil"/>
              <w:left w:val="single" w:color="000000" w:sz="8" w:space="0"/>
              <w:bottom w:val="single" w:color="000000" w:sz="8" w:space="0"/>
              <w:right w:val="single" w:color="000000" w:sz="8" w:space="0"/>
            </w:tcBorders>
            <w:noWrap w:val="0"/>
            <w:vAlign w:val="center"/>
          </w:tcPr>
          <w:p w14:paraId="46C6B2F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橡塑保温</w:t>
            </w:r>
          </w:p>
        </w:tc>
        <w:tc>
          <w:tcPr>
            <w:tcW w:w="2244" w:type="pct"/>
            <w:tcBorders>
              <w:top w:val="nil"/>
              <w:left w:val="single" w:color="000000" w:sz="8" w:space="0"/>
              <w:bottom w:val="single" w:color="000000" w:sz="8" w:space="0"/>
              <w:right w:val="single" w:color="000000" w:sz="8" w:space="0"/>
            </w:tcBorders>
            <w:noWrap/>
            <w:vAlign w:val="center"/>
          </w:tcPr>
          <w:p w14:paraId="5E6FE57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神州绿都、华美、赢胜同档次及以上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108694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D6D1D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7D4BEDB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28</w:t>
            </w:r>
          </w:p>
        </w:tc>
        <w:tc>
          <w:tcPr>
            <w:tcW w:w="1556" w:type="pct"/>
            <w:tcBorders>
              <w:top w:val="nil"/>
              <w:left w:val="single" w:color="000000" w:sz="8" w:space="0"/>
              <w:bottom w:val="single" w:color="000000" w:sz="8" w:space="0"/>
              <w:right w:val="single" w:color="000000" w:sz="8" w:space="0"/>
            </w:tcBorders>
            <w:noWrap/>
            <w:vAlign w:val="center"/>
          </w:tcPr>
          <w:p w14:paraId="3CFF3BE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风口、风阀</w:t>
            </w:r>
          </w:p>
        </w:tc>
        <w:tc>
          <w:tcPr>
            <w:tcW w:w="2244" w:type="pct"/>
            <w:tcBorders>
              <w:top w:val="nil"/>
              <w:left w:val="single" w:color="000000" w:sz="8" w:space="0"/>
              <w:bottom w:val="single" w:color="000000" w:sz="8" w:space="0"/>
              <w:right w:val="single" w:color="000000" w:sz="8" w:space="0"/>
            </w:tcBorders>
            <w:noWrap/>
            <w:vAlign w:val="center"/>
          </w:tcPr>
          <w:p w14:paraId="7304CF5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single" w:color="000000" w:sz="8" w:space="0"/>
              <w:bottom w:val="single" w:color="000000" w:sz="8" w:space="0"/>
              <w:right w:val="single" w:color="000000" w:sz="8" w:space="0"/>
            </w:tcBorders>
            <w:noWrap w:val="0"/>
            <w:vAlign w:val="center"/>
          </w:tcPr>
          <w:p w14:paraId="2DE674F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F58683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60" w:hRule="atLeast"/>
        </w:trPr>
        <w:tc>
          <w:tcPr>
            <w:tcW w:w="700" w:type="dxa"/>
            <w:tcBorders>
              <w:top w:val="nil"/>
              <w:left w:val="single" w:color="000000" w:sz="8" w:space="0"/>
              <w:bottom w:val="single" w:color="000000" w:sz="8" w:space="0"/>
              <w:right w:val="single" w:color="000000" w:sz="8" w:space="0"/>
            </w:tcBorders>
            <w:noWrap/>
            <w:vAlign w:val="center"/>
          </w:tcPr>
          <w:p w14:paraId="064E5C9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29</w:t>
            </w:r>
          </w:p>
        </w:tc>
        <w:tc>
          <w:tcPr>
            <w:tcW w:w="1556" w:type="pct"/>
            <w:tcBorders>
              <w:top w:val="nil"/>
              <w:left w:val="single" w:color="000000" w:sz="8" w:space="0"/>
              <w:bottom w:val="single" w:color="000000" w:sz="8" w:space="0"/>
              <w:right w:val="single" w:color="000000" w:sz="8" w:space="0"/>
            </w:tcBorders>
            <w:noWrap/>
            <w:vAlign w:val="center"/>
          </w:tcPr>
          <w:p w14:paraId="7196173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定、变风量阀</w:t>
            </w:r>
          </w:p>
        </w:tc>
        <w:tc>
          <w:tcPr>
            <w:tcW w:w="2244" w:type="pct"/>
            <w:tcBorders>
              <w:top w:val="nil"/>
              <w:left w:val="single" w:color="000000" w:sz="8" w:space="0"/>
              <w:bottom w:val="single" w:color="000000" w:sz="8" w:space="0"/>
              <w:right w:val="single" w:color="000000" w:sz="8" w:space="0"/>
            </w:tcBorders>
            <w:noWrap w:val="0"/>
            <w:vAlign w:val="center"/>
          </w:tcPr>
          <w:p w14:paraId="15AB41B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施耐德（Schneider ）、妥思（Trox）、江森（Triatek）同档次及以上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BED62A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5230BC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50" w:hRule="atLeast"/>
        </w:trPr>
        <w:tc>
          <w:tcPr>
            <w:tcW w:w="700" w:type="dxa"/>
            <w:tcBorders>
              <w:top w:val="nil"/>
              <w:left w:val="single" w:color="000000" w:sz="8" w:space="0"/>
              <w:bottom w:val="single" w:color="000000" w:sz="8" w:space="0"/>
              <w:right w:val="single" w:color="000000" w:sz="8" w:space="0"/>
            </w:tcBorders>
            <w:noWrap/>
            <w:vAlign w:val="center"/>
          </w:tcPr>
          <w:p w14:paraId="1CDED9F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30</w:t>
            </w:r>
          </w:p>
        </w:tc>
        <w:tc>
          <w:tcPr>
            <w:tcW w:w="1556" w:type="pct"/>
            <w:tcBorders>
              <w:top w:val="nil"/>
              <w:left w:val="single" w:color="000000" w:sz="8" w:space="0"/>
              <w:bottom w:val="single" w:color="000000" w:sz="8" w:space="0"/>
              <w:right w:val="single" w:color="000000" w:sz="8" w:space="0"/>
            </w:tcBorders>
            <w:noWrap/>
            <w:vAlign w:val="center"/>
          </w:tcPr>
          <w:p w14:paraId="7FBC43C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排风机</w:t>
            </w:r>
          </w:p>
        </w:tc>
        <w:tc>
          <w:tcPr>
            <w:tcW w:w="2244" w:type="pct"/>
            <w:tcBorders>
              <w:top w:val="nil"/>
              <w:left w:val="single" w:color="000000" w:sz="8" w:space="0"/>
              <w:bottom w:val="single" w:color="000000" w:sz="8" w:space="0"/>
              <w:right w:val="single" w:color="000000" w:sz="8" w:space="0"/>
            </w:tcBorders>
            <w:noWrap/>
            <w:vAlign w:val="center"/>
          </w:tcPr>
          <w:p w14:paraId="7AC1327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F64159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F7951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5D92BAD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31</w:t>
            </w:r>
          </w:p>
        </w:tc>
        <w:tc>
          <w:tcPr>
            <w:tcW w:w="1556" w:type="pct"/>
            <w:tcBorders>
              <w:top w:val="nil"/>
              <w:left w:val="single" w:color="000000" w:sz="8" w:space="0"/>
              <w:bottom w:val="single" w:color="000000" w:sz="8" w:space="0"/>
              <w:right w:val="single" w:color="000000" w:sz="8" w:space="0"/>
            </w:tcBorders>
            <w:noWrap/>
            <w:vAlign w:val="center"/>
          </w:tcPr>
          <w:p w14:paraId="1411BBB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生物实验室专用混合废气处理箱</w:t>
            </w:r>
          </w:p>
        </w:tc>
        <w:tc>
          <w:tcPr>
            <w:tcW w:w="2244" w:type="pct"/>
            <w:tcBorders>
              <w:top w:val="nil"/>
              <w:left w:val="single" w:color="000000" w:sz="8" w:space="0"/>
              <w:bottom w:val="single" w:color="000000" w:sz="8" w:space="0"/>
              <w:right w:val="single" w:color="000000" w:sz="8" w:space="0"/>
            </w:tcBorders>
            <w:noWrap/>
            <w:vAlign w:val="center"/>
          </w:tcPr>
          <w:p w14:paraId="1C30CD7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restart"/>
            <w:tcBorders>
              <w:top w:val="nil"/>
              <w:left w:val="single" w:color="000000" w:sz="8" w:space="0"/>
              <w:bottom w:val="single" w:color="000000" w:sz="8" w:space="0"/>
              <w:right w:val="single" w:color="000000" w:sz="8" w:space="0"/>
            </w:tcBorders>
            <w:noWrap w:val="0"/>
            <w:vAlign w:val="center"/>
          </w:tcPr>
          <w:p w14:paraId="2EFFED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54BEC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0596E78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32</w:t>
            </w:r>
          </w:p>
        </w:tc>
        <w:tc>
          <w:tcPr>
            <w:tcW w:w="1556" w:type="pct"/>
            <w:tcBorders>
              <w:top w:val="nil"/>
              <w:left w:val="single" w:color="000000" w:sz="8" w:space="0"/>
              <w:bottom w:val="single" w:color="000000" w:sz="8" w:space="0"/>
              <w:right w:val="single" w:color="000000" w:sz="8" w:space="0"/>
            </w:tcBorders>
            <w:noWrap/>
            <w:vAlign w:val="center"/>
          </w:tcPr>
          <w:p w14:paraId="3F8F42B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组合式混合废气处理箱</w:t>
            </w:r>
          </w:p>
        </w:tc>
        <w:tc>
          <w:tcPr>
            <w:tcW w:w="2244" w:type="pct"/>
            <w:tcBorders>
              <w:top w:val="nil"/>
              <w:left w:val="single" w:color="000000" w:sz="8" w:space="0"/>
              <w:bottom w:val="single" w:color="000000" w:sz="8" w:space="0"/>
              <w:right w:val="single" w:color="000000" w:sz="8" w:space="0"/>
            </w:tcBorders>
            <w:noWrap/>
            <w:vAlign w:val="center"/>
          </w:tcPr>
          <w:p w14:paraId="3E987CD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continue"/>
            <w:tcBorders>
              <w:top w:val="nil"/>
              <w:left w:val="single" w:color="000000" w:sz="8" w:space="0"/>
              <w:bottom w:val="single" w:color="000000" w:sz="8" w:space="0"/>
              <w:right w:val="single" w:color="000000" w:sz="8" w:space="0"/>
            </w:tcBorders>
            <w:noWrap w:val="0"/>
            <w:vAlign w:val="center"/>
          </w:tcPr>
          <w:p w14:paraId="6125998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F283D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049451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33</w:t>
            </w:r>
          </w:p>
        </w:tc>
        <w:tc>
          <w:tcPr>
            <w:tcW w:w="1556" w:type="pct"/>
            <w:tcBorders>
              <w:top w:val="nil"/>
              <w:left w:val="single" w:color="000000" w:sz="8" w:space="0"/>
              <w:bottom w:val="single" w:color="000000" w:sz="8" w:space="0"/>
              <w:right w:val="single" w:color="000000" w:sz="8" w:space="0"/>
            </w:tcBorders>
            <w:noWrap/>
            <w:vAlign w:val="center"/>
          </w:tcPr>
          <w:p w14:paraId="6B0B5D4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异味气体检测模块</w:t>
            </w:r>
          </w:p>
        </w:tc>
        <w:tc>
          <w:tcPr>
            <w:tcW w:w="2244" w:type="pct"/>
            <w:tcBorders>
              <w:top w:val="nil"/>
              <w:left w:val="single" w:color="000000" w:sz="8" w:space="0"/>
              <w:bottom w:val="single" w:color="000000" w:sz="8" w:space="0"/>
              <w:right w:val="single" w:color="000000" w:sz="8" w:space="0"/>
            </w:tcBorders>
            <w:noWrap/>
            <w:vAlign w:val="center"/>
          </w:tcPr>
          <w:p w14:paraId="334B0CB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continue"/>
            <w:tcBorders>
              <w:top w:val="nil"/>
              <w:left w:val="single" w:color="000000" w:sz="8" w:space="0"/>
              <w:bottom w:val="single" w:color="000000" w:sz="8" w:space="0"/>
              <w:right w:val="single" w:color="000000" w:sz="8" w:space="0"/>
            </w:tcBorders>
            <w:noWrap w:val="0"/>
            <w:vAlign w:val="center"/>
          </w:tcPr>
          <w:p w14:paraId="1B95494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19ACD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5E32AC9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34</w:t>
            </w:r>
          </w:p>
        </w:tc>
        <w:tc>
          <w:tcPr>
            <w:tcW w:w="1556" w:type="pct"/>
            <w:tcBorders>
              <w:top w:val="nil"/>
              <w:left w:val="single" w:color="000000" w:sz="8" w:space="0"/>
              <w:bottom w:val="single" w:color="000000" w:sz="8" w:space="0"/>
              <w:right w:val="single" w:color="000000" w:sz="8" w:space="0"/>
            </w:tcBorders>
            <w:noWrap/>
            <w:vAlign w:val="center"/>
          </w:tcPr>
          <w:p w14:paraId="57CF9A4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智能环境控制塔</w:t>
            </w:r>
          </w:p>
        </w:tc>
        <w:tc>
          <w:tcPr>
            <w:tcW w:w="2244" w:type="pct"/>
            <w:tcBorders>
              <w:top w:val="nil"/>
              <w:left w:val="single" w:color="000000" w:sz="8" w:space="0"/>
              <w:bottom w:val="single" w:color="000000" w:sz="8" w:space="0"/>
              <w:right w:val="single" w:color="000000" w:sz="8" w:space="0"/>
            </w:tcBorders>
            <w:noWrap/>
            <w:vAlign w:val="center"/>
          </w:tcPr>
          <w:p w14:paraId="2A4315E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上海飞域、利安达、博瑞康洁同档次及以上</w:t>
            </w:r>
          </w:p>
        </w:tc>
        <w:tc>
          <w:tcPr>
            <w:tcW w:w="814" w:type="pct"/>
            <w:vMerge w:val="continue"/>
            <w:tcBorders>
              <w:top w:val="nil"/>
              <w:left w:val="single" w:color="000000" w:sz="8" w:space="0"/>
              <w:bottom w:val="single" w:color="000000" w:sz="8" w:space="0"/>
              <w:right w:val="single" w:color="000000" w:sz="8" w:space="0"/>
            </w:tcBorders>
            <w:noWrap w:val="0"/>
            <w:vAlign w:val="center"/>
          </w:tcPr>
          <w:p w14:paraId="51A23D2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C6542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274B75A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35</w:t>
            </w:r>
          </w:p>
        </w:tc>
        <w:tc>
          <w:tcPr>
            <w:tcW w:w="1556" w:type="pct"/>
            <w:tcBorders>
              <w:top w:val="nil"/>
              <w:left w:val="single" w:color="000000" w:sz="8" w:space="0"/>
              <w:bottom w:val="single" w:color="000000" w:sz="8" w:space="0"/>
              <w:right w:val="single" w:color="000000" w:sz="8" w:space="0"/>
            </w:tcBorders>
            <w:noWrap/>
            <w:vAlign w:val="center"/>
          </w:tcPr>
          <w:p w14:paraId="6CB8A7D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风口式（等离子）消毒装置</w:t>
            </w:r>
          </w:p>
        </w:tc>
        <w:tc>
          <w:tcPr>
            <w:tcW w:w="2244" w:type="pct"/>
            <w:tcBorders>
              <w:top w:val="nil"/>
              <w:left w:val="single" w:color="000000" w:sz="8" w:space="0"/>
              <w:bottom w:val="single" w:color="000000" w:sz="8" w:space="0"/>
              <w:right w:val="single" w:color="000000" w:sz="8" w:space="0"/>
            </w:tcBorders>
            <w:noWrap/>
            <w:vAlign w:val="center"/>
          </w:tcPr>
          <w:p w14:paraId="478A3FE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佩洁尔、利安达、新华同档次及以上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57B711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C1065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700" w:type="dxa"/>
            <w:tcBorders>
              <w:top w:val="nil"/>
              <w:left w:val="single" w:color="000000" w:sz="8" w:space="0"/>
              <w:bottom w:val="single" w:color="000000" w:sz="8" w:space="0"/>
              <w:right w:val="single" w:color="000000" w:sz="8" w:space="0"/>
            </w:tcBorders>
            <w:noWrap/>
            <w:vAlign w:val="center"/>
          </w:tcPr>
          <w:p w14:paraId="7605DD0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36</w:t>
            </w:r>
          </w:p>
        </w:tc>
        <w:tc>
          <w:tcPr>
            <w:tcW w:w="1556" w:type="pct"/>
            <w:tcBorders>
              <w:top w:val="nil"/>
              <w:left w:val="single" w:color="000000" w:sz="8" w:space="0"/>
              <w:bottom w:val="single" w:color="000000" w:sz="8" w:space="0"/>
              <w:right w:val="single" w:color="000000" w:sz="8" w:space="0"/>
            </w:tcBorders>
            <w:noWrap w:val="0"/>
            <w:vAlign w:val="center"/>
          </w:tcPr>
          <w:p w14:paraId="6A14067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通风柜变风量控制系统</w:t>
            </w:r>
          </w:p>
        </w:tc>
        <w:tc>
          <w:tcPr>
            <w:tcW w:w="2244" w:type="pct"/>
            <w:tcBorders>
              <w:top w:val="nil"/>
              <w:left w:val="single" w:color="000000" w:sz="8" w:space="0"/>
              <w:bottom w:val="single" w:color="000000" w:sz="8" w:space="0"/>
              <w:right w:val="single" w:color="000000" w:sz="8" w:space="0"/>
            </w:tcBorders>
            <w:noWrap w:val="0"/>
            <w:vAlign w:val="center"/>
          </w:tcPr>
          <w:p w14:paraId="407AFD7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施耐德（Schneider ）、妥思（Trox）、江森（Triatek）同档次及以上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DFFB2B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87CA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6BC82D7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37</w:t>
            </w:r>
          </w:p>
        </w:tc>
        <w:tc>
          <w:tcPr>
            <w:tcW w:w="1556" w:type="pct"/>
            <w:tcBorders>
              <w:top w:val="nil"/>
              <w:left w:val="single" w:color="000000" w:sz="8" w:space="0"/>
              <w:bottom w:val="single" w:color="000000" w:sz="8" w:space="0"/>
              <w:right w:val="single" w:color="000000" w:sz="8" w:space="0"/>
            </w:tcBorders>
            <w:noWrap w:val="0"/>
            <w:vAlign w:val="center"/>
          </w:tcPr>
          <w:p w14:paraId="1AAC40C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风冷冷热水机组</w:t>
            </w:r>
          </w:p>
        </w:tc>
        <w:tc>
          <w:tcPr>
            <w:tcW w:w="2244" w:type="pct"/>
            <w:tcBorders>
              <w:top w:val="nil"/>
              <w:left w:val="single" w:color="000000" w:sz="8" w:space="0"/>
              <w:bottom w:val="single" w:color="000000" w:sz="8" w:space="0"/>
              <w:right w:val="single" w:color="000000" w:sz="8" w:space="0"/>
            </w:tcBorders>
            <w:noWrap/>
            <w:vAlign w:val="center"/>
          </w:tcPr>
          <w:p w14:paraId="6183EDD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克莱门特、约克、顿汉布什同档次及以上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FD549A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63C5C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4BD66E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38</w:t>
            </w:r>
          </w:p>
        </w:tc>
        <w:tc>
          <w:tcPr>
            <w:tcW w:w="1556" w:type="pct"/>
            <w:tcBorders>
              <w:top w:val="nil"/>
              <w:left w:val="single" w:color="000000" w:sz="8" w:space="0"/>
              <w:bottom w:val="single" w:color="000000" w:sz="8" w:space="0"/>
              <w:right w:val="single" w:color="000000" w:sz="8" w:space="0"/>
            </w:tcBorders>
            <w:noWrap w:val="0"/>
            <w:vAlign w:val="center"/>
          </w:tcPr>
          <w:p w14:paraId="289F103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循环水泵</w:t>
            </w:r>
          </w:p>
        </w:tc>
        <w:tc>
          <w:tcPr>
            <w:tcW w:w="2244" w:type="pct"/>
            <w:tcBorders>
              <w:top w:val="nil"/>
              <w:left w:val="single" w:color="000000" w:sz="8" w:space="0"/>
              <w:bottom w:val="single" w:color="000000" w:sz="8" w:space="0"/>
              <w:right w:val="single" w:color="000000" w:sz="8" w:space="0"/>
            </w:tcBorders>
            <w:noWrap/>
            <w:vAlign w:val="center"/>
          </w:tcPr>
          <w:p w14:paraId="7655FDE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上海凯泉、南方、上海东方同档次及以上</w:t>
            </w:r>
          </w:p>
        </w:tc>
        <w:tc>
          <w:tcPr>
            <w:tcW w:w="814" w:type="pct"/>
            <w:tcBorders>
              <w:top w:val="nil"/>
              <w:left w:val="single" w:color="000000" w:sz="8" w:space="0"/>
              <w:bottom w:val="single" w:color="000000" w:sz="8" w:space="0"/>
              <w:right w:val="single" w:color="000000" w:sz="8" w:space="0"/>
            </w:tcBorders>
            <w:noWrap w:val="0"/>
            <w:vAlign w:val="center"/>
          </w:tcPr>
          <w:p w14:paraId="6863B6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624248F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700" w:type="dxa"/>
            <w:tcBorders>
              <w:top w:val="nil"/>
              <w:left w:val="single" w:color="000000" w:sz="8" w:space="0"/>
              <w:bottom w:val="single" w:color="000000" w:sz="8" w:space="0"/>
              <w:right w:val="single" w:color="000000" w:sz="8" w:space="0"/>
            </w:tcBorders>
            <w:noWrap/>
            <w:vAlign w:val="center"/>
          </w:tcPr>
          <w:p w14:paraId="48C0B01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39</w:t>
            </w:r>
          </w:p>
        </w:tc>
        <w:tc>
          <w:tcPr>
            <w:tcW w:w="1556" w:type="pct"/>
            <w:tcBorders>
              <w:top w:val="nil"/>
              <w:left w:val="single" w:color="000000" w:sz="8" w:space="0"/>
              <w:bottom w:val="single" w:color="000000" w:sz="8" w:space="0"/>
              <w:right w:val="single" w:color="000000" w:sz="8" w:space="0"/>
            </w:tcBorders>
            <w:noWrap/>
            <w:vAlign w:val="center"/>
          </w:tcPr>
          <w:p w14:paraId="56046EB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风机盘管</w:t>
            </w:r>
          </w:p>
        </w:tc>
        <w:tc>
          <w:tcPr>
            <w:tcW w:w="2244" w:type="pct"/>
            <w:tcBorders>
              <w:top w:val="nil"/>
              <w:left w:val="single" w:color="000000" w:sz="8" w:space="0"/>
              <w:bottom w:val="single" w:color="000000" w:sz="8" w:space="0"/>
              <w:right w:val="single" w:color="000000" w:sz="8" w:space="0"/>
            </w:tcBorders>
            <w:noWrap/>
            <w:vAlign w:val="center"/>
          </w:tcPr>
          <w:p w14:paraId="0498A52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F23FD9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E27643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6CFBF00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40</w:t>
            </w:r>
          </w:p>
        </w:tc>
        <w:tc>
          <w:tcPr>
            <w:tcW w:w="1556" w:type="pct"/>
            <w:tcBorders>
              <w:top w:val="nil"/>
              <w:left w:val="single" w:color="000000" w:sz="8" w:space="0"/>
              <w:bottom w:val="single" w:color="000000" w:sz="8" w:space="0"/>
              <w:right w:val="single" w:color="000000" w:sz="8" w:space="0"/>
            </w:tcBorders>
            <w:noWrap w:val="0"/>
            <w:vAlign w:val="center"/>
          </w:tcPr>
          <w:p w14:paraId="68510A4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比例积分电动调节阀</w:t>
            </w:r>
          </w:p>
        </w:tc>
        <w:tc>
          <w:tcPr>
            <w:tcW w:w="2244" w:type="pct"/>
            <w:tcBorders>
              <w:top w:val="nil"/>
              <w:left w:val="single" w:color="000000" w:sz="8" w:space="0"/>
              <w:bottom w:val="single" w:color="000000" w:sz="8" w:space="0"/>
              <w:right w:val="single" w:color="000000" w:sz="8" w:space="0"/>
            </w:tcBorders>
            <w:noWrap/>
            <w:vAlign w:val="center"/>
          </w:tcPr>
          <w:p w14:paraId="0FE5E94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西门子、江森自控、霍尼韦尔同档次及以上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CC467D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4482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59B1F3F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四、电气专业</w:t>
            </w:r>
          </w:p>
        </w:tc>
        <w:tc>
          <w:tcPr>
            <w:tcW w:w="814" w:type="pct"/>
            <w:tcBorders>
              <w:top w:val="nil"/>
              <w:left w:val="single" w:color="000000" w:sz="8" w:space="0"/>
              <w:bottom w:val="single" w:color="000000" w:sz="8" w:space="0"/>
              <w:right w:val="single" w:color="000000" w:sz="8" w:space="0"/>
            </w:tcBorders>
            <w:noWrap w:val="0"/>
            <w:vAlign w:val="center"/>
          </w:tcPr>
          <w:p w14:paraId="761027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D30C78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5FCEEFC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41</w:t>
            </w:r>
          </w:p>
        </w:tc>
        <w:tc>
          <w:tcPr>
            <w:tcW w:w="1556" w:type="pct"/>
            <w:tcBorders>
              <w:top w:val="nil"/>
              <w:left w:val="single" w:color="000000" w:sz="8" w:space="0"/>
              <w:bottom w:val="single" w:color="000000" w:sz="8" w:space="0"/>
              <w:right w:val="single" w:color="000000" w:sz="8" w:space="0"/>
            </w:tcBorders>
            <w:noWrap w:val="0"/>
            <w:vAlign w:val="center"/>
          </w:tcPr>
          <w:p w14:paraId="3B81AD2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配电箱元器件</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1CE147E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40D52AB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4C9F3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11BE30C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42</w:t>
            </w:r>
          </w:p>
        </w:tc>
        <w:tc>
          <w:tcPr>
            <w:tcW w:w="1556" w:type="pct"/>
            <w:tcBorders>
              <w:top w:val="nil"/>
              <w:left w:val="single" w:color="000000" w:sz="8" w:space="0"/>
              <w:bottom w:val="single" w:color="000000" w:sz="8" w:space="0"/>
              <w:right w:val="single" w:color="000000" w:sz="8" w:space="0"/>
            </w:tcBorders>
            <w:noWrap w:val="0"/>
            <w:vAlign w:val="center"/>
          </w:tcPr>
          <w:p w14:paraId="31B0D6D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Ups不间断电源</w:t>
            </w:r>
          </w:p>
        </w:tc>
        <w:tc>
          <w:tcPr>
            <w:tcW w:w="2244" w:type="pct"/>
            <w:tcBorders>
              <w:top w:val="nil"/>
              <w:left w:val="single" w:color="000000" w:sz="8" w:space="0"/>
              <w:bottom w:val="single" w:color="000000" w:sz="8" w:space="0"/>
              <w:right w:val="single" w:color="000000" w:sz="8" w:space="0"/>
            </w:tcBorders>
            <w:noWrap/>
            <w:vAlign w:val="center"/>
          </w:tcPr>
          <w:p w14:paraId="6D0ABD2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维谛、科华、易事特同档次及以上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396F6E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849C2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7E55E10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43</w:t>
            </w:r>
          </w:p>
        </w:tc>
        <w:tc>
          <w:tcPr>
            <w:tcW w:w="1556" w:type="pct"/>
            <w:tcBorders>
              <w:top w:val="nil"/>
              <w:left w:val="single" w:color="000000" w:sz="8" w:space="0"/>
              <w:bottom w:val="single" w:color="000000" w:sz="8" w:space="0"/>
              <w:right w:val="single" w:color="000000" w:sz="8" w:space="0"/>
            </w:tcBorders>
            <w:noWrap w:val="0"/>
            <w:vAlign w:val="center"/>
          </w:tcPr>
          <w:p w14:paraId="6B01ABD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灯具</w:t>
            </w:r>
          </w:p>
        </w:tc>
        <w:tc>
          <w:tcPr>
            <w:tcW w:w="2244" w:type="pct"/>
            <w:tcBorders>
              <w:top w:val="nil"/>
              <w:left w:val="single" w:color="000000" w:sz="8" w:space="0"/>
              <w:bottom w:val="single" w:color="000000" w:sz="8" w:space="0"/>
              <w:right w:val="single" w:color="000000" w:sz="8" w:space="0"/>
            </w:tcBorders>
            <w:noWrap/>
            <w:vAlign w:val="center"/>
          </w:tcPr>
          <w:p w14:paraId="071E850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佛山照明、雷士、三雄同档次及以上</w:t>
            </w:r>
          </w:p>
        </w:tc>
        <w:tc>
          <w:tcPr>
            <w:tcW w:w="814" w:type="pct"/>
            <w:tcBorders>
              <w:top w:val="nil"/>
              <w:left w:val="single" w:color="000000" w:sz="8" w:space="0"/>
              <w:bottom w:val="single" w:color="000000" w:sz="8" w:space="0"/>
              <w:right w:val="single" w:color="000000" w:sz="8" w:space="0"/>
            </w:tcBorders>
            <w:noWrap w:val="0"/>
            <w:vAlign w:val="center"/>
          </w:tcPr>
          <w:p w14:paraId="72BF303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07A2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FFFB71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44</w:t>
            </w:r>
          </w:p>
        </w:tc>
        <w:tc>
          <w:tcPr>
            <w:tcW w:w="1556" w:type="pct"/>
            <w:tcBorders>
              <w:top w:val="nil"/>
              <w:left w:val="single" w:color="000000" w:sz="8" w:space="0"/>
              <w:bottom w:val="single" w:color="000000" w:sz="8" w:space="0"/>
              <w:right w:val="single" w:color="000000" w:sz="8" w:space="0"/>
            </w:tcBorders>
            <w:noWrap w:val="0"/>
            <w:vAlign w:val="center"/>
          </w:tcPr>
          <w:p w14:paraId="243B84E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开关、插座</w:t>
            </w:r>
          </w:p>
        </w:tc>
        <w:tc>
          <w:tcPr>
            <w:tcW w:w="2244" w:type="pct"/>
            <w:tcBorders>
              <w:top w:val="nil"/>
              <w:left w:val="single" w:color="000000" w:sz="8" w:space="0"/>
              <w:bottom w:val="single" w:color="000000" w:sz="8" w:space="0"/>
              <w:right w:val="single" w:color="000000" w:sz="8" w:space="0"/>
            </w:tcBorders>
            <w:noWrap/>
            <w:vAlign w:val="center"/>
          </w:tcPr>
          <w:p w14:paraId="674300D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罗格朗、西门子、施耐德同档次及以上</w:t>
            </w:r>
          </w:p>
        </w:tc>
        <w:tc>
          <w:tcPr>
            <w:tcW w:w="814" w:type="pct"/>
            <w:tcBorders>
              <w:top w:val="nil"/>
              <w:left w:val="single" w:color="000000" w:sz="8" w:space="0"/>
              <w:bottom w:val="single" w:color="000000" w:sz="8" w:space="0"/>
              <w:right w:val="single" w:color="000000" w:sz="8" w:space="0"/>
            </w:tcBorders>
            <w:noWrap w:val="0"/>
            <w:vAlign w:val="center"/>
          </w:tcPr>
          <w:p w14:paraId="2117C56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AF238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700" w:type="dxa"/>
            <w:tcBorders>
              <w:top w:val="nil"/>
              <w:left w:val="single" w:color="000000" w:sz="8" w:space="0"/>
              <w:bottom w:val="single" w:color="000000" w:sz="8" w:space="0"/>
              <w:right w:val="single" w:color="000000" w:sz="8" w:space="0"/>
            </w:tcBorders>
            <w:noWrap/>
            <w:vAlign w:val="center"/>
          </w:tcPr>
          <w:p w14:paraId="64211A0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45</w:t>
            </w:r>
          </w:p>
        </w:tc>
        <w:tc>
          <w:tcPr>
            <w:tcW w:w="1556" w:type="pct"/>
            <w:tcBorders>
              <w:top w:val="nil"/>
              <w:left w:val="single" w:color="000000" w:sz="8" w:space="0"/>
              <w:bottom w:val="single" w:color="000000" w:sz="8" w:space="0"/>
              <w:right w:val="single" w:color="000000" w:sz="8" w:space="0"/>
            </w:tcBorders>
            <w:noWrap w:val="0"/>
            <w:vAlign w:val="center"/>
          </w:tcPr>
          <w:p w14:paraId="7ACB8AF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电线</w:t>
            </w:r>
          </w:p>
        </w:tc>
        <w:tc>
          <w:tcPr>
            <w:tcW w:w="2244" w:type="pct"/>
            <w:tcBorders>
              <w:top w:val="nil"/>
              <w:left w:val="single" w:color="000000" w:sz="8" w:space="0"/>
              <w:bottom w:val="single" w:color="000000" w:sz="8" w:space="0"/>
              <w:right w:val="single" w:color="000000" w:sz="8" w:space="0"/>
            </w:tcBorders>
            <w:noWrap/>
            <w:vAlign w:val="center"/>
          </w:tcPr>
          <w:p w14:paraId="7BE9C62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268789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C7CB1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5EA74C4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46</w:t>
            </w:r>
          </w:p>
        </w:tc>
        <w:tc>
          <w:tcPr>
            <w:tcW w:w="1556" w:type="pct"/>
            <w:tcBorders>
              <w:top w:val="nil"/>
              <w:left w:val="single" w:color="000000" w:sz="8" w:space="0"/>
              <w:bottom w:val="single" w:color="000000" w:sz="8" w:space="0"/>
              <w:right w:val="single" w:color="000000" w:sz="8" w:space="0"/>
            </w:tcBorders>
            <w:noWrap w:val="0"/>
            <w:vAlign w:val="center"/>
          </w:tcPr>
          <w:p w14:paraId="0D70496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电缆</w:t>
            </w:r>
          </w:p>
        </w:tc>
        <w:tc>
          <w:tcPr>
            <w:tcW w:w="2244" w:type="pct"/>
            <w:tcBorders>
              <w:top w:val="nil"/>
              <w:left w:val="single" w:color="000000" w:sz="8" w:space="0"/>
              <w:bottom w:val="single" w:color="000000" w:sz="8" w:space="0"/>
              <w:right w:val="single" w:color="000000" w:sz="8" w:space="0"/>
            </w:tcBorders>
            <w:noWrap/>
            <w:vAlign w:val="center"/>
          </w:tcPr>
          <w:p w14:paraId="427EFD6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single" w:color="000000" w:sz="8" w:space="0"/>
              <w:bottom w:val="single" w:color="000000" w:sz="8" w:space="0"/>
              <w:right w:val="single" w:color="000000" w:sz="8" w:space="0"/>
            </w:tcBorders>
            <w:noWrap w:val="0"/>
            <w:vAlign w:val="center"/>
          </w:tcPr>
          <w:p w14:paraId="5C7A430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79E8A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6952DE5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五、弱电专业</w:t>
            </w:r>
          </w:p>
        </w:tc>
        <w:tc>
          <w:tcPr>
            <w:tcW w:w="814" w:type="pct"/>
            <w:tcBorders>
              <w:top w:val="nil"/>
              <w:left w:val="single" w:color="000000" w:sz="8" w:space="0"/>
              <w:bottom w:val="single" w:color="000000" w:sz="8" w:space="0"/>
              <w:right w:val="single" w:color="000000" w:sz="8" w:space="0"/>
            </w:tcBorders>
            <w:noWrap w:val="0"/>
            <w:vAlign w:val="center"/>
          </w:tcPr>
          <w:p w14:paraId="1E45F8D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3B33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2EEEDCA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47</w:t>
            </w:r>
          </w:p>
        </w:tc>
        <w:tc>
          <w:tcPr>
            <w:tcW w:w="1556" w:type="pct"/>
            <w:tcBorders>
              <w:top w:val="nil"/>
              <w:left w:val="single" w:color="000000" w:sz="8" w:space="0"/>
              <w:bottom w:val="single" w:color="000000" w:sz="8" w:space="0"/>
              <w:right w:val="single" w:color="000000" w:sz="8" w:space="0"/>
            </w:tcBorders>
            <w:noWrap/>
            <w:vAlign w:val="center"/>
          </w:tcPr>
          <w:p w14:paraId="2885FBD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网络交换机</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516E281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华为、新华三、思科同档次及以上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44EABFC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F8E7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4DBE202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48</w:t>
            </w:r>
          </w:p>
        </w:tc>
        <w:tc>
          <w:tcPr>
            <w:tcW w:w="1556" w:type="pct"/>
            <w:tcBorders>
              <w:top w:val="nil"/>
              <w:left w:val="single" w:color="000000" w:sz="8" w:space="0"/>
              <w:bottom w:val="single" w:color="000000" w:sz="8" w:space="0"/>
              <w:right w:val="single" w:color="000000" w:sz="8" w:space="0"/>
            </w:tcBorders>
            <w:noWrap/>
            <w:vAlign w:val="center"/>
          </w:tcPr>
          <w:p w14:paraId="0C5387E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网线</w:t>
            </w:r>
          </w:p>
        </w:tc>
        <w:tc>
          <w:tcPr>
            <w:tcW w:w="2244" w:type="pct"/>
            <w:tcBorders>
              <w:top w:val="nil"/>
              <w:left w:val="single" w:color="000000" w:sz="8" w:space="0"/>
              <w:bottom w:val="single" w:color="000000" w:sz="8" w:space="0"/>
              <w:right w:val="single" w:color="000000" w:sz="8" w:space="0"/>
            </w:tcBorders>
            <w:noWrap/>
            <w:vAlign w:val="center"/>
          </w:tcPr>
          <w:p w14:paraId="4568DD8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兆龙、德塔森特、劳兰同档次及以上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4B1BDC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41B5CA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2D07FE5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49</w:t>
            </w:r>
          </w:p>
        </w:tc>
        <w:tc>
          <w:tcPr>
            <w:tcW w:w="1556" w:type="pct"/>
            <w:tcBorders>
              <w:top w:val="nil"/>
              <w:left w:val="single" w:color="000000" w:sz="8" w:space="0"/>
              <w:bottom w:val="single" w:color="000000" w:sz="8" w:space="0"/>
              <w:right w:val="single" w:color="000000" w:sz="8" w:space="0"/>
            </w:tcBorders>
            <w:noWrap w:val="0"/>
            <w:vAlign w:val="center"/>
          </w:tcPr>
          <w:p w14:paraId="7C0A7F9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半球摄像机</w:t>
            </w:r>
          </w:p>
        </w:tc>
        <w:tc>
          <w:tcPr>
            <w:tcW w:w="2244" w:type="pct"/>
            <w:tcBorders>
              <w:top w:val="nil"/>
              <w:left w:val="single" w:color="000000" w:sz="8" w:space="0"/>
              <w:bottom w:val="single" w:color="000000" w:sz="8" w:space="0"/>
              <w:right w:val="single" w:color="000000" w:sz="8" w:space="0"/>
            </w:tcBorders>
            <w:noWrap/>
            <w:vAlign w:val="center"/>
          </w:tcPr>
          <w:p w14:paraId="6341299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9DF747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AFA7E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5" w:hRule="atLeast"/>
        </w:trPr>
        <w:tc>
          <w:tcPr>
            <w:tcW w:w="385" w:type="pct"/>
            <w:tcBorders>
              <w:top w:val="nil"/>
              <w:left w:val="single" w:color="000000" w:sz="8" w:space="0"/>
              <w:bottom w:val="single" w:color="000000" w:sz="8" w:space="0"/>
              <w:right w:val="single" w:color="000000" w:sz="8" w:space="0"/>
            </w:tcBorders>
            <w:noWrap/>
            <w:vAlign w:val="center"/>
          </w:tcPr>
          <w:p w14:paraId="40F701D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50</w:t>
            </w:r>
          </w:p>
        </w:tc>
        <w:tc>
          <w:tcPr>
            <w:tcW w:w="1556" w:type="pct"/>
            <w:tcBorders>
              <w:top w:val="nil"/>
              <w:left w:val="single" w:color="000000" w:sz="8" w:space="0"/>
              <w:bottom w:val="single" w:color="000000" w:sz="8" w:space="0"/>
              <w:right w:val="single" w:color="000000" w:sz="8" w:space="0"/>
            </w:tcBorders>
            <w:noWrap/>
            <w:vAlign w:val="center"/>
          </w:tcPr>
          <w:p w14:paraId="22A8D19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门禁室内机</w:t>
            </w:r>
          </w:p>
        </w:tc>
        <w:tc>
          <w:tcPr>
            <w:tcW w:w="2244" w:type="pct"/>
            <w:tcBorders>
              <w:top w:val="nil"/>
              <w:left w:val="single" w:color="000000" w:sz="8" w:space="0"/>
              <w:bottom w:val="single" w:color="000000" w:sz="8" w:space="0"/>
              <w:right w:val="single" w:color="000000" w:sz="8" w:space="0"/>
            </w:tcBorders>
            <w:noWrap/>
            <w:vAlign w:val="center"/>
          </w:tcPr>
          <w:p w14:paraId="4FDD078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3D485F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505E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056E225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51</w:t>
            </w:r>
          </w:p>
        </w:tc>
        <w:tc>
          <w:tcPr>
            <w:tcW w:w="1556" w:type="pct"/>
            <w:tcBorders>
              <w:top w:val="nil"/>
              <w:left w:val="single" w:color="000000" w:sz="8" w:space="0"/>
              <w:bottom w:val="single" w:color="000000" w:sz="8" w:space="0"/>
              <w:right w:val="single" w:color="000000" w:sz="8" w:space="0"/>
            </w:tcBorders>
            <w:noWrap w:val="0"/>
            <w:vAlign w:val="center"/>
          </w:tcPr>
          <w:p w14:paraId="4A76E76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电磁门锁</w:t>
            </w:r>
          </w:p>
        </w:tc>
        <w:tc>
          <w:tcPr>
            <w:tcW w:w="2244" w:type="pct"/>
            <w:tcBorders>
              <w:top w:val="nil"/>
              <w:left w:val="single" w:color="000000" w:sz="8" w:space="0"/>
              <w:bottom w:val="single" w:color="000000" w:sz="8" w:space="0"/>
              <w:right w:val="single" w:color="000000" w:sz="8" w:space="0"/>
            </w:tcBorders>
            <w:noWrap/>
            <w:vAlign w:val="center"/>
          </w:tcPr>
          <w:p w14:paraId="56DE877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single" w:color="000000" w:sz="8" w:space="0"/>
              <w:bottom w:val="single" w:color="000000" w:sz="8" w:space="0"/>
              <w:right w:val="single" w:color="000000" w:sz="8" w:space="0"/>
            </w:tcBorders>
            <w:noWrap w:val="0"/>
            <w:vAlign w:val="center"/>
          </w:tcPr>
          <w:p w14:paraId="4437B82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8B9FF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5481464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六、给排水专业</w:t>
            </w:r>
          </w:p>
        </w:tc>
        <w:tc>
          <w:tcPr>
            <w:tcW w:w="814" w:type="pct"/>
            <w:tcBorders>
              <w:top w:val="nil"/>
              <w:left w:val="single" w:color="000000" w:sz="8" w:space="0"/>
              <w:bottom w:val="single" w:color="000000" w:sz="8" w:space="0"/>
              <w:right w:val="single" w:color="000000" w:sz="8" w:space="0"/>
            </w:tcBorders>
            <w:noWrap w:val="0"/>
            <w:vAlign w:val="center"/>
          </w:tcPr>
          <w:p w14:paraId="45D72A8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45B7A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682CA38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52</w:t>
            </w:r>
          </w:p>
        </w:tc>
        <w:tc>
          <w:tcPr>
            <w:tcW w:w="1556" w:type="pct"/>
            <w:tcBorders>
              <w:top w:val="nil"/>
              <w:left w:val="single" w:color="000000" w:sz="8" w:space="0"/>
              <w:bottom w:val="single" w:color="000000" w:sz="8" w:space="0"/>
              <w:right w:val="single" w:color="000000" w:sz="8" w:space="0"/>
            </w:tcBorders>
            <w:noWrap w:val="0"/>
            <w:vAlign w:val="center"/>
          </w:tcPr>
          <w:p w14:paraId="35E9074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实验室废水处理一体化设备</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036852C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中环清源、沃恩、杰睿同档次及以上</w:t>
            </w:r>
          </w:p>
        </w:tc>
        <w:tc>
          <w:tcPr>
            <w:tcW w:w="814" w:type="pct"/>
            <w:tcBorders>
              <w:top w:val="single" w:color="000000" w:sz="8" w:space="0"/>
              <w:left w:val="single" w:color="000000" w:sz="8" w:space="0"/>
              <w:bottom w:val="single" w:color="000000" w:sz="8" w:space="0"/>
              <w:right w:val="single" w:color="000000" w:sz="8" w:space="0"/>
            </w:tcBorders>
            <w:noWrap w:val="0"/>
            <w:vAlign w:val="center"/>
          </w:tcPr>
          <w:p w14:paraId="0638376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6855F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5" w:type="pct"/>
            <w:tcBorders>
              <w:top w:val="nil"/>
              <w:left w:val="single" w:color="000000" w:sz="8" w:space="0"/>
              <w:bottom w:val="single" w:color="000000" w:sz="8" w:space="0"/>
              <w:right w:val="single" w:color="000000" w:sz="8" w:space="0"/>
            </w:tcBorders>
            <w:noWrap/>
            <w:vAlign w:val="center"/>
          </w:tcPr>
          <w:p w14:paraId="13F90EC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53</w:t>
            </w:r>
          </w:p>
        </w:tc>
        <w:tc>
          <w:tcPr>
            <w:tcW w:w="1556" w:type="pct"/>
            <w:tcBorders>
              <w:top w:val="nil"/>
              <w:left w:val="single" w:color="000000" w:sz="8" w:space="0"/>
              <w:bottom w:val="single" w:color="000000" w:sz="8" w:space="0"/>
              <w:right w:val="single" w:color="000000" w:sz="8" w:space="0"/>
            </w:tcBorders>
            <w:noWrap w:val="0"/>
            <w:vAlign w:val="center"/>
          </w:tcPr>
          <w:p w14:paraId="1BA4172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U-PVC管</w:t>
            </w:r>
          </w:p>
        </w:tc>
        <w:tc>
          <w:tcPr>
            <w:tcW w:w="2244" w:type="pct"/>
            <w:tcBorders>
              <w:top w:val="nil"/>
              <w:left w:val="single" w:color="000000" w:sz="8" w:space="0"/>
              <w:bottom w:val="single" w:color="000000" w:sz="8" w:space="0"/>
              <w:right w:val="single" w:color="000000" w:sz="8" w:space="0"/>
            </w:tcBorders>
            <w:noWrap/>
            <w:vAlign w:val="center"/>
          </w:tcPr>
          <w:p w14:paraId="55C575A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联塑、中财、日丰同档次及以上</w:t>
            </w:r>
          </w:p>
        </w:tc>
        <w:tc>
          <w:tcPr>
            <w:tcW w:w="814" w:type="pct"/>
            <w:tcBorders>
              <w:top w:val="nil"/>
              <w:left w:val="single" w:color="000000" w:sz="8" w:space="0"/>
              <w:bottom w:val="single" w:color="000000" w:sz="8" w:space="0"/>
              <w:right w:val="single" w:color="000000" w:sz="8" w:space="0"/>
            </w:tcBorders>
            <w:noWrap w:val="0"/>
            <w:vAlign w:val="center"/>
          </w:tcPr>
          <w:p w14:paraId="0CDC762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67F15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39AAE1C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54</w:t>
            </w:r>
          </w:p>
        </w:tc>
        <w:tc>
          <w:tcPr>
            <w:tcW w:w="1556" w:type="pct"/>
            <w:tcBorders>
              <w:top w:val="nil"/>
              <w:left w:val="single" w:color="000000" w:sz="8" w:space="0"/>
              <w:bottom w:val="single" w:color="000000" w:sz="8" w:space="0"/>
              <w:right w:val="single" w:color="000000" w:sz="8" w:space="0"/>
            </w:tcBorders>
            <w:noWrap w:val="0"/>
            <w:vAlign w:val="center"/>
          </w:tcPr>
          <w:p w14:paraId="47B5435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水阀</w:t>
            </w:r>
          </w:p>
        </w:tc>
        <w:tc>
          <w:tcPr>
            <w:tcW w:w="2244" w:type="pct"/>
            <w:tcBorders>
              <w:top w:val="nil"/>
              <w:left w:val="single" w:color="000000" w:sz="8" w:space="0"/>
              <w:bottom w:val="single" w:color="000000" w:sz="8" w:space="0"/>
              <w:right w:val="single" w:color="000000" w:sz="8" w:space="0"/>
            </w:tcBorders>
            <w:noWrap/>
            <w:vAlign w:val="center"/>
          </w:tcPr>
          <w:p w14:paraId="31C65F8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宁波埃美柯、上海良工、上海标一同档次及以上</w:t>
            </w:r>
          </w:p>
        </w:tc>
        <w:tc>
          <w:tcPr>
            <w:tcW w:w="814" w:type="pct"/>
            <w:tcBorders>
              <w:top w:val="nil"/>
              <w:left w:val="single" w:color="000000" w:sz="8" w:space="0"/>
              <w:bottom w:val="single" w:color="000000" w:sz="8" w:space="0"/>
              <w:right w:val="single" w:color="000000" w:sz="8" w:space="0"/>
            </w:tcBorders>
            <w:noWrap w:val="0"/>
            <w:vAlign w:val="center"/>
          </w:tcPr>
          <w:p w14:paraId="1EB4B13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57B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0D6BF71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七、生物安全及理化实验室环境安全监管设备</w:t>
            </w:r>
          </w:p>
        </w:tc>
        <w:tc>
          <w:tcPr>
            <w:tcW w:w="814" w:type="pct"/>
            <w:tcBorders>
              <w:top w:val="nil"/>
              <w:left w:val="single" w:color="000000" w:sz="8" w:space="0"/>
              <w:bottom w:val="single" w:color="000000" w:sz="8" w:space="0"/>
              <w:right w:val="single" w:color="000000" w:sz="8" w:space="0"/>
            </w:tcBorders>
            <w:noWrap w:val="0"/>
            <w:vAlign w:val="center"/>
          </w:tcPr>
          <w:p w14:paraId="37641E8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A9218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8" w:hRule="atLeast"/>
        </w:trPr>
        <w:tc>
          <w:tcPr>
            <w:tcW w:w="385" w:type="pct"/>
            <w:tcBorders>
              <w:top w:val="nil"/>
              <w:left w:val="single" w:color="000000" w:sz="8" w:space="0"/>
              <w:bottom w:val="single" w:color="000000" w:sz="8" w:space="0"/>
              <w:right w:val="single" w:color="000000" w:sz="8" w:space="0"/>
            </w:tcBorders>
            <w:noWrap/>
            <w:vAlign w:val="center"/>
          </w:tcPr>
          <w:p w14:paraId="30EF224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55</w:t>
            </w:r>
          </w:p>
        </w:tc>
        <w:tc>
          <w:tcPr>
            <w:tcW w:w="1556" w:type="pct"/>
            <w:tcBorders>
              <w:top w:val="nil"/>
              <w:left w:val="single" w:color="000000" w:sz="8" w:space="0"/>
              <w:bottom w:val="single" w:color="000000" w:sz="8" w:space="0"/>
              <w:right w:val="single" w:color="000000" w:sz="8" w:space="0"/>
            </w:tcBorders>
            <w:noWrap w:val="0"/>
            <w:vAlign w:val="center"/>
          </w:tcPr>
          <w:p w14:paraId="30E49F3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实验室有害气体报警系统软件</w:t>
            </w:r>
          </w:p>
        </w:tc>
        <w:tc>
          <w:tcPr>
            <w:tcW w:w="2244" w:type="pct"/>
            <w:tcBorders>
              <w:top w:val="nil"/>
              <w:left w:val="single" w:color="000000" w:sz="8" w:space="0"/>
              <w:bottom w:val="single" w:color="000000" w:sz="8" w:space="0"/>
              <w:right w:val="single" w:color="000000" w:sz="8" w:space="0"/>
            </w:tcBorders>
            <w:noWrap/>
            <w:vAlign w:val="center"/>
          </w:tcPr>
          <w:p w14:paraId="28A2A3B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tcBorders>
              <w:top w:val="nil"/>
              <w:left w:val="single" w:color="000000" w:sz="8" w:space="0"/>
              <w:bottom w:val="single" w:color="000000" w:sz="8" w:space="0"/>
              <w:right w:val="single" w:color="000000" w:sz="8" w:space="0"/>
            </w:tcBorders>
            <w:noWrap w:val="0"/>
            <w:vAlign w:val="center"/>
          </w:tcPr>
          <w:p w14:paraId="3C8664E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1493C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6F7444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八、危险化学品及试剂仓库管理设备</w:t>
            </w:r>
          </w:p>
        </w:tc>
        <w:tc>
          <w:tcPr>
            <w:tcW w:w="814" w:type="pct"/>
            <w:tcBorders>
              <w:top w:val="nil"/>
              <w:left w:val="single" w:color="000000" w:sz="8" w:space="0"/>
              <w:bottom w:val="single" w:color="000000" w:sz="8" w:space="0"/>
              <w:right w:val="single" w:color="000000" w:sz="8" w:space="0"/>
            </w:tcBorders>
            <w:noWrap w:val="0"/>
            <w:vAlign w:val="center"/>
          </w:tcPr>
          <w:p w14:paraId="143DD2B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9FEF7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6FD3310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kern w:val="0"/>
                <w:sz w:val="23"/>
                <w:szCs w:val="23"/>
                <w:highlight w:val="none"/>
                <w:u w:val="none"/>
                <w:lang w:val="en-US" w:eastAsia="zh-CN" w:bidi="ar"/>
              </w:rPr>
            </w:pPr>
            <w:r>
              <w:rPr>
                <w:rFonts w:hint="eastAsia" w:ascii="宋体" w:hAnsi="宋体" w:eastAsia="宋体" w:cs="宋体"/>
                <w:i w:val="0"/>
                <w:iCs w:val="0"/>
                <w:color w:val="auto"/>
                <w:kern w:val="0"/>
                <w:sz w:val="23"/>
                <w:szCs w:val="23"/>
                <w:highlight w:val="none"/>
                <w:u w:val="none"/>
                <w:lang w:val="en-US" w:eastAsia="zh-CN" w:bidi="ar"/>
              </w:rPr>
              <w:t>56</w:t>
            </w:r>
          </w:p>
        </w:tc>
        <w:tc>
          <w:tcPr>
            <w:tcW w:w="1556" w:type="pct"/>
            <w:tcBorders>
              <w:top w:val="nil"/>
              <w:left w:val="single" w:color="000000" w:sz="8" w:space="0"/>
              <w:bottom w:val="single" w:color="000000" w:sz="8" w:space="0"/>
              <w:right w:val="single" w:color="000000" w:sz="8" w:space="0"/>
            </w:tcBorders>
            <w:noWrap/>
            <w:vAlign w:val="center"/>
          </w:tcPr>
          <w:p w14:paraId="27CB5CA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危化品管理一体机</w:t>
            </w:r>
          </w:p>
        </w:tc>
        <w:tc>
          <w:tcPr>
            <w:tcW w:w="2244" w:type="pct"/>
            <w:tcBorders>
              <w:top w:val="single" w:color="000000" w:sz="8" w:space="0"/>
              <w:left w:val="single" w:color="000000" w:sz="8" w:space="0"/>
              <w:bottom w:val="single" w:color="000000" w:sz="8" w:space="0"/>
              <w:right w:val="single" w:color="000000" w:sz="8" w:space="0"/>
            </w:tcBorders>
            <w:noWrap/>
            <w:vAlign w:val="center"/>
          </w:tcPr>
          <w:p w14:paraId="647FC12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restart"/>
            <w:tcBorders>
              <w:top w:val="single" w:color="000000" w:sz="8" w:space="0"/>
              <w:left w:val="single" w:color="000000" w:sz="8" w:space="0"/>
              <w:bottom w:val="single" w:color="000000" w:sz="8" w:space="0"/>
              <w:right w:val="single" w:color="000000" w:sz="8" w:space="0"/>
            </w:tcBorders>
            <w:noWrap w:val="0"/>
            <w:vAlign w:val="center"/>
          </w:tcPr>
          <w:p w14:paraId="4B88B1C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CE0BA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5E46441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57</w:t>
            </w:r>
          </w:p>
        </w:tc>
        <w:tc>
          <w:tcPr>
            <w:tcW w:w="1556" w:type="pct"/>
            <w:tcBorders>
              <w:top w:val="nil"/>
              <w:left w:val="single" w:color="000000" w:sz="8" w:space="0"/>
              <w:bottom w:val="single" w:color="000000" w:sz="8" w:space="0"/>
              <w:right w:val="single" w:color="000000" w:sz="8" w:space="0"/>
            </w:tcBorders>
            <w:noWrap/>
            <w:vAlign w:val="center"/>
          </w:tcPr>
          <w:p w14:paraId="54952F74">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RFID智能危化品柜</w:t>
            </w:r>
          </w:p>
        </w:tc>
        <w:tc>
          <w:tcPr>
            <w:tcW w:w="2244" w:type="pct"/>
            <w:tcBorders>
              <w:top w:val="nil"/>
              <w:left w:val="single" w:color="000000" w:sz="8" w:space="0"/>
              <w:bottom w:val="single" w:color="000000" w:sz="8" w:space="0"/>
              <w:right w:val="single" w:color="000000" w:sz="8" w:space="0"/>
            </w:tcBorders>
            <w:noWrap/>
            <w:vAlign w:val="center"/>
          </w:tcPr>
          <w:p w14:paraId="0F724703">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28A44D4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32E9A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27BD50A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58</w:t>
            </w:r>
          </w:p>
        </w:tc>
        <w:tc>
          <w:tcPr>
            <w:tcW w:w="1556" w:type="pct"/>
            <w:tcBorders>
              <w:top w:val="nil"/>
              <w:left w:val="single" w:color="000000" w:sz="8" w:space="0"/>
              <w:bottom w:val="single" w:color="000000" w:sz="8" w:space="0"/>
              <w:right w:val="single" w:color="000000" w:sz="8" w:space="0"/>
            </w:tcBorders>
            <w:noWrap/>
            <w:vAlign w:val="center"/>
          </w:tcPr>
          <w:p w14:paraId="24DC2D1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试剂耗材管理一体机</w:t>
            </w:r>
          </w:p>
        </w:tc>
        <w:tc>
          <w:tcPr>
            <w:tcW w:w="2244" w:type="pct"/>
            <w:tcBorders>
              <w:top w:val="nil"/>
              <w:left w:val="single" w:color="000000" w:sz="8" w:space="0"/>
              <w:bottom w:val="single" w:color="000000" w:sz="8" w:space="0"/>
              <w:right w:val="single" w:color="000000" w:sz="8" w:space="0"/>
            </w:tcBorders>
            <w:noWrap/>
            <w:vAlign w:val="center"/>
          </w:tcPr>
          <w:p w14:paraId="492E904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64DA737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85B4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5" w:type="pct"/>
            <w:tcBorders>
              <w:top w:val="nil"/>
              <w:left w:val="single" w:color="000000" w:sz="8" w:space="0"/>
              <w:bottom w:val="single" w:color="000000" w:sz="8" w:space="0"/>
              <w:right w:val="single" w:color="000000" w:sz="8" w:space="0"/>
            </w:tcBorders>
            <w:noWrap/>
            <w:vAlign w:val="center"/>
          </w:tcPr>
          <w:p w14:paraId="0B97AFF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default"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59</w:t>
            </w:r>
          </w:p>
        </w:tc>
        <w:tc>
          <w:tcPr>
            <w:tcW w:w="1556" w:type="pct"/>
            <w:tcBorders>
              <w:top w:val="nil"/>
              <w:left w:val="single" w:color="000000" w:sz="8" w:space="0"/>
              <w:bottom w:val="single" w:color="000000" w:sz="8" w:space="0"/>
              <w:right w:val="single" w:color="000000" w:sz="8" w:space="0"/>
            </w:tcBorders>
            <w:noWrap w:val="0"/>
            <w:vAlign w:val="center"/>
          </w:tcPr>
          <w:p w14:paraId="2E637F3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危化品全流程管理软件</w:t>
            </w:r>
          </w:p>
        </w:tc>
        <w:tc>
          <w:tcPr>
            <w:tcW w:w="2244" w:type="pct"/>
            <w:tcBorders>
              <w:top w:val="nil"/>
              <w:left w:val="single" w:color="000000" w:sz="8" w:space="0"/>
              <w:bottom w:val="single" w:color="000000" w:sz="8" w:space="0"/>
              <w:right w:val="single" w:color="000000" w:sz="8" w:space="0"/>
            </w:tcBorders>
            <w:noWrap/>
            <w:vAlign w:val="center"/>
          </w:tcPr>
          <w:p w14:paraId="39E9C15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上海飞域、西斯贝尔、埃德伯格同档次及以上</w:t>
            </w:r>
          </w:p>
        </w:tc>
        <w:tc>
          <w:tcPr>
            <w:tcW w:w="814" w:type="pct"/>
            <w:vMerge w:val="continue"/>
            <w:tcBorders>
              <w:top w:val="single" w:color="000000" w:sz="8" w:space="0"/>
              <w:left w:val="single" w:color="000000" w:sz="8" w:space="0"/>
              <w:bottom w:val="single" w:color="000000" w:sz="8" w:space="0"/>
              <w:right w:val="single" w:color="000000" w:sz="8" w:space="0"/>
            </w:tcBorders>
            <w:noWrap w:val="0"/>
            <w:vAlign w:val="center"/>
          </w:tcPr>
          <w:p w14:paraId="103351D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44FF3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nil"/>
              <w:bottom w:val="nil"/>
              <w:right w:val="nil"/>
            </w:tcBorders>
            <w:noWrap/>
            <w:vAlign w:val="center"/>
          </w:tcPr>
          <w:p w14:paraId="4061E1E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 xml:space="preserve"> </w:t>
            </w:r>
          </w:p>
        </w:tc>
        <w:tc>
          <w:tcPr>
            <w:tcW w:w="1556" w:type="pct"/>
            <w:tcBorders>
              <w:top w:val="nil"/>
              <w:left w:val="nil"/>
              <w:bottom w:val="nil"/>
              <w:right w:val="nil"/>
            </w:tcBorders>
            <w:noWrap/>
            <w:vAlign w:val="center"/>
          </w:tcPr>
          <w:p w14:paraId="359CFC32">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2244" w:type="pct"/>
            <w:tcBorders>
              <w:top w:val="nil"/>
              <w:left w:val="nil"/>
              <w:bottom w:val="nil"/>
              <w:right w:val="nil"/>
            </w:tcBorders>
            <w:noWrap/>
            <w:vAlign w:val="center"/>
          </w:tcPr>
          <w:p w14:paraId="01FEE36D">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814" w:type="pct"/>
            <w:tcBorders>
              <w:top w:val="nil"/>
              <w:left w:val="nil"/>
              <w:bottom w:val="nil"/>
              <w:right w:val="nil"/>
            </w:tcBorders>
            <w:noWrap w:val="0"/>
            <w:vAlign w:val="center"/>
          </w:tcPr>
          <w:p w14:paraId="4B3B9764">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r>
      <w:tr w14:paraId="76C7E2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000" w:type="pct"/>
            <w:gridSpan w:val="4"/>
            <w:tcBorders>
              <w:top w:val="single" w:color="000000" w:sz="8" w:space="0"/>
              <w:left w:val="single" w:color="000000" w:sz="8" w:space="0"/>
              <w:bottom w:val="single" w:color="000000" w:sz="8" w:space="0"/>
              <w:right w:val="single" w:color="000000" w:sz="8" w:space="0"/>
            </w:tcBorders>
            <w:noWrap w:val="0"/>
            <w:vAlign w:val="center"/>
          </w:tcPr>
          <w:p w14:paraId="7416BD1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主要设备材料参考品牌——静配中心</w:t>
            </w:r>
          </w:p>
        </w:tc>
      </w:tr>
      <w:tr w14:paraId="0D0F2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7C29351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序号</w:t>
            </w:r>
          </w:p>
        </w:tc>
        <w:tc>
          <w:tcPr>
            <w:tcW w:w="1556" w:type="pct"/>
            <w:tcBorders>
              <w:top w:val="single" w:color="000000" w:sz="8" w:space="0"/>
              <w:left w:val="nil"/>
              <w:bottom w:val="single" w:color="000000" w:sz="8" w:space="0"/>
              <w:right w:val="single" w:color="000000" w:sz="8" w:space="0"/>
            </w:tcBorders>
            <w:noWrap w:val="0"/>
            <w:vAlign w:val="center"/>
          </w:tcPr>
          <w:p w14:paraId="05F394B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材料设备名称</w:t>
            </w:r>
          </w:p>
        </w:tc>
        <w:tc>
          <w:tcPr>
            <w:tcW w:w="2244" w:type="pct"/>
            <w:tcBorders>
              <w:top w:val="single" w:color="000000" w:sz="8" w:space="0"/>
              <w:left w:val="nil"/>
              <w:bottom w:val="single" w:color="000000" w:sz="8" w:space="0"/>
              <w:right w:val="single" w:color="000000" w:sz="8" w:space="0"/>
            </w:tcBorders>
            <w:noWrap w:val="0"/>
            <w:vAlign w:val="center"/>
          </w:tcPr>
          <w:p w14:paraId="698C3BE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参考品牌</w:t>
            </w:r>
          </w:p>
        </w:tc>
        <w:tc>
          <w:tcPr>
            <w:tcW w:w="814" w:type="pct"/>
            <w:tcBorders>
              <w:top w:val="single" w:color="000000" w:sz="8" w:space="0"/>
              <w:left w:val="nil"/>
              <w:bottom w:val="single" w:color="000000" w:sz="8" w:space="0"/>
              <w:right w:val="single" w:color="000000" w:sz="8" w:space="0"/>
            </w:tcBorders>
            <w:noWrap w:val="0"/>
            <w:vAlign w:val="center"/>
          </w:tcPr>
          <w:p w14:paraId="4E13D9A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备注</w:t>
            </w:r>
          </w:p>
        </w:tc>
      </w:tr>
      <w:tr w14:paraId="298AF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6B6082F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一、装饰专业</w:t>
            </w:r>
          </w:p>
        </w:tc>
        <w:tc>
          <w:tcPr>
            <w:tcW w:w="814" w:type="pct"/>
            <w:tcBorders>
              <w:top w:val="nil"/>
              <w:left w:val="nil"/>
              <w:bottom w:val="single" w:color="000000" w:sz="8" w:space="0"/>
              <w:right w:val="single" w:color="000000" w:sz="8" w:space="0"/>
            </w:tcBorders>
            <w:noWrap w:val="0"/>
            <w:vAlign w:val="center"/>
          </w:tcPr>
          <w:p w14:paraId="49B3405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9A9DE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41DEA06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556" w:type="pct"/>
            <w:tcBorders>
              <w:top w:val="nil"/>
              <w:left w:val="nil"/>
              <w:bottom w:val="single" w:color="000000" w:sz="8" w:space="0"/>
              <w:right w:val="single" w:color="000000" w:sz="8" w:space="0"/>
            </w:tcBorders>
            <w:noWrap w:val="0"/>
            <w:vAlign w:val="center"/>
          </w:tcPr>
          <w:p w14:paraId="62CF4DC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彩钢板</w:t>
            </w:r>
          </w:p>
        </w:tc>
        <w:tc>
          <w:tcPr>
            <w:tcW w:w="2244" w:type="pct"/>
            <w:tcBorders>
              <w:top w:val="single" w:color="000000" w:sz="8" w:space="0"/>
              <w:left w:val="nil"/>
              <w:bottom w:val="single" w:color="000000" w:sz="8" w:space="0"/>
              <w:right w:val="single" w:color="000000" w:sz="8" w:space="0"/>
            </w:tcBorders>
            <w:noWrap w:val="0"/>
            <w:vAlign w:val="center"/>
          </w:tcPr>
          <w:p w14:paraId="48310FD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林森、华翱、万事达同档次及以上</w:t>
            </w:r>
          </w:p>
        </w:tc>
        <w:tc>
          <w:tcPr>
            <w:tcW w:w="814" w:type="pct"/>
            <w:tcBorders>
              <w:top w:val="single" w:color="000000" w:sz="8" w:space="0"/>
              <w:left w:val="nil"/>
              <w:bottom w:val="single" w:color="000000" w:sz="8" w:space="0"/>
              <w:right w:val="single" w:color="000000" w:sz="8" w:space="0"/>
            </w:tcBorders>
            <w:noWrap w:val="0"/>
            <w:vAlign w:val="center"/>
          </w:tcPr>
          <w:p w14:paraId="1E2A407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47ABB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07F26AD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556" w:type="pct"/>
            <w:tcBorders>
              <w:top w:val="nil"/>
              <w:left w:val="nil"/>
              <w:bottom w:val="single" w:color="000000" w:sz="8" w:space="0"/>
              <w:right w:val="single" w:color="000000" w:sz="8" w:space="0"/>
            </w:tcBorders>
            <w:noWrap w:val="0"/>
            <w:vAlign w:val="center"/>
          </w:tcPr>
          <w:p w14:paraId="6AF0A86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观察窗</w:t>
            </w:r>
          </w:p>
        </w:tc>
        <w:tc>
          <w:tcPr>
            <w:tcW w:w="2244" w:type="pct"/>
            <w:tcBorders>
              <w:top w:val="nil"/>
              <w:left w:val="nil"/>
              <w:bottom w:val="single" w:color="000000" w:sz="8" w:space="0"/>
              <w:right w:val="single" w:color="000000" w:sz="8" w:space="0"/>
            </w:tcBorders>
            <w:noWrap w:val="0"/>
            <w:vAlign w:val="center"/>
          </w:tcPr>
          <w:p w14:paraId="6B1EBC1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智迪锐、鸿涛、佰伦同档次及以上</w:t>
            </w:r>
          </w:p>
        </w:tc>
        <w:tc>
          <w:tcPr>
            <w:tcW w:w="814" w:type="pct"/>
            <w:tcBorders>
              <w:top w:val="nil"/>
              <w:left w:val="nil"/>
              <w:bottom w:val="single" w:color="000000" w:sz="8" w:space="0"/>
              <w:right w:val="single" w:color="000000" w:sz="8" w:space="0"/>
            </w:tcBorders>
            <w:noWrap w:val="0"/>
            <w:vAlign w:val="center"/>
          </w:tcPr>
          <w:p w14:paraId="20B6703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2AD52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4D9065B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1556" w:type="pct"/>
            <w:tcBorders>
              <w:top w:val="nil"/>
              <w:left w:val="nil"/>
              <w:bottom w:val="single" w:color="000000" w:sz="8" w:space="0"/>
              <w:right w:val="single" w:color="000000" w:sz="8" w:space="0"/>
            </w:tcBorders>
            <w:noWrap w:val="0"/>
            <w:vAlign w:val="center"/>
          </w:tcPr>
          <w:p w14:paraId="7F1D622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钢制净化密闭门</w:t>
            </w:r>
          </w:p>
        </w:tc>
        <w:tc>
          <w:tcPr>
            <w:tcW w:w="2244" w:type="pct"/>
            <w:tcBorders>
              <w:top w:val="nil"/>
              <w:left w:val="nil"/>
              <w:bottom w:val="single" w:color="000000" w:sz="8" w:space="0"/>
              <w:right w:val="single" w:color="000000" w:sz="8" w:space="0"/>
            </w:tcBorders>
            <w:noWrap w:val="0"/>
            <w:vAlign w:val="center"/>
          </w:tcPr>
          <w:p w14:paraId="5437AD1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欧尼克、纳博克、必盛同档次及以上</w:t>
            </w:r>
          </w:p>
        </w:tc>
        <w:tc>
          <w:tcPr>
            <w:tcW w:w="814" w:type="pct"/>
            <w:tcBorders>
              <w:top w:val="nil"/>
              <w:left w:val="nil"/>
              <w:bottom w:val="single" w:color="000000" w:sz="8" w:space="0"/>
              <w:right w:val="single" w:color="000000" w:sz="8" w:space="0"/>
            </w:tcBorders>
            <w:noWrap w:val="0"/>
            <w:vAlign w:val="center"/>
          </w:tcPr>
          <w:p w14:paraId="617A839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AE375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15D76C9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556" w:type="pct"/>
            <w:tcBorders>
              <w:top w:val="nil"/>
              <w:left w:val="nil"/>
              <w:bottom w:val="single" w:color="000000" w:sz="8" w:space="0"/>
              <w:right w:val="single" w:color="000000" w:sz="8" w:space="0"/>
            </w:tcBorders>
            <w:noWrap w:val="0"/>
            <w:vAlign w:val="center"/>
          </w:tcPr>
          <w:p w14:paraId="2F57527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PVC地板</w:t>
            </w:r>
          </w:p>
        </w:tc>
        <w:tc>
          <w:tcPr>
            <w:tcW w:w="2244" w:type="pct"/>
            <w:tcBorders>
              <w:top w:val="nil"/>
              <w:left w:val="nil"/>
              <w:bottom w:val="single" w:color="000000" w:sz="8" w:space="0"/>
              <w:right w:val="single" w:color="000000" w:sz="8" w:space="0"/>
            </w:tcBorders>
            <w:noWrap w:val="0"/>
            <w:vAlign w:val="center"/>
          </w:tcPr>
          <w:p w14:paraId="29E72CF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得嘉、洁弗乐、阿姆斯壮同档次及以上</w:t>
            </w:r>
          </w:p>
        </w:tc>
        <w:tc>
          <w:tcPr>
            <w:tcW w:w="814" w:type="pct"/>
            <w:tcBorders>
              <w:top w:val="nil"/>
              <w:left w:val="nil"/>
              <w:bottom w:val="single" w:color="000000" w:sz="8" w:space="0"/>
              <w:right w:val="single" w:color="000000" w:sz="8" w:space="0"/>
            </w:tcBorders>
            <w:noWrap w:val="0"/>
            <w:vAlign w:val="center"/>
          </w:tcPr>
          <w:p w14:paraId="451B270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79C9F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5" w:type="pct"/>
            <w:tcBorders>
              <w:top w:val="nil"/>
              <w:left w:val="single" w:color="000000" w:sz="8" w:space="0"/>
              <w:bottom w:val="single" w:color="000000" w:sz="8" w:space="0"/>
              <w:right w:val="single" w:color="000000" w:sz="8" w:space="0"/>
            </w:tcBorders>
            <w:noWrap w:val="0"/>
            <w:vAlign w:val="center"/>
          </w:tcPr>
          <w:p w14:paraId="1D00500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5</w:t>
            </w:r>
          </w:p>
        </w:tc>
        <w:tc>
          <w:tcPr>
            <w:tcW w:w="1556" w:type="pct"/>
            <w:tcBorders>
              <w:top w:val="nil"/>
              <w:left w:val="nil"/>
              <w:bottom w:val="single" w:color="000000" w:sz="8" w:space="0"/>
              <w:right w:val="single" w:color="000000" w:sz="8" w:space="0"/>
            </w:tcBorders>
            <w:noWrap w:val="0"/>
            <w:vAlign w:val="center"/>
          </w:tcPr>
          <w:p w14:paraId="7A60720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电子互锁传递门</w:t>
            </w:r>
          </w:p>
        </w:tc>
        <w:tc>
          <w:tcPr>
            <w:tcW w:w="2244" w:type="pct"/>
            <w:tcBorders>
              <w:top w:val="nil"/>
              <w:left w:val="nil"/>
              <w:bottom w:val="single" w:color="000000" w:sz="8" w:space="0"/>
              <w:right w:val="single" w:color="000000" w:sz="8" w:space="0"/>
            </w:tcBorders>
            <w:noWrap w:val="0"/>
            <w:vAlign w:val="center"/>
          </w:tcPr>
          <w:p w14:paraId="4152D74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劲荣、智迪锐、鸿涛同档次及以上</w:t>
            </w:r>
          </w:p>
        </w:tc>
        <w:tc>
          <w:tcPr>
            <w:tcW w:w="814" w:type="pct"/>
            <w:tcBorders>
              <w:top w:val="nil"/>
              <w:left w:val="nil"/>
              <w:bottom w:val="single" w:color="000000" w:sz="8" w:space="0"/>
              <w:right w:val="single" w:color="000000" w:sz="8" w:space="0"/>
            </w:tcBorders>
            <w:noWrap w:val="0"/>
            <w:vAlign w:val="center"/>
          </w:tcPr>
          <w:p w14:paraId="209E8E9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430D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0FDA93C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w:t>
            </w:r>
          </w:p>
        </w:tc>
        <w:tc>
          <w:tcPr>
            <w:tcW w:w="1556" w:type="pct"/>
            <w:tcBorders>
              <w:top w:val="nil"/>
              <w:left w:val="nil"/>
              <w:bottom w:val="single" w:color="000000" w:sz="8" w:space="0"/>
              <w:right w:val="single" w:color="000000" w:sz="8" w:space="0"/>
            </w:tcBorders>
            <w:noWrap w:val="0"/>
            <w:vAlign w:val="center"/>
          </w:tcPr>
          <w:p w14:paraId="1D7920C0">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传递窗</w:t>
            </w:r>
          </w:p>
        </w:tc>
        <w:tc>
          <w:tcPr>
            <w:tcW w:w="2244" w:type="pct"/>
            <w:tcBorders>
              <w:top w:val="nil"/>
              <w:left w:val="nil"/>
              <w:bottom w:val="single" w:color="000000" w:sz="8" w:space="0"/>
              <w:right w:val="single" w:color="000000" w:sz="8" w:space="0"/>
            </w:tcBorders>
            <w:noWrap w:val="0"/>
            <w:vAlign w:val="center"/>
          </w:tcPr>
          <w:p w14:paraId="3AD2CE8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劲荣、智迪锐、鸿涛同档次及以上</w:t>
            </w:r>
          </w:p>
        </w:tc>
        <w:tc>
          <w:tcPr>
            <w:tcW w:w="814" w:type="pct"/>
            <w:tcBorders>
              <w:top w:val="nil"/>
              <w:left w:val="nil"/>
              <w:bottom w:val="single" w:color="000000" w:sz="8" w:space="0"/>
              <w:right w:val="single" w:color="000000" w:sz="8" w:space="0"/>
            </w:tcBorders>
            <w:noWrap w:val="0"/>
            <w:vAlign w:val="center"/>
          </w:tcPr>
          <w:p w14:paraId="6B59860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93705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61A7DEE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二、暖通专业</w:t>
            </w:r>
          </w:p>
        </w:tc>
        <w:tc>
          <w:tcPr>
            <w:tcW w:w="814" w:type="pct"/>
            <w:tcBorders>
              <w:top w:val="nil"/>
              <w:left w:val="nil"/>
              <w:bottom w:val="single" w:color="000000" w:sz="8" w:space="0"/>
              <w:right w:val="single" w:color="000000" w:sz="8" w:space="0"/>
            </w:tcBorders>
            <w:noWrap w:val="0"/>
            <w:vAlign w:val="center"/>
          </w:tcPr>
          <w:p w14:paraId="798E920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3769B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24F5577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7</w:t>
            </w:r>
          </w:p>
        </w:tc>
        <w:tc>
          <w:tcPr>
            <w:tcW w:w="1556" w:type="pct"/>
            <w:tcBorders>
              <w:top w:val="nil"/>
              <w:left w:val="nil"/>
              <w:bottom w:val="single" w:color="000000" w:sz="8" w:space="0"/>
              <w:right w:val="single" w:color="000000" w:sz="8" w:space="0"/>
            </w:tcBorders>
            <w:noWrap w:val="0"/>
            <w:vAlign w:val="center"/>
          </w:tcPr>
          <w:p w14:paraId="03527FE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镀锌风管</w:t>
            </w:r>
          </w:p>
        </w:tc>
        <w:tc>
          <w:tcPr>
            <w:tcW w:w="2244" w:type="pct"/>
            <w:tcBorders>
              <w:top w:val="single" w:color="000000" w:sz="8" w:space="0"/>
              <w:left w:val="nil"/>
              <w:bottom w:val="single" w:color="000000" w:sz="8" w:space="0"/>
              <w:right w:val="single" w:color="000000" w:sz="8" w:space="0"/>
            </w:tcBorders>
            <w:noWrap w:val="0"/>
            <w:vAlign w:val="center"/>
          </w:tcPr>
          <w:p w14:paraId="178F33F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single" w:color="000000" w:sz="8" w:space="0"/>
              <w:left w:val="nil"/>
              <w:bottom w:val="single" w:color="000000" w:sz="8" w:space="0"/>
              <w:right w:val="single" w:color="000000" w:sz="8" w:space="0"/>
            </w:tcBorders>
            <w:noWrap w:val="0"/>
            <w:vAlign w:val="center"/>
          </w:tcPr>
          <w:p w14:paraId="04E38DF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24651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2BD820E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8</w:t>
            </w:r>
          </w:p>
        </w:tc>
        <w:tc>
          <w:tcPr>
            <w:tcW w:w="1556" w:type="pct"/>
            <w:tcBorders>
              <w:top w:val="nil"/>
              <w:left w:val="nil"/>
              <w:bottom w:val="single" w:color="000000" w:sz="8" w:space="0"/>
              <w:right w:val="single" w:color="000000" w:sz="8" w:space="0"/>
            </w:tcBorders>
            <w:noWrap w:val="0"/>
            <w:vAlign w:val="center"/>
          </w:tcPr>
          <w:p w14:paraId="63CE0CB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橡塑保温</w:t>
            </w:r>
          </w:p>
        </w:tc>
        <w:tc>
          <w:tcPr>
            <w:tcW w:w="2244" w:type="pct"/>
            <w:tcBorders>
              <w:top w:val="nil"/>
              <w:left w:val="nil"/>
              <w:bottom w:val="single" w:color="000000" w:sz="8" w:space="0"/>
              <w:right w:val="single" w:color="000000" w:sz="8" w:space="0"/>
            </w:tcBorders>
            <w:noWrap w:val="0"/>
            <w:vAlign w:val="center"/>
          </w:tcPr>
          <w:p w14:paraId="716983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神州绿都、华美、赢胜同档次及以上</w:t>
            </w:r>
          </w:p>
        </w:tc>
        <w:tc>
          <w:tcPr>
            <w:tcW w:w="814" w:type="pct"/>
            <w:tcBorders>
              <w:top w:val="nil"/>
              <w:left w:val="nil"/>
              <w:bottom w:val="single" w:color="000000" w:sz="8" w:space="0"/>
              <w:right w:val="single" w:color="000000" w:sz="8" w:space="0"/>
            </w:tcBorders>
            <w:noWrap w:val="0"/>
            <w:vAlign w:val="center"/>
          </w:tcPr>
          <w:p w14:paraId="2EA28D6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5D36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32DE560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9</w:t>
            </w:r>
          </w:p>
        </w:tc>
        <w:tc>
          <w:tcPr>
            <w:tcW w:w="1556" w:type="pct"/>
            <w:tcBorders>
              <w:top w:val="nil"/>
              <w:left w:val="nil"/>
              <w:bottom w:val="single" w:color="000000" w:sz="8" w:space="0"/>
              <w:right w:val="single" w:color="000000" w:sz="8" w:space="0"/>
            </w:tcBorders>
            <w:noWrap w:val="0"/>
            <w:vAlign w:val="center"/>
          </w:tcPr>
          <w:p w14:paraId="41F742B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风口、风阀</w:t>
            </w:r>
          </w:p>
        </w:tc>
        <w:tc>
          <w:tcPr>
            <w:tcW w:w="2244" w:type="pct"/>
            <w:tcBorders>
              <w:top w:val="nil"/>
              <w:left w:val="nil"/>
              <w:bottom w:val="single" w:color="000000" w:sz="8" w:space="0"/>
              <w:right w:val="single" w:color="000000" w:sz="8" w:space="0"/>
            </w:tcBorders>
            <w:noWrap w:val="0"/>
            <w:vAlign w:val="center"/>
          </w:tcPr>
          <w:p w14:paraId="4FA2E1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nil"/>
              <w:bottom w:val="single" w:color="000000" w:sz="8" w:space="0"/>
              <w:right w:val="single" w:color="000000" w:sz="8" w:space="0"/>
            </w:tcBorders>
            <w:noWrap w:val="0"/>
            <w:vAlign w:val="center"/>
          </w:tcPr>
          <w:p w14:paraId="7BC9C9D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36E928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5" w:type="pct"/>
            <w:tcBorders>
              <w:top w:val="nil"/>
              <w:left w:val="single" w:color="000000" w:sz="8" w:space="0"/>
              <w:bottom w:val="single" w:color="000000" w:sz="8" w:space="0"/>
              <w:right w:val="single" w:color="000000" w:sz="8" w:space="0"/>
            </w:tcBorders>
            <w:noWrap w:val="0"/>
            <w:vAlign w:val="center"/>
          </w:tcPr>
          <w:p w14:paraId="3CB2543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10</w:t>
            </w:r>
          </w:p>
        </w:tc>
        <w:tc>
          <w:tcPr>
            <w:tcW w:w="1556" w:type="pct"/>
            <w:tcBorders>
              <w:top w:val="nil"/>
              <w:left w:val="nil"/>
              <w:bottom w:val="single" w:color="000000" w:sz="8" w:space="0"/>
              <w:right w:val="single" w:color="000000" w:sz="8" w:space="0"/>
            </w:tcBorders>
            <w:noWrap w:val="0"/>
            <w:vAlign w:val="center"/>
          </w:tcPr>
          <w:p w14:paraId="33F0496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消声器、消声弯头</w:t>
            </w:r>
          </w:p>
        </w:tc>
        <w:tc>
          <w:tcPr>
            <w:tcW w:w="2244" w:type="pct"/>
            <w:tcBorders>
              <w:top w:val="nil"/>
              <w:left w:val="nil"/>
              <w:bottom w:val="single" w:color="000000" w:sz="8" w:space="0"/>
              <w:right w:val="single" w:color="000000" w:sz="8" w:space="0"/>
            </w:tcBorders>
            <w:noWrap w:val="0"/>
            <w:vAlign w:val="center"/>
          </w:tcPr>
          <w:p w14:paraId="36541A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智迪锐、佰伦、巨星同档次及以上</w:t>
            </w:r>
          </w:p>
        </w:tc>
        <w:tc>
          <w:tcPr>
            <w:tcW w:w="814" w:type="pct"/>
            <w:tcBorders>
              <w:top w:val="nil"/>
              <w:left w:val="nil"/>
              <w:bottom w:val="single" w:color="000000" w:sz="8" w:space="0"/>
              <w:right w:val="single" w:color="000000" w:sz="8" w:space="0"/>
            </w:tcBorders>
            <w:noWrap w:val="0"/>
            <w:vAlign w:val="center"/>
          </w:tcPr>
          <w:p w14:paraId="1B985E1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AF507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5FE9D1E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11</w:t>
            </w:r>
          </w:p>
        </w:tc>
        <w:tc>
          <w:tcPr>
            <w:tcW w:w="1556" w:type="pct"/>
            <w:tcBorders>
              <w:top w:val="nil"/>
              <w:left w:val="nil"/>
              <w:bottom w:val="single" w:color="000000" w:sz="8" w:space="0"/>
              <w:right w:val="single" w:color="000000" w:sz="8" w:space="0"/>
            </w:tcBorders>
            <w:noWrap w:val="0"/>
            <w:vAlign w:val="center"/>
          </w:tcPr>
          <w:p w14:paraId="671AEAD7">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带过滤器净化风口</w:t>
            </w:r>
          </w:p>
        </w:tc>
        <w:tc>
          <w:tcPr>
            <w:tcW w:w="2244" w:type="pct"/>
            <w:tcBorders>
              <w:top w:val="nil"/>
              <w:left w:val="nil"/>
              <w:bottom w:val="single" w:color="000000" w:sz="8" w:space="0"/>
              <w:right w:val="single" w:color="000000" w:sz="8" w:space="0"/>
            </w:tcBorders>
            <w:noWrap w:val="0"/>
            <w:vAlign w:val="center"/>
          </w:tcPr>
          <w:p w14:paraId="541FCAC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nil"/>
              <w:bottom w:val="single" w:color="000000" w:sz="8" w:space="0"/>
              <w:right w:val="single" w:color="000000" w:sz="8" w:space="0"/>
            </w:tcBorders>
            <w:noWrap w:val="0"/>
            <w:vAlign w:val="center"/>
          </w:tcPr>
          <w:p w14:paraId="720C29C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B075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0CEBCA4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12</w:t>
            </w:r>
          </w:p>
        </w:tc>
        <w:tc>
          <w:tcPr>
            <w:tcW w:w="1556" w:type="pct"/>
            <w:tcBorders>
              <w:top w:val="nil"/>
              <w:left w:val="nil"/>
              <w:bottom w:val="single" w:color="000000" w:sz="8" w:space="0"/>
              <w:right w:val="single" w:color="000000" w:sz="8" w:space="0"/>
            </w:tcBorders>
            <w:noWrap w:val="0"/>
            <w:vAlign w:val="center"/>
          </w:tcPr>
          <w:p w14:paraId="54B7E65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净化空调机组</w:t>
            </w:r>
          </w:p>
        </w:tc>
        <w:tc>
          <w:tcPr>
            <w:tcW w:w="2244" w:type="pct"/>
            <w:tcBorders>
              <w:top w:val="nil"/>
              <w:left w:val="nil"/>
              <w:bottom w:val="single" w:color="000000" w:sz="8" w:space="0"/>
              <w:right w:val="single" w:color="000000" w:sz="8" w:space="0"/>
            </w:tcBorders>
            <w:noWrap w:val="0"/>
            <w:vAlign w:val="center"/>
          </w:tcPr>
          <w:p w14:paraId="5422C2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restart"/>
            <w:tcBorders>
              <w:top w:val="nil"/>
              <w:left w:val="nil"/>
              <w:bottom w:val="single" w:color="000000" w:sz="8" w:space="0"/>
              <w:right w:val="single" w:color="000000" w:sz="8" w:space="0"/>
            </w:tcBorders>
            <w:noWrap w:val="0"/>
            <w:vAlign w:val="center"/>
          </w:tcPr>
          <w:p w14:paraId="6D78817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B2A0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6CFC8DD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13</w:t>
            </w:r>
          </w:p>
        </w:tc>
        <w:tc>
          <w:tcPr>
            <w:tcW w:w="1556" w:type="pct"/>
            <w:tcBorders>
              <w:top w:val="nil"/>
              <w:left w:val="nil"/>
              <w:bottom w:val="single" w:color="000000" w:sz="8" w:space="0"/>
              <w:right w:val="single" w:color="000000" w:sz="8" w:space="0"/>
            </w:tcBorders>
            <w:noWrap w:val="0"/>
            <w:vAlign w:val="center"/>
          </w:tcPr>
          <w:p w14:paraId="07652DB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新风处理机组</w:t>
            </w:r>
          </w:p>
        </w:tc>
        <w:tc>
          <w:tcPr>
            <w:tcW w:w="2244" w:type="pct"/>
            <w:tcBorders>
              <w:top w:val="nil"/>
              <w:left w:val="nil"/>
              <w:bottom w:val="single" w:color="000000" w:sz="8" w:space="0"/>
              <w:right w:val="single" w:color="000000" w:sz="8" w:space="0"/>
            </w:tcBorders>
            <w:noWrap w:val="0"/>
            <w:vAlign w:val="center"/>
          </w:tcPr>
          <w:p w14:paraId="5DAF548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vMerge w:val="continue"/>
            <w:tcBorders>
              <w:top w:val="nil"/>
              <w:left w:val="nil"/>
              <w:bottom w:val="single" w:color="000000" w:sz="8" w:space="0"/>
              <w:right w:val="single" w:color="000000" w:sz="8" w:space="0"/>
            </w:tcBorders>
            <w:noWrap w:val="0"/>
            <w:vAlign w:val="center"/>
          </w:tcPr>
          <w:p w14:paraId="389803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DA1B4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50308EE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14</w:t>
            </w:r>
          </w:p>
        </w:tc>
        <w:tc>
          <w:tcPr>
            <w:tcW w:w="1556" w:type="pct"/>
            <w:tcBorders>
              <w:top w:val="nil"/>
              <w:left w:val="nil"/>
              <w:bottom w:val="single" w:color="000000" w:sz="8" w:space="0"/>
              <w:right w:val="single" w:color="000000" w:sz="8" w:space="0"/>
            </w:tcBorders>
            <w:noWrap w:val="0"/>
            <w:vAlign w:val="center"/>
          </w:tcPr>
          <w:p w14:paraId="23474766">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排风机箱(含过滤器)</w:t>
            </w:r>
          </w:p>
        </w:tc>
        <w:tc>
          <w:tcPr>
            <w:tcW w:w="2244" w:type="pct"/>
            <w:tcBorders>
              <w:top w:val="nil"/>
              <w:left w:val="nil"/>
              <w:bottom w:val="single" w:color="000000" w:sz="8" w:space="0"/>
              <w:right w:val="single" w:color="000000" w:sz="8" w:space="0"/>
            </w:tcBorders>
            <w:noWrap w:val="0"/>
            <w:vAlign w:val="center"/>
          </w:tcPr>
          <w:p w14:paraId="6ED4973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nil"/>
              <w:bottom w:val="single" w:color="000000" w:sz="8" w:space="0"/>
              <w:right w:val="single" w:color="000000" w:sz="8" w:space="0"/>
            </w:tcBorders>
            <w:noWrap w:val="0"/>
            <w:vAlign w:val="center"/>
          </w:tcPr>
          <w:p w14:paraId="5A62896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3120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30E3DD4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15</w:t>
            </w:r>
          </w:p>
        </w:tc>
        <w:tc>
          <w:tcPr>
            <w:tcW w:w="1556" w:type="pct"/>
            <w:tcBorders>
              <w:top w:val="nil"/>
              <w:left w:val="nil"/>
              <w:bottom w:val="single" w:color="000000" w:sz="8" w:space="0"/>
              <w:right w:val="single" w:color="000000" w:sz="8" w:space="0"/>
            </w:tcBorders>
            <w:noWrap w:val="0"/>
            <w:vAlign w:val="center"/>
          </w:tcPr>
          <w:p w14:paraId="2BBEAA58">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辅助区排风机箱</w:t>
            </w:r>
          </w:p>
        </w:tc>
        <w:tc>
          <w:tcPr>
            <w:tcW w:w="2244" w:type="pct"/>
            <w:tcBorders>
              <w:top w:val="nil"/>
              <w:left w:val="nil"/>
              <w:bottom w:val="single" w:color="000000" w:sz="8" w:space="0"/>
              <w:right w:val="single" w:color="000000" w:sz="8" w:space="0"/>
            </w:tcBorders>
            <w:noWrap w:val="0"/>
            <w:vAlign w:val="center"/>
          </w:tcPr>
          <w:p w14:paraId="133CE24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nil"/>
              <w:bottom w:val="single" w:color="000000" w:sz="8" w:space="0"/>
              <w:right w:val="single" w:color="000000" w:sz="8" w:space="0"/>
            </w:tcBorders>
            <w:noWrap w:val="0"/>
            <w:vAlign w:val="center"/>
          </w:tcPr>
          <w:p w14:paraId="70CE776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FBBCB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5" w:type="pct"/>
            <w:tcBorders>
              <w:top w:val="nil"/>
              <w:left w:val="single" w:color="000000" w:sz="8" w:space="0"/>
              <w:bottom w:val="single" w:color="000000" w:sz="8" w:space="0"/>
              <w:right w:val="single" w:color="000000" w:sz="8" w:space="0"/>
            </w:tcBorders>
            <w:noWrap w:val="0"/>
            <w:vAlign w:val="center"/>
          </w:tcPr>
          <w:p w14:paraId="36DAA89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16</w:t>
            </w:r>
          </w:p>
        </w:tc>
        <w:tc>
          <w:tcPr>
            <w:tcW w:w="1556" w:type="pct"/>
            <w:tcBorders>
              <w:top w:val="nil"/>
              <w:left w:val="nil"/>
              <w:bottom w:val="single" w:color="000000" w:sz="8" w:space="0"/>
              <w:right w:val="single" w:color="000000" w:sz="8" w:space="0"/>
            </w:tcBorders>
            <w:noWrap w:val="0"/>
            <w:vAlign w:val="center"/>
          </w:tcPr>
          <w:p w14:paraId="1CB82109">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多联机室内外机</w:t>
            </w:r>
          </w:p>
        </w:tc>
        <w:tc>
          <w:tcPr>
            <w:tcW w:w="2244" w:type="pct"/>
            <w:tcBorders>
              <w:top w:val="nil"/>
              <w:left w:val="nil"/>
              <w:bottom w:val="single" w:color="000000" w:sz="8" w:space="0"/>
              <w:right w:val="single" w:color="000000" w:sz="8" w:space="0"/>
            </w:tcBorders>
            <w:noWrap w:val="0"/>
            <w:vAlign w:val="center"/>
          </w:tcPr>
          <w:p w14:paraId="47BB150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大金、三菱、东芝同档次及以上</w:t>
            </w:r>
          </w:p>
        </w:tc>
        <w:tc>
          <w:tcPr>
            <w:tcW w:w="814" w:type="pct"/>
            <w:tcBorders>
              <w:top w:val="nil"/>
              <w:left w:val="nil"/>
              <w:bottom w:val="single" w:color="000000" w:sz="8" w:space="0"/>
              <w:right w:val="single" w:color="000000" w:sz="8" w:space="0"/>
            </w:tcBorders>
            <w:noWrap w:val="0"/>
            <w:vAlign w:val="center"/>
          </w:tcPr>
          <w:p w14:paraId="7B56449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0C0C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69FB09C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17</w:t>
            </w:r>
          </w:p>
        </w:tc>
        <w:tc>
          <w:tcPr>
            <w:tcW w:w="1556" w:type="pct"/>
            <w:tcBorders>
              <w:top w:val="nil"/>
              <w:left w:val="nil"/>
              <w:bottom w:val="single" w:color="000000" w:sz="8" w:space="0"/>
              <w:right w:val="single" w:color="000000" w:sz="8" w:space="0"/>
            </w:tcBorders>
            <w:noWrap w:val="0"/>
            <w:vAlign w:val="center"/>
          </w:tcPr>
          <w:p w14:paraId="5EBC731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分体空调</w:t>
            </w:r>
          </w:p>
        </w:tc>
        <w:tc>
          <w:tcPr>
            <w:tcW w:w="2244" w:type="pct"/>
            <w:tcBorders>
              <w:top w:val="nil"/>
              <w:left w:val="nil"/>
              <w:bottom w:val="single" w:color="000000" w:sz="8" w:space="0"/>
              <w:right w:val="single" w:color="000000" w:sz="8" w:space="0"/>
            </w:tcBorders>
            <w:noWrap w:val="0"/>
            <w:vAlign w:val="center"/>
          </w:tcPr>
          <w:p w14:paraId="35373CB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美的、海尔、格力同档次及以上</w:t>
            </w:r>
          </w:p>
        </w:tc>
        <w:tc>
          <w:tcPr>
            <w:tcW w:w="814" w:type="pct"/>
            <w:tcBorders>
              <w:top w:val="nil"/>
              <w:left w:val="nil"/>
              <w:bottom w:val="single" w:color="000000" w:sz="8" w:space="0"/>
              <w:right w:val="single" w:color="000000" w:sz="8" w:space="0"/>
            </w:tcBorders>
            <w:noWrap w:val="0"/>
            <w:vAlign w:val="center"/>
          </w:tcPr>
          <w:p w14:paraId="4299E5E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DD792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0BAF17B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三、电气专业</w:t>
            </w:r>
          </w:p>
        </w:tc>
        <w:tc>
          <w:tcPr>
            <w:tcW w:w="814" w:type="pct"/>
            <w:tcBorders>
              <w:top w:val="nil"/>
              <w:left w:val="nil"/>
              <w:bottom w:val="single" w:color="000000" w:sz="8" w:space="0"/>
              <w:right w:val="single" w:color="000000" w:sz="8" w:space="0"/>
            </w:tcBorders>
            <w:noWrap w:val="0"/>
            <w:vAlign w:val="center"/>
          </w:tcPr>
          <w:p w14:paraId="486B702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8DCFF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36BA5F3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18</w:t>
            </w:r>
          </w:p>
        </w:tc>
        <w:tc>
          <w:tcPr>
            <w:tcW w:w="1556" w:type="pct"/>
            <w:tcBorders>
              <w:top w:val="nil"/>
              <w:left w:val="nil"/>
              <w:bottom w:val="single" w:color="000000" w:sz="8" w:space="0"/>
              <w:right w:val="single" w:color="000000" w:sz="8" w:space="0"/>
            </w:tcBorders>
            <w:noWrap w:val="0"/>
            <w:vAlign w:val="center"/>
          </w:tcPr>
          <w:p w14:paraId="5AF4B16D">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配电箱元器件</w:t>
            </w:r>
          </w:p>
        </w:tc>
        <w:tc>
          <w:tcPr>
            <w:tcW w:w="2244" w:type="pct"/>
            <w:tcBorders>
              <w:top w:val="single" w:color="000000" w:sz="8" w:space="0"/>
              <w:left w:val="nil"/>
              <w:bottom w:val="single" w:color="000000" w:sz="8" w:space="0"/>
              <w:right w:val="single" w:color="000000" w:sz="8" w:space="0"/>
            </w:tcBorders>
            <w:noWrap w:val="0"/>
            <w:vAlign w:val="center"/>
          </w:tcPr>
          <w:p w14:paraId="21BF678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single" w:color="000000" w:sz="8" w:space="0"/>
              <w:left w:val="nil"/>
              <w:bottom w:val="single" w:color="000000" w:sz="8" w:space="0"/>
              <w:right w:val="single" w:color="000000" w:sz="8" w:space="0"/>
            </w:tcBorders>
            <w:noWrap w:val="0"/>
            <w:vAlign w:val="center"/>
          </w:tcPr>
          <w:p w14:paraId="4E1F1C1F">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AC81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5FFBAED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19</w:t>
            </w:r>
          </w:p>
        </w:tc>
        <w:tc>
          <w:tcPr>
            <w:tcW w:w="1556" w:type="pct"/>
            <w:tcBorders>
              <w:top w:val="nil"/>
              <w:left w:val="nil"/>
              <w:bottom w:val="single" w:color="000000" w:sz="8" w:space="0"/>
              <w:right w:val="single" w:color="000000" w:sz="8" w:space="0"/>
            </w:tcBorders>
            <w:noWrap w:val="0"/>
            <w:vAlign w:val="center"/>
          </w:tcPr>
          <w:p w14:paraId="734A1BB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空调机组自控系统</w:t>
            </w:r>
          </w:p>
        </w:tc>
        <w:tc>
          <w:tcPr>
            <w:tcW w:w="2244" w:type="pct"/>
            <w:tcBorders>
              <w:top w:val="nil"/>
              <w:left w:val="nil"/>
              <w:bottom w:val="single" w:color="000000" w:sz="8" w:space="0"/>
              <w:right w:val="single" w:color="000000" w:sz="8" w:space="0"/>
            </w:tcBorders>
            <w:noWrap w:val="0"/>
            <w:vAlign w:val="center"/>
          </w:tcPr>
          <w:p w14:paraId="7F059A1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nil"/>
              <w:left w:val="nil"/>
              <w:bottom w:val="single" w:color="000000" w:sz="8" w:space="0"/>
              <w:right w:val="single" w:color="000000" w:sz="8" w:space="0"/>
            </w:tcBorders>
            <w:noWrap w:val="0"/>
            <w:vAlign w:val="center"/>
          </w:tcPr>
          <w:p w14:paraId="1E78CEF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89908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68BC09B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20</w:t>
            </w:r>
          </w:p>
        </w:tc>
        <w:tc>
          <w:tcPr>
            <w:tcW w:w="1556" w:type="pct"/>
            <w:tcBorders>
              <w:top w:val="nil"/>
              <w:left w:val="nil"/>
              <w:bottom w:val="single" w:color="000000" w:sz="8" w:space="0"/>
              <w:right w:val="single" w:color="000000" w:sz="8" w:space="0"/>
            </w:tcBorders>
            <w:noWrap w:val="0"/>
            <w:vAlign w:val="center"/>
          </w:tcPr>
          <w:p w14:paraId="23DD7DFA">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灯具</w:t>
            </w:r>
          </w:p>
        </w:tc>
        <w:tc>
          <w:tcPr>
            <w:tcW w:w="2244" w:type="pct"/>
            <w:tcBorders>
              <w:top w:val="nil"/>
              <w:left w:val="nil"/>
              <w:bottom w:val="single" w:color="000000" w:sz="8" w:space="0"/>
              <w:right w:val="single" w:color="000000" w:sz="8" w:space="0"/>
            </w:tcBorders>
            <w:noWrap w:val="0"/>
            <w:vAlign w:val="center"/>
          </w:tcPr>
          <w:p w14:paraId="37AE04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rPr>
            </w:pPr>
            <w:r>
              <w:rPr>
                <w:rFonts w:hint="eastAsia" w:ascii="宋体" w:hAnsi="宋体" w:eastAsia="宋体" w:cs="宋体"/>
                <w:i w:val="0"/>
                <w:iCs w:val="0"/>
                <w:color w:val="auto"/>
                <w:kern w:val="0"/>
                <w:sz w:val="23"/>
                <w:szCs w:val="23"/>
                <w:highlight w:val="none"/>
                <w:u w:val="none"/>
                <w:lang w:val="en-US" w:eastAsia="zh-CN" w:bidi="ar"/>
              </w:rPr>
              <w:t>佛山照明、雷士、三雄极光同档次及以上</w:t>
            </w:r>
          </w:p>
        </w:tc>
        <w:tc>
          <w:tcPr>
            <w:tcW w:w="814" w:type="pct"/>
            <w:tcBorders>
              <w:top w:val="nil"/>
              <w:left w:val="nil"/>
              <w:bottom w:val="single" w:color="000000" w:sz="8" w:space="0"/>
              <w:right w:val="single" w:color="000000" w:sz="8" w:space="0"/>
            </w:tcBorders>
            <w:noWrap w:val="0"/>
            <w:vAlign w:val="center"/>
          </w:tcPr>
          <w:p w14:paraId="75DC2ED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E600D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3D1EC35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21</w:t>
            </w:r>
          </w:p>
        </w:tc>
        <w:tc>
          <w:tcPr>
            <w:tcW w:w="1556" w:type="pct"/>
            <w:tcBorders>
              <w:top w:val="nil"/>
              <w:left w:val="nil"/>
              <w:bottom w:val="single" w:color="000000" w:sz="8" w:space="0"/>
              <w:right w:val="single" w:color="000000" w:sz="8" w:space="0"/>
            </w:tcBorders>
            <w:noWrap w:val="0"/>
            <w:vAlign w:val="center"/>
          </w:tcPr>
          <w:p w14:paraId="24629AA2">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开关、插座</w:t>
            </w:r>
          </w:p>
        </w:tc>
        <w:tc>
          <w:tcPr>
            <w:tcW w:w="2244" w:type="pct"/>
            <w:tcBorders>
              <w:top w:val="nil"/>
              <w:left w:val="nil"/>
              <w:bottom w:val="single" w:color="000000" w:sz="8" w:space="0"/>
              <w:right w:val="single" w:color="000000" w:sz="8" w:space="0"/>
            </w:tcBorders>
            <w:noWrap w:val="0"/>
            <w:vAlign w:val="center"/>
          </w:tcPr>
          <w:p w14:paraId="16DCA95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罗格朗、西门子、施耐德同档次及以上</w:t>
            </w:r>
          </w:p>
        </w:tc>
        <w:tc>
          <w:tcPr>
            <w:tcW w:w="814" w:type="pct"/>
            <w:tcBorders>
              <w:top w:val="nil"/>
              <w:left w:val="nil"/>
              <w:bottom w:val="single" w:color="000000" w:sz="8" w:space="0"/>
              <w:right w:val="single" w:color="000000" w:sz="8" w:space="0"/>
            </w:tcBorders>
            <w:noWrap w:val="0"/>
            <w:vAlign w:val="center"/>
          </w:tcPr>
          <w:p w14:paraId="7566963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F2A77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1B402F6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22</w:t>
            </w:r>
          </w:p>
        </w:tc>
        <w:tc>
          <w:tcPr>
            <w:tcW w:w="1556" w:type="pct"/>
            <w:tcBorders>
              <w:top w:val="nil"/>
              <w:left w:val="nil"/>
              <w:bottom w:val="single" w:color="000000" w:sz="8" w:space="0"/>
              <w:right w:val="single" w:color="000000" w:sz="8" w:space="0"/>
            </w:tcBorders>
            <w:noWrap w:val="0"/>
            <w:vAlign w:val="center"/>
          </w:tcPr>
          <w:p w14:paraId="30916F65">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电线</w:t>
            </w:r>
          </w:p>
        </w:tc>
        <w:tc>
          <w:tcPr>
            <w:tcW w:w="2244" w:type="pct"/>
            <w:tcBorders>
              <w:top w:val="nil"/>
              <w:left w:val="nil"/>
              <w:bottom w:val="single" w:color="000000" w:sz="8" w:space="0"/>
              <w:right w:val="single" w:color="000000" w:sz="8" w:space="0"/>
            </w:tcBorders>
            <w:noWrap w:val="0"/>
            <w:vAlign w:val="center"/>
          </w:tcPr>
          <w:p w14:paraId="58FE359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57D3DB4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BC459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3CAD91E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23</w:t>
            </w:r>
          </w:p>
        </w:tc>
        <w:tc>
          <w:tcPr>
            <w:tcW w:w="1556" w:type="pct"/>
            <w:tcBorders>
              <w:top w:val="nil"/>
              <w:left w:val="nil"/>
              <w:bottom w:val="single" w:color="000000" w:sz="8" w:space="0"/>
              <w:right w:val="single" w:color="000000" w:sz="8" w:space="0"/>
            </w:tcBorders>
            <w:noWrap w:val="0"/>
            <w:vAlign w:val="center"/>
          </w:tcPr>
          <w:p w14:paraId="6D85886F">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电缆</w:t>
            </w:r>
          </w:p>
        </w:tc>
        <w:tc>
          <w:tcPr>
            <w:tcW w:w="2244" w:type="pct"/>
            <w:tcBorders>
              <w:top w:val="nil"/>
              <w:left w:val="nil"/>
              <w:bottom w:val="single" w:color="000000" w:sz="8" w:space="0"/>
              <w:right w:val="single" w:color="000000" w:sz="8" w:space="0"/>
            </w:tcBorders>
            <w:noWrap w:val="0"/>
            <w:vAlign w:val="center"/>
          </w:tcPr>
          <w:p w14:paraId="034D4DA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570425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63827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5" w:type="pct"/>
            <w:tcBorders>
              <w:top w:val="nil"/>
              <w:left w:val="single" w:color="000000" w:sz="8" w:space="0"/>
              <w:bottom w:val="single" w:color="000000" w:sz="8" w:space="0"/>
              <w:right w:val="single" w:color="000000" w:sz="8" w:space="0"/>
            </w:tcBorders>
            <w:noWrap w:val="0"/>
            <w:vAlign w:val="center"/>
          </w:tcPr>
          <w:p w14:paraId="689EC3F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24</w:t>
            </w:r>
          </w:p>
        </w:tc>
        <w:tc>
          <w:tcPr>
            <w:tcW w:w="1556" w:type="pct"/>
            <w:tcBorders>
              <w:top w:val="nil"/>
              <w:left w:val="nil"/>
              <w:bottom w:val="single" w:color="000000" w:sz="8" w:space="0"/>
              <w:right w:val="single" w:color="000000" w:sz="8" w:space="0"/>
            </w:tcBorders>
            <w:noWrap w:val="0"/>
            <w:vAlign w:val="center"/>
          </w:tcPr>
          <w:p w14:paraId="242408AC">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网线</w:t>
            </w:r>
          </w:p>
        </w:tc>
        <w:tc>
          <w:tcPr>
            <w:tcW w:w="2244" w:type="pct"/>
            <w:tcBorders>
              <w:top w:val="nil"/>
              <w:left w:val="nil"/>
              <w:bottom w:val="single" w:color="000000" w:sz="8" w:space="0"/>
              <w:right w:val="single" w:color="000000" w:sz="8" w:space="0"/>
            </w:tcBorders>
            <w:noWrap w:val="0"/>
            <w:vAlign w:val="center"/>
          </w:tcPr>
          <w:p w14:paraId="28F6A6E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兆龙、德塔森特、劳兰同档次及以上</w:t>
            </w:r>
          </w:p>
        </w:tc>
        <w:tc>
          <w:tcPr>
            <w:tcW w:w="814" w:type="pct"/>
            <w:tcBorders>
              <w:top w:val="nil"/>
              <w:left w:val="nil"/>
              <w:bottom w:val="single" w:color="000000" w:sz="8" w:space="0"/>
              <w:right w:val="single" w:color="000000" w:sz="8" w:space="0"/>
            </w:tcBorders>
            <w:noWrap w:val="0"/>
            <w:vAlign w:val="center"/>
          </w:tcPr>
          <w:p w14:paraId="5443A5B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E6A66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0"/>
            <w:vAlign w:val="center"/>
          </w:tcPr>
          <w:p w14:paraId="10E4C92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25</w:t>
            </w:r>
          </w:p>
        </w:tc>
        <w:tc>
          <w:tcPr>
            <w:tcW w:w="1556" w:type="pct"/>
            <w:tcBorders>
              <w:top w:val="nil"/>
              <w:left w:val="nil"/>
              <w:bottom w:val="single" w:color="000000" w:sz="8" w:space="0"/>
              <w:right w:val="single" w:color="000000" w:sz="8" w:space="0"/>
            </w:tcBorders>
            <w:noWrap w:val="0"/>
            <w:vAlign w:val="center"/>
          </w:tcPr>
          <w:p w14:paraId="2F4B93FE">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交换机</w:t>
            </w:r>
          </w:p>
        </w:tc>
        <w:tc>
          <w:tcPr>
            <w:tcW w:w="2244" w:type="pct"/>
            <w:tcBorders>
              <w:top w:val="nil"/>
              <w:left w:val="nil"/>
              <w:bottom w:val="single" w:color="000000" w:sz="8" w:space="0"/>
              <w:right w:val="single" w:color="000000" w:sz="8" w:space="0"/>
            </w:tcBorders>
            <w:noWrap w:val="0"/>
            <w:vAlign w:val="center"/>
          </w:tcPr>
          <w:p w14:paraId="0299B99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华为、新华三、思科同档次及以上</w:t>
            </w:r>
          </w:p>
        </w:tc>
        <w:tc>
          <w:tcPr>
            <w:tcW w:w="814" w:type="pct"/>
            <w:tcBorders>
              <w:top w:val="nil"/>
              <w:left w:val="nil"/>
              <w:bottom w:val="single" w:color="000000" w:sz="8" w:space="0"/>
              <w:right w:val="single" w:color="000000" w:sz="8" w:space="0"/>
            </w:tcBorders>
            <w:noWrap w:val="0"/>
            <w:vAlign w:val="center"/>
          </w:tcPr>
          <w:p w14:paraId="55361AB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AF673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0"/>
            <w:vAlign w:val="center"/>
          </w:tcPr>
          <w:p w14:paraId="6074C1C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四、给排水专业</w:t>
            </w:r>
          </w:p>
        </w:tc>
        <w:tc>
          <w:tcPr>
            <w:tcW w:w="814" w:type="pct"/>
            <w:tcBorders>
              <w:top w:val="nil"/>
              <w:left w:val="nil"/>
              <w:bottom w:val="single" w:color="000000" w:sz="8" w:space="0"/>
              <w:right w:val="single" w:color="000000" w:sz="8" w:space="0"/>
            </w:tcBorders>
            <w:noWrap w:val="0"/>
            <w:vAlign w:val="center"/>
          </w:tcPr>
          <w:p w14:paraId="543D946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712B9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9" w:hRule="atLeast"/>
        </w:trPr>
        <w:tc>
          <w:tcPr>
            <w:tcW w:w="385" w:type="pct"/>
            <w:tcBorders>
              <w:top w:val="nil"/>
              <w:left w:val="single" w:color="000000" w:sz="8" w:space="0"/>
              <w:bottom w:val="single" w:color="000000" w:sz="8" w:space="0"/>
              <w:right w:val="single" w:color="000000" w:sz="8" w:space="0"/>
            </w:tcBorders>
            <w:noWrap w:val="0"/>
            <w:vAlign w:val="center"/>
          </w:tcPr>
          <w:p w14:paraId="0481FEB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26</w:t>
            </w:r>
          </w:p>
        </w:tc>
        <w:tc>
          <w:tcPr>
            <w:tcW w:w="1556" w:type="pct"/>
            <w:tcBorders>
              <w:top w:val="nil"/>
              <w:left w:val="nil"/>
              <w:bottom w:val="single" w:color="000000" w:sz="8" w:space="0"/>
              <w:right w:val="single" w:color="000000" w:sz="8" w:space="0"/>
            </w:tcBorders>
            <w:noWrap w:val="0"/>
            <w:vAlign w:val="center"/>
          </w:tcPr>
          <w:p w14:paraId="2C21D2E1">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不锈钢洁具（清洗池、感应洗手池、拖布池）</w:t>
            </w:r>
          </w:p>
        </w:tc>
        <w:tc>
          <w:tcPr>
            <w:tcW w:w="2244" w:type="pct"/>
            <w:tcBorders>
              <w:top w:val="single" w:color="000000" w:sz="8" w:space="0"/>
              <w:left w:val="nil"/>
              <w:bottom w:val="single" w:color="000000" w:sz="8" w:space="0"/>
              <w:right w:val="single" w:color="000000" w:sz="8" w:space="0"/>
            </w:tcBorders>
            <w:noWrap w:val="0"/>
            <w:vAlign w:val="center"/>
          </w:tcPr>
          <w:p w14:paraId="52886FB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劲荣、鸿涛、智迪锐同档次及以上</w:t>
            </w:r>
          </w:p>
        </w:tc>
        <w:tc>
          <w:tcPr>
            <w:tcW w:w="814" w:type="pct"/>
            <w:tcBorders>
              <w:top w:val="single" w:color="000000" w:sz="8" w:space="0"/>
              <w:left w:val="nil"/>
              <w:bottom w:val="single" w:color="000000" w:sz="8" w:space="0"/>
              <w:right w:val="single" w:color="000000" w:sz="8" w:space="0"/>
            </w:tcBorders>
            <w:noWrap w:val="0"/>
            <w:vAlign w:val="center"/>
          </w:tcPr>
          <w:p w14:paraId="3D5DA4C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69657B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66" w:hRule="atLeast"/>
        </w:trPr>
        <w:tc>
          <w:tcPr>
            <w:tcW w:w="385" w:type="pct"/>
            <w:tcBorders>
              <w:top w:val="nil"/>
              <w:left w:val="single" w:color="000000" w:sz="8" w:space="0"/>
              <w:bottom w:val="single" w:color="000000" w:sz="8" w:space="0"/>
              <w:right w:val="single" w:color="000000" w:sz="8" w:space="0"/>
            </w:tcBorders>
            <w:noWrap w:val="0"/>
            <w:vAlign w:val="center"/>
          </w:tcPr>
          <w:p w14:paraId="05C2F65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27</w:t>
            </w:r>
          </w:p>
        </w:tc>
        <w:tc>
          <w:tcPr>
            <w:tcW w:w="1556" w:type="pct"/>
            <w:tcBorders>
              <w:top w:val="nil"/>
              <w:left w:val="nil"/>
              <w:bottom w:val="single" w:color="000000" w:sz="8" w:space="0"/>
              <w:right w:val="single" w:color="000000" w:sz="8" w:space="0"/>
            </w:tcBorders>
            <w:noWrap w:val="0"/>
            <w:vAlign w:val="center"/>
          </w:tcPr>
          <w:p w14:paraId="05E2F7CB">
            <w:pPr>
              <w:keepNext w:val="0"/>
              <w:keepLines w:val="0"/>
              <w:pageBreakBefore w:val="0"/>
              <w:widowControl/>
              <w:suppressLineNumbers w:val="0"/>
              <w:kinsoku/>
              <w:wordWrap/>
              <w:overflowPunct/>
              <w:topLinePunct w:val="0"/>
              <w:autoSpaceDE/>
              <w:autoSpaceDN/>
              <w:bidi w:val="0"/>
              <w:adjustRightInd/>
              <w:snapToGrid/>
              <w:spacing w:line="420" w:lineRule="atLeast"/>
              <w:jc w:val="left"/>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薄壁不锈钢管</w:t>
            </w:r>
          </w:p>
        </w:tc>
        <w:tc>
          <w:tcPr>
            <w:tcW w:w="2244" w:type="pct"/>
            <w:tcBorders>
              <w:top w:val="nil"/>
              <w:left w:val="nil"/>
              <w:bottom w:val="single" w:color="000000" w:sz="8" w:space="0"/>
              <w:right w:val="single" w:color="000000" w:sz="8" w:space="0"/>
            </w:tcBorders>
            <w:noWrap w:val="0"/>
            <w:vAlign w:val="center"/>
          </w:tcPr>
          <w:p w14:paraId="54FB05D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福兰特、华烨、民乐同档次及以上</w:t>
            </w:r>
          </w:p>
        </w:tc>
        <w:tc>
          <w:tcPr>
            <w:tcW w:w="814" w:type="pct"/>
            <w:tcBorders>
              <w:top w:val="nil"/>
              <w:left w:val="nil"/>
              <w:bottom w:val="single" w:color="000000" w:sz="8" w:space="0"/>
              <w:right w:val="single" w:color="000000" w:sz="8" w:space="0"/>
            </w:tcBorders>
            <w:noWrap w:val="0"/>
            <w:vAlign w:val="center"/>
          </w:tcPr>
          <w:p w14:paraId="050A0106">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EE7E2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nil"/>
              <w:bottom w:val="nil"/>
              <w:right w:val="nil"/>
            </w:tcBorders>
            <w:noWrap/>
            <w:vAlign w:val="center"/>
          </w:tcPr>
          <w:p w14:paraId="681F70EA">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1556" w:type="pct"/>
            <w:tcBorders>
              <w:top w:val="nil"/>
              <w:left w:val="nil"/>
              <w:bottom w:val="nil"/>
              <w:right w:val="nil"/>
            </w:tcBorders>
            <w:noWrap/>
            <w:vAlign w:val="center"/>
          </w:tcPr>
          <w:p w14:paraId="09FF4B21">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2244" w:type="pct"/>
            <w:tcBorders>
              <w:top w:val="nil"/>
              <w:left w:val="nil"/>
              <w:bottom w:val="nil"/>
              <w:right w:val="nil"/>
            </w:tcBorders>
            <w:noWrap/>
            <w:vAlign w:val="center"/>
          </w:tcPr>
          <w:p w14:paraId="38ACB8DB">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c>
          <w:tcPr>
            <w:tcW w:w="814" w:type="pct"/>
            <w:tcBorders>
              <w:top w:val="nil"/>
              <w:left w:val="nil"/>
              <w:bottom w:val="nil"/>
              <w:right w:val="nil"/>
            </w:tcBorders>
            <w:noWrap w:val="0"/>
            <w:vAlign w:val="center"/>
          </w:tcPr>
          <w:p w14:paraId="362FC7CA">
            <w:pPr>
              <w:keepNext w:val="0"/>
              <w:keepLines w:val="0"/>
              <w:pageBreakBefore w:val="0"/>
              <w:kinsoku/>
              <w:wordWrap/>
              <w:overflowPunct/>
              <w:topLinePunct w:val="0"/>
              <w:autoSpaceDE/>
              <w:autoSpaceDN/>
              <w:bidi w:val="0"/>
              <w:adjustRightInd/>
              <w:snapToGrid/>
              <w:spacing w:line="420" w:lineRule="atLeast"/>
              <w:rPr>
                <w:rFonts w:hint="eastAsia" w:ascii="宋体" w:hAnsi="宋体" w:eastAsia="宋体" w:cs="宋体"/>
                <w:i w:val="0"/>
                <w:iCs w:val="0"/>
                <w:color w:val="auto"/>
                <w:sz w:val="23"/>
                <w:szCs w:val="23"/>
                <w:highlight w:val="none"/>
                <w:u w:val="none"/>
              </w:rPr>
            </w:pPr>
          </w:p>
        </w:tc>
      </w:tr>
      <w:tr w14:paraId="05B65F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5000" w:type="pct"/>
            <w:gridSpan w:val="4"/>
            <w:tcBorders>
              <w:top w:val="single" w:color="000000" w:sz="8" w:space="0"/>
              <w:left w:val="single" w:color="000000" w:sz="8" w:space="0"/>
              <w:bottom w:val="single" w:color="000000" w:sz="8" w:space="0"/>
              <w:right w:val="single" w:color="000000" w:sz="8" w:space="0"/>
            </w:tcBorders>
            <w:noWrap/>
            <w:vAlign w:val="center"/>
          </w:tcPr>
          <w:p w14:paraId="674ABBC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主要设备材料参考品牌——手术室</w:t>
            </w:r>
          </w:p>
        </w:tc>
      </w:tr>
      <w:tr w14:paraId="5236B8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5" w:type="pct"/>
            <w:tcBorders>
              <w:top w:val="nil"/>
              <w:left w:val="single" w:color="000000" w:sz="8" w:space="0"/>
              <w:bottom w:val="single" w:color="000000" w:sz="8" w:space="0"/>
              <w:right w:val="single" w:color="000000" w:sz="8" w:space="0"/>
            </w:tcBorders>
            <w:noWrap/>
            <w:vAlign w:val="center"/>
          </w:tcPr>
          <w:p w14:paraId="3FABE0C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序号</w:t>
            </w:r>
          </w:p>
        </w:tc>
        <w:tc>
          <w:tcPr>
            <w:tcW w:w="1556" w:type="pct"/>
            <w:tcBorders>
              <w:top w:val="single" w:color="000000" w:sz="8" w:space="0"/>
              <w:left w:val="nil"/>
              <w:bottom w:val="single" w:color="000000" w:sz="8" w:space="0"/>
              <w:right w:val="single" w:color="000000" w:sz="8" w:space="0"/>
            </w:tcBorders>
            <w:noWrap w:val="0"/>
            <w:vAlign w:val="center"/>
          </w:tcPr>
          <w:p w14:paraId="2BEFA7C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材料设备名称</w:t>
            </w:r>
          </w:p>
        </w:tc>
        <w:tc>
          <w:tcPr>
            <w:tcW w:w="2244" w:type="pct"/>
            <w:tcBorders>
              <w:top w:val="single" w:color="000000" w:sz="8" w:space="0"/>
              <w:left w:val="nil"/>
              <w:bottom w:val="single" w:color="000000" w:sz="8" w:space="0"/>
              <w:right w:val="single" w:color="000000" w:sz="8" w:space="0"/>
            </w:tcBorders>
            <w:noWrap/>
            <w:vAlign w:val="center"/>
          </w:tcPr>
          <w:p w14:paraId="2FC6780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参考品牌</w:t>
            </w:r>
          </w:p>
        </w:tc>
        <w:tc>
          <w:tcPr>
            <w:tcW w:w="814" w:type="pct"/>
            <w:tcBorders>
              <w:top w:val="single" w:color="000000" w:sz="8" w:space="0"/>
              <w:left w:val="nil"/>
              <w:bottom w:val="single" w:color="000000" w:sz="8" w:space="0"/>
              <w:right w:val="single" w:color="000000" w:sz="8" w:space="0"/>
            </w:tcBorders>
            <w:noWrap w:val="0"/>
            <w:vAlign w:val="center"/>
          </w:tcPr>
          <w:p w14:paraId="51F227D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备注</w:t>
            </w:r>
          </w:p>
        </w:tc>
      </w:tr>
      <w:tr w14:paraId="5CBE74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11FB728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一、装饰专业</w:t>
            </w:r>
          </w:p>
        </w:tc>
        <w:tc>
          <w:tcPr>
            <w:tcW w:w="814" w:type="pct"/>
            <w:tcBorders>
              <w:top w:val="nil"/>
              <w:left w:val="nil"/>
              <w:bottom w:val="single" w:color="000000" w:sz="8" w:space="0"/>
              <w:right w:val="single" w:color="000000" w:sz="8" w:space="0"/>
            </w:tcBorders>
            <w:noWrap w:val="0"/>
            <w:vAlign w:val="center"/>
          </w:tcPr>
          <w:p w14:paraId="1402E480">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3A52F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6E5C54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1</w:t>
            </w:r>
          </w:p>
        </w:tc>
        <w:tc>
          <w:tcPr>
            <w:tcW w:w="1556" w:type="pct"/>
            <w:tcBorders>
              <w:top w:val="nil"/>
              <w:left w:val="nil"/>
              <w:bottom w:val="single" w:color="000000" w:sz="8" w:space="0"/>
              <w:right w:val="single" w:color="000000" w:sz="8" w:space="0"/>
            </w:tcBorders>
            <w:noWrap w:val="0"/>
            <w:vAlign w:val="center"/>
          </w:tcPr>
          <w:p w14:paraId="0E3630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医用钢制气密平开门（包含铅防护）</w:t>
            </w:r>
          </w:p>
        </w:tc>
        <w:tc>
          <w:tcPr>
            <w:tcW w:w="2244" w:type="pct"/>
            <w:tcBorders>
              <w:top w:val="single" w:color="000000" w:sz="8" w:space="0"/>
              <w:left w:val="nil"/>
              <w:bottom w:val="single" w:color="000000" w:sz="8" w:space="0"/>
              <w:right w:val="single" w:color="000000" w:sz="8" w:space="0"/>
            </w:tcBorders>
            <w:noWrap/>
            <w:vAlign w:val="center"/>
          </w:tcPr>
          <w:p w14:paraId="1C6F4A5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欧尼克、纳博克、青木同档次及以上</w:t>
            </w:r>
          </w:p>
        </w:tc>
        <w:tc>
          <w:tcPr>
            <w:tcW w:w="814" w:type="pct"/>
            <w:vMerge w:val="restart"/>
            <w:tcBorders>
              <w:top w:val="single" w:color="000000" w:sz="8" w:space="0"/>
              <w:left w:val="nil"/>
              <w:bottom w:val="single" w:color="000000" w:sz="8" w:space="0"/>
              <w:right w:val="single" w:color="000000" w:sz="8" w:space="0"/>
            </w:tcBorders>
            <w:noWrap w:val="0"/>
            <w:vAlign w:val="center"/>
          </w:tcPr>
          <w:p w14:paraId="7DFA07B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0A9EE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78" w:hRule="atLeast"/>
        </w:trPr>
        <w:tc>
          <w:tcPr>
            <w:tcW w:w="385" w:type="pct"/>
            <w:tcBorders>
              <w:top w:val="nil"/>
              <w:left w:val="single" w:color="000000" w:sz="8" w:space="0"/>
              <w:bottom w:val="single" w:color="000000" w:sz="8" w:space="0"/>
              <w:right w:val="single" w:color="000000" w:sz="8" w:space="0"/>
            </w:tcBorders>
            <w:noWrap/>
            <w:vAlign w:val="center"/>
          </w:tcPr>
          <w:p w14:paraId="7337D31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w:t>
            </w:r>
          </w:p>
        </w:tc>
        <w:tc>
          <w:tcPr>
            <w:tcW w:w="1556" w:type="pct"/>
            <w:tcBorders>
              <w:top w:val="nil"/>
              <w:left w:val="nil"/>
              <w:bottom w:val="single" w:color="000000" w:sz="8" w:space="0"/>
              <w:right w:val="single" w:color="000000" w:sz="8" w:space="0"/>
            </w:tcBorders>
            <w:noWrap w:val="0"/>
            <w:vAlign w:val="center"/>
          </w:tcPr>
          <w:p w14:paraId="4B071D8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医用气密感应平移门（包含铅防护）</w:t>
            </w:r>
          </w:p>
        </w:tc>
        <w:tc>
          <w:tcPr>
            <w:tcW w:w="2244" w:type="pct"/>
            <w:tcBorders>
              <w:top w:val="nil"/>
              <w:left w:val="nil"/>
              <w:bottom w:val="single" w:color="000000" w:sz="8" w:space="0"/>
              <w:right w:val="single" w:color="000000" w:sz="8" w:space="0"/>
            </w:tcBorders>
            <w:noWrap/>
            <w:vAlign w:val="center"/>
          </w:tcPr>
          <w:p w14:paraId="077331A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欧尼克、纳博克、青木同档次及以上</w:t>
            </w:r>
          </w:p>
        </w:tc>
        <w:tc>
          <w:tcPr>
            <w:tcW w:w="814" w:type="pct"/>
            <w:vMerge w:val="continue"/>
            <w:tcBorders>
              <w:top w:val="single" w:color="000000" w:sz="8" w:space="0"/>
              <w:left w:val="nil"/>
              <w:bottom w:val="single" w:color="000000" w:sz="8" w:space="0"/>
              <w:right w:val="single" w:color="000000" w:sz="8" w:space="0"/>
            </w:tcBorders>
            <w:noWrap w:val="0"/>
            <w:vAlign w:val="center"/>
          </w:tcPr>
          <w:p w14:paraId="6467338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F4108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5A00500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w:t>
            </w:r>
          </w:p>
        </w:tc>
        <w:tc>
          <w:tcPr>
            <w:tcW w:w="1556" w:type="pct"/>
            <w:tcBorders>
              <w:top w:val="nil"/>
              <w:left w:val="nil"/>
              <w:bottom w:val="single" w:color="000000" w:sz="8" w:space="0"/>
              <w:right w:val="single" w:color="000000" w:sz="8" w:space="0"/>
            </w:tcBorders>
            <w:noWrap w:val="0"/>
            <w:vAlign w:val="center"/>
          </w:tcPr>
          <w:p w14:paraId="5412A71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钢制防火门</w:t>
            </w:r>
          </w:p>
        </w:tc>
        <w:tc>
          <w:tcPr>
            <w:tcW w:w="2244" w:type="pct"/>
            <w:tcBorders>
              <w:top w:val="nil"/>
              <w:left w:val="nil"/>
              <w:bottom w:val="single" w:color="000000" w:sz="8" w:space="0"/>
              <w:right w:val="single" w:color="000000" w:sz="8" w:space="0"/>
            </w:tcBorders>
            <w:noWrap/>
            <w:vAlign w:val="center"/>
          </w:tcPr>
          <w:p w14:paraId="4B54C5B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欧尼克、青木、格满林同档次及以上</w:t>
            </w:r>
          </w:p>
        </w:tc>
        <w:tc>
          <w:tcPr>
            <w:tcW w:w="814" w:type="pct"/>
            <w:vMerge w:val="continue"/>
            <w:tcBorders>
              <w:top w:val="single" w:color="000000" w:sz="8" w:space="0"/>
              <w:left w:val="nil"/>
              <w:bottom w:val="single" w:color="000000" w:sz="8" w:space="0"/>
              <w:right w:val="single" w:color="000000" w:sz="8" w:space="0"/>
            </w:tcBorders>
            <w:noWrap w:val="0"/>
            <w:vAlign w:val="center"/>
          </w:tcPr>
          <w:p w14:paraId="5AE833EB">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6C475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21001C0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w:t>
            </w:r>
          </w:p>
        </w:tc>
        <w:tc>
          <w:tcPr>
            <w:tcW w:w="1556" w:type="pct"/>
            <w:tcBorders>
              <w:top w:val="nil"/>
              <w:left w:val="nil"/>
              <w:bottom w:val="single" w:color="000000" w:sz="8" w:space="0"/>
              <w:right w:val="single" w:color="000000" w:sz="8" w:space="0"/>
            </w:tcBorders>
            <w:noWrap w:val="0"/>
            <w:vAlign w:val="center"/>
          </w:tcPr>
          <w:p w14:paraId="3234E31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PVC卷材</w:t>
            </w:r>
          </w:p>
        </w:tc>
        <w:tc>
          <w:tcPr>
            <w:tcW w:w="2244" w:type="pct"/>
            <w:tcBorders>
              <w:top w:val="nil"/>
              <w:left w:val="nil"/>
              <w:bottom w:val="single" w:color="000000" w:sz="8" w:space="0"/>
              <w:right w:val="single" w:color="000000" w:sz="8" w:space="0"/>
            </w:tcBorders>
            <w:noWrap w:val="0"/>
            <w:vAlign w:val="center"/>
          </w:tcPr>
          <w:p w14:paraId="5C24857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得嘉、洁弗乐、阿姆斯壮同档次及以上</w:t>
            </w:r>
          </w:p>
        </w:tc>
        <w:tc>
          <w:tcPr>
            <w:tcW w:w="814" w:type="pct"/>
            <w:tcBorders>
              <w:top w:val="nil"/>
              <w:left w:val="nil"/>
              <w:bottom w:val="single" w:color="000000" w:sz="8" w:space="0"/>
              <w:right w:val="single" w:color="000000" w:sz="8" w:space="0"/>
            </w:tcBorders>
            <w:noWrap w:val="0"/>
            <w:vAlign w:val="center"/>
          </w:tcPr>
          <w:p w14:paraId="5A24374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3C73B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68131F7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5</w:t>
            </w:r>
          </w:p>
        </w:tc>
        <w:tc>
          <w:tcPr>
            <w:tcW w:w="1556" w:type="pct"/>
            <w:tcBorders>
              <w:top w:val="nil"/>
              <w:left w:val="nil"/>
              <w:bottom w:val="single" w:color="000000" w:sz="8" w:space="0"/>
              <w:right w:val="single" w:color="000000" w:sz="8" w:space="0"/>
            </w:tcBorders>
            <w:noWrap w:val="0"/>
            <w:vAlign w:val="center"/>
          </w:tcPr>
          <w:p w14:paraId="2F03989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瓷砖</w:t>
            </w:r>
          </w:p>
        </w:tc>
        <w:tc>
          <w:tcPr>
            <w:tcW w:w="2244" w:type="pct"/>
            <w:tcBorders>
              <w:top w:val="nil"/>
              <w:left w:val="nil"/>
              <w:bottom w:val="single" w:color="000000" w:sz="8" w:space="0"/>
              <w:right w:val="single" w:color="000000" w:sz="8" w:space="0"/>
            </w:tcBorders>
            <w:noWrap/>
            <w:vAlign w:val="center"/>
          </w:tcPr>
          <w:p w14:paraId="1FD6834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诺贝尔、东鹏、冠军同档次及以上</w:t>
            </w:r>
          </w:p>
        </w:tc>
        <w:tc>
          <w:tcPr>
            <w:tcW w:w="814" w:type="pct"/>
            <w:tcBorders>
              <w:top w:val="nil"/>
              <w:left w:val="nil"/>
              <w:bottom w:val="single" w:color="000000" w:sz="8" w:space="0"/>
              <w:right w:val="single" w:color="000000" w:sz="8" w:space="0"/>
            </w:tcBorders>
            <w:noWrap w:val="0"/>
            <w:vAlign w:val="center"/>
          </w:tcPr>
          <w:p w14:paraId="22043438">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EE58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3" w:hRule="atLeast"/>
        </w:trPr>
        <w:tc>
          <w:tcPr>
            <w:tcW w:w="385" w:type="pct"/>
            <w:tcBorders>
              <w:top w:val="nil"/>
              <w:left w:val="single" w:color="000000" w:sz="8" w:space="0"/>
              <w:bottom w:val="single" w:color="000000" w:sz="8" w:space="0"/>
              <w:right w:val="single" w:color="000000" w:sz="8" w:space="0"/>
            </w:tcBorders>
            <w:noWrap/>
            <w:vAlign w:val="center"/>
          </w:tcPr>
          <w:p w14:paraId="5C83AE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6</w:t>
            </w:r>
          </w:p>
        </w:tc>
        <w:tc>
          <w:tcPr>
            <w:tcW w:w="1556" w:type="pct"/>
            <w:tcBorders>
              <w:top w:val="nil"/>
              <w:left w:val="nil"/>
              <w:bottom w:val="single" w:color="000000" w:sz="8" w:space="0"/>
              <w:right w:val="single" w:color="000000" w:sz="8" w:space="0"/>
            </w:tcBorders>
            <w:noWrap w:val="0"/>
            <w:vAlign w:val="center"/>
          </w:tcPr>
          <w:p w14:paraId="6F59898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6mm无机预涂板</w:t>
            </w:r>
          </w:p>
        </w:tc>
        <w:tc>
          <w:tcPr>
            <w:tcW w:w="2244" w:type="pct"/>
            <w:tcBorders>
              <w:top w:val="nil"/>
              <w:left w:val="nil"/>
              <w:bottom w:val="single" w:color="000000" w:sz="8" w:space="0"/>
              <w:right w:val="single" w:color="000000" w:sz="8" w:space="0"/>
            </w:tcBorders>
            <w:noWrap/>
            <w:vAlign w:val="center"/>
          </w:tcPr>
          <w:p w14:paraId="66F5286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鲁泰、卡利、优珏同档次及以上</w:t>
            </w:r>
          </w:p>
        </w:tc>
        <w:tc>
          <w:tcPr>
            <w:tcW w:w="814" w:type="pct"/>
            <w:tcBorders>
              <w:top w:val="nil"/>
              <w:left w:val="nil"/>
              <w:bottom w:val="single" w:color="000000" w:sz="8" w:space="0"/>
              <w:right w:val="single" w:color="000000" w:sz="8" w:space="0"/>
            </w:tcBorders>
            <w:noWrap w:val="0"/>
            <w:vAlign w:val="center"/>
          </w:tcPr>
          <w:p w14:paraId="63E42EE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7758D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42A1F01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7</w:t>
            </w:r>
          </w:p>
        </w:tc>
        <w:tc>
          <w:tcPr>
            <w:tcW w:w="1556" w:type="pct"/>
            <w:tcBorders>
              <w:top w:val="nil"/>
              <w:left w:val="nil"/>
              <w:bottom w:val="single" w:color="000000" w:sz="8" w:space="0"/>
              <w:right w:val="single" w:color="000000" w:sz="8" w:space="0"/>
            </w:tcBorders>
            <w:noWrap w:val="0"/>
            <w:vAlign w:val="center"/>
          </w:tcPr>
          <w:p w14:paraId="0FF8C92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铅玻璃</w:t>
            </w:r>
          </w:p>
        </w:tc>
        <w:tc>
          <w:tcPr>
            <w:tcW w:w="2244" w:type="pct"/>
            <w:tcBorders>
              <w:top w:val="nil"/>
              <w:left w:val="nil"/>
              <w:bottom w:val="single" w:color="000000" w:sz="8" w:space="0"/>
              <w:right w:val="single" w:color="000000" w:sz="8" w:space="0"/>
            </w:tcBorders>
            <w:noWrap/>
            <w:vAlign w:val="center"/>
          </w:tcPr>
          <w:p w14:paraId="334F0C7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康腾、美伦、鑫鹏同档次及以上</w:t>
            </w:r>
          </w:p>
        </w:tc>
        <w:tc>
          <w:tcPr>
            <w:tcW w:w="814" w:type="pct"/>
            <w:tcBorders>
              <w:top w:val="nil"/>
              <w:left w:val="nil"/>
              <w:bottom w:val="single" w:color="000000" w:sz="8" w:space="0"/>
              <w:right w:val="single" w:color="000000" w:sz="8" w:space="0"/>
            </w:tcBorders>
            <w:noWrap w:val="0"/>
            <w:vAlign w:val="center"/>
          </w:tcPr>
          <w:p w14:paraId="5DB9FD0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756A3C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66FF477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8</w:t>
            </w:r>
          </w:p>
        </w:tc>
        <w:tc>
          <w:tcPr>
            <w:tcW w:w="1556" w:type="pct"/>
            <w:tcBorders>
              <w:top w:val="nil"/>
              <w:left w:val="nil"/>
              <w:bottom w:val="single" w:color="000000" w:sz="8" w:space="0"/>
              <w:right w:val="single" w:color="000000" w:sz="8" w:space="0"/>
            </w:tcBorders>
            <w:noWrap w:val="0"/>
            <w:vAlign w:val="center"/>
          </w:tcPr>
          <w:p w14:paraId="24F794C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铅板</w:t>
            </w:r>
          </w:p>
        </w:tc>
        <w:tc>
          <w:tcPr>
            <w:tcW w:w="2244" w:type="pct"/>
            <w:tcBorders>
              <w:top w:val="nil"/>
              <w:left w:val="nil"/>
              <w:bottom w:val="single" w:color="000000" w:sz="8" w:space="0"/>
              <w:right w:val="single" w:color="000000" w:sz="8" w:space="0"/>
            </w:tcBorders>
            <w:noWrap/>
            <w:vAlign w:val="center"/>
          </w:tcPr>
          <w:p w14:paraId="1893542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康腾、美伦、鑫鹏同档次及以上</w:t>
            </w:r>
          </w:p>
        </w:tc>
        <w:tc>
          <w:tcPr>
            <w:tcW w:w="814" w:type="pct"/>
            <w:tcBorders>
              <w:top w:val="nil"/>
              <w:left w:val="nil"/>
              <w:bottom w:val="single" w:color="000000" w:sz="8" w:space="0"/>
              <w:right w:val="single" w:color="000000" w:sz="8" w:space="0"/>
            </w:tcBorders>
            <w:noWrap w:val="0"/>
            <w:vAlign w:val="center"/>
          </w:tcPr>
          <w:p w14:paraId="1153049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E0F70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63" w:hRule="atLeast"/>
        </w:trPr>
        <w:tc>
          <w:tcPr>
            <w:tcW w:w="385" w:type="pct"/>
            <w:tcBorders>
              <w:top w:val="nil"/>
              <w:left w:val="single" w:color="000000" w:sz="8" w:space="0"/>
              <w:bottom w:val="single" w:color="000000" w:sz="8" w:space="0"/>
              <w:right w:val="single" w:color="000000" w:sz="8" w:space="0"/>
            </w:tcBorders>
            <w:noWrap/>
            <w:vAlign w:val="center"/>
          </w:tcPr>
          <w:p w14:paraId="16D2C28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9</w:t>
            </w:r>
          </w:p>
        </w:tc>
        <w:tc>
          <w:tcPr>
            <w:tcW w:w="1556" w:type="pct"/>
            <w:tcBorders>
              <w:top w:val="nil"/>
              <w:left w:val="nil"/>
              <w:bottom w:val="single" w:color="000000" w:sz="8" w:space="0"/>
              <w:right w:val="single" w:color="000000" w:sz="8" w:space="0"/>
            </w:tcBorders>
            <w:noWrap w:val="0"/>
            <w:vAlign w:val="center"/>
          </w:tcPr>
          <w:p w14:paraId="6EC16BC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电解钢板</w:t>
            </w:r>
          </w:p>
        </w:tc>
        <w:tc>
          <w:tcPr>
            <w:tcW w:w="2244" w:type="pct"/>
            <w:tcBorders>
              <w:top w:val="nil"/>
              <w:left w:val="nil"/>
              <w:bottom w:val="single" w:color="000000" w:sz="8" w:space="0"/>
              <w:right w:val="single" w:color="000000" w:sz="8" w:space="0"/>
            </w:tcBorders>
            <w:noWrap/>
            <w:vAlign w:val="center"/>
          </w:tcPr>
          <w:p w14:paraId="0F900EC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nil"/>
              <w:left w:val="nil"/>
              <w:bottom w:val="single" w:color="000000" w:sz="8" w:space="0"/>
              <w:right w:val="single" w:color="000000" w:sz="8" w:space="0"/>
            </w:tcBorders>
            <w:noWrap w:val="0"/>
            <w:vAlign w:val="center"/>
          </w:tcPr>
          <w:p w14:paraId="2AAE6A0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696FB5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5" w:type="pct"/>
            <w:tcBorders>
              <w:top w:val="nil"/>
              <w:left w:val="single" w:color="000000" w:sz="8" w:space="0"/>
              <w:bottom w:val="single" w:color="000000" w:sz="8" w:space="0"/>
              <w:right w:val="single" w:color="000000" w:sz="8" w:space="0"/>
            </w:tcBorders>
            <w:noWrap/>
            <w:vAlign w:val="center"/>
          </w:tcPr>
          <w:p w14:paraId="2A3C06D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10</w:t>
            </w:r>
          </w:p>
        </w:tc>
        <w:tc>
          <w:tcPr>
            <w:tcW w:w="1556" w:type="pct"/>
            <w:tcBorders>
              <w:top w:val="nil"/>
              <w:left w:val="nil"/>
              <w:bottom w:val="single" w:color="000000" w:sz="8" w:space="0"/>
              <w:right w:val="single" w:color="000000" w:sz="8" w:space="0"/>
            </w:tcBorders>
            <w:noWrap w:val="0"/>
            <w:vAlign w:val="center"/>
          </w:tcPr>
          <w:p w14:paraId="49A55DA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器械柜、药品柜、麻醉柜、电脑柜、收纳柜、导管柜、观片灯、气体面盘</w:t>
            </w:r>
          </w:p>
        </w:tc>
        <w:tc>
          <w:tcPr>
            <w:tcW w:w="2244" w:type="pct"/>
            <w:tcBorders>
              <w:top w:val="nil"/>
              <w:left w:val="nil"/>
              <w:bottom w:val="single" w:color="000000" w:sz="8" w:space="0"/>
              <w:right w:val="single" w:color="000000" w:sz="8" w:space="0"/>
            </w:tcBorders>
            <w:noWrap/>
            <w:vAlign w:val="center"/>
          </w:tcPr>
          <w:p w14:paraId="4391455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巨星、鸿涛、智迪锐同档次及以上</w:t>
            </w:r>
          </w:p>
        </w:tc>
        <w:tc>
          <w:tcPr>
            <w:tcW w:w="814" w:type="pct"/>
            <w:tcBorders>
              <w:top w:val="nil"/>
              <w:left w:val="nil"/>
              <w:bottom w:val="single" w:color="000000" w:sz="8" w:space="0"/>
              <w:right w:val="single" w:color="000000" w:sz="8" w:space="0"/>
            </w:tcBorders>
            <w:noWrap w:val="0"/>
            <w:vAlign w:val="center"/>
          </w:tcPr>
          <w:p w14:paraId="27B4768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1D850B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494EC06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11</w:t>
            </w:r>
          </w:p>
        </w:tc>
        <w:tc>
          <w:tcPr>
            <w:tcW w:w="1556" w:type="pct"/>
            <w:tcBorders>
              <w:top w:val="nil"/>
              <w:left w:val="nil"/>
              <w:bottom w:val="single" w:color="000000" w:sz="8" w:space="0"/>
              <w:right w:val="single" w:color="000000" w:sz="8" w:space="0"/>
            </w:tcBorders>
            <w:noWrap w:val="0"/>
            <w:vAlign w:val="center"/>
          </w:tcPr>
          <w:p w14:paraId="12F61D7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手术室中央控制面板</w:t>
            </w:r>
          </w:p>
        </w:tc>
        <w:tc>
          <w:tcPr>
            <w:tcW w:w="2244" w:type="pct"/>
            <w:tcBorders>
              <w:top w:val="nil"/>
              <w:left w:val="nil"/>
              <w:bottom w:val="single" w:color="000000" w:sz="8" w:space="0"/>
              <w:right w:val="single" w:color="000000" w:sz="8" w:space="0"/>
            </w:tcBorders>
            <w:noWrap/>
            <w:vAlign w:val="center"/>
          </w:tcPr>
          <w:p w14:paraId="22D0D88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赛洁、宝赛、天宇同档次及以上</w:t>
            </w:r>
          </w:p>
        </w:tc>
        <w:tc>
          <w:tcPr>
            <w:tcW w:w="814" w:type="pct"/>
            <w:tcBorders>
              <w:top w:val="nil"/>
              <w:left w:val="nil"/>
              <w:bottom w:val="single" w:color="000000" w:sz="8" w:space="0"/>
              <w:right w:val="single" w:color="000000" w:sz="8" w:space="0"/>
            </w:tcBorders>
            <w:noWrap w:val="0"/>
            <w:vAlign w:val="center"/>
          </w:tcPr>
          <w:p w14:paraId="3A6E36F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D8E39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7" w:hRule="atLeast"/>
        </w:trPr>
        <w:tc>
          <w:tcPr>
            <w:tcW w:w="385" w:type="pct"/>
            <w:tcBorders>
              <w:top w:val="nil"/>
              <w:left w:val="single" w:color="000000" w:sz="8" w:space="0"/>
              <w:bottom w:val="single" w:color="000000" w:sz="8" w:space="0"/>
              <w:right w:val="single" w:color="000000" w:sz="8" w:space="0"/>
            </w:tcBorders>
            <w:noWrap/>
            <w:vAlign w:val="center"/>
          </w:tcPr>
          <w:p w14:paraId="4576563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12</w:t>
            </w:r>
          </w:p>
        </w:tc>
        <w:tc>
          <w:tcPr>
            <w:tcW w:w="1556" w:type="pct"/>
            <w:tcBorders>
              <w:top w:val="nil"/>
              <w:left w:val="nil"/>
              <w:bottom w:val="single" w:color="000000" w:sz="8" w:space="0"/>
              <w:right w:val="single" w:color="000000" w:sz="8" w:space="0"/>
            </w:tcBorders>
            <w:noWrap w:val="0"/>
            <w:vAlign w:val="center"/>
          </w:tcPr>
          <w:p w14:paraId="26CEF69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保温、保冷柜</w:t>
            </w:r>
          </w:p>
        </w:tc>
        <w:tc>
          <w:tcPr>
            <w:tcW w:w="2244" w:type="pct"/>
            <w:tcBorders>
              <w:top w:val="nil"/>
              <w:left w:val="nil"/>
              <w:bottom w:val="single" w:color="000000" w:sz="8" w:space="0"/>
              <w:right w:val="single" w:color="000000" w:sz="8" w:space="0"/>
            </w:tcBorders>
            <w:noWrap/>
            <w:vAlign w:val="center"/>
          </w:tcPr>
          <w:p w14:paraId="2733142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海尔、中美达、冰山松洋同档次及以上</w:t>
            </w:r>
          </w:p>
        </w:tc>
        <w:tc>
          <w:tcPr>
            <w:tcW w:w="814" w:type="pct"/>
            <w:tcBorders>
              <w:top w:val="nil"/>
              <w:left w:val="nil"/>
              <w:bottom w:val="single" w:color="000000" w:sz="8" w:space="0"/>
              <w:right w:val="single" w:color="000000" w:sz="8" w:space="0"/>
            </w:tcBorders>
            <w:noWrap w:val="0"/>
            <w:vAlign w:val="center"/>
          </w:tcPr>
          <w:p w14:paraId="05AEE63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FAEA8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8" w:hRule="atLeast"/>
        </w:trPr>
        <w:tc>
          <w:tcPr>
            <w:tcW w:w="385" w:type="pct"/>
            <w:tcBorders>
              <w:top w:val="nil"/>
              <w:left w:val="single" w:color="000000" w:sz="8" w:space="0"/>
              <w:bottom w:val="single" w:color="000000" w:sz="8" w:space="0"/>
              <w:right w:val="single" w:color="000000" w:sz="8" w:space="0"/>
            </w:tcBorders>
            <w:noWrap/>
            <w:vAlign w:val="center"/>
          </w:tcPr>
          <w:p w14:paraId="286EB6F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13</w:t>
            </w:r>
          </w:p>
        </w:tc>
        <w:tc>
          <w:tcPr>
            <w:tcW w:w="1556" w:type="pct"/>
            <w:tcBorders>
              <w:top w:val="nil"/>
              <w:left w:val="nil"/>
              <w:bottom w:val="single" w:color="000000" w:sz="8" w:space="0"/>
              <w:right w:val="single" w:color="000000" w:sz="8" w:space="0"/>
            </w:tcBorders>
            <w:noWrap w:val="0"/>
            <w:vAlign w:val="center"/>
          </w:tcPr>
          <w:p w14:paraId="74F835A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常规洁具</w:t>
            </w:r>
          </w:p>
        </w:tc>
        <w:tc>
          <w:tcPr>
            <w:tcW w:w="2244" w:type="pct"/>
            <w:tcBorders>
              <w:top w:val="nil"/>
              <w:left w:val="nil"/>
              <w:bottom w:val="single" w:color="000000" w:sz="8" w:space="0"/>
              <w:right w:val="single" w:color="000000" w:sz="8" w:space="0"/>
            </w:tcBorders>
            <w:noWrap/>
            <w:vAlign w:val="center"/>
          </w:tcPr>
          <w:p w14:paraId="2F816F6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TOTO、科勒、美标同档次及以上</w:t>
            </w:r>
          </w:p>
        </w:tc>
        <w:tc>
          <w:tcPr>
            <w:tcW w:w="814" w:type="pct"/>
            <w:tcBorders>
              <w:top w:val="nil"/>
              <w:left w:val="nil"/>
              <w:bottom w:val="single" w:color="000000" w:sz="8" w:space="0"/>
              <w:right w:val="single" w:color="000000" w:sz="8" w:space="0"/>
            </w:tcBorders>
            <w:noWrap w:val="0"/>
            <w:vAlign w:val="center"/>
          </w:tcPr>
          <w:p w14:paraId="776D9F22">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1C0031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5" w:type="pct"/>
            <w:tcBorders>
              <w:top w:val="nil"/>
              <w:left w:val="single" w:color="000000" w:sz="8" w:space="0"/>
              <w:bottom w:val="single" w:color="000000" w:sz="8" w:space="0"/>
              <w:right w:val="single" w:color="000000" w:sz="8" w:space="0"/>
            </w:tcBorders>
            <w:noWrap/>
            <w:vAlign w:val="center"/>
          </w:tcPr>
          <w:p w14:paraId="4223D02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14</w:t>
            </w:r>
          </w:p>
        </w:tc>
        <w:tc>
          <w:tcPr>
            <w:tcW w:w="1556" w:type="pct"/>
            <w:tcBorders>
              <w:top w:val="nil"/>
              <w:left w:val="nil"/>
              <w:bottom w:val="single" w:color="000000" w:sz="8" w:space="0"/>
              <w:right w:val="single" w:color="000000" w:sz="8" w:space="0"/>
            </w:tcBorders>
            <w:noWrap w:val="0"/>
            <w:vAlign w:val="center"/>
          </w:tcPr>
          <w:p w14:paraId="1C6694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刷手池、污洗池</w:t>
            </w:r>
          </w:p>
        </w:tc>
        <w:tc>
          <w:tcPr>
            <w:tcW w:w="2244" w:type="pct"/>
            <w:tcBorders>
              <w:top w:val="nil"/>
              <w:left w:val="nil"/>
              <w:bottom w:val="single" w:color="000000" w:sz="8" w:space="0"/>
              <w:right w:val="single" w:color="000000" w:sz="8" w:space="0"/>
            </w:tcBorders>
            <w:noWrap/>
            <w:vAlign w:val="center"/>
          </w:tcPr>
          <w:p w14:paraId="22605FD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巨星、鸿涛、智迪锐同档次及以上</w:t>
            </w:r>
          </w:p>
        </w:tc>
        <w:tc>
          <w:tcPr>
            <w:tcW w:w="814" w:type="pct"/>
            <w:tcBorders>
              <w:top w:val="nil"/>
              <w:left w:val="nil"/>
              <w:bottom w:val="single" w:color="000000" w:sz="8" w:space="0"/>
              <w:right w:val="single" w:color="000000" w:sz="8" w:space="0"/>
            </w:tcBorders>
            <w:noWrap w:val="0"/>
            <w:vAlign w:val="center"/>
          </w:tcPr>
          <w:p w14:paraId="75A0F98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6C07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5D23929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15</w:t>
            </w:r>
          </w:p>
        </w:tc>
        <w:tc>
          <w:tcPr>
            <w:tcW w:w="1556" w:type="pct"/>
            <w:tcBorders>
              <w:top w:val="nil"/>
              <w:left w:val="nil"/>
              <w:bottom w:val="single" w:color="000000" w:sz="8" w:space="0"/>
              <w:right w:val="single" w:color="000000" w:sz="8" w:space="0"/>
            </w:tcBorders>
            <w:noWrap w:val="0"/>
            <w:vAlign w:val="center"/>
          </w:tcPr>
          <w:p w14:paraId="518673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防水涂料</w:t>
            </w:r>
          </w:p>
        </w:tc>
        <w:tc>
          <w:tcPr>
            <w:tcW w:w="2244" w:type="pct"/>
            <w:tcBorders>
              <w:top w:val="nil"/>
              <w:left w:val="nil"/>
              <w:bottom w:val="single" w:color="000000" w:sz="8" w:space="0"/>
              <w:right w:val="single" w:color="000000" w:sz="8" w:space="0"/>
            </w:tcBorders>
            <w:noWrap/>
            <w:vAlign w:val="center"/>
          </w:tcPr>
          <w:p w14:paraId="445E146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东方雨虹、月皇、禹王同档次及以上</w:t>
            </w:r>
          </w:p>
        </w:tc>
        <w:tc>
          <w:tcPr>
            <w:tcW w:w="814" w:type="pct"/>
            <w:tcBorders>
              <w:top w:val="nil"/>
              <w:left w:val="nil"/>
              <w:bottom w:val="single" w:color="000000" w:sz="8" w:space="0"/>
              <w:right w:val="single" w:color="000000" w:sz="8" w:space="0"/>
            </w:tcBorders>
            <w:noWrap w:val="0"/>
            <w:vAlign w:val="center"/>
          </w:tcPr>
          <w:p w14:paraId="4199CFA5">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461DB6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1CFABE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16</w:t>
            </w:r>
          </w:p>
        </w:tc>
        <w:tc>
          <w:tcPr>
            <w:tcW w:w="1556" w:type="pct"/>
            <w:tcBorders>
              <w:top w:val="nil"/>
              <w:left w:val="nil"/>
              <w:bottom w:val="single" w:color="000000" w:sz="8" w:space="0"/>
              <w:right w:val="single" w:color="000000" w:sz="8" w:space="0"/>
            </w:tcBorders>
            <w:noWrap w:val="0"/>
            <w:vAlign w:val="center"/>
          </w:tcPr>
          <w:p w14:paraId="4752422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配电箱元器件</w:t>
            </w:r>
          </w:p>
        </w:tc>
        <w:tc>
          <w:tcPr>
            <w:tcW w:w="2244" w:type="pct"/>
            <w:tcBorders>
              <w:top w:val="single" w:color="000000" w:sz="8" w:space="0"/>
              <w:left w:val="nil"/>
              <w:bottom w:val="single" w:color="000000" w:sz="8" w:space="0"/>
              <w:right w:val="single" w:color="000000" w:sz="8" w:space="0"/>
            </w:tcBorders>
            <w:noWrap/>
            <w:vAlign w:val="center"/>
          </w:tcPr>
          <w:p w14:paraId="0A88552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single" w:color="000000" w:sz="8" w:space="0"/>
              <w:left w:val="nil"/>
              <w:bottom w:val="single" w:color="000000" w:sz="8" w:space="0"/>
              <w:right w:val="single" w:color="000000" w:sz="8" w:space="0"/>
            </w:tcBorders>
            <w:noWrap w:val="0"/>
            <w:vAlign w:val="center"/>
          </w:tcPr>
          <w:p w14:paraId="5C4845A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7CA3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5" w:type="pct"/>
            <w:tcBorders>
              <w:top w:val="nil"/>
              <w:left w:val="single" w:color="000000" w:sz="8" w:space="0"/>
              <w:bottom w:val="single" w:color="000000" w:sz="8" w:space="0"/>
              <w:right w:val="single" w:color="000000" w:sz="8" w:space="0"/>
            </w:tcBorders>
            <w:noWrap/>
            <w:vAlign w:val="center"/>
          </w:tcPr>
          <w:p w14:paraId="68E1843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17</w:t>
            </w:r>
          </w:p>
        </w:tc>
        <w:tc>
          <w:tcPr>
            <w:tcW w:w="1556" w:type="pct"/>
            <w:tcBorders>
              <w:top w:val="nil"/>
              <w:left w:val="nil"/>
              <w:bottom w:val="single" w:color="000000" w:sz="8" w:space="0"/>
              <w:right w:val="single" w:color="000000" w:sz="8" w:space="0"/>
            </w:tcBorders>
            <w:noWrap w:val="0"/>
            <w:vAlign w:val="center"/>
          </w:tcPr>
          <w:p w14:paraId="02C3DAB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医用IT隔离电源</w:t>
            </w:r>
          </w:p>
        </w:tc>
        <w:tc>
          <w:tcPr>
            <w:tcW w:w="2244" w:type="pct"/>
            <w:tcBorders>
              <w:top w:val="nil"/>
              <w:left w:val="nil"/>
              <w:bottom w:val="single" w:color="000000" w:sz="8" w:space="0"/>
              <w:right w:val="single" w:color="000000" w:sz="8" w:space="0"/>
            </w:tcBorders>
            <w:noWrap/>
            <w:vAlign w:val="center"/>
          </w:tcPr>
          <w:p w14:paraId="17B41AB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施耐德、本德尔、格力玛同档次及以上</w:t>
            </w:r>
          </w:p>
        </w:tc>
        <w:tc>
          <w:tcPr>
            <w:tcW w:w="814" w:type="pct"/>
            <w:tcBorders>
              <w:top w:val="nil"/>
              <w:left w:val="nil"/>
              <w:bottom w:val="single" w:color="000000" w:sz="8" w:space="0"/>
              <w:right w:val="single" w:color="000000" w:sz="8" w:space="0"/>
            </w:tcBorders>
            <w:noWrap w:val="0"/>
            <w:vAlign w:val="center"/>
          </w:tcPr>
          <w:p w14:paraId="1B76EBF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5E92867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7" w:hRule="atLeast"/>
        </w:trPr>
        <w:tc>
          <w:tcPr>
            <w:tcW w:w="385" w:type="pct"/>
            <w:tcBorders>
              <w:top w:val="nil"/>
              <w:left w:val="single" w:color="000000" w:sz="8" w:space="0"/>
              <w:bottom w:val="single" w:color="000000" w:sz="8" w:space="0"/>
              <w:right w:val="single" w:color="000000" w:sz="8" w:space="0"/>
            </w:tcBorders>
            <w:noWrap/>
            <w:vAlign w:val="center"/>
          </w:tcPr>
          <w:p w14:paraId="236BFFF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18</w:t>
            </w:r>
          </w:p>
        </w:tc>
        <w:tc>
          <w:tcPr>
            <w:tcW w:w="1556" w:type="pct"/>
            <w:tcBorders>
              <w:top w:val="nil"/>
              <w:left w:val="nil"/>
              <w:bottom w:val="single" w:color="000000" w:sz="8" w:space="0"/>
              <w:right w:val="single" w:color="000000" w:sz="8" w:space="0"/>
            </w:tcBorders>
            <w:noWrap w:val="0"/>
            <w:vAlign w:val="center"/>
          </w:tcPr>
          <w:p w14:paraId="37AB9D7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Ups不间断电源</w:t>
            </w:r>
          </w:p>
        </w:tc>
        <w:tc>
          <w:tcPr>
            <w:tcW w:w="2244" w:type="pct"/>
            <w:tcBorders>
              <w:top w:val="nil"/>
              <w:left w:val="nil"/>
              <w:bottom w:val="single" w:color="000000" w:sz="8" w:space="0"/>
              <w:right w:val="single" w:color="000000" w:sz="8" w:space="0"/>
            </w:tcBorders>
            <w:noWrap/>
            <w:vAlign w:val="center"/>
          </w:tcPr>
          <w:p w14:paraId="341623F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科华、维谛、易事特同档次及以上</w:t>
            </w:r>
          </w:p>
        </w:tc>
        <w:tc>
          <w:tcPr>
            <w:tcW w:w="814" w:type="pct"/>
            <w:tcBorders>
              <w:top w:val="nil"/>
              <w:left w:val="nil"/>
              <w:bottom w:val="single" w:color="000000" w:sz="8" w:space="0"/>
              <w:right w:val="single" w:color="000000" w:sz="8" w:space="0"/>
            </w:tcBorders>
            <w:noWrap w:val="0"/>
            <w:vAlign w:val="center"/>
          </w:tcPr>
          <w:p w14:paraId="1FBF281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0382FE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1753A943">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19</w:t>
            </w:r>
          </w:p>
        </w:tc>
        <w:tc>
          <w:tcPr>
            <w:tcW w:w="1556" w:type="pct"/>
            <w:tcBorders>
              <w:top w:val="nil"/>
              <w:left w:val="nil"/>
              <w:bottom w:val="single" w:color="000000" w:sz="8" w:space="0"/>
              <w:right w:val="single" w:color="000000" w:sz="8" w:space="0"/>
            </w:tcBorders>
            <w:noWrap w:val="0"/>
            <w:vAlign w:val="center"/>
          </w:tcPr>
          <w:p w14:paraId="34044C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UPS一体机</w:t>
            </w:r>
          </w:p>
        </w:tc>
        <w:tc>
          <w:tcPr>
            <w:tcW w:w="2244" w:type="pct"/>
            <w:tcBorders>
              <w:top w:val="nil"/>
              <w:left w:val="nil"/>
              <w:bottom w:val="single" w:color="000000" w:sz="8" w:space="0"/>
              <w:right w:val="single" w:color="000000" w:sz="8" w:space="0"/>
            </w:tcBorders>
            <w:noWrap/>
            <w:vAlign w:val="center"/>
          </w:tcPr>
          <w:p w14:paraId="793EF59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埃阔、溯高美、施耐德同档次及以上</w:t>
            </w:r>
          </w:p>
        </w:tc>
        <w:tc>
          <w:tcPr>
            <w:tcW w:w="814" w:type="pct"/>
            <w:tcBorders>
              <w:top w:val="nil"/>
              <w:left w:val="nil"/>
              <w:bottom w:val="single" w:color="000000" w:sz="8" w:space="0"/>
              <w:right w:val="single" w:color="000000" w:sz="8" w:space="0"/>
            </w:tcBorders>
            <w:noWrap w:val="0"/>
            <w:vAlign w:val="center"/>
          </w:tcPr>
          <w:p w14:paraId="7E1A951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2B9FF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6" w:hRule="atLeast"/>
        </w:trPr>
        <w:tc>
          <w:tcPr>
            <w:tcW w:w="385" w:type="pct"/>
            <w:tcBorders>
              <w:top w:val="nil"/>
              <w:left w:val="single" w:color="000000" w:sz="8" w:space="0"/>
              <w:bottom w:val="single" w:color="000000" w:sz="8" w:space="0"/>
              <w:right w:val="single" w:color="000000" w:sz="8" w:space="0"/>
            </w:tcBorders>
            <w:noWrap/>
            <w:vAlign w:val="center"/>
          </w:tcPr>
          <w:p w14:paraId="3EA5E3D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20</w:t>
            </w:r>
          </w:p>
        </w:tc>
        <w:tc>
          <w:tcPr>
            <w:tcW w:w="1556" w:type="pct"/>
            <w:tcBorders>
              <w:top w:val="nil"/>
              <w:left w:val="nil"/>
              <w:bottom w:val="single" w:color="000000" w:sz="8" w:space="0"/>
              <w:right w:val="single" w:color="000000" w:sz="8" w:space="0"/>
            </w:tcBorders>
            <w:noWrap w:val="0"/>
            <w:vAlign w:val="center"/>
          </w:tcPr>
          <w:p w14:paraId="0A3AC99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电线</w:t>
            </w:r>
          </w:p>
        </w:tc>
        <w:tc>
          <w:tcPr>
            <w:tcW w:w="2244" w:type="pct"/>
            <w:tcBorders>
              <w:top w:val="nil"/>
              <w:left w:val="nil"/>
              <w:bottom w:val="single" w:color="000000" w:sz="8" w:space="0"/>
              <w:right w:val="single" w:color="000000" w:sz="8" w:space="0"/>
            </w:tcBorders>
            <w:noWrap/>
            <w:vAlign w:val="center"/>
          </w:tcPr>
          <w:p w14:paraId="76C60C4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71AA0161">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B66C2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3378859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21</w:t>
            </w:r>
          </w:p>
        </w:tc>
        <w:tc>
          <w:tcPr>
            <w:tcW w:w="1556" w:type="pct"/>
            <w:tcBorders>
              <w:top w:val="nil"/>
              <w:left w:val="nil"/>
              <w:bottom w:val="single" w:color="000000" w:sz="8" w:space="0"/>
              <w:right w:val="single" w:color="000000" w:sz="8" w:space="0"/>
            </w:tcBorders>
            <w:noWrap w:val="0"/>
            <w:vAlign w:val="center"/>
          </w:tcPr>
          <w:p w14:paraId="461BBD2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电缆</w:t>
            </w:r>
          </w:p>
        </w:tc>
        <w:tc>
          <w:tcPr>
            <w:tcW w:w="2244" w:type="pct"/>
            <w:tcBorders>
              <w:top w:val="nil"/>
              <w:left w:val="nil"/>
              <w:bottom w:val="single" w:color="000000" w:sz="8" w:space="0"/>
              <w:right w:val="single" w:color="000000" w:sz="8" w:space="0"/>
            </w:tcBorders>
            <w:noWrap/>
            <w:vAlign w:val="center"/>
          </w:tcPr>
          <w:p w14:paraId="2399AE9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远东、永通中策、江苏上上同档次及以上</w:t>
            </w:r>
          </w:p>
        </w:tc>
        <w:tc>
          <w:tcPr>
            <w:tcW w:w="814" w:type="pct"/>
            <w:tcBorders>
              <w:top w:val="nil"/>
              <w:left w:val="nil"/>
              <w:bottom w:val="single" w:color="000000" w:sz="8" w:space="0"/>
              <w:right w:val="single" w:color="000000" w:sz="8" w:space="0"/>
            </w:tcBorders>
            <w:noWrap w:val="0"/>
            <w:vAlign w:val="center"/>
          </w:tcPr>
          <w:p w14:paraId="356AEACC">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1D92C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42" w:hRule="atLeast"/>
        </w:trPr>
        <w:tc>
          <w:tcPr>
            <w:tcW w:w="385" w:type="pct"/>
            <w:tcBorders>
              <w:top w:val="nil"/>
              <w:left w:val="single" w:color="000000" w:sz="8" w:space="0"/>
              <w:bottom w:val="single" w:color="000000" w:sz="8" w:space="0"/>
              <w:right w:val="single" w:color="000000" w:sz="8" w:space="0"/>
            </w:tcBorders>
            <w:noWrap/>
            <w:vAlign w:val="center"/>
          </w:tcPr>
          <w:p w14:paraId="5D78AD2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lang w:val="en-US" w:eastAsia="zh-CN"/>
              </w:rPr>
            </w:pPr>
            <w:r>
              <w:rPr>
                <w:rFonts w:hint="eastAsia" w:ascii="宋体" w:hAnsi="宋体" w:eastAsia="宋体" w:cs="宋体"/>
                <w:i w:val="0"/>
                <w:iCs w:val="0"/>
                <w:color w:val="auto"/>
                <w:sz w:val="23"/>
                <w:szCs w:val="23"/>
                <w:highlight w:val="none"/>
                <w:u w:val="none"/>
                <w:lang w:val="en-US" w:eastAsia="zh-CN"/>
              </w:rPr>
              <w:t>22</w:t>
            </w:r>
          </w:p>
        </w:tc>
        <w:tc>
          <w:tcPr>
            <w:tcW w:w="1556" w:type="pct"/>
            <w:tcBorders>
              <w:top w:val="nil"/>
              <w:left w:val="nil"/>
              <w:bottom w:val="single" w:color="000000" w:sz="8" w:space="0"/>
              <w:right w:val="single" w:color="000000" w:sz="8" w:space="0"/>
            </w:tcBorders>
            <w:noWrap w:val="0"/>
            <w:vAlign w:val="center"/>
          </w:tcPr>
          <w:p w14:paraId="7C0B738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灯具</w:t>
            </w:r>
          </w:p>
        </w:tc>
        <w:tc>
          <w:tcPr>
            <w:tcW w:w="2244" w:type="pct"/>
            <w:tcBorders>
              <w:top w:val="nil"/>
              <w:left w:val="nil"/>
              <w:bottom w:val="single" w:color="000000" w:sz="8" w:space="0"/>
              <w:right w:val="single" w:color="000000" w:sz="8" w:space="0"/>
            </w:tcBorders>
            <w:noWrap/>
            <w:vAlign w:val="center"/>
          </w:tcPr>
          <w:p w14:paraId="3B70E05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佛山照明、雷士、三雄同档次及以上</w:t>
            </w:r>
          </w:p>
        </w:tc>
        <w:tc>
          <w:tcPr>
            <w:tcW w:w="814" w:type="pct"/>
            <w:tcBorders>
              <w:top w:val="nil"/>
              <w:left w:val="nil"/>
              <w:bottom w:val="single" w:color="000000" w:sz="8" w:space="0"/>
              <w:right w:val="single" w:color="000000" w:sz="8" w:space="0"/>
            </w:tcBorders>
            <w:noWrap w:val="0"/>
            <w:vAlign w:val="center"/>
          </w:tcPr>
          <w:p w14:paraId="005703E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305E6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06694C6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23</w:t>
            </w:r>
          </w:p>
        </w:tc>
        <w:tc>
          <w:tcPr>
            <w:tcW w:w="1556" w:type="pct"/>
            <w:tcBorders>
              <w:top w:val="nil"/>
              <w:left w:val="nil"/>
              <w:bottom w:val="single" w:color="000000" w:sz="8" w:space="0"/>
              <w:right w:val="single" w:color="000000" w:sz="8" w:space="0"/>
            </w:tcBorders>
            <w:noWrap w:val="0"/>
            <w:vAlign w:val="center"/>
          </w:tcPr>
          <w:p w14:paraId="15B4C64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开关、插座</w:t>
            </w:r>
          </w:p>
        </w:tc>
        <w:tc>
          <w:tcPr>
            <w:tcW w:w="2244" w:type="pct"/>
            <w:tcBorders>
              <w:top w:val="nil"/>
              <w:left w:val="nil"/>
              <w:bottom w:val="single" w:color="000000" w:sz="8" w:space="0"/>
              <w:right w:val="single" w:color="000000" w:sz="8" w:space="0"/>
            </w:tcBorders>
            <w:noWrap/>
            <w:vAlign w:val="center"/>
          </w:tcPr>
          <w:p w14:paraId="4180789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罗格朗、西门子、施耐德同档次及以上</w:t>
            </w:r>
          </w:p>
        </w:tc>
        <w:tc>
          <w:tcPr>
            <w:tcW w:w="814" w:type="pct"/>
            <w:tcBorders>
              <w:top w:val="nil"/>
              <w:left w:val="nil"/>
              <w:bottom w:val="single" w:color="000000" w:sz="8" w:space="0"/>
              <w:right w:val="single" w:color="000000" w:sz="8" w:space="0"/>
            </w:tcBorders>
            <w:noWrap w:val="0"/>
            <w:vAlign w:val="center"/>
          </w:tcPr>
          <w:p w14:paraId="69A441C9">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3FCB9E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4728C08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三、智能化专业</w:t>
            </w:r>
          </w:p>
        </w:tc>
        <w:tc>
          <w:tcPr>
            <w:tcW w:w="814" w:type="pct"/>
            <w:tcBorders>
              <w:top w:val="nil"/>
              <w:left w:val="nil"/>
              <w:bottom w:val="single" w:color="000000" w:sz="8" w:space="0"/>
              <w:right w:val="single" w:color="000000" w:sz="8" w:space="0"/>
            </w:tcBorders>
            <w:noWrap w:val="0"/>
            <w:vAlign w:val="center"/>
          </w:tcPr>
          <w:p w14:paraId="19BDAD54">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2F51D1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5" w:type="pct"/>
            <w:tcBorders>
              <w:top w:val="nil"/>
              <w:left w:val="single" w:color="000000" w:sz="8" w:space="0"/>
              <w:bottom w:val="single" w:color="000000" w:sz="8" w:space="0"/>
              <w:right w:val="single" w:color="000000" w:sz="8" w:space="0"/>
            </w:tcBorders>
            <w:noWrap/>
            <w:vAlign w:val="center"/>
          </w:tcPr>
          <w:p w14:paraId="19517BC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24</w:t>
            </w:r>
          </w:p>
        </w:tc>
        <w:tc>
          <w:tcPr>
            <w:tcW w:w="1556" w:type="pct"/>
            <w:tcBorders>
              <w:top w:val="nil"/>
              <w:left w:val="nil"/>
              <w:bottom w:val="single" w:color="000000" w:sz="8" w:space="0"/>
              <w:right w:val="single" w:color="000000" w:sz="8" w:space="0"/>
            </w:tcBorders>
            <w:noWrap w:val="0"/>
            <w:vAlign w:val="center"/>
          </w:tcPr>
          <w:p w14:paraId="2713C98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综合布线系统</w:t>
            </w:r>
          </w:p>
        </w:tc>
        <w:tc>
          <w:tcPr>
            <w:tcW w:w="2244" w:type="pct"/>
            <w:tcBorders>
              <w:top w:val="single" w:color="000000" w:sz="8" w:space="0"/>
              <w:left w:val="nil"/>
              <w:bottom w:val="single" w:color="000000" w:sz="8" w:space="0"/>
              <w:right w:val="single" w:color="000000" w:sz="8" w:space="0"/>
            </w:tcBorders>
            <w:noWrap/>
            <w:vAlign w:val="center"/>
          </w:tcPr>
          <w:p w14:paraId="101F496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兆龙、德塔森特、成都大唐同档次及以上</w:t>
            </w:r>
          </w:p>
        </w:tc>
        <w:tc>
          <w:tcPr>
            <w:tcW w:w="814" w:type="pct"/>
            <w:tcBorders>
              <w:top w:val="single" w:color="000000" w:sz="8" w:space="0"/>
              <w:left w:val="nil"/>
              <w:bottom w:val="single" w:color="000000" w:sz="8" w:space="0"/>
              <w:right w:val="single" w:color="000000" w:sz="8" w:space="0"/>
            </w:tcBorders>
            <w:noWrap w:val="0"/>
            <w:vAlign w:val="center"/>
          </w:tcPr>
          <w:p w14:paraId="682EE17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2FC6A0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39A0F43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25</w:t>
            </w:r>
          </w:p>
        </w:tc>
        <w:tc>
          <w:tcPr>
            <w:tcW w:w="1556" w:type="pct"/>
            <w:tcBorders>
              <w:top w:val="nil"/>
              <w:left w:val="nil"/>
              <w:bottom w:val="single" w:color="000000" w:sz="8" w:space="0"/>
              <w:right w:val="single" w:color="000000" w:sz="8" w:space="0"/>
            </w:tcBorders>
            <w:noWrap w:val="0"/>
            <w:vAlign w:val="center"/>
          </w:tcPr>
          <w:p w14:paraId="38FCDD5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安防监控系统</w:t>
            </w:r>
          </w:p>
        </w:tc>
        <w:tc>
          <w:tcPr>
            <w:tcW w:w="2244" w:type="pct"/>
            <w:tcBorders>
              <w:top w:val="nil"/>
              <w:left w:val="nil"/>
              <w:bottom w:val="single" w:color="000000" w:sz="8" w:space="0"/>
              <w:right w:val="single" w:color="000000" w:sz="8" w:space="0"/>
            </w:tcBorders>
            <w:noWrap/>
            <w:vAlign w:val="center"/>
          </w:tcPr>
          <w:p w14:paraId="02BED57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海康威视、大华、宇视同档次及以上</w:t>
            </w:r>
          </w:p>
        </w:tc>
        <w:tc>
          <w:tcPr>
            <w:tcW w:w="814" w:type="pct"/>
            <w:tcBorders>
              <w:top w:val="nil"/>
              <w:left w:val="nil"/>
              <w:bottom w:val="single" w:color="000000" w:sz="8" w:space="0"/>
              <w:right w:val="single" w:color="000000" w:sz="8" w:space="0"/>
            </w:tcBorders>
            <w:noWrap w:val="0"/>
            <w:vAlign w:val="center"/>
          </w:tcPr>
          <w:p w14:paraId="3443BE4A">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0E52D4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54" w:hRule="atLeast"/>
        </w:trPr>
        <w:tc>
          <w:tcPr>
            <w:tcW w:w="385" w:type="pct"/>
            <w:tcBorders>
              <w:top w:val="nil"/>
              <w:left w:val="single" w:color="000000" w:sz="8" w:space="0"/>
              <w:bottom w:val="single" w:color="000000" w:sz="8" w:space="0"/>
              <w:right w:val="single" w:color="000000" w:sz="8" w:space="0"/>
            </w:tcBorders>
            <w:noWrap/>
            <w:vAlign w:val="center"/>
          </w:tcPr>
          <w:p w14:paraId="2941CC80">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26</w:t>
            </w:r>
          </w:p>
        </w:tc>
        <w:tc>
          <w:tcPr>
            <w:tcW w:w="1556" w:type="pct"/>
            <w:tcBorders>
              <w:top w:val="nil"/>
              <w:left w:val="nil"/>
              <w:bottom w:val="single" w:color="000000" w:sz="8" w:space="0"/>
              <w:right w:val="single" w:color="000000" w:sz="8" w:space="0"/>
            </w:tcBorders>
            <w:noWrap w:val="0"/>
            <w:vAlign w:val="center"/>
          </w:tcPr>
          <w:p w14:paraId="12A49FD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背景音乐系统</w:t>
            </w:r>
          </w:p>
        </w:tc>
        <w:tc>
          <w:tcPr>
            <w:tcW w:w="2244" w:type="pct"/>
            <w:tcBorders>
              <w:top w:val="nil"/>
              <w:left w:val="nil"/>
              <w:bottom w:val="single" w:color="000000" w:sz="8" w:space="0"/>
              <w:right w:val="single" w:color="000000" w:sz="8" w:space="0"/>
            </w:tcBorders>
            <w:noWrap/>
            <w:vAlign w:val="center"/>
          </w:tcPr>
          <w:p w14:paraId="71D8346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itc、DSPPA、TOA同档次及以上</w:t>
            </w:r>
          </w:p>
        </w:tc>
        <w:tc>
          <w:tcPr>
            <w:tcW w:w="814" w:type="pct"/>
            <w:tcBorders>
              <w:top w:val="nil"/>
              <w:left w:val="nil"/>
              <w:bottom w:val="single" w:color="000000" w:sz="8" w:space="0"/>
              <w:right w:val="single" w:color="000000" w:sz="8" w:space="0"/>
            </w:tcBorders>
            <w:noWrap w:val="0"/>
            <w:vAlign w:val="center"/>
          </w:tcPr>
          <w:p w14:paraId="34E184C7">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6F5347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385" w:type="pct"/>
            <w:tcBorders>
              <w:top w:val="nil"/>
              <w:left w:val="single" w:color="000000" w:sz="8" w:space="0"/>
              <w:bottom w:val="single" w:color="000000" w:sz="8" w:space="0"/>
              <w:right w:val="single" w:color="000000" w:sz="8" w:space="0"/>
            </w:tcBorders>
            <w:noWrap/>
            <w:vAlign w:val="center"/>
          </w:tcPr>
          <w:p w14:paraId="49000B7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27</w:t>
            </w:r>
          </w:p>
        </w:tc>
        <w:tc>
          <w:tcPr>
            <w:tcW w:w="1556" w:type="pct"/>
            <w:tcBorders>
              <w:top w:val="nil"/>
              <w:left w:val="nil"/>
              <w:bottom w:val="single" w:color="000000" w:sz="8" w:space="0"/>
              <w:right w:val="single" w:color="000000" w:sz="8" w:space="0"/>
            </w:tcBorders>
            <w:noWrap w:val="0"/>
            <w:vAlign w:val="center"/>
          </w:tcPr>
          <w:p w14:paraId="472B9B9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空调机组自控系统</w:t>
            </w:r>
          </w:p>
        </w:tc>
        <w:tc>
          <w:tcPr>
            <w:tcW w:w="2244" w:type="pct"/>
            <w:tcBorders>
              <w:top w:val="nil"/>
              <w:left w:val="nil"/>
              <w:bottom w:val="single" w:color="000000" w:sz="8" w:space="0"/>
              <w:right w:val="single" w:color="000000" w:sz="8" w:space="0"/>
            </w:tcBorders>
            <w:noWrap/>
            <w:vAlign w:val="center"/>
          </w:tcPr>
          <w:p w14:paraId="14B7223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西门子、ABB、施耐德同档次及以上</w:t>
            </w:r>
          </w:p>
        </w:tc>
        <w:tc>
          <w:tcPr>
            <w:tcW w:w="814" w:type="pct"/>
            <w:tcBorders>
              <w:top w:val="nil"/>
              <w:left w:val="nil"/>
              <w:bottom w:val="single" w:color="000000" w:sz="8" w:space="0"/>
              <w:right w:val="single" w:color="000000" w:sz="8" w:space="0"/>
            </w:tcBorders>
            <w:noWrap w:val="0"/>
            <w:vAlign w:val="center"/>
          </w:tcPr>
          <w:p w14:paraId="1634CCCD">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700AA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4185" w:type="pct"/>
            <w:gridSpan w:val="3"/>
            <w:tcBorders>
              <w:top w:val="nil"/>
              <w:left w:val="single" w:color="000000" w:sz="8" w:space="0"/>
              <w:bottom w:val="single" w:color="000000" w:sz="8" w:space="0"/>
              <w:right w:val="single" w:color="000000" w:sz="8" w:space="0"/>
            </w:tcBorders>
            <w:noWrap/>
            <w:vAlign w:val="center"/>
          </w:tcPr>
          <w:p w14:paraId="007BE04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四、暖通专业</w:t>
            </w:r>
          </w:p>
        </w:tc>
        <w:tc>
          <w:tcPr>
            <w:tcW w:w="814" w:type="pct"/>
            <w:tcBorders>
              <w:top w:val="nil"/>
              <w:left w:val="nil"/>
              <w:bottom w:val="single" w:color="000000" w:sz="8" w:space="0"/>
              <w:right w:val="single" w:color="000000" w:sz="8" w:space="0"/>
            </w:tcBorders>
            <w:noWrap w:val="0"/>
            <w:vAlign w:val="center"/>
          </w:tcPr>
          <w:p w14:paraId="2EC3CBDE">
            <w:pPr>
              <w:keepNext w:val="0"/>
              <w:keepLines w:val="0"/>
              <w:pageBreakBefore w:val="0"/>
              <w:kinsoku/>
              <w:wordWrap/>
              <w:overflowPunct/>
              <w:topLinePunct w:val="0"/>
              <w:autoSpaceDE/>
              <w:autoSpaceDN/>
              <w:bidi w:val="0"/>
              <w:adjustRightInd/>
              <w:snapToGrid/>
              <w:spacing w:line="420" w:lineRule="atLeast"/>
              <w:jc w:val="center"/>
              <w:rPr>
                <w:rFonts w:hint="eastAsia" w:ascii="宋体" w:hAnsi="宋体" w:eastAsia="宋体" w:cs="宋体"/>
                <w:i w:val="0"/>
                <w:iCs w:val="0"/>
                <w:color w:val="auto"/>
                <w:sz w:val="23"/>
                <w:szCs w:val="23"/>
                <w:highlight w:val="none"/>
                <w:u w:val="none"/>
              </w:rPr>
            </w:pPr>
          </w:p>
        </w:tc>
      </w:tr>
      <w:tr w14:paraId="5D5F72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575" w:hRule="atLeast"/>
        </w:trPr>
        <w:tc>
          <w:tcPr>
            <w:tcW w:w="385" w:type="pct"/>
            <w:tcBorders>
              <w:top w:val="nil"/>
              <w:left w:val="single" w:color="000000" w:sz="8" w:space="0"/>
              <w:bottom w:val="single" w:color="000000" w:sz="8" w:space="0"/>
              <w:right w:val="single" w:color="000000" w:sz="8" w:space="0"/>
            </w:tcBorders>
            <w:noWrap/>
            <w:vAlign w:val="center"/>
          </w:tcPr>
          <w:p w14:paraId="6EE1E15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28</w:t>
            </w:r>
          </w:p>
        </w:tc>
        <w:tc>
          <w:tcPr>
            <w:tcW w:w="1556" w:type="pct"/>
            <w:tcBorders>
              <w:top w:val="nil"/>
              <w:left w:val="nil"/>
              <w:bottom w:val="single" w:color="000000" w:sz="8" w:space="0"/>
              <w:right w:val="single" w:color="000000" w:sz="8" w:space="0"/>
            </w:tcBorders>
            <w:noWrap w:val="0"/>
            <w:vAlign w:val="center"/>
          </w:tcPr>
          <w:p w14:paraId="3245396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净化空调机组</w:t>
            </w:r>
          </w:p>
        </w:tc>
        <w:tc>
          <w:tcPr>
            <w:tcW w:w="2244" w:type="pct"/>
            <w:tcBorders>
              <w:top w:val="single" w:color="000000" w:sz="8" w:space="0"/>
              <w:left w:val="nil"/>
              <w:bottom w:val="single" w:color="000000" w:sz="8" w:space="0"/>
              <w:right w:val="single" w:color="000000" w:sz="8" w:space="0"/>
            </w:tcBorders>
            <w:noWrap/>
            <w:vAlign w:val="center"/>
          </w:tcPr>
          <w:p w14:paraId="69CD34A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tcBorders>
              <w:top w:val="single" w:color="000000" w:sz="8" w:space="0"/>
              <w:left w:val="nil"/>
              <w:bottom w:val="single" w:color="000000" w:sz="8" w:space="0"/>
              <w:right w:val="single" w:color="000000" w:sz="8" w:space="0"/>
            </w:tcBorders>
            <w:noWrap w:val="0"/>
            <w:vAlign w:val="center"/>
          </w:tcPr>
          <w:p w14:paraId="7CC6F3C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E74E5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585D209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29</w:t>
            </w:r>
          </w:p>
        </w:tc>
        <w:tc>
          <w:tcPr>
            <w:tcW w:w="1556" w:type="pct"/>
            <w:tcBorders>
              <w:top w:val="nil"/>
              <w:left w:val="nil"/>
              <w:bottom w:val="single" w:color="000000" w:sz="8" w:space="0"/>
              <w:right w:val="single" w:color="000000" w:sz="8" w:space="0"/>
            </w:tcBorders>
            <w:noWrap w:val="0"/>
            <w:vAlign w:val="center"/>
          </w:tcPr>
          <w:p w14:paraId="61EC6EB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镀锌风管</w:t>
            </w:r>
          </w:p>
        </w:tc>
        <w:tc>
          <w:tcPr>
            <w:tcW w:w="2244" w:type="pct"/>
            <w:tcBorders>
              <w:top w:val="nil"/>
              <w:left w:val="nil"/>
              <w:bottom w:val="single" w:color="000000" w:sz="8" w:space="0"/>
              <w:right w:val="single" w:color="000000" w:sz="8" w:space="0"/>
            </w:tcBorders>
            <w:noWrap/>
            <w:vAlign w:val="center"/>
          </w:tcPr>
          <w:p w14:paraId="4A2A998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宝钢、鞍钢、马钢同档次及以上</w:t>
            </w:r>
          </w:p>
        </w:tc>
        <w:tc>
          <w:tcPr>
            <w:tcW w:w="814" w:type="pct"/>
            <w:tcBorders>
              <w:top w:val="nil"/>
              <w:left w:val="nil"/>
              <w:bottom w:val="single" w:color="000000" w:sz="8" w:space="0"/>
              <w:right w:val="single" w:color="000000" w:sz="8" w:space="0"/>
            </w:tcBorders>
            <w:noWrap w:val="0"/>
            <w:vAlign w:val="center"/>
          </w:tcPr>
          <w:p w14:paraId="73D3CEF6">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55F1F8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0A439F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30</w:t>
            </w:r>
          </w:p>
        </w:tc>
        <w:tc>
          <w:tcPr>
            <w:tcW w:w="1556" w:type="pct"/>
            <w:tcBorders>
              <w:top w:val="nil"/>
              <w:left w:val="nil"/>
              <w:bottom w:val="single" w:color="000000" w:sz="8" w:space="0"/>
              <w:right w:val="single" w:color="000000" w:sz="8" w:space="0"/>
            </w:tcBorders>
            <w:noWrap w:val="0"/>
            <w:vAlign w:val="center"/>
          </w:tcPr>
          <w:p w14:paraId="4A4BD4B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橡塑保温</w:t>
            </w:r>
          </w:p>
        </w:tc>
        <w:tc>
          <w:tcPr>
            <w:tcW w:w="2244" w:type="pct"/>
            <w:tcBorders>
              <w:top w:val="nil"/>
              <w:left w:val="nil"/>
              <w:bottom w:val="single" w:color="000000" w:sz="8" w:space="0"/>
              <w:right w:val="single" w:color="000000" w:sz="8" w:space="0"/>
            </w:tcBorders>
            <w:noWrap/>
            <w:vAlign w:val="center"/>
          </w:tcPr>
          <w:p w14:paraId="1A2ABB9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神州绿都、华美、赢胜同档次及以上</w:t>
            </w:r>
          </w:p>
        </w:tc>
        <w:tc>
          <w:tcPr>
            <w:tcW w:w="814" w:type="pct"/>
            <w:tcBorders>
              <w:top w:val="nil"/>
              <w:left w:val="nil"/>
              <w:bottom w:val="single" w:color="000000" w:sz="8" w:space="0"/>
              <w:right w:val="single" w:color="000000" w:sz="8" w:space="0"/>
            </w:tcBorders>
            <w:noWrap w:val="0"/>
            <w:vAlign w:val="center"/>
          </w:tcPr>
          <w:p w14:paraId="702DCF1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41A43C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109F35F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31</w:t>
            </w:r>
          </w:p>
        </w:tc>
        <w:tc>
          <w:tcPr>
            <w:tcW w:w="1556" w:type="pct"/>
            <w:tcBorders>
              <w:top w:val="nil"/>
              <w:left w:val="nil"/>
              <w:bottom w:val="single" w:color="000000" w:sz="8" w:space="0"/>
              <w:right w:val="single" w:color="000000" w:sz="8" w:space="0"/>
            </w:tcBorders>
            <w:noWrap w:val="0"/>
            <w:vAlign w:val="center"/>
          </w:tcPr>
          <w:p w14:paraId="43401D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加湿器</w:t>
            </w:r>
          </w:p>
        </w:tc>
        <w:tc>
          <w:tcPr>
            <w:tcW w:w="2244" w:type="pct"/>
            <w:tcBorders>
              <w:top w:val="nil"/>
              <w:left w:val="nil"/>
              <w:bottom w:val="single" w:color="000000" w:sz="8" w:space="0"/>
              <w:right w:val="single" w:color="000000" w:sz="8" w:space="0"/>
            </w:tcBorders>
            <w:noWrap/>
            <w:vAlign w:val="center"/>
          </w:tcPr>
          <w:p w14:paraId="0F55734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嘉乐斯乐、卡乐、诺德曼同档次及以上</w:t>
            </w:r>
          </w:p>
        </w:tc>
        <w:tc>
          <w:tcPr>
            <w:tcW w:w="814" w:type="pct"/>
            <w:tcBorders>
              <w:top w:val="nil"/>
              <w:left w:val="nil"/>
              <w:bottom w:val="single" w:color="000000" w:sz="8" w:space="0"/>
              <w:right w:val="single" w:color="000000" w:sz="8" w:space="0"/>
            </w:tcBorders>
            <w:noWrap w:val="0"/>
            <w:vAlign w:val="center"/>
          </w:tcPr>
          <w:p w14:paraId="37CE893D">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39F33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013E98B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32</w:t>
            </w:r>
          </w:p>
        </w:tc>
        <w:tc>
          <w:tcPr>
            <w:tcW w:w="1556" w:type="pct"/>
            <w:tcBorders>
              <w:top w:val="nil"/>
              <w:left w:val="nil"/>
              <w:bottom w:val="single" w:color="000000" w:sz="8" w:space="0"/>
              <w:right w:val="single" w:color="000000" w:sz="8" w:space="0"/>
            </w:tcBorders>
            <w:noWrap w:val="0"/>
            <w:vAlign w:val="center"/>
          </w:tcPr>
          <w:p w14:paraId="21FAC3BA">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排风机</w:t>
            </w:r>
          </w:p>
        </w:tc>
        <w:tc>
          <w:tcPr>
            <w:tcW w:w="2244" w:type="pct"/>
            <w:tcBorders>
              <w:top w:val="nil"/>
              <w:left w:val="nil"/>
              <w:bottom w:val="single" w:color="000000" w:sz="8" w:space="0"/>
              <w:right w:val="single" w:color="000000" w:sz="8" w:space="0"/>
            </w:tcBorders>
            <w:noWrap/>
            <w:vAlign w:val="center"/>
          </w:tcPr>
          <w:p w14:paraId="430E7DF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亿利达、通田、聚英同档次及以上</w:t>
            </w:r>
          </w:p>
        </w:tc>
        <w:tc>
          <w:tcPr>
            <w:tcW w:w="814" w:type="pct"/>
            <w:tcBorders>
              <w:top w:val="nil"/>
              <w:left w:val="nil"/>
              <w:bottom w:val="single" w:color="000000" w:sz="8" w:space="0"/>
              <w:right w:val="single" w:color="000000" w:sz="8" w:space="0"/>
            </w:tcBorders>
            <w:noWrap w:val="0"/>
            <w:vAlign w:val="center"/>
          </w:tcPr>
          <w:p w14:paraId="59C4B97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0DD3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4CD30CBD">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33</w:t>
            </w:r>
          </w:p>
        </w:tc>
        <w:tc>
          <w:tcPr>
            <w:tcW w:w="1556" w:type="pct"/>
            <w:tcBorders>
              <w:top w:val="nil"/>
              <w:left w:val="nil"/>
              <w:bottom w:val="single" w:color="000000" w:sz="8" w:space="0"/>
              <w:right w:val="single" w:color="000000" w:sz="8" w:space="0"/>
            </w:tcBorders>
            <w:noWrap w:val="0"/>
            <w:vAlign w:val="center"/>
          </w:tcPr>
          <w:p w14:paraId="204EFDA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风机盘管</w:t>
            </w:r>
          </w:p>
        </w:tc>
        <w:tc>
          <w:tcPr>
            <w:tcW w:w="2244" w:type="pct"/>
            <w:tcBorders>
              <w:top w:val="nil"/>
              <w:left w:val="nil"/>
              <w:bottom w:val="single" w:color="000000" w:sz="8" w:space="0"/>
              <w:right w:val="single" w:color="000000" w:sz="8" w:space="0"/>
            </w:tcBorders>
            <w:noWrap/>
            <w:vAlign w:val="center"/>
          </w:tcPr>
          <w:p w14:paraId="504190C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同方、天加、雅士同档次及以上</w:t>
            </w:r>
          </w:p>
        </w:tc>
        <w:tc>
          <w:tcPr>
            <w:tcW w:w="814" w:type="pct"/>
            <w:tcBorders>
              <w:top w:val="nil"/>
              <w:left w:val="nil"/>
              <w:bottom w:val="single" w:color="000000" w:sz="8" w:space="0"/>
              <w:right w:val="single" w:color="000000" w:sz="8" w:space="0"/>
            </w:tcBorders>
            <w:noWrap w:val="0"/>
            <w:vAlign w:val="center"/>
          </w:tcPr>
          <w:p w14:paraId="34391C68">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19AE8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99F598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34</w:t>
            </w:r>
          </w:p>
        </w:tc>
        <w:tc>
          <w:tcPr>
            <w:tcW w:w="1556" w:type="pct"/>
            <w:tcBorders>
              <w:top w:val="nil"/>
              <w:left w:val="nil"/>
              <w:bottom w:val="single" w:color="000000" w:sz="8" w:space="0"/>
              <w:right w:val="single" w:color="000000" w:sz="8" w:space="0"/>
            </w:tcBorders>
            <w:noWrap w:val="0"/>
            <w:vAlign w:val="center"/>
          </w:tcPr>
          <w:p w14:paraId="37DF9B0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风口式消毒装置</w:t>
            </w:r>
          </w:p>
        </w:tc>
        <w:tc>
          <w:tcPr>
            <w:tcW w:w="2244" w:type="pct"/>
            <w:tcBorders>
              <w:top w:val="nil"/>
              <w:left w:val="nil"/>
              <w:bottom w:val="single" w:color="000000" w:sz="8" w:space="0"/>
              <w:right w:val="single" w:color="000000" w:sz="8" w:space="0"/>
            </w:tcBorders>
            <w:noWrap/>
            <w:vAlign w:val="center"/>
          </w:tcPr>
          <w:p w14:paraId="3506A0A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佩洁尔、利安达、新华同档次及以上</w:t>
            </w:r>
          </w:p>
        </w:tc>
        <w:tc>
          <w:tcPr>
            <w:tcW w:w="814" w:type="pct"/>
            <w:tcBorders>
              <w:top w:val="nil"/>
              <w:left w:val="nil"/>
              <w:bottom w:val="single" w:color="000000" w:sz="8" w:space="0"/>
              <w:right w:val="single" w:color="000000" w:sz="8" w:space="0"/>
            </w:tcBorders>
            <w:noWrap w:val="0"/>
            <w:vAlign w:val="center"/>
          </w:tcPr>
          <w:p w14:paraId="22FA7671">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04532F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40A39F2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35</w:t>
            </w:r>
          </w:p>
        </w:tc>
        <w:tc>
          <w:tcPr>
            <w:tcW w:w="1556" w:type="pct"/>
            <w:tcBorders>
              <w:top w:val="nil"/>
              <w:left w:val="nil"/>
              <w:bottom w:val="single" w:color="000000" w:sz="8" w:space="0"/>
              <w:right w:val="single" w:color="000000" w:sz="8" w:space="0"/>
            </w:tcBorders>
            <w:noWrap w:val="0"/>
            <w:vAlign w:val="center"/>
          </w:tcPr>
          <w:p w14:paraId="3D4B32E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等离子空气消毒机</w:t>
            </w:r>
          </w:p>
        </w:tc>
        <w:tc>
          <w:tcPr>
            <w:tcW w:w="2244" w:type="pct"/>
            <w:tcBorders>
              <w:top w:val="nil"/>
              <w:left w:val="nil"/>
              <w:bottom w:val="single" w:color="000000" w:sz="8" w:space="0"/>
              <w:right w:val="single" w:color="000000" w:sz="8" w:space="0"/>
            </w:tcBorders>
            <w:noWrap/>
            <w:vAlign w:val="center"/>
          </w:tcPr>
          <w:p w14:paraId="47E028E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佩洁尔、利安达、新华同档次及以上</w:t>
            </w:r>
          </w:p>
        </w:tc>
        <w:tc>
          <w:tcPr>
            <w:tcW w:w="814" w:type="pct"/>
            <w:tcBorders>
              <w:top w:val="nil"/>
              <w:left w:val="nil"/>
              <w:bottom w:val="single" w:color="000000" w:sz="8" w:space="0"/>
              <w:right w:val="single" w:color="000000" w:sz="8" w:space="0"/>
            </w:tcBorders>
            <w:noWrap w:val="0"/>
            <w:vAlign w:val="center"/>
          </w:tcPr>
          <w:p w14:paraId="1C6DF4E3">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188CBA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764F28F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36</w:t>
            </w:r>
          </w:p>
        </w:tc>
        <w:tc>
          <w:tcPr>
            <w:tcW w:w="1556" w:type="pct"/>
            <w:tcBorders>
              <w:top w:val="nil"/>
              <w:left w:val="nil"/>
              <w:bottom w:val="single" w:color="000000" w:sz="8" w:space="0"/>
              <w:right w:val="single" w:color="000000" w:sz="8" w:space="0"/>
            </w:tcBorders>
            <w:noWrap w:val="0"/>
            <w:vAlign w:val="center"/>
          </w:tcPr>
          <w:p w14:paraId="0BEE5A3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多联机室内外机</w:t>
            </w:r>
          </w:p>
        </w:tc>
        <w:tc>
          <w:tcPr>
            <w:tcW w:w="2244" w:type="pct"/>
            <w:tcBorders>
              <w:top w:val="nil"/>
              <w:left w:val="nil"/>
              <w:bottom w:val="single" w:color="000000" w:sz="8" w:space="0"/>
              <w:right w:val="single" w:color="000000" w:sz="8" w:space="0"/>
            </w:tcBorders>
            <w:noWrap/>
            <w:vAlign w:val="center"/>
          </w:tcPr>
          <w:p w14:paraId="294C26A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大金、三菱、东芝同档次及以上</w:t>
            </w:r>
          </w:p>
        </w:tc>
        <w:tc>
          <w:tcPr>
            <w:tcW w:w="814" w:type="pct"/>
            <w:tcBorders>
              <w:top w:val="nil"/>
              <w:left w:val="nil"/>
              <w:bottom w:val="single" w:color="000000" w:sz="8" w:space="0"/>
              <w:right w:val="single" w:color="000000" w:sz="8" w:space="0"/>
            </w:tcBorders>
            <w:noWrap w:val="0"/>
            <w:vAlign w:val="center"/>
          </w:tcPr>
          <w:p w14:paraId="2E6D0E85">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7F3096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12BD44F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37</w:t>
            </w:r>
          </w:p>
        </w:tc>
        <w:tc>
          <w:tcPr>
            <w:tcW w:w="1556" w:type="pct"/>
            <w:tcBorders>
              <w:top w:val="nil"/>
              <w:left w:val="nil"/>
              <w:bottom w:val="single" w:color="000000" w:sz="8" w:space="0"/>
              <w:right w:val="single" w:color="000000" w:sz="8" w:space="0"/>
            </w:tcBorders>
            <w:noWrap w:val="0"/>
            <w:vAlign w:val="center"/>
          </w:tcPr>
          <w:p w14:paraId="67B7329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分体空调</w:t>
            </w:r>
          </w:p>
        </w:tc>
        <w:tc>
          <w:tcPr>
            <w:tcW w:w="2244" w:type="pct"/>
            <w:tcBorders>
              <w:top w:val="nil"/>
              <w:left w:val="nil"/>
              <w:bottom w:val="single" w:color="000000" w:sz="8" w:space="0"/>
              <w:right w:val="single" w:color="000000" w:sz="8" w:space="0"/>
            </w:tcBorders>
            <w:noWrap/>
            <w:vAlign w:val="center"/>
          </w:tcPr>
          <w:p w14:paraId="3C7B2A7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美的、海尔、格力同档次及以上</w:t>
            </w:r>
          </w:p>
        </w:tc>
        <w:tc>
          <w:tcPr>
            <w:tcW w:w="814" w:type="pct"/>
            <w:tcBorders>
              <w:top w:val="nil"/>
              <w:left w:val="nil"/>
              <w:bottom w:val="single" w:color="000000" w:sz="8" w:space="0"/>
              <w:right w:val="single" w:color="000000" w:sz="8" w:space="0"/>
            </w:tcBorders>
            <w:noWrap w:val="0"/>
            <w:vAlign w:val="center"/>
          </w:tcPr>
          <w:p w14:paraId="3E01F1AE">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0551D6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51" w:hRule="atLeast"/>
        </w:trPr>
        <w:tc>
          <w:tcPr>
            <w:tcW w:w="700" w:type="dxa"/>
            <w:tcBorders>
              <w:top w:val="nil"/>
              <w:left w:val="single" w:color="000000" w:sz="8" w:space="0"/>
              <w:bottom w:val="single" w:color="000000" w:sz="8" w:space="0"/>
              <w:right w:val="single" w:color="000000" w:sz="8" w:space="0"/>
            </w:tcBorders>
            <w:noWrap/>
            <w:vAlign w:val="center"/>
          </w:tcPr>
          <w:p w14:paraId="135145C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38</w:t>
            </w:r>
          </w:p>
        </w:tc>
        <w:tc>
          <w:tcPr>
            <w:tcW w:w="1556" w:type="pct"/>
            <w:tcBorders>
              <w:top w:val="nil"/>
              <w:left w:val="nil"/>
              <w:bottom w:val="single" w:color="000000" w:sz="8" w:space="0"/>
              <w:right w:val="single" w:color="000000" w:sz="8" w:space="0"/>
            </w:tcBorders>
            <w:noWrap w:val="0"/>
            <w:vAlign w:val="center"/>
          </w:tcPr>
          <w:p w14:paraId="34D3007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层流天花</w:t>
            </w:r>
          </w:p>
        </w:tc>
        <w:tc>
          <w:tcPr>
            <w:tcW w:w="2244" w:type="pct"/>
            <w:tcBorders>
              <w:top w:val="nil"/>
              <w:left w:val="nil"/>
              <w:bottom w:val="single" w:color="000000" w:sz="8" w:space="0"/>
              <w:right w:val="single" w:color="000000" w:sz="8" w:space="0"/>
            </w:tcBorders>
            <w:noWrap/>
            <w:vAlign w:val="center"/>
          </w:tcPr>
          <w:p w14:paraId="0C3A6B9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智迪锐、佰伦、巨星同档次及以上</w:t>
            </w:r>
          </w:p>
        </w:tc>
        <w:tc>
          <w:tcPr>
            <w:tcW w:w="814" w:type="pct"/>
            <w:tcBorders>
              <w:top w:val="nil"/>
              <w:left w:val="nil"/>
              <w:bottom w:val="single" w:color="000000" w:sz="8" w:space="0"/>
              <w:right w:val="single" w:color="000000" w:sz="8" w:space="0"/>
            </w:tcBorders>
            <w:noWrap w:val="0"/>
            <w:vAlign w:val="center"/>
          </w:tcPr>
          <w:p w14:paraId="056A251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3DFB50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69D4832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39</w:t>
            </w:r>
          </w:p>
        </w:tc>
        <w:tc>
          <w:tcPr>
            <w:tcW w:w="1556" w:type="pct"/>
            <w:tcBorders>
              <w:top w:val="nil"/>
              <w:left w:val="nil"/>
              <w:bottom w:val="single" w:color="000000" w:sz="8" w:space="0"/>
              <w:right w:val="single" w:color="000000" w:sz="8" w:space="0"/>
            </w:tcBorders>
            <w:noWrap w:val="0"/>
            <w:vAlign w:val="center"/>
          </w:tcPr>
          <w:p w14:paraId="4189176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消声器、消声弯头</w:t>
            </w:r>
          </w:p>
        </w:tc>
        <w:tc>
          <w:tcPr>
            <w:tcW w:w="2244" w:type="pct"/>
            <w:tcBorders>
              <w:top w:val="nil"/>
              <w:left w:val="nil"/>
              <w:bottom w:val="single" w:color="000000" w:sz="8" w:space="0"/>
              <w:right w:val="single" w:color="000000" w:sz="8" w:space="0"/>
            </w:tcBorders>
            <w:noWrap/>
            <w:vAlign w:val="center"/>
          </w:tcPr>
          <w:p w14:paraId="2A4047A6">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智迪锐、佰伦、巨星同档次及以上</w:t>
            </w:r>
          </w:p>
        </w:tc>
        <w:tc>
          <w:tcPr>
            <w:tcW w:w="814" w:type="pct"/>
            <w:tcBorders>
              <w:top w:val="nil"/>
              <w:left w:val="nil"/>
              <w:bottom w:val="single" w:color="000000" w:sz="8" w:space="0"/>
              <w:right w:val="single" w:color="000000" w:sz="8" w:space="0"/>
            </w:tcBorders>
            <w:noWrap w:val="0"/>
            <w:vAlign w:val="center"/>
          </w:tcPr>
          <w:p w14:paraId="0552E08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45A6CB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700" w:type="dxa"/>
            <w:tcBorders>
              <w:top w:val="nil"/>
              <w:left w:val="single" w:color="000000" w:sz="8" w:space="0"/>
              <w:bottom w:val="single" w:color="000000" w:sz="8" w:space="0"/>
              <w:right w:val="single" w:color="000000" w:sz="8" w:space="0"/>
            </w:tcBorders>
            <w:noWrap/>
            <w:vAlign w:val="center"/>
          </w:tcPr>
          <w:p w14:paraId="0675B30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40</w:t>
            </w:r>
          </w:p>
        </w:tc>
        <w:tc>
          <w:tcPr>
            <w:tcW w:w="1556" w:type="pct"/>
            <w:tcBorders>
              <w:top w:val="nil"/>
              <w:left w:val="nil"/>
              <w:bottom w:val="single" w:color="000000" w:sz="8" w:space="0"/>
              <w:right w:val="single" w:color="000000" w:sz="8" w:space="0"/>
            </w:tcBorders>
            <w:noWrap w:val="0"/>
            <w:vAlign w:val="center"/>
          </w:tcPr>
          <w:p w14:paraId="7F76382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风口、风阀</w:t>
            </w:r>
          </w:p>
        </w:tc>
        <w:tc>
          <w:tcPr>
            <w:tcW w:w="2244" w:type="pct"/>
            <w:tcBorders>
              <w:top w:val="nil"/>
              <w:left w:val="nil"/>
              <w:bottom w:val="single" w:color="000000" w:sz="8" w:space="0"/>
              <w:right w:val="single" w:color="000000" w:sz="8" w:space="0"/>
            </w:tcBorders>
            <w:noWrap/>
            <w:vAlign w:val="center"/>
          </w:tcPr>
          <w:p w14:paraId="064F58C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双鑫、跃博阳、佰伦同档次及以上</w:t>
            </w:r>
          </w:p>
        </w:tc>
        <w:tc>
          <w:tcPr>
            <w:tcW w:w="814" w:type="pct"/>
            <w:tcBorders>
              <w:top w:val="nil"/>
              <w:left w:val="nil"/>
              <w:bottom w:val="single" w:color="000000" w:sz="8" w:space="0"/>
              <w:right w:val="single" w:color="000000" w:sz="8" w:space="0"/>
            </w:tcBorders>
            <w:noWrap w:val="0"/>
            <w:vAlign w:val="center"/>
          </w:tcPr>
          <w:p w14:paraId="10015B55">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58DE37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3127793B">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41</w:t>
            </w:r>
          </w:p>
        </w:tc>
        <w:tc>
          <w:tcPr>
            <w:tcW w:w="1556" w:type="pct"/>
            <w:tcBorders>
              <w:top w:val="nil"/>
              <w:left w:val="nil"/>
              <w:bottom w:val="single" w:color="000000" w:sz="8" w:space="0"/>
              <w:right w:val="single" w:color="000000" w:sz="8" w:space="0"/>
            </w:tcBorders>
            <w:noWrap w:val="0"/>
            <w:vAlign w:val="center"/>
          </w:tcPr>
          <w:p w14:paraId="5FD068F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定、变风量阀</w:t>
            </w:r>
          </w:p>
        </w:tc>
        <w:tc>
          <w:tcPr>
            <w:tcW w:w="2244" w:type="pct"/>
            <w:tcBorders>
              <w:top w:val="nil"/>
              <w:left w:val="nil"/>
              <w:bottom w:val="single" w:color="000000" w:sz="8" w:space="0"/>
              <w:right w:val="single" w:color="000000" w:sz="8" w:space="0"/>
            </w:tcBorders>
            <w:noWrap/>
            <w:vAlign w:val="center"/>
          </w:tcPr>
          <w:p w14:paraId="717BF33C">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施耐德、江森、妥思同档次及以上</w:t>
            </w:r>
          </w:p>
        </w:tc>
        <w:tc>
          <w:tcPr>
            <w:tcW w:w="814" w:type="pct"/>
            <w:tcBorders>
              <w:top w:val="nil"/>
              <w:left w:val="nil"/>
              <w:bottom w:val="single" w:color="000000" w:sz="8" w:space="0"/>
              <w:right w:val="single" w:color="000000" w:sz="8" w:space="0"/>
            </w:tcBorders>
            <w:noWrap w:val="0"/>
            <w:vAlign w:val="center"/>
          </w:tcPr>
          <w:p w14:paraId="1F5A83D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67BF05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87" w:hRule="atLeast"/>
        </w:trPr>
        <w:tc>
          <w:tcPr>
            <w:tcW w:w="700" w:type="dxa"/>
            <w:tcBorders>
              <w:top w:val="nil"/>
              <w:left w:val="single" w:color="000000" w:sz="8" w:space="0"/>
              <w:bottom w:val="single" w:color="000000" w:sz="8" w:space="0"/>
              <w:right w:val="single" w:color="000000" w:sz="8" w:space="0"/>
            </w:tcBorders>
            <w:noWrap/>
            <w:vAlign w:val="center"/>
          </w:tcPr>
          <w:p w14:paraId="3C0593F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42</w:t>
            </w:r>
          </w:p>
        </w:tc>
        <w:tc>
          <w:tcPr>
            <w:tcW w:w="1556" w:type="pct"/>
            <w:tcBorders>
              <w:top w:val="nil"/>
              <w:left w:val="nil"/>
              <w:bottom w:val="single" w:color="000000" w:sz="8" w:space="0"/>
              <w:right w:val="single" w:color="000000" w:sz="8" w:space="0"/>
            </w:tcBorders>
            <w:noWrap w:val="0"/>
            <w:vAlign w:val="center"/>
          </w:tcPr>
          <w:p w14:paraId="1949449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高效过滤器</w:t>
            </w:r>
          </w:p>
        </w:tc>
        <w:tc>
          <w:tcPr>
            <w:tcW w:w="2244" w:type="pct"/>
            <w:tcBorders>
              <w:top w:val="nil"/>
              <w:left w:val="nil"/>
              <w:bottom w:val="single" w:color="000000" w:sz="8" w:space="0"/>
              <w:right w:val="single" w:color="000000" w:sz="8" w:space="0"/>
            </w:tcBorders>
            <w:noWrap/>
            <w:vAlign w:val="center"/>
          </w:tcPr>
          <w:p w14:paraId="6F19F205">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美埃、AAF、康斐尔同档次及以上</w:t>
            </w:r>
          </w:p>
        </w:tc>
        <w:tc>
          <w:tcPr>
            <w:tcW w:w="814" w:type="pct"/>
            <w:tcBorders>
              <w:top w:val="nil"/>
              <w:left w:val="nil"/>
              <w:bottom w:val="single" w:color="000000" w:sz="8" w:space="0"/>
              <w:right w:val="single" w:color="000000" w:sz="8" w:space="0"/>
            </w:tcBorders>
            <w:noWrap w:val="0"/>
            <w:vAlign w:val="center"/>
          </w:tcPr>
          <w:p w14:paraId="565DFD92">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p>
        </w:tc>
      </w:tr>
      <w:tr w14:paraId="7B7362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12AD7E9E">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43</w:t>
            </w:r>
          </w:p>
        </w:tc>
        <w:tc>
          <w:tcPr>
            <w:tcW w:w="1556" w:type="pct"/>
            <w:tcBorders>
              <w:top w:val="nil"/>
              <w:left w:val="nil"/>
              <w:bottom w:val="single" w:color="000000" w:sz="8" w:space="0"/>
              <w:right w:val="single" w:color="000000" w:sz="8" w:space="0"/>
            </w:tcBorders>
            <w:noWrap w:val="0"/>
            <w:vAlign w:val="center"/>
          </w:tcPr>
          <w:p w14:paraId="76C68124">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水阀</w:t>
            </w:r>
          </w:p>
        </w:tc>
        <w:tc>
          <w:tcPr>
            <w:tcW w:w="2244" w:type="pct"/>
            <w:tcBorders>
              <w:top w:val="nil"/>
              <w:left w:val="nil"/>
              <w:bottom w:val="single" w:color="000000" w:sz="8" w:space="0"/>
              <w:right w:val="single" w:color="000000" w:sz="8" w:space="0"/>
            </w:tcBorders>
            <w:noWrap w:val="0"/>
            <w:vAlign w:val="center"/>
          </w:tcPr>
          <w:p w14:paraId="280527D3">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宁波埃美柯、上海良工、上海标一同档次及以上</w:t>
            </w:r>
          </w:p>
        </w:tc>
        <w:tc>
          <w:tcPr>
            <w:tcW w:w="814" w:type="pct"/>
            <w:tcBorders>
              <w:top w:val="nil"/>
              <w:left w:val="nil"/>
              <w:bottom w:val="single" w:color="000000" w:sz="8" w:space="0"/>
              <w:right w:val="single" w:color="000000" w:sz="8" w:space="0"/>
            </w:tcBorders>
            <w:noWrap w:val="0"/>
            <w:vAlign w:val="center"/>
          </w:tcPr>
          <w:p w14:paraId="75202F59">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5E97D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4B7A64A9">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44</w:t>
            </w:r>
          </w:p>
        </w:tc>
        <w:tc>
          <w:tcPr>
            <w:tcW w:w="1556" w:type="pct"/>
            <w:tcBorders>
              <w:top w:val="nil"/>
              <w:left w:val="nil"/>
              <w:bottom w:val="single" w:color="000000" w:sz="8" w:space="0"/>
              <w:right w:val="single" w:color="000000" w:sz="8" w:space="0"/>
            </w:tcBorders>
            <w:noWrap w:val="0"/>
            <w:vAlign w:val="center"/>
          </w:tcPr>
          <w:p w14:paraId="2905B71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冷热水水泵</w:t>
            </w:r>
          </w:p>
        </w:tc>
        <w:tc>
          <w:tcPr>
            <w:tcW w:w="2244" w:type="pct"/>
            <w:tcBorders>
              <w:top w:val="nil"/>
              <w:left w:val="nil"/>
              <w:bottom w:val="single" w:color="000000" w:sz="8" w:space="0"/>
              <w:right w:val="single" w:color="000000" w:sz="8" w:space="0"/>
            </w:tcBorders>
            <w:noWrap/>
            <w:vAlign w:val="center"/>
          </w:tcPr>
          <w:p w14:paraId="7B0E5A48">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南方、上海东方、上海凯泉同档次及以上</w:t>
            </w:r>
          </w:p>
        </w:tc>
        <w:tc>
          <w:tcPr>
            <w:tcW w:w="814" w:type="pct"/>
            <w:tcBorders>
              <w:top w:val="nil"/>
              <w:left w:val="nil"/>
              <w:bottom w:val="single" w:color="000000" w:sz="8" w:space="0"/>
              <w:right w:val="single" w:color="000000" w:sz="8" w:space="0"/>
            </w:tcBorders>
            <w:noWrap w:val="0"/>
            <w:vAlign w:val="center"/>
          </w:tcPr>
          <w:p w14:paraId="538AA313">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r w14:paraId="7F15CF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27" w:hRule="atLeast"/>
        </w:trPr>
        <w:tc>
          <w:tcPr>
            <w:tcW w:w="700" w:type="dxa"/>
            <w:tcBorders>
              <w:top w:val="nil"/>
              <w:left w:val="single" w:color="000000" w:sz="8" w:space="0"/>
              <w:bottom w:val="single" w:color="000000" w:sz="8" w:space="0"/>
              <w:right w:val="single" w:color="000000" w:sz="8" w:space="0"/>
            </w:tcBorders>
            <w:noWrap/>
            <w:vAlign w:val="center"/>
          </w:tcPr>
          <w:p w14:paraId="56A48837">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45</w:t>
            </w:r>
          </w:p>
        </w:tc>
        <w:tc>
          <w:tcPr>
            <w:tcW w:w="1556" w:type="pct"/>
            <w:tcBorders>
              <w:top w:val="nil"/>
              <w:left w:val="nil"/>
              <w:bottom w:val="single" w:color="000000" w:sz="8" w:space="0"/>
              <w:right w:val="single" w:color="000000" w:sz="8" w:space="0"/>
            </w:tcBorders>
            <w:noWrap w:val="0"/>
            <w:vAlign w:val="center"/>
          </w:tcPr>
          <w:p w14:paraId="39F62251">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比例积分电动调节阀</w:t>
            </w:r>
          </w:p>
        </w:tc>
        <w:tc>
          <w:tcPr>
            <w:tcW w:w="2244" w:type="pct"/>
            <w:tcBorders>
              <w:top w:val="nil"/>
              <w:left w:val="nil"/>
              <w:bottom w:val="single" w:color="000000" w:sz="8" w:space="0"/>
              <w:right w:val="single" w:color="000000" w:sz="8" w:space="0"/>
            </w:tcBorders>
            <w:noWrap/>
            <w:vAlign w:val="center"/>
          </w:tcPr>
          <w:p w14:paraId="63FB667F">
            <w:pPr>
              <w:keepNext w:val="0"/>
              <w:keepLines w:val="0"/>
              <w:pageBreakBefore w:val="0"/>
              <w:widowControl/>
              <w:suppressLineNumbers w:val="0"/>
              <w:kinsoku/>
              <w:wordWrap/>
              <w:overflowPunct/>
              <w:topLinePunct w:val="0"/>
              <w:autoSpaceDE/>
              <w:autoSpaceDN/>
              <w:bidi w:val="0"/>
              <w:adjustRightInd/>
              <w:snapToGrid/>
              <w:spacing w:line="420" w:lineRule="atLeast"/>
              <w:jc w:val="center"/>
              <w:textAlignment w:val="center"/>
              <w:rPr>
                <w:rFonts w:hint="eastAsia" w:ascii="宋体" w:hAnsi="宋体" w:eastAsia="宋体" w:cs="宋体"/>
                <w:i w:val="0"/>
                <w:iCs w:val="0"/>
                <w:color w:val="auto"/>
                <w:sz w:val="23"/>
                <w:szCs w:val="23"/>
                <w:highlight w:val="none"/>
                <w:u w:val="none"/>
              </w:rPr>
            </w:pPr>
            <w:r>
              <w:rPr>
                <w:rFonts w:hint="eastAsia" w:ascii="宋体" w:hAnsi="宋体" w:eastAsia="宋体" w:cs="宋体"/>
                <w:i w:val="0"/>
                <w:iCs w:val="0"/>
                <w:color w:val="auto"/>
                <w:kern w:val="0"/>
                <w:sz w:val="23"/>
                <w:szCs w:val="23"/>
                <w:highlight w:val="none"/>
                <w:u w:val="none"/>
                <w:lang w:val="en-US" w:eastAsia="zh-CN" w:bidi="ar"/>
              </w:rPr>
              <w:t>西门子、江森自控、霍尼韦尔同档次及以上</w:t>
            </w:r>
          </w:p>
        </w:tc>
        <w:tc>
          <w:tcPr>
            <w:tcW w:w="814" w:type="pct"/>
            <w:tcBorders>
              <w:top w:val="nil"/>
              <w:left w:val="nil"/>
              <w:bottom w:val="single" w:color="000000" w:sz="8" w:space="0"/>
              <w:right w:val="single" w:color="000000" w:sz="8" w:space="0"/>
            </w:tcBorders>
            <w:noWrap w:val="0"/>
            <w:vAlign w:val="center"/>
          </w:tcPr>
          <w:p w14:paraId="77695030">
            <w:pPr>
              <w:keepNext w:val="0"/>
              <w:keepLines w:val="0"/>
              <w:pageBreakBefore w:val="0"/>
              <w:kinsoku/>
              <w:wordWrap/>
              <w:overflowPunct/>
              <w:topLinePunct w:val="0"/>
              <w:autoSpaceDE/>
              <w:autoSpaceDN/>
              <w:bidi w:val="0"/>
              <w:adjustRightInd/>
              <w:snapToGrid/>
              <w:spacing w:line="420" w:lineRule="atLeast"/>
              <w:jc w:val="both"/>
              <w:rPr>
                <w:rFonts w:hint="eastAsia" w:ascii="宋体" w:hAnsi="宋体" w:eastAsia="宋体" w:cs="宋体"/>
                <w:i w:val="0"/>
                <w:iCs w:val="0"/>
                <w:color w:val="auto"/>
                <w:sz w:val="23"/>
                <w:szCs w:val="23"/>
                <w:highlight w:val="none"/>
                <w:u w:val="none"/>
              </w:rPr>
            </w:pPr>
          </w:p>
        </w:tc>
      </w:tr>
    </w:tbl>
    <w:p w14:paraId="6919BAB3">
      <w:pPr>
        <w:spacing w:line="300" w:lineRule="exact"/>
        <w:ind w:firstLine="420"/>
        <w:jc w:val="left"/>
        <w:rPr>
          <w:rFonts w:ascii="宋体" w:hAnsi="宋体" w:cs="宋体"/>
          <w:b/>
          <w:bCs/>
          <w:color w:val="auto"/>
          <w:sz w:val="23"/>
          <w:szCs w:val="23"/>
          <w:highlight w:val="none"/>
        </w:rPr>
      </w:pPr>
    </w:p>
    <w:p w14:paraId="1EE4EACA">
      <w:pPr>
        <w:rPr>
          <w:rFonts w:hint="eastAsia" w:ascii="宋体" w:hAnsi="宋体" w:eastAsia="宋体" w:cs="宋体"/>
          <w:color w:val="auto"/>
          <w:sz w:val="23"/>
          <w:szCs w:val="23"/>
          <w:highlight w:val="none"/>
          <w:lang w:val="en-US" w:eastAsia="zh-CN"/>
        </w:rPr>
      </w:pPr>
    </w:p>
    <w:p w14:paraId="6C9A4CB2">
      <w:pPr>
        <w:spacing w:before="318" w:line="225" w:lineRule="auto"/>
        <w:jc w:val="both"/>
        <w:outlineLvl w:val="0"/>
        <w:rPr>
          <w:rStyle w:val="43"/>
          <w:rFonts w:hint="eastAsia" w:ascii="宋体" w:hAnsi="宋体" w:eastAsia="宋体" w:cs="宋体"/>
          <w:b w:val="0"/>
          <w:bCs w:val="0"/>
          <w:color w:val="auto"/>
          <w:sz w:val="23"/>
          <w:szCs w:val="23"/>
          <w:highlight w:val="none"/>
          <w:lang w:val="en-US" w:eastAsia="zh-CN"/>
        </w:rPr>
      </w:pPr>
      <w:r>
        <w:rPr>
          <w:rStyle w:val="43"/>
          <w:rFonts w:hint="eastAsia" w:ascii="宋体" w:hAnsi="宋体" w:eastAsia="宋体" w:cs="宋体"/>
          <w:b w:val="0"/>
          <w:bCs w:val="0"/>
          <w:color w:val="auto"/>
          <w:sz w:val="23"/>
          <w:szCs w:val="23"/>
          <w:highlight w:val="none"/>
          <w:lang w:val="en-US" w:eastAsia="zh-CN"/>
        </w:rPr>
        <w:t>注：投标产品品牌可以选择任意参考品牌之一或同等档次及以上的产品，正式供货前需招标人确认。</w:t>
      </w:r>
    </w:p>
    <w:p w14:paraId="3631FBAD">
      <w:pPr>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br w:type="page"/>
      </w:r>
    </w:p>
    <w:p w14:paraId="56CC11FC">
      <w:pPr>
        <w:spacing w:before="318" w:line="225" w:lineRule="auto"/>
        <w:ind w:left="2735" w:firstLine="310" w:firstLineChars="100"/>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第六章 投标文件格式</w:t>
      </w:r>
    </w:p>
    <w:p w14:paraId="4064BB49">
      <w:pPr>
        <w:spacing w:line="343" w:lineRule="auto"/>
        <w:jc w:val="both"/>
        <w:rPr>
          <w:rFonts w:hint="eastAsia" w:ascii="宋体" w:hAnsi="宋体" w:eastAsia="宋体" w:cs="宋体"/>
          <w:color w:val="auto"/>
          <w:highlight w:val="none"/>
        </w:rPr>
      </w:pPr>
    </w:p>
    <w:p w14:paraId="140B8FBB">
      <w:pPr>
        <w:spacing w:before="91" w:line="222" w:lineRule="auto"/>
        <w:jc w:val="cente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目   录</w:t>
      </w:r>
    </w:p>
    <w:p w14:paraId="369DC096">
      <w:pPr>
        <w:pStyle w:val="20"/>
        <w:rPr>
          <w:rFonts w:hint="eastAsia" w:ascii="宋体" w:hAnsi="宋体" w:cs="宋体"/>
          <w:color w:val="auto"/>
          <w:highlight w:val="none"/>
        </w:rPr>
      </w:pPr>
    </w:p>
    <w:p w14:paraId="21132F2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一、投标函(格式一)</w:t>
      </w:r>
    </w:p>
    <w:p w14:paraId="65FB3B9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二、法定代表人身份证明(格式二)</w:t>
      </w:r>
    </w:p>
    <w:p w14:paraId="1ECBE03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三、法定代表人授权委托书(格式三)</w:t>
      </w:r>
    </w:p>
    <w:p w14:paraId="2A7F9406">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四、联合体协议书(采用联合体投标的提供，格式自拟)（若有）</w:t>
      </w:r>
    </w:p>
    <w:p w14:paraId="68BC96B5">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五、投标保证金缴纳证明材料</w:t>
      </w:r>
    </w:p>
    <w:p w14:paraId="0E83CF04">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六、投标报价表(格式四)</w:t>
      </w:r>
    </w:p>
    <w:p w14:paraId="03427FBD">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七、实质性响应招标文件及评审打分的资料及格式(见格式五、格式六)</w:t>
      </w:r>
    </w:p>
    <w:p w14:paraId="7A6E3F99">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八、投标人基本情况表(见格式七)</w:t>
      </w:r>
    </w:p>
    <w:p w14:paraId="437EE418">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九、中小企业声明函（见格式八）（若有）</w:t>
      </w:r>
    </w:p>
    <w:p w14:paraId="67A107B6">
      <w:pPr>
        <w:spacing w:line="360" w:lineRule="auto"/>
        <w:ind w:left="-2" w:leftChars="-1" w:firstLine="283" w:firstLineChars="118"/>
        <w:jc w:val="both"/>
        <w:outlineLvl w:val="0"/>
        <w:rPr>
          <w:rFonts w:hint="eastAsia" w:ascii="宋体" w:hAnsi="宋体" w:eastAsia="宋体" w:cs="宋体"/>
          <w:color w:val="auto"/>
          <w:highlight w:val="none"/>
        </w:rPr>
      </w:pPr>
      <w:r>
        <w:rPr>
          <w:rFonts w:hint="eastAsia" w:ascii="宋体" w:hAnsi="宋体" w:eastAsia="宋体" w:cs="宋体"/>
          <w:color w:val="auto"/>
          <w:sz w:val="24"/>
          <w:szCs w:val="24"/>
          <w:highlight w:val="none"/>
        </w:rPr>
        <w:t>十、投标承诺书（见格式九）</w:t>
      </w:r>
    </w:p>
    <w:p w14:paraId="1E676441">
      <w:pPr>
        <w:spacing w:line="360" w:lineRule="auto"/>
        <w:ind w:left="-2" w:leftChars="-1" w:firstLine="283" w:firstLineChars="118"/>
        <w:jc w:val="both"/>
        <w:outlineLvl w:val="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十一、投标人须知前附表规定的构成投标文件的其他材料</w:t>
      </w:r>
    </w:p>
    <w:p w14:paraId="52284830">
      <w:pPr>
        <w:pStyle w:val="20"/>
        <w:rPr>
          <w:rFonts w:hint="eastAsia" w:ascii="宋体" w:hAnsi="宋体" w:cs="宋体"/>
          <w:color w:val="auto"/>
          <w:highlight w:val="none"/>
        </w:rPr>
      </w:pPr>
    </w:p>
    <w:p w14:paraId="14B33BCA">
      <w:pPr>
        <w:spacing w:line="360" w:lineRule="auto"/>
        <w:jc w:val="both"/>
        <w:rPr>
          <w:rFonts w:hint="eastAsia" w:ascii="宋体" w:hAnsi="宋体" w:eastAsia="宋体" w:cs="宋体"/>
          <w:color w:val="auto"/>
          <w:highlight w:val="none"/>
        </w:rPr>
        <w:sectPr>
          <w:footerReference r:id="rId16" w:type="default"/>
          <w:pgSz w:w="11907" w:h="16840"/>
          <w:pgMar w:top="1418" w:right="1559" w:bottom="1418" w:left="1474" w:header="0" w:footer="723" w:gutter="0"/>
          <w:cols w:space="720" w:num="1"/>
        </w:sectPr>
      </w:pPr>
    </w:p>
    <w:p w14:paraId="0722CE5E">
      <w:pPr>
        <w:spacing w:before="310" w:line="221" w:lineRule="auto"/>
        <w:ind w:left="281"/>
        <w:jc w:val="both"/>
        <w:rPr>
          <w:rFonts w:hint="eastAsia" w:ascii="宋体" w:hAnsi="宋体" w:eastAsia="宋体" w:cs="宋体"/>
          <w:color w:val="auto"/>
          <w:sz w:val="28"/>
          <w:szCs w:val="28"/>
          <w:highlight w:val="none"/>
        </w:rPr>
      </w:pPr>
      <w:bookmarkStart w:id="62" w:name="_bookmark15"/>
      <w:bookmarkEnd w:id="62"/>
      <w:r>
        <w:rPr>
          <w:rFonts w:hint="eastAsia" w:ascii="宋体" w:hAnsi="宋体" w:eastAsia="宋体" w:cs="宋体"/>
          <w:color w:val="auto"/>
          <w:sz w:val="28"/>
          <w:szCs w:val="28"/>
          <w:highlight w:val="none"/>
        </w:rPr>
        <w:t>格式一：投标函</w:t>
      </w:r>
    </w:p>
    <w:p w14:paraId="4F8C5A8E">
      <w:pPr>
        <w:tabs>
          <w:tab w:val="left" w:pos="3955"/>
        </w:tabs>
        <w:spacing w:before="298" w:line="337" w:lineRule="auto"/>
        <w:ind w:left="237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建设项目货物投标函</w:t>
      </w:r>
    </w:p>
    <w:p w14:paraId="704585F4">
      <w:pPr>
        <w:spacing w:line="372" w:lineRule="auto"/>
        <w:jc w:val="both"/>
        <w:rPr>
          <w:rFonts w:hint="eastAsia" w:ascii="宋体" w:hAnsi="宋体" w:eastAsia="宋体" w:cs="宋体"/>
          <w:color w:val="auto"/>
          <w:highlight w:val="none"/>
        </w:rPr>
      </w:pPr>
    </w:p>
    <w:p w14:paraId="493503B0">
      <w:pPr>
        <w:tabs>
          <w:tab w:val="left" w:pos="2775"/>
        </w:tabs>
        <w:spacing w:before="74" w:line="229" w:lineRule="auto"/>
        <w:ind w:left="23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(招标人)：</w:t>
      </w:r>
    </w:p>
    <w:p w14:paraId="2544FB82">
      <w:pPr>
        <w:spacing w:before="185" w:line="369" w:lineRule="auto"/>
        <w:ind w:firstLine="48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我方已全面阅读和研究了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招标文件和招标补充文件，并经过对施工现场的踏勘，澄清疑问，已充分理解并掌握了本项目招标的全部有关情况。同意接受招标文件的全部内容和条件，并按此确定本项目投标的要约内容，以本投标函向你方发包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建设项目全部内容进行投标。最终报价为人民币(大写)</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元，品牌</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，产地</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，交货期</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(日历天/月)，质量标准</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，税率：</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2940AEB">
      <w:pPr>
        <w:spacing w:before="3" w:line="374" w:lineRule="auto"/>
        <w:ind w:right="63" w:firstLine="48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我方将严格按照有关建设工程招标投标法规及招标文件的规定参加投标，并理解贵方不一定接受最低标价的投标，对定标结果也没有解释义务。如由我方中标，在接到你方发出的中标通知书</w:t>
      </w:r>
      <w:r>
        <w:rPr>
          <w:rFonts w:hint="eastAsia" w:ascii="宋体" w:hAnsi="宋体" w:eastAsia="宋体" w:cs="宋体"/>
          <w:color w:val="auto"/>
          <w:sz w:val="23"/>
          <w:szCs w:val="23"/>
          <w:highlight w:val="none"/>
          <w:lang w:eastAsia="zh-CN"/>
        </w:rPr>
        <w:t>七天</w:t>
      </w:r>
      <w:r>
        <w:rPr>
          <w:rFonts w:hint="eastAsia" w:ascii="宋体" w:hAnsi="宋体" w:eastAsia="宋体" w:cs="宋体"/>
          <w:color w:val="auto"/>
          <w:sz w:val="23"/>
          <w:szCs w:val="23"/>
          <w:highlight w:val="none"/>
        </w:rPr>
        <w:t>内递交委托合同价</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的履约保证金，并按中标通知书、招标文件和本投标函的约定与你方签订委托合同，履行规定的一切责任和义务。</w:t>
      </w:r>
    </w:p>
    <w:p w14:paraId="5D5767CA">
      <w:pPr>
        <w:spacing w:before="1" w:line="375" w:lineRule="auto"/>
        <w:ind w:left="5" w:right="63" w:firstLine="54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我们同意从投标之日起在</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天的有效期内恪守本招标文件，在此期限期满之前的任何时间，本投标函全部条款内容对我方具有约束力。</w:t>
      </w:r>
    </w:p>
    <w:p w14:paraId="4E818FB3">
      <w:pPr>
        <w:spacing w:before="2" w:line="374" w:lineRule="auto"/>
        <w:ind w:left="1" w:right="63" w:firstLine="54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在合同协议书正式签署生效之前，本投标函连同你方的中标通知书将构成我们双方之间共同遵守的文件，对双方具有约束力。</w:t>
      </w:r>
    </w:p>
    <w:p w14:paraId="5219DC32">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投标单位：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65900AA5">
      <w:pPr>
        <w:spacing w:before="1" w:line="373" w:lineRule="auto"/>
        <w:ind w:left="3334" w:right="84" w:firstLine="132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w:t>
      </w:r>
      <w:r>
        <w:rPr>
          <w:rFonts w:hint="eastAsia" w:ascii="宋体" w:hAnsi="宋体" w:eastAsia="宋体" w:cs="宋体"/>
          <w:color w:val="auto"/>
          <w:sz w:val="23"/>
          <w:szCs w:val="23"/>
          <w:highlight w:val="none"/>
          <w:lang w:eastAsia="zh-CN"/>
        </w:rPr>
        <w:t>人</w:t>
      </w:r>
      <w:r>
        <w:rPr>
          <w:rFonts w:hint="eastAsia" w:ascii="宋体" w:hAnsi="宋体" w:eastAsia="宋体" w:cs="宋体"/>
          <w:color w:val="auto"/>
          <w:sz w:val="23"/>
          <w:szCs w:val="23"/>
          <w:highlight w:val="none"/>
        </w:rPr>
        <w:t>或委托代理人：(签字或盖章)</w:t>
      </w:r>
    </w:p>
    <w:p w14:paraId="4856D4E6">
      <w:pPr>
        <w:spacing w:before="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联系人：</w:t>
      </w:r>
      <w:r>
        <w:rPr>
          <w:rFonts w:hint="eastAsia" w:ascii="宋体" w:hAnsi="宋体" w:eastAsia="宋体" w:cs="宋体"/>
          <w:color w:val="auto"/>
          <w:sz w:val="23"/>
          <w:szCs w:val="23"/>
          <w:highlight w:val="none"/>
          <w:u w:val="single"/>
        </w:rPr>
        <w:t xml:space="preserve">               </w:t>
      </w:r>
    </w:p>
    <w:p w14:paraId="7EAFDBC4">
      <w:pPr>
        <w:spacing w:before="181"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联系地址：</w:t>
      </w:r>
      <w:r>
        <w:rPr>
          <w:rFonts w:hint="eastAsia" w:ascii="宋体" w:hAnsi="宋体" w:eastAsia="宋体" w:cs="宋体"/>
          <w:color w:val="auto"/>
          <w:sz w:val="23"/>
          <w:szCs w:val="23"/>
          <w:highlight w:val="none"/>
          <w:u w:val="single"/>
        </w:rPr>
        <w:t xml:space="preserve">              </w:t>
      </w:r>
    </w:p>
    <w:p w14:paraId="3AB06574">
      <w:pPr>
        <w:spacing w:before="182" w:line="230" w:lineRule="auto"/>
        <w:ind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电话：</w:t>
      </w:r>
      <w:r>
        <w:rPr>
          <w:rFonts w:hint="eastAsia" w:ascii="宋体" w:hAnsi="宋体" w:eastAsia="宋体" w:cs="宋体"/>
          <w:color w:val="auto"/>
          <w:sz w:val="23"/>
          <w:szCs w:val="23"/>
          <w:highlight w:val="none"/>
          <w:u w:val="single"/>
        </w:rPr>
        <w:t xml:space="preserve">               </w:t>
      </w:r>
    </w:p>
    <w:p w14:paraId="49C79521">
      <w:pPr>
        <w:tabs>
          <w:tab w:val="left" w:pos="6005"/>
        </w:tabs>
        <w:spacing w:before="178" w:line="384" w:lineRule="auto"/>
        <w:ind w:right="63" w:firstLine="4715" w:firstLineChars="20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邮编：</w:t>
      </w:r>
      <w:r>
        <w:rPr>
          <w:rFonts w:hint="eastAsia" w:ascii="宋体" w:hAnsi="宋体" w:eastAsia="宋体" w:cs="宋体"/>
          <w:color w:val="auto"/>
          <w:sz w:val="23"/>
          <w:szCs w:val="23"/>
          <w:highlight w:val="none"/>
          <w:u w:val="single"/>
        </w:rPr>
        <w:t xml:space="preserve">               </w:t>
      </w:r>
    </w:p>
    <w:p w14:paraId="29354A85">
      <w:pPr>
        <w:tabs>
          <w:tab w:val="left" w:pos="6005"/>
        </w:tabs>
        <w:spacing w:before="178" w:line="384" w:lineRule="auto"/>
        <w:ind w:left="5271" w:right="63" w:hanging="593"/>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ab/>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C7F5D97">
      <w:pPr>
        <w:jc w:val="both"/>
        <w:rPr>
          <w:rFonts w:hint="eastAsia" w:ascii="宋体" w:hAnsi="宋体" w:eastAsia="宋体" w:cs="宋体"/>
          <w:color w:val="auto"/>
          <w:highlight w:val="none"/>
        </w:rPr>
        <w:sectPr>
          <w:footerReference r:id="rId17" w:type="default"/>
          <w:pgSz w:w="11907" w:h="16840"/>
          <w:pgMar w:top="1418" w:right="1559" w:bottom="1418" w:left="1474" w:header="0" w:footer="723" w:gutter="0"/>
          <w:cols w:space="720" w:num="1"/>
        </w:sectPr>
      </w:pPr>
    </w:p>
    <w:p w14:paraId="60FA1748">
      <w:pPr>
        <w:spacing w:before="310" w:line="221" w:lineRule="auto"/>
        <w:ind w:left="92"/>
        <w:jc w:val="both"/>
        <w:outlineLvl w:val="1"/>
        <w:rPr>
          <w:rFonts w:hint="eastAsia" w:ascii="宋体" w:hAnsi="宋体" w:eastAsia="宋体" w:cs="宋体"/>
          <w:color w:val="auto"/>
          <w:sz w:val="28"/>
          <w:szCs w:val="28"/>
          <w:highlight w:val="none"/>
        </w:rPr>
      </w:pPr>
      <w:bookmarkStart w:id="63" w:name="_bookmark16"/>
      <w:bookmarkEnd w:id="63"/>
      <w:r>
        <w:rPr>
          <w:rFonts w:hint="eastAsia" w:ascii="宋体" w:hAnsi="宋体" w:eastAsia="宋体" w:cs="宋体"/>
          <w:color w:val="auto"/>
          <w:sz w:val="28"/>
          <w:szCs w:val="28"/>
          <w:highlight w:val="none"/>
        </w:rPr>
        <w:t>格式二：法定代表人身份证明</w:t>
      </w:r>
    </w:p>
    <w:p w14:paraId="1155CF46">
      <w:pPr>
        <w:spacing w:line="337" w:lineRule="auto"/>
        <w:jc w:val="both"/>
        <w:rPr>
          <w:rFonts w:hint="eastAsia" w:ascii="宋体" w:hAnsi="宋体" w:eastAsia="宋体" w:cs="宋体"/>
          <w:color w:val="auto"/>
          <w:highlight w:val="none"/>
        </w:rPr>
      </w:pPr>
    </w:p>
    <w:p w14:paraId="076B2A0D">
      <w:pPr>
        <w:spacing w:line="338" w:lineRule="auto"/>
        <w:jc w:val="both"/>
        <w:rPr>
          <w:rFonts w:hint="eastAsia" w:ascii="宋体" w:hAnsi="宋体" w:eastAsia="宋体" w:cs="宋体"/>
          <w:color w:val="auto"/>
          <w:highlight w:val="none"/>
        </w:rPr>
      </w:pPr>
    </w:p>
    <w:p w14:paraId="715DCD4D">
      <w:pPr>
        <w:spacing w:before="75" w:line="228" w:lineRule="auto"/>
        <w:ind w:left="321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法定代表人身份证明</w:t>
      </w:r>
    </w:p>
    <w:p w14:paraId="110AA068">
      <w:pPr>
        <w:spacing w:line="290" w:lineRule="auto"/>
        <w:jc w:val="both"/>
        <w:rPr>
          <w:rFonts w:hint="eastAsia" w:ascii="宋体" w:hAnsi="宋体" w:eastAsia="宋体" w:cs="宋体"/>
          <w:color w:val="auto"/>
          <w:highlight w:val="none"/>
        </w:rPr>
      </w:pPr>
    </w:p>
    <w:p w14:paraId="11A8E3E5">
      <w:pPr>
        <w:spacing w:line="290" w:lineRule="auto"/>
        <w:jc w:val="both"/>
        <w:rPr>
          <w:rFonts w:hint="eastAsia" w:ascii="宋体" w:hAnsi="宋体" w:eastAsia="宋体" w:cs="宋体"/>
          <w:color w:val="auto"/>
          <w:highlight w:val="none"/>
        </w:rPr>
      </w:pPr>
    </w:p>
    <w:p w14:paraId="00BE372E">
      <w:pPr>
        <w:spacing w:line="291" w:lineRule="auto"/>
        <w:jc w:val="both"/>
        <w:rPr>
          <w:rFonts w:hint="eastAsia" w:ascii="宋体" w:hAnsi="宋体" w:eastAsia="宋体" w:cs="宋体"/>
          <w:color w:val="auto"/>
          <w:highlight w:val="none"/>
        </w:rPr>
      </w:pPr>
    </w:p>
    <w:p w14:paraId="59526ECB">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投标人名称：</w:t>
      </w:r>
      <w:r>
        <w:rPr>
          <w:rFonts w:hint="eastAsia" w:ascii="宋体" w:hAnsi="宋体" w:eastAsia="宋体" w:cs="宋体"/>
          <w:color w:val="auto"/>
          <w:sz w:val="23"/>
          <w:szCs w:val="23"/>
          <w:highlight w:val="none"/>
          <w:u w:val="single"/>
        </w:rPr>
        <w:t xml:space="preserve">                                         </w:t>
      </w:r>
    </w:p>
    <w:p w14:paraId="077CA22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单位性质：</w:t>
      </w:r>
      <w:r>
        <w:rPr>
          <w:rFonts w:hint="eastAsia" w:ascii="宋体" w:hAnsi="宋体" w:eastAsia="宋体" w:cs="宋体"/>
          <w:color w:val="auto"/>
          <w:sz w:val="23"/>
          <w:szCs w:val="23"/>
          <w:highlight w:val="none"/>
          <w:u w:val="single"/>
        </w:rPr>
        <w:t xml:space="preserve">                                         </w:t>
      </w:r>
    </w:p>
    <w:p w14:paraId="4AEB34CA">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地址：</w:t>
      </w:r>
      <w:r>
        <w:rPr>
          <w:rFonts w:hint="eastAsia" w:ascii="宋体" w:hAnsi="宋体" w:eastAsia="宋体" w:cs="宋体"/>
          <w:color w:val="auto"/>
          <w:sz w:val="23"/>
          <w:szCs w:val="23"/>
          <w:highlight w:val="none"/>
          <w:u w:val="single"/>
        </w:rPr>
        <w:t xml:space="preserve">                                         </w:t>
      </w:r>
    </w:p>
    <w:p w14:paraId="4E9EEDF3">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成立时间：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6B769961">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经营期限：</w:t>
      </w:r>
      <w:r>
        <w:rPr>
          <w:rFonts w:hint="eastAsia" w:ascii="宋体" w:hAnsi="宋体" w:eastAsia="宋体" w:cs="宋体"/>
          <w:color w:val="auto"/>
          <w:sz w:val="23"/>
          <w:szCs w:val="23"/>
          <w:highlight w:val="none"/>
          <w:u w:val="single"/>
        </w:rPr>
        <w:t xml:space="preserve">                                         </w:t>
      </w:r>
    </w:p>
    <w:p w14:paraId="4DF404F6">
      <w:pPr>
        <w:spacing w:line="440" w:lineRule="exact"/>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姓名：</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性别：</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年龄：</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职务：</w:t>
      </w:r>
      <w:r>
        <w:rPr>
          <w:rFonts w:hint="eastAsia" w:ascii="宋体" w:hAnsi="宋体" w:eastAsia="宋体" w:cs="宋体"/>
          <w:color w:val="auto"/>
          <w:sz w:val="23"/>
          <w:szCs w:val="23"/>
          <w:highlight w:val="none"/>
          <w:u w:val="single"/>
        </w:rPr>
        <w:t xml:space="preserve">   </w:t>
      </w:r>
    </w:p>
    <w:p w14:paraId="7BDBCEC3">
      <w:pPr>
        <w:spacing w:line="440" w:lineRule="exact"/>
        <w:ind w:left="105" w:leftChars="5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系(投标人名称)的法定代表人。特此证明。</w:t>
      </w:r>
    </w:p>
    <w:p w14:paraId="699A51EE">
      <w:pPr>
        <w:spacing w:line="259" w:lineRule="auto"/>
        <w:jc w:val="both"/>
        <w:rPr>
          <w:rFonts w:hint="eastAsia" w:ascii="宋体" w:hAnsi="宋体" w:eastAsia="宋体" w:cs="宋体"/>
          <w:color w:val="auto"/>
          <w:highlight w:val="none"/>
        </w:rPr>
      </w:pPr>
    </w:p>
    <w:p w14:paraId="007C2223">
      <w:pPr>
        <w:spacing w:line="259" w:lineRule="auto"/>
        <w:jc w:val="both"/>
        <w:rPr>
          <w:rFonts w:hint="eastAsia" w:ascii="宋体" w:hAnsi="宋体" w:eastAsia="宋体" w:cs="宋体"/>
          <w:color w:val="auto"/>
          <w:highlight w:val="none"/>
        </w:rPr>
      </w:pPr>
    </w:p>
    <w:p w14:paraId="43505B54">
      <w:pPr>
        <w:spacing w:line="260" w:lineRule="auto"/>
        <w:jc w:val="both"/>
        <w:rPr>
          <w:rFonts w:hint="eastAsia" w:ascii="宋体" w:hAnsi="宋体" w:eastAsia="宋体" w:cs="宋体"/>
          <w:color w:val="auto"/>
          <w:highlight w:val="none"/>
        </w:rPr>
      </w:pPr>
    </w:p>
    <w:p w14:paraId="7F44CFAE">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04659B3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1075BB60">
      <w:pPr>
        <w:tabs>
          <w:tab w:val="left" w:pos="6144"/>
        </w:tabs>
        <w:spacing w:before="75" w:line="384" w:lineRule="auto"/>
        <w:ind w:left="5053" w:hanging="467"/>
        <w:jc w:val="both"/>
        <w:rPr>
          <w:rFonts w:hint="eastAsia" w:ascii="宋体" w:hAnsi="宋体" w:eastAsia="宋体" w:cs="宋体"/>
          <w:color w:val="auto"/>
          <w:sz w:val="23"/>
          <w:szCs w:val="23"/>
          <w:highlight w:val="none"/>
        </w:rPr>
      </w:pPr>
    </w:p>
    <w:p w14:paraId="52528F2D">
      <w:pPr>
        <w:jc w:val="both"/>
        <w:rPr>
          <w:rFonts w:hint="eastAsia" w:ascii="宋体" w:hAnsi="宋体" w:eastAsia="宋体" w:cs="宋体"/>
          <w:color w:val="auto"/>
          <w:highlight w:val="none"/>
        </w:rPr>
      </w:pPr>
    </w:p>
    <w:p w14:paraId="5DB7858C">
      <w:pPr>
        <w:spacing w:line="140" w:lineRule="exact"/>
        <w:jc w:val="both"/>
        <w:rPr>
          <w:rFonts w:hint="eastAsia" w:ascii="宋体" w:hAnsi="宋体" w:eastAsia="宋体" w:cs="宋体"/>
          <w:color w:val="auto"/>
          <w:highlight w:val="none"/>
        </w:rPr>
      </w:pPr>
    </w:p>
    <w:tbl>
      <w:tblPr>
        <w:tblStyle w:val="58"/>
        <w:tblW w:w="7303" w:type="dxa"/>
        <w:tblInd w:w="366"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303"/>
      </w:tblGrid>
      <w:tr w14:paraId="0FE2088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3969" w:hRule="atLeast"/>
        </w:trPr>
        <w:tc>
          <w:tcPr>
            <w:tcW w:w="7303" w:type="dxa"/>
          </w:tcPr>
          <w:p w14:paraId="6973EF8D">
            <w:pPr>
              <w:spacing w:line="257" w:lineRule="auto"/>
              <w:jc w:val="both"/>
              <w:rPr>
                <w:rFonts w:hint="eastAsia" w:ascii="宋体" w:hAnsi="宋体" w:eastAsia="宋体" w:cs="宋体"/>
                <w:color w:val="auto"/>
                <w:highlight w:val="none"/>
              </w:rPr>
            </w:pPr>
          </w:p>
          <w:p w14:paraId="31BB31E6">
            <w:pPr>
              <w:spacing w:line="258" w:lineRule="auto"/>
              <w:jc w:val="both"/>
              <w:rPr>
                <w:rFonts w:hint="eastAsia" w:ascii="宋体" w:hAnsi="宋体" w:eastAsia="宋体" w:cs="宋体"/>
                <w:color w:val="auto"/>
                <w:highlight w:val="none"/>
              </w:rPr>
            </w:pPr>
          </w:p>
          <w:p w14:paraId="4F3B27F0">
            <w:pPr>
              <w:spacing w:before="74" w:line="228" w:lineRule="auto"/>
              <w:ind w:left="2458"/>
              <w:jc w:val="both"/>
              <w:outlineLvl w:val="1"/>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法定代表人身份证</w:t>
            </w:r>
            <w:r>
              <w:rPr>
                <w:rFonts w:hint="eastAsia" w:ascii="宋体" w:hAnsi="宋体" w:eastAsia="宋体" w:cs="宋体"/>
                <w:color w:val="auto"/>
                <w:sz w:val="23"/>
                <w:szCs w:val="23"/>
                <w:highlight w:val="none"/>
                <w:lang w:eastAsia="zh-CN"/>
              </w:rPr>
              <w:t>复印件</w:t>
            </w:r>
          </w:p>
        </w:tc>
      </w:tr>
    </w:tbl>
    <w:p w14:paraId="195FF711">
      <w:pPr>
        <w:jc w:val="both"/>
        <w:rPr>
          <w:rFonts w:hint="eastAsia" w:ascii="宋体" w:hAnsi="宋体" w:eastAsia="宋体" w:cs="宋体"/>
          <w:color w:val="auto"/>
          <w:highlight w:val="none"/>
        </w:rPr>
      </w:pPr>
    </w:p>
    <w:p w14:paraId="16E96A7E">
      <w:pPr>
        <w:jc w:val="both"/>
        <w:rPr>
          <w:rFonts w:hint="eastAsia" w:ascii="宋体" w:hAnsi="宋体" w:eastAsia="宋体" w:cs="宋体"/>
          <w:color w:val="auto"/>
          <w:highlight w:val="none"/>
        </w:rPr>
        <w:sectPr>
          <w:footerReference r:id="rId18" w:type="default"/>
          <w:pgSz w:w="11907" w:h="16840"/>
          <w:pgMar w:top="1418" w:right="1559" w:bottom="1418" w:left="1474" w:header="0" w:footer="723" w:gutter="0"/>
          <w:cols w:space="720" w:num="1"/>
        </w:sectPr>
      </w:pPr>
    </w:p>
    <w:p w14:paraId="2C61730B">
      <w:pPr>
        <w:spacing w:before="310" w:line="221" w:lineRule="auto"/>
        <w:ind w:left="388"/>
        <w:jc w:val="both"/>
        <w:rPr>
          <w:rFonts w:hint="eastAsia" w:ascii="宋体" w:hAnsi="宋体" w:eastAsia="宋体" w:cs="宋体"/>
          <w:color w:val="auto"/>
          <w:sz w:val="28"/>
          <w:szCs w:val="28"/>
          <w:highlight w:val="none"/>
        </w:rPr>
      </w:pPr>
      <w:bookmarkStart w:id="64" w:name="_bookmark17"/>
      <w:bookmarkEnd w:id="64"/>
      <w:r>
        <w:rPr>
          <w:rFonts w:hint="eastAsia" w:ascii="宋体" w:hAnsi="宋体" w:eastAsia="宋体" w:cs="宋体"/>
          <w:color w:val="auto"/>
          <w:sz w:val="28"/>
          <w:szCs w:val="28"/>
          <w:highlight w:val="none"/>
        </w:rPr>
        <w:t>格式三：法定代表人授权委托书</w:t>
      </w:r>
    </w:p>
    <w:p w14:paraId="6E499820">
      <w:pPr>
        <w:spacing w:line="328" w:lineRule="auto"/>
        <w:jc w:val="both"/>
        <w:rPr>
          <w:rFonts w:hint="eastAsia" w:ascii="宋体" w:hAnsi="宋体" w:eastAsia="宋体" w:cs="宋体"/>
          <w:color w:val="auto"/>
          <w:highlight w:val="none"/>
        </w:rPr>
      </w:pPr>
    </w:p>
    <w:p w14:paraId="601E9F84">
      <w:pPr>
        <w:spacing w:line="328" w:lineRule="auto"/>
        <w:jc w:val="both"/>
        <w:rPr>
          <w:rFonts w:hint="eastAsia" w:ascii="宋体" w:hAnsi="宋体" w:eastAsia="宋体" w:cs="宋体"/>
          <w:color w:val="auto"/>
          <w:highlight w:val="none"/>
        </w:rPr>
      </w:pPr>
    </w:p>
    <w:p w14:paraId="73ECE8CC">
      <w:pPr>
        <w:spacing w:before="75" w:line="227" w:lineRule="auto"/>
        <w:jc w:val="center"/>
        <w:outlineLvl w:val="0"/>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法定代表人授权委托书</w:t>
      </w:r>
    </w:p>
    <w:p w14:paraId="478FA46B">
      <w:pPr>
        <w:spacing w:line="386" w:lineRule="auto"/>
        <w:jc w:val="both"/>
        <w:rPr>
          <w:rFonts w:hint="eastAsia" w:ascii="宋体" w:hAnsi="宋体" w:eastAsia="宋体" w:cs="宋体"/>
          <w:color w:val="auto"/>
          <w:highlight w:val="none"/>
        </w:rPr>
      </w:pPr>
    </w:p>
    <w:p w14:paraId="54A0B19A">
      <w:pPr>
        <w:spacing w:before="75" w:line="375" w:lineRule="auto"/>
        <w:ind w:firstLine="58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本人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(姓名)系</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(投标人名称)的法定代表人，现委托</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(姓名)为我方代理人。代理人根据授权，以我方名义签署、澄清、说明、补正、递交、撤回、修改</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(项目及标段名称)的投标文件、签订合同和处理有关事宜，其法律后果由我方承担。</w:t>
      </w:r>
    </w:p>
    <w:p w14:paraId="5535527A">
      <w:pPr>
        <w:spacing w:line="375"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委托期限</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w:t>
      </w:r>
    </w:p>
    <w:p w14:paraId="750BC9EA">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代理人无转委托权。</w:t>
      </w:r>
    </w:p>
    <w:p w14:paraId="0584364B">
      <w:pPr>
        <w:spacing w:before="181" w:line="227" w:lineRule="auto"/>
        <w:ind w:left="36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附：委托代理人身份证明</w:t>
      </w:r>
    </w:p>
    <w:p w14:paraId="3B07628A">
      <w:pPr>
        <w:spacing w:line="285" w:lineRule="auto"/>
        <w:jc w:val="both"/>
        <w:rPr>
          <w:rFonts w:hint="eastAsia" w:ascii="宋体" w:hAnsi="宋体" w:eastAsia="宋体" w:cs="宋体"/>
          <w:color w:val="auto"/>
          <w:highlight w:val="none"/>
        </w:rPr>
      </w:pPr>
    </w:p>
    <w:p w14:paraId="39CE1E38">
      <w:pPr>
        <w:spacing w:line="286" w:lineRule="auto"/>
        <w:jc w:val="both"/>
        <w:rPr>
          <w:rFonts w:hint="eastAsia" w:ascii="宋体" w:hAnsi="宋体" w:eastAsia="宋体" w:cs="宋体"/>
          <w:color w:val="auto"/>
          <w:highlight w:val="none"/>
        </w:rPr>
      </w:pPr>
    </w:p>
    <w:p w14:paraId="5BC4D78C">
      <w:pPr>
        <w:spacing w:before="76" w:line="376" w:lineRule="auto"/>
        <w:ind w:left="35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(盖单位公章)</w:t>
      </w:r>
    </w:p>
    <w:p w14:paraId="3992DE39">
      <w:pPr>
        <w:spacing w:line="227" w:lineRule="auto"/>
        <w:ind w:left="34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法定代表人：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(签字或盖章)</w:t>
      </w:r>
    </w:p>
    <w:p w14:paraId="2615F5F3">
      <w:pPr>
        <w:spacing w:before="185" w:line="374"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492C7978">
      <w:pPr>
        <w:spacing w:line="228" w:lineRule="auto"/>
        <w:ind w:left="34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(签字)</w:t>
      </w:r>
    </w:p>
    <w:p w14:paraId="4E2AA6C2">
      <w:pPr>
        <w:spacing w:before="184" w:line="227" w:lineRule="auto"/>
        <w:ind w:left="3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手机号码：</w:t>
      </w:r>
      <w:r>
        <w:rPr>
          <w:rFonts w:hint="eastAsia" w:ascii="宋体" w:hAnsi="宋体" w:eastAsia="宋体" w:cs="宋体"/>
          <w:color w:val="auto"/>
          <w:sz w:val="23"/>
          <w:szCs w:val="23"/>
          <w:highlight w:val="none"/>
          <w:u w:val="single"/>
        </w:rPr>
        <w:t xml:space="preserve">                  </w:t>
      </w:r>
    </w:p>
    <w:p w14:paraId="4A0AFED4">
      <w:pPr>
        <w:spacing w:before="183" w:line="228" w:lineRule="auto"/>
        <w:ind w:left="35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身份证号码：</w:t>
      </w:r>
      <w:r>
        <w:rPr>
          <w:rFonts w:hint="eastAsia" w:ascii="宋体" w:hAnsi="宋体" w:eastAsia="宋体" w:cs="宋体"/>
          <w:color w:val="auto"/>
          <w:sz w:val="23"/>
          <w:szCs w:val="23"/>
          <w:highlight w:val="none"/>
          <w:u w:val="single"/>
        </w:rPr>
        <w:t xml:space="preserve">                  </w:t>
      </w:r>
    </w:p>
    <w:p w14:paraId="200A9AE2">
      <w:pPr>
        <w:spacing w:line="285" w:lineRule="auto"/>
        <w:jc w:val="both"/>
        <w:rPr>
          <w:rFonts w:hint="eastAsia" w:ascii="宋体" w:hAnsi="宋体" w:eastAsia="宋体" w:cs="宋体"/>
          <w:color w:val="auto"/>
          <w:highlight w:val="none"/>
        </w:rPr>
      </w:pPr>
    </w:p>
    <w:p w14:paraId="754E87EF">
      <w:pPr>
        <w:spacing w:line="286" w:lineRule="auto"/>
        <w:jc w:val="both"/>
        <w:rPr>
          <w:rFonts w:hint="eastAsia" w:ascii="宋体" w:hAnsi="宋体" w:eastAsia="宋体" w:cs="宋体"/>
          <w:color w:val="auto"/>
          <w:highlight w:val="none"/>
        </w:rPr>
      </w:pPr>
    </w:p>
    <w:p w14:paraId="7B8FB708">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4E428711">
      <w:pPr>
        <w:jc w:val="both"/>
        <w:rPr>
          <w:rFonts w:hint="eastAsia" w:ascii="宋体" w:hAnsi="宋体" w:eastAsia="宋体" w:cs="宋体"/>
          <w:color w:val="auto"/>
          <w:highlight w:val="none"/>
        </w:rPr>
      </w:pPr>
    </w:p>
    <w:p w14:paraId="27110558">
      <w:pPr>
        <w:jc w:val="both"/>
        <w:rPr>
          <w:rFonts w:hint="eastAsia" w:ascii="宋体" w:hAnsi="宋体" w:eastAsia="宋体" w:cs="宋体"/>
          <w:color w:val="auto"/>
          <w:highlight w:val="none"/>
        </w:rPr>
      </w:pPr>
    </w:p>
    <w:p w14:paraId="587BF8D8">
      <w:pPr>
        <w:spacing w:line="105" w:lineRule="exact"/>
        <w:jc w:val="both"/>
        <w:rPr>
          <w:rFonts w:hint="eastAsia" w:ascii="宋体" w:hAnsi="宋体" w:eastAsia="宋体" w:cs="宋体"/>
          <w:color w:val="auto"/>
          <w:highlight w:val="none"/>
        </w:rPr>
      </w:pPr>
    </w:p>
    <w:tbl>
      <w:tblPr>
        <w:tblStyle w:val="58"/>
        <w:tblW w:w="7233" w:type="dxa"/>
        <w:tblInd w:w="805"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7233"/>
      </w:tblGrid>
      <w:tr w14:paraId="26988115">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608" w:hRule="atLeast"/>
        </w:trPr>
        <w:tc>
          <w:tcPr>
            <w:tcW w:w="7233" w:type="dxa"/>
          </w:tcPr>
          <w:p w14:paraId="181AD5E6">
            <w:pPr>
              <w:spacing w:line="256" w:lineRule="auto"/>
              <w:jc w:val="both"/>
              <w:rPr>
                <w:rFonts w:hint="eastAsia" w:ascii="宋体" w:hAnsi="宋体" w:eastAsia="宋体" w:cs="宋体"/>
                <w:color w:val="auto"/>
                <w:highlight w:val="none"/>
              </w:rPr>
            </w:pPr>
          </w:p>
          <w:p w14:paraId="410633DE">
            <w:pPr>
              <w:spacing w:line="257" w:lineRule="auto"/>
              <w:jc w:val="both"/>
              <w:rPr>
                <w:rFonts w:hint="eastAsia" w:ascii="宋体" w:hAnsi="宋体" w:eastAsia="宋体" w:cs="宋体"/>
                <w:color w:val="auto"/>
                <w:highlight w:val="none"/>
              </w:rPr>
            </w:pPr>
          </w:p>
          <w:p w14:paraId="693C93B1">
            <w:pPr>
              <w:spacing w:before="75" w:line="228" w:lineRule="auto"/>
              <w:ind w:left="2422"/>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委托代理人身份证</w:t>
            </w:r>
            <w:r>
              <w:rPr>
                <w:rFonts w:hint="eastAsia" w:ascii="宋体" w:hAnsi="宋体" w:eastAsia="宋体" w:cs="宋体"/>
                <w:color w:val="auto"/>
                <w:sz w:val="23"/>
                <w:szCs w:val="23"/>
                <w:highlight w:val="none"/>
                <w:lang w:eastAsia="zh-CN"/>
              </w:rPr>
              <w:t>复印件</w:t>
            </w:r>
          </w:p>
        </w:tc>
      </w:tr>
    </w:tbl>
    <w:p w14:paraId="4C4FB5E7">
      <w:pPr>
        <w:spacing w:line="480" w:lineRule="auto"/>
        <w:jc w:val="center"/>
        <w:outlineLvl w:val="0"/>
        <w:rPr>
          <w:rFonts w:hint="eastAsia" w:ascii="宋体" w:hAnsi="宋体" w:eastAsia="宋体" w:cs="宋体"/>
          <w:color w:val="auto"/>
          <w:highlight w:val="none"/>
        </w:rPr>
      </w:pPr>
      <w:r>
        <w:rPr>
          <w:rFonts w:hint="eastAsia" w:ascii="宋体" w:hAnsi="宋体" w:eastAsia="宋体" w:cs="宋体"/>
          <w:color w:val="auto"/>
          <w:highlight w:val="none"/>
        </w:rPr>
        <w:br w:type="page"/>
      </w:r>
      <w:r>
        <w:rPr>
          <w:rFonts w:hint="eastAsia" w:ascii="宋体" w:hAnsi="宋体" w:eastAsia="宋体" w:cs="宋体"/>
          <w:b/>
          <w:bCs/>
          <w:color w:val="auto"/>
          <w:sz w:val="36"/>
          <w:szCs w:val="36"/>
          <w:highlight w:val="none"/>
        </w:rPr>
        <w:t>投标保证金缴纳证明资料</w:t>
      </w:r>
    </w:p>
    <w:p w14:paraId="5847064A">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1.采用转账形式缴纳的，提供银行转账凭证（记录）及基本账户开户证明。</w:t>
      </w:r>
    </w:p>
    <w:p w14:paraId="5D449D79">
      <w:pPr>
        <w:widowControl w:val="0"/>
        <w:tabs>
          <w:tab w:val="left" w:pos="312"/>
        </w:tabs>
        <w:spacing w:before="120" w:beforeLines="50" w:after="120" w:afterLines="50"/>
        <w:jc w:val="both"/>
        <w:rPr>
          <w:rFonts w:hint="eastAsia" w:ascii="宋体" w:hAnsi="宋体" w:eastAsia="宋体" w:cs="宋体"/>
          <w:bCs/>
          <w:color w:val="auto"/>
          <w:highlight w:val="none"/>
        </w:rPr>
      </w:pPr>
      <w:r>
        <w:rPr>
          <w:rFonts w:hint="eastAsia" w:ascii="宋体" w:hAnsi="宋体" w:eastAsia="宋体" w:cs="宋体"/>
          <w:bCs/>
          <w:color w:val="auto"/>
          <w:highlight w:val="none"/>
        </w:rPr>
        <w:t>2.采用银行保函或投标保险保单或担保保函的，提供保函、购买保险或办理保函、担保等保证金相关费用从投标人基本账户转出的凭证、基本账户开户证明。</w:t>
      </w:r>
    </w:p>
    <w:p w14:paraId="66D102F8">
      <w:pPr>
        <w:rPr>
          <w:rFonts w:hint="eastAsia" w:ascii="宋体" w:hAnsi="宋体" w:eastAsia="宋体" w:cs="宋体"/>
          <w:color w:val="auto"/>
          <w:highlight w:val="none"/>
        </w:rPr>
      </w:pPr>
    </w:p>
    <w:p w14:paraId="557A8D37">
      <w:pPr>
        <w:jc w:val="both"/>
        <w:rPr>
          <w:rFonts w:hint="eastAsia" w:ascii="宋体" w:hAnsi="宋体" w:eastAsia="宋体" w:cs="宋体"/>
          <w:color w:val="auto"/>
          <w:highlight w:val="none"/>
        </w:rPr>
      </w:pPr>
    </w:p>
    <w:p w14:paraId="0CC4190E">
      <w:pPr>
        <w:jc w:val="both"/>
        <w:rPr>
          <w:rFonts w:hint="eastAsia" w:ascii="宋体" w:hAnsi="宋体" w:eastAsia="宋体" w:cs="宋体"/>
          <w:color w:val="auto"/>
          <w:highlight w:val="none"/>
        </w:rPr>
        <w:sectPr>
          <w:footerReference r:id="rId19" w:type="default"/>
          <w:pgSz w:w="11907" w:h="16840"/>
          <w:pgMar w:top="1418" w:right="1559" w:bottom="1418" w:left="1474" w:header="0" w:footer="723" w:gutter="0"/>
          <w:cols w:space="720" w:num="1"/>
        </w:sectPr>
      </w:pPr>
    </w:p>
    <w:p w14:paraId="30DC8CF9">
      <w:pPr>
        <w:spacing w:before="163" w:line="221" w:lineRule="auto"/>
        <w:ind w:left="617"/>
        <w:jc w:val="both"/>
        <w:outlineLvl w:val="1"/>
        <w:rPr>
          <w:rFonts w:hint="eastAsia" w:ascii="宋体" w:hAnsi="宋体" w:eastAsia="宋体" w:cs="宋体"/>
          <w:color w:val="auto"/>
          <w:sz w:val="28"/>
          <w:szCs w:val="28"/>
          <w:highlight w:val="none"/>
        </w:rPr>
      </w:pPr>
      <w:bookmarkStart w:id="65" w:name="_bookmark18"/>
      <w:bookmarkEnd w:id="65"/>
      <w:r>
        <w:rPr>
          <w:rFonts w:hint="eastAsia" w:ascii="宋体" w:hAnsi="宋体" w:eastAsia="宋体" w:cs="宋体"/>
          <w:color w:val="auto"/>
          <w:sz w:val="28"/>
          <w:szCs w:val="28"/>
          <w:highlight w:val="none"/>
        </w:rPr>
        <w:t>格式四：投标报价表</w:t>
      </w:r>
    </w:p>
    <w:p w14:paraId="0568B422">
      <w:pPr>
        <w:spacing w:before="246" w:line="224" w:lineRule="auto"/>
        <w:ind w:left="6702"/>
        <w:jc w:val="both"/>
        <w:outlineLvl w:val="0"/>
        <w:rPr>
          <w:rFonts w:hint="eastAsia" w:ascii="宋体" w:hAnsi="宋体" w:eastAsia="宋体" w:cs="宋体"/>
          <w:color w:val="auto"/>
          <w:sz w:val="31"/>
          <w:szCs w:val="31"/>
          <w:highlight w:val="none"/>
        </w:rPr>
      </w:pPr>
      <w:r>
        <w:rPr>
          <w:rFonts w:hint="eastAsia" w:ascii="宋体" w:hAnsi="宋体" w:eastAsia="宋体" w:cs="宋体"/>
          <w:color w:val="auto"/>
          <w:sz w:val="31"/>
          <w:szCs w:val="31"/>
          <w:highlight w:val="none"/>
        </w:rPr>
        <w:t>投标报价表</w:t>
      </w:r>
    </w:p>
    <w:p w14:paraId="07D2E000">
      <w:pPr>
        <w:spacing w:before="130" w:line="229" w:lineRule="auto"/>
        <w:ind w:left="11859"/>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单位：人民币元</w:t>
      </w:r>
    </w:p>
    <w:p w14:paraId="0E1791BD">
      <w:pPr>
        <w:spacing w:line="98" w:lineRule="auto"/>
        <w:jc w:val="both"/>
        <w:rPr>
          <w:rFonts w:hint="eastAsia" w:ascii="宋体" w:hAnsi="宋体" w:eastAsia="宋体" w:cs="宋体"/>
          <w:color w:val="auto"/>
          <w:sz w:val="2"/>
          <w:highlight w:val="none"/>
        </w:rPr>
      </w:pPr>
    </w:p>
    <w:tbl>
      <w:tblPr>
        <w:tblStyle w:val="58"/>
        <w:tblW w:w="4846" w:type="pct"/>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28"/>
        <w:gridCol w:w="2263"/>
        <w:gridCol w:w="1995"/>
        <w:gridCol w:w="1098"/>
        <w:gridCol w:w="1926"/>
        <w:gridCol w:w="2118"/>
        <w:gridCol w:w="2860"/>
      </w:tblGrid>
      <w:tr w14:paraId="22FA60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6" w:hRule="atLeast"/>
        </w:trPr>
        <w:tc>
          <w:tcPr>
            <w:tcW w:w="421" w:type="pct"/>
            <w:vAlign w:val="center"/>
          </w:tcPr>
          <w:p w14:paraId="09176A13">
            <w:pPr>
              <w:spacing w:before="176" w:line="193" w:lineRule="auto"/>
              <w:ind w:left="394"/>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w:t>
            </w:r>
          </w:p>
        </w:tc>
        <w:tc>
          <w:tcPr>
            <w:tcW w:w="845" w:type="pct"/>
            <w:vAlign w:val="center"/>
          </w:tcPr>
          <w:p w14:paraId="0D10A640">
            <w:pPr>
              <w:spacing w:before="177" w:line="192" w:lineRule="auto"/>
              <w:ind w:left="89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w:t>
            </w:r>
          </w:p>
        </w:tc>
        <w:tc>
          <w:tcPr>
            <w:tcW w:w="745" w:type="pct"/>
            <w:vAlign w:val="center"/>
          </w:tcPr>
          <w:p w14:paraId="568FC39A">
            <w:pPr>
              <w:spacing w:before="178" w:line="190" w:lineRule="auto"/>
              <w:ind w:left="396"/>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3</w:t>
            </w:r>
          </w:p>
        </w:tc>
        <w:tc>
          <w:tcPr>
            <w:tcW w:w="410" w:type="pct"/>
            <w:vAlign w:val="center"/>
          </w:tcPr>
          <w:p w14:paraId="0F6D0305">
            <w:pPr>
              <w:spacing w:before="177" w:line="192" w:lineRule="auto"/>
              <w:ind w:left="453"/>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4</w:t>
            </w:r>
          </w:p>
        </w:tc>
        <w:tc>
          <w:tcPr>
            <w:tcW w:w="719" w:type="pct"/>
            <w:vAlign w:val="center"/>
          </w:tcPr>
          <w:p w14:paraId="5C7E44FF">
            <w:pPr>
              <w:spacing w:before="178" w:line="190" w:lineRule="auto"/>
              <w:ind w:left="715"/>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5</w:t>
            </w:r>
          </w:p>
        </w:tc>
        <w:tc>
          <w:tcPr>
            <w:tcW w:w="791" w:type="pct"/>
            <w:vAlign w:val="center"/>
          </w:tcPr>
          <w:p w14:paraId="027F8ABC">
            <w:pPr>
              <w:spacing w:before="178" w:line="190" w:lineRule="auto"/>
              <w:ind w:left="404"/>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6</w:t>
            </w:r>
          </w:p>
        </w:tc>
        <w:tc>
          <w:tcPr>
            <w:tcW w:w="1067" w:type="pct"/>
            <w:vAlign w:val="center"/>
          </w:tcPr>
          <w:p w14:paraId="0248D6BD">
            <w:pPr>
              <w:spacing w:before="176" w:line="191" w:lineRule="auto"/>
              <w:ind w:left="551"/>
              <w:jc w:val="center"/>
              <w:rPr>
                <w:rFonts w:hint="eastAsia" w:ascii="宋体" w:hAnsi="宋体" w:eastAsia="宋体" w:cs="宋体"/>
                <w:color w:val="auto"/>
                <w:sz w:val="20"/>
                <w:szCs w:val="20"/>
                <w:highlight w:val="none"/>
                <w:lang w:eastAsia="zh-CN"/>
              </w:rPr>
            </w:pPr>
            <w:r>
              <w:rPr>
                <w:rFonts w:hint="eastAsia" w:ascii="宋体" w:hAnsi="宋体" w:eastAsia="宋体" w:cs="宋体"/>
                <w:color w:val="auto"/>
                <w:sz w:val="20"/>
                <w:szCs w:val="20"/>
                <w:highlight w:val="none"/>
                <w:lang w:val="en-US" w:eastAsia="zh-CN"/>
              </w:rPr>
              <w:t>7</w:t>
            </w:r>
          </w:p>
        </w:tc>
      </w:tr>
      <w:tr w14:paraId="5D6CDB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84" w:hRule="atLeast"/>
        </w:trPr>
        <w:tc>
          <w:tcPr>
            <w:tcW w:w="421" w:type="pct"/>
            <w:vAlign w:val="center"/>
          </w:tcPr>
          <w:p w14:paraId="71C1F245">
            <w:pPr>
              <w:spacing w:before="65" w:line="229"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项号</w:t>
            </w:r>
          </w:p>
        </w:tc>
        <w:tc>
          <w:tcPr>
            <w:tcW w:w="845" w:type="pct"/>
            <w:vAlign w:val="center"/>
          </w:tcPr>
          <w:p w14:paraId="751CF507">
            <w:pPr>
              <w:spacing w:before="65" w:line="401" w:lineRule="exact"/>
              <w:jc w:val="center"/>
              <w:rPr>
                <w:rFonts w:hint="eastAsia" w:ascii="宋体" w:hAnsi="宋体" w:eastAsia="宋体" w:cs="宋体"/>
                <w:color w:val="auto"/>
                <w:sz w:val="20"/>
                <w:szCs w:val="20"/>
                <w:highlight w:val="none"/>
              </w:rPr>
            </w:pPr>
            <w:r>
              <w:rPr>
                <w:rFonts w:hint="eastAsia" w:ascii="宋体" w:hAnsi="宋体" w:eastAsia="宋体" w:cs="宋体"/>
                <w:color w:val="auto"/>
                <w:position w:val="14"/>
                <w:sz w:val="20"/>
                <w:szCs w:val="20"/>
                <w:highlight w:val="none"/>
              </w:rPr>
              <w:t>货物名称</w:t>
            </w:r>
          </w:p>
          <w:p w14:paraId="302DE194">
            <w:pPr>
              <w:spacing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型号规格</w:t>
            </w:r>
          </w:p>
        </w:tc>
        <w:tc>
          <w:tcPr>
            <w:tcW w:w="745" w:type="pct"/>
            <w:vAlign w:val="center"/>
          </w:tcPr>
          <w:p w14:paraId="668607AD">
            <w:pPr>
              <w:spacing w:before="65" w:line="379" w:lineRule="auto"/>
              <w:ind w:right="59"/>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产地(品牌)</w:t>
            </w:r>
          </w:p>
        </w:tc>
        <w:tc>
          <w:tcPr>
            <w:tcW w:w="410" w:type="pct"/>
            <w:vAlign w:val="center"/>
          </w:tcPr>
          <w:p w14:paraId="30663391">
            <w:pPr>
              <w:spacing w:before="66" w:line="228" w:lineRule="auto"/>
              <w:jc w:val="center"/>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数量</w:t>
            </w:r>
          </w:p>
        </w:tc>
        <w:tc>
          <w:tcPr>
            <w:tcW w:w="719" w:type="pct"/>
            <w:shd w:val="clear" w:color="auto" w:fill="auto"/>
            <w:vAlign w:val="center"/>
          </w:tcPr>
          <w:p w14:paraId="355EFB99">
            <w:pPr>
              <w:spacing w:before="65" w:line="379" w:lineRule="auto"/>
              <w:ind w:right="109" w:rightChars="0"/>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综合单价(含税)</w:t>
            </w:r>
          </w:p>
        </w:tc>
        <w:tc>
          <w:tcPr>
            <w:tcW w:w="791" w:type="pct"/>
            <w:shd w:val="clear" w:color="auto" w:fill="auto"/>
            <w:vAlign w:val="center"/>
          </w:tcPr>
          <w:p w14:paraId="1139794F">
            <w:pPr>
              <w:spacing w:before="65" w:line="227"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总价</w:t>
            </w:r>
          </w:p>
        </w:tc>
        <w:tc>
          <w:tcPr>
            <w:tcW w:w="1067" w:type="pct"/>
            <w:shd w:val="clear" w:color="auto" w:fill="auto"/>
            <w:vAlign w:val="center"/>
          </w:tcPr>
          <w:p w14:paraId="06EF3E68">
            <w:pPr>
              <w:spacing w:before="65" w:line="230" w:lineRule="auto"/>
              <w:jc w:val="center"/>
              <w:rPr>
                <w:rFonts w:hint="eastAsia" w:ascii="宋体" w:hAnsi="宋体" w:eastAsia="宋体" w:cs="宋体"/>
                <w:snapToGrid w:val="0"/>
                <w:color w:val="auto"/>
                <w:sz w:val="20"/>
                <w:szCs w:val="20"/>
                <w:highlight w:val="none"/>
                <w:lang w:val="en-US" w:eastAsia="zh-CN" w:bidi="ar-SA"/>
              </w:rPr>
            </w:pPr>
            <w:r>
              <w:rPr>
                <w:rFonts w:hint="eastAsia" w:ascii="宋体" w:hAnsi="宋体" w:eastAsia="宋体" w:cs="宋体"/>
                <w:color w:val="auto"/>
                <w:sz w:val="20"/>
                <w:szCs w:val="20"/>
                <w:highlight w:val="none"/>
              </w:rPr>
              <w:t>备注</w:t>
            </w:r>
          </w:p>
        </w:tc>
      </w:tr>
      <w:tr w14:paraId="799516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45914BCF">
            <w:pPr>
              <w:jc w:val="both"/>
              <w:rPr>
                <w:rFonts w:hint="eastAsia" w:ascii="宋体" w:hAnsi="宋体" w:eastAsia="宋体" w:cs="宋体"/>
                <w:color w:val="auto"/>
                <w:highlight w:val="none"/>
              </w:rPr>
            </w:pPr>
          </w:p>
        </w:tc>
        <w:tc>
          <w:tcPr>
            <w:tcW w:w="845" w:type="pct"/>
          </w:tcPr>
          <w:p w14:paraId="3D1B1680">
            <w:pPr>
              <w:jc w:val="both"/>
              <w:rPr>
                <w:rFonts w:hint="eastAsia" w:ascii="宋体" w:hAnsi="宋体" w:eastAsia="宋体" w:cs="宋体"/>
                <w:color w:val="auto"/>
                <w:highlight w:val="none"/>
              </w:rPr>
            </w:pPr>
          </w:p>
        </w:tc>
        <w:tc>
          <w:tcPr>
            <w:tcW w:w="745" w:type="pct"/>
          </w:tcPr>
          <w:p w14:paraId="3762F6AF">
            <w:pPr>
              <w:jc w:val="both"/>
              <w:rPr>
                <w:rFonts w:hint="eastAsia" w:ascii="宋体" w:hAnsi="宋体" w:eastAsia="宋体" w:cs="宋体"/>
                <w:color w:val="auto"/>
                <w:highlight w:val="none"/>
              </w:rPr>
            </w:pPr>
          </w:p>
        </w:tc>
        <w:tc>
          <w:tcPr>
            <w:tcW w:w="410" w:type="pct"/>
          </w:tcPr>
          <w:p w14:paraId="5EA4A8BC">
            <w:pPr>
              <w:jc w:val="both"/>
              <w:rPr>
                <w:rFonts w:hint="eastAsia" w:ascii="宋体" w:hAnsi="宋体" w:eastAsia="宋体" w:cs="宋体"/>
                <w:color w:val="auto"/>
                <w:highlight w:val="none"/>
              </w:rPr>
            </w:pPr>
          </w:p>
        </w:tc>
        <w:tc>
          <w:tcPr>
            <w:tcW w:w="719" w:type="pct"/>
          </w:tcPr>
          <w:p w14:paraId="6D6519C6">
            <w:pPr>
              <w:jc w:val="both"/>
              <w:rPr>
                <w:rFonts w:hint="eastAsia" w:ascii="宋体" w:hAnsi="宋体" w:eastAsia="宋体" w:cs="宋体"/>
                <w:color w:val="auto"/>
                <w:highlight w:val="none"/>
              </w:rPr>
            </w:pPr>
          </w:p>
        </w:tc>
        <w:tc>
          <w:tcPr>
            <w:tcW w:w="791" w:type="pct"/>
          </w:tcPr>
          <w:p w14:paraId="0933C955">
            <w:pPr>
              <w:jc w:val="both"/>
              <w:rPr>
                <w:rFonts w:hint="eastAsia" w:ascii="宋体" w:hAnsi="宋体" w:eastAsia="宋体" w:cs="宋体"/>
                <w:color w:val="auto"/>
                <w:highlight w:val="none"/>
              </w:rPr>
            </w:pPr>
          </w:p>
        </w:tc>
        <w:tc>
          <w:tcPr>
            <w:tcW w:w="1067" w:type="pct"/>
          </w:tcPr>
          <w:p w14:paraId="04E7B8D9">
            <w:pPr>
              <w:jc w:val="both"/>
              <w:rPr>
                <w:rFonts w:hint="eastAsia" w:ascii="宋体" w:hAnsi="宋体" w:eastAsia="宋体" w:cs="宋体"/>
                <w:color w:val="auto"/>
                <w:highlight w:val="none"/>
              </w:rPr>
            </w:pPr>
          </w:p>
        </w:tc>
      </w:tr>
      <w:tr w14:paraId="71111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5" w:hRule="atLeast"/>
        </w:trPr>
        <w:tc>
          <w:tcPr>
            <w:tcW w:w="421" w:type="pct"/>
          </w:tcPr>
          <w:p w14:paraId="3DCE9FAC">
            <w:pPr>
              <w:jc w:val="both"/>
              <w:rPr>
                <w:rFonts w:hint="eastAsia" w:ascii="宋体" w:hAnsi="宋体" w:eastAsia="宋体" w:cs="宋体"/>
                <w:color w:val="auto"/>
                <w:highlight w:val="none"/>
              </w:rPr>
            </w:pPr>
          </w:p>
        </w:tc>
        <w:tc>
          <w:tcPr>
            <w:tcW w:w="845" w:type="pct"/>
          </w:tcPr>
          <w:p w14:paraId="5ADF5D8A">
            <w:pPr>
              <w:jc w:val="both"/>
              <w:rPr>
                <w:rFonts w:hint="eastAsia" w:ascii="宋体" w:hAnsi="宋体" w:eastAsia="宋体" w:cs="宋体"/>
                <w:color w:val="auto"/>
                <w:highlight w:val="none"/>
              </w:rPr>
            </w:pPr>
          </w:p>
        </w:tc>
        <w:tc>
          <w:tcPr>
            <w:tcW w:w="745" w:type="pct"/>
          </w:tcPr>
          <w:p w14:paraId="4731BD5F">
            <w:pPr>
              <w:jc w:val="both"/>
              <w:rPr>
                <w:rFonts w:hint="eastAsia" w:ascii="宋体" w:hAnsi="宋体" w:eastAsia="宋体" w:cs="宋体"/>
                <w:color w:val="auto"/>
                <w:highlight w:val="none"/>
              </w:rPr>
            </w:pPr>
          </w:p>
        </w:tc>
        <w:tc>
          <w:tcPr>
            <w:tcW w:w="410" w:type="pct"/>
          </w:tcPr>
          <w:p w14:paraId="4B530E72">
            <w:pPr>
              <w:jc w:val="both"/>
              <w:rPr>
                <w:rFonts w:hint="eastAsia" w:ascii="宋体" w:hAnsi="宋体" w:eastAsia="宋体" w:cs="宋体"/>
                <w:color w:val="auto"/>
                <w:highlight w:val="none"/>
              </w:rPr>
            </w:pPr>
          </w:p>
        </w:tc>
        <w:tc>
          <w:tcPr>
            <w:tcW w:w="719" w:type="pct"/>
          </w:tcPr>
          <w:p w14:paraId="0D68A359">
            <w:pPr>
              <w:jc w:val="both"/>
              <w:rPr>
                <w:rFonts w:hint="eastAsia" w:ascii="宋体" w:hAnsi="宋体" w:eastAsia="宋体" w:cs="宋体"/>
                <w:color w:val="auto"/>
                <w:highlight w:val="none"/>
              </w:rPr>
            </w:pPr>
          </w:p>
        </w:tc>
        <w:tc>
          <w:tcPr>
            <w:tcW w:w="791" w:type="pct"/>
          </w:tcPr>
          <w:p w14:paraId="3949943D">
            <w:pPr>
              <w:jc w:val="both"/>
              <w:rPr>
                <w:rFonts w:hint="eastAsia" w:ascii="宋体" w:hAnsi="宋体" w:eastAsia="宋体" w:cs="宋体"/>
                <w:color w:val="auto"/>
                <w:highlight w:val="none"/>
              </w:rPr>
            </w:pPr>
          </w:p>
        </w:tc>
        <w:tc>
          <w:tcPr>
            <w:tcW w:w="1067" w:type="pct"/>
          </w:tcPr>
          <w:p w14:paraId="15526941">
            <w:pPr>
              <w:jc w:val="both"/>
              <w:rPr>
                <w:rFonts w:hint="eastAsia" w:ascii="宋体" w:hAnsi="宋体" w:eastAsia="宋体" w:cs="宋体"/>
                <w:color w:val="auto"/>
                <w:highlight w:val="none"/>
              </w:rPr>
            </w:pPr>
          </w:p>
        </w:tc>
      </w:tr>
      <w:tr w14:paraId="0766EC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1" w:hRule="atLeast"/>
        </w:trPr>
        <w:tc>
          <w:tcPr>
            <w:tcW w:w="421" w:type="pct"/>
          </w:tcPr>
          <w:p w14:paraId="73E0627C">
            <w:pPr>
              <w:jc w:val="both"/>
              <w:rPr>
                <w:rFonts w:hint="eastAsia" w:ascii="宋体" w:hAnsi="宋体" w:eastAsia="宋体" w:cs="宋体"/>
                <w:color w:val="auto"/>
                <w:highlight w:val="none"/>
              </w:rPr>
            </w:pPr>
          </w:p>
        </w:tc>
        <w:tc>
          <w:tcPr>
            <w:tcW w:w="845" w:type="pct"/>
          </w:tcPr>
          <w:p w14:paraId="35C6411D">
            <w:pPr>
              <w:jc w:val="both"/>
              <w:rPr>
                <w:rFonts w:hint="eastAsia" w:ascii="宋体" w:hAnsi="宋体" w:eastAsia="宋体" w:cs="宋体"/>
                <w:color w:val="auto"/>
                <w:highlight w:val="none"/>
              </w:rPr>
            </w:pPr>
          </w:p>
        </w:tc>
        <w:tc>
          <w:tcPr>
            <w:tcW w:w="745" w:type="pct"/>
          </w:tcPr>
          <w:p w14:paraId="22701548">
            <w:pPr>
              <w:jc w:val="both"/>
              <w:rPr>
                <w:rFonts w:hint="eastAsia" w:ascii="宋体" w:hAnsi="宋体" w:eastAsia="宋体" w:cs="宋体"/>
                <w:color w:val="auto"/>
                <w:highlight w:val="none"/>
              </w:rPr>
            </w:pPr>
          </w:p>
        </w:tc>
        <w:tc>
          <w:tcPr>
            <w:tcW w:w="410" w:type="pct"/>
          </w:tcPr>
          <w:p w14:paraId="5F2AB10E">
            <w:pPr>
              <w:jc w:val="both"/>
              <w:rPr>
                <w:rFonts w:hint="eastAsia" w:ascii="宋体" w:hAnsi="宋体" w:eastAsia="宋体" w:cs="宋体"/>
                <w:color w:val="auto"/>
                <w:highlight w:val="none"/>
              </w:rPr>
            </w:pPr>
          </w:p>
        </w:tc>
        <w:tc>
          <w:tcPr>
            <w:tcW w:w="719" w:type="pct"/>
          </w:tcPr>
          <w:p w14:paraId="6A03E3A0">
            <w:pPr>
              <w:jc w:val="both"/>
              <w:rPr>
                <w:rFonts w:hint="eastAsia" w:ascii="宋体" w:hAnsi="宋体" w:eastAsia="宋体" w:cs="宋体"/>
                <w:color w:val="auto"/>
                <w:highlight w:val="none"/>
              </w:rPr>
            </w:pPr>
          </w:p>
        </w:tc>
        <w:tc>
          <w:tcPr>
            <w:tcW w:w="791" w:type="pct"/>
          </w:tcPr>
          <w:p w14:paraId="79826958">
            <w:pPr>
              <w:jc w:val="both"/>
              <w:rPr>
                <w:rFonts w:hint="eastAsia" w:ascii="宋体" w:hAnsi="宋体" w:eastAsia="宋体" w:cs="宋体"/>
                <w:color w:val="auto"/>
                <w:highlight w:val="none"/>
              </w:rPr>
            </w:pPr>
          </w:p>
        </w:tc>
        <w:tc>
          <w:tcPr>
            <w:tcW w:w="1067" w:type="pct"/>
          </w:tcPr>
          <w:p w14:paraId="40E2D3EC">
            <w:pPr>
              <w:jc w:val="both"/>
              <w:rPr>
                <w:rFonts w:hint="eastAsia" w:ascii="宋体" w:hAnsi="宋体" w:eastAsia="宋体" w:cs="宋体"/>
                <w:color w:val="auto"/>
                <w:highlight w:val="none"/>
              </w:rPr>
            </w:pPr>
          </w:p>
        </w:tc>
      </w:tr>
      <w:tr w14:paraId="158E8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1" w:hRule="atLeast"/>
        </w:trPr>
        <w:tc>
          <w:tcPr>
            <w:tcW w:w="1266" w:type="pct"/>
            <w:gridSpan w:val="2"/>
          </w:tcPr>
          <w:p w14:paraId="4993804D">
            <w:pPr>
              <w:spacing w:before="149" w:line="227" w:lineRule="auto"/>
              <w:ind w:left="182"/>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投标总价合计</w:t>
            </w:r>
          </w:p>
        </w:tc>
        <w:tc>
          <w:tcPr>
            <w:tcW w:w="3733" w:type="pct"/>
            <w:gridSpan w:val="5"/>
          </w:tcPr>
          <w:p w14:paraId="754C524A">
            <w:pPr>
              <w:spacing w:before="149" w:line="229" w:lineRule="auto"/>
              <w:ind w:left="32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小写：元</w:t>
            </w:r>
          </w:p>
        </w:tc>
      </w:tr>
    </w:tbl>
    <w:p w14:paraId="5C67ECB3">
      <w:pPr>
        <w:spacing w:before="54" w:line="227" w:lineRule="auto"/>
        <w:ind w:left="1218"/>
        <w:jc w:val="both"/>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注：</w:t>
      </w:r>
    </w:p>
    <w:p w14:paraId="1A3015DA">
      <w:pPr>
        <w:spacing w:before="54" w:line="271" w:lineRule="exact"/>
        <w:ind w:left="1213"/>
        <w:jc w:val="both"/>
        <w:rPr>
          <w:rFonts w:hint="eastAsia" w:ascii="宋体" w:hAnsi="宋体" w:eastAsia="宋体" w:cs="宋体"/>
          <w:color w:val="auto"/>
          <w:sz w:val="20"/>
          <w:szCs w:val="20"/>
          <w:highlight w:val="none"/>
        </w:rPr>
      </w:pPr>
      <w:r>
        <w:rPr>
          <w:rFonts w:hint="eastAsia" w:ascii="宋体" w:hAnsi="宋体" w:eastAsia="宋体" w:cs="宋体"/>
          <w:color w:val="auto"/>
          <w:position w:val="1"/>
          <w:sz w:val="20"/>
          <w:szCs w:val="20"/>
          <w:highlight w:val="none"/>
          <w:lang w:val="en-US" w:eastAsia="zh-CN"/>
        </w:rPr>
        <w:t>1</w:t>
      </w:r>
      <w:r>
        <w:rPr>
          <w:rFonts w:hint="eastAsia" w:ascii="宋体" w:hAnsi="宋体" w:eastAsia="宋体" w:cs="宋体"/>
          <w:color w:val="auto"/>
          <w:position w:val="1"/>
          <w:sz w:val="20"/>
          <w:szCs w:val="20"/>
          <w:highlight w:val="none"/>
        </w:rPr>
        <w:t>、投标总价合计为总价的合计，应与投标函的投标总价一致。</w:t>
      </w:r>
    </w:p>
    <w:p w14:paraId="0BFDAD4F">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2</w:t>
      </w:r>
      <w:r>
        <w:rPr>
          <w:rFonts w:hint="eastAsia" w:ascii="宋体" w:hAnsi="宋体" w:eastAsia="宋体" w:cs="宋体"/>
          <w:color w:val="auto"/>
          <w:position w:val="1"/>
          <w:sz w:val="20"/>
          <w:szCs w:val="20"/>
          <w:highlight w:val="none"/>
        </w:rPr>
        <w:t>、投标报价表中含价栏目，若无报价的须填“含”、“无”等字样，若出现空白，招标人视为已含在投标报价中。</w:t>
      </w:r>
    </w:p>
    <w:p w14:paraId="1A920B37">
      <w:pPr>
        <w:spacing w:before="35" w:line="269" w:lineRule="exact"/>
        <w:ind w:left="1216"/>
        <w:jc w:val="both"/>
        <w:rPr>
          <w:rFonts w:hint="eastAsia" w:ascii="宋体" w:hAnsi="宋体" w:eastAsia="宋体" w:cs="宋体"/>
          <w:color w:val="auto"/>
          <w:position w:val="1"/>
          <w:sz w:val="20"/>
          <w:szCs w:val="20"/>
          <w:highlight w:val="none"/>
        </w:rPr>
      </w:pPr>
      <w:r>
        <w:rPr>
          <w:rFonts w:hint="eastAsia" w:ascii="宋体" w:hAnsi="宋体" w:eastAsia="宋体" w:cs="宋体"/>
          <w:color w:val="auto"/>
          <w:position w:val="1"/>
          <w:sz w:val="20"/>
          <w:szCs w:val="20"/>
          <w:highlight w:val="none"/>
          <w:lang w:val="en-US" w:eastAsia="zh-CN"/>
        </w:rPr>
        <w:t>3</w:t>
      </w:r>
      <w:r>
        <w:rPr>
          <w:rFonts w:hint="eastAsia" w:ascii="宋体" w:hAnsi="宋体" w:eastAsia="宋体" w:cs="宋体"/>
          <w:color w:val="auto"/>
          <w:position w:val="1"/>
          <w:sz w:val="20"/>
          <w:szCs w:val="20"/>
          <w:highlight w:val="none"/>
        </w:rPr>
        <w:t>、如交货货物数量调整时，综合单价不作调整。</w:t>
      </w:r>
    </w:p>
    <w:p w14:paraId="59FE3284">
      <w:pPr>
        <w:spacing w:before="35" w:line="269" w:lineRule="exact"/>
        <w:ind w:left="1216"/>
        <w:jc w:val="both"/>
        <w:rPr>
          <w:rFonts w:hint="default" w:ascii="宋体" w:hAnsi="宋体" w:eastAsia="宋体" w:cs="宋体"/>
          <w:color w:val="auto"/>
          <w:position w:val="1"/>
          <w:sz w:val="20"/>
          <w:szCs w:val="20"/>
          <w:highlight w:val="none"/>
          <w:lang w:val="en-US" w:eastAsia="zh-CN"/>
        </w:rPr>
        <w:sectPr>
          <w:footerReference r:id="rId20" w:type="default"/>
          <w:pgSz w:w="16840" w:h="11907"/>
          <w:pgMar w:top="1418" w:right="1559" w:bottom="1418" w:left="1474" w:header="0" w:footer="722" w:gutter="0"/>
          <w:cols w:space="720" w:num="1"/>
        </w:sectPr>
      </w:pPr>
      <w:r>
        <w:rPr>
          <w:rFonts w:hint="eastAsia" w:ascii="宋体" w:hAnsi="宋体" w:eastAsia="宋体" w:cs="宋体"/>
          <w:color w:val="auto"/>
          <w:position w:val="1"/>
          <w:sz w:val="20"/>
          <w:szCs w:val="20"/>
          <w:highlight w:val="none"/>
          <w:lang w:val="en-US" w:eastAsia="zh-CN"/>
        </w:rPr>
        <w:t>4、根据招标清单进行报价。</w:t>
      </w:r>
    </w:p>
    <w:p w14:paraId="4665CCB0">
      <w:pPr>
        <w:spacing w:before="310" w:line="221" w:lineRule="auto"/>
        <w:ind w:left="720"/>
        <w:jc w:val="both"/>
        <w:outlineLvl w:val="1"/>
        <w:rPr>
          <w:rFonts w:hint="eastAsia" w:ascii="宋体" w:hAnsi="宋体" w:eastAsia="宋体" w:cs="宋体"/>
          <w:color w:val="auto"/>
          <w:sz w:val="28"/>
          <w:szCs w:val="28"/>
          <w:highlight w:val="none"/>
        </w:rPr>
      </w:pPr>
      <w:bookmarkStart w:id="66" w:name="_bookmark19"/>
      <w:bookmarkEnd w:id="66"/>
      <w:r>
        <w:rPr>
          <w:rFonts w:hint="eastAsia" w:ascii="宋体" w:hAnsi="宋体" w:eastAsia="宋体" w:cs="宋体"/>
          <w:color w:val="auto"/>
          <w:sz w:val="28"/>
          <w:szCs w:val="28"/>
          <w:highlight w:val="none"/>
        </w:rPr>
        <w:t>格式五：资料一览表</w:t>
      </w:r>
    </w:p>
    <w:p w14:paraId="74314CE7">
      <w:pPr>
        <w:spacing w:line="337" w:lineRule="auto"/>
        <w:jc w:val="both"/>
        <w:rPr>
          <w:rFonts w:hint="eastAsia" w:ascii="宋体" w:hAnsi="宋体" w:eastAsia="宋体" w:cs="宋体"/>
          <w:color w:val="auto"/>
          <w:highlight w:val="none"/>
        </w:rPr>
      </w:pPr>
    </w:p>
    <w:p w14:paraId="401AC7DF">
      <w:pPr>
        <w:spacing w:line="338" w:lineRule="auto"/>
        <w:jc w:val="both"/>
        <w:rPr>
          <w:rFonts w:hint="eastAsia" w:ascii="宋体" w:hAnsi="宋体" w:eastAsia="宋体" w:cs="宋体"/>
          <w:color w:val="auto"/>
          <w:highlight w:val="none"/>
        </w:rPr>
      </w:pPr>
    </w:p>
    <w:p w14:paraId="28B844DF">
      <w:pPr>
        <w:spacing w:before="75" w:line="227" w:lineRule="auto"/>
        <w:ind w:left="252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投标人提供的实质性响应招标文件资料一览表</w:t>
      </w:r>
    </w:p>
    <w:p w14:paraId="3DF29538">
      <w:pPr>
        <w:jc w:val="both"/>
        <w:rPr>
          <w:rFonts w:hint="eastAsia" w:ascii="宋体" w:hAnsi="宋体" w:eastAsia="宋体" w:cs="宋体"/>
          <w:color w:val="auto"/>
          <w:highlight w:val="none"/>
        </w:rPr>
      </w:pPr>
    </w:p>
    <w:p w14:paraId="25BB9CD7">
      <w:pPr>
        <w:spacing w:line="210" w:lineRule="exact"/>
        <w:jc w:val="both"/>
        <w:rPr>
          <w:rFonts w:hint="eastAsia" w:ascii="宋体" w:hAnsi="宋体" w:eastAsia="宋体" w:cs="宋体"/>
          <w:color w:val="auto"/>
          <w:highlight w:val="none"/>
        </w:rPr>
      </w:pPr>
    </w:p>
    <w:tbl>
      <w:tblPr>
        <w:tblStyle w:val="58"/>
        <w:tblW w:w="93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97"/>
        <w:gridCol w:w="3826"/>
        <w:gridCol w:w="2408"/>
        <w:gridCol w:w="2130"/>
      </w:tblGrid>
      <w:tr w14:paraId="334EE4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7860E221">
            <w:pPr>
              <w:spacing w:before="272" w:line="230" w:lineRule="auto"/>
              <w:ind w:left="26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3826" w:type="dxa"/>
          </w:tcPr>
          <w:p w14:paraId="599290B9">
            <w:pPr>
              <w:spacing w:before="272" w:line="229" w:lineRule="auto"/>
              <w:ind w:left="144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2408" w:type="dxa"/>
          </w:tcPr>
          <w:p w14:paraId="0306667A">
            <w:pPr>
              <w:spacing w:before="272" w:line="228" w:lineRule="auto"/>
              <w:jc w:val="center"/>
              <w:rPr>
                <w:rFonts w:hint="default" w:ascii="宋体" w:hAnsi="宋体" w:eastAsia="宋体" w:cs="宋体"/>
                <w:color w:val="auto"/>
                <w:sz w:val="23"/>
                <w:szCs w:val="23"/>
                <w:highlight w:val="none"/>
                <w:lang w:val="en-US" w:eastAsia="zh-CN"/>
              </w:rPr>
            </w:pPr>
            <w:r>
              <w:rPr>
                <w:rFonts w:hint="eastAsia" w:ascii="宋体" w:hAnsi="宋体" w:eastAsia="宋体" w:cs="宋体"/>
                <w:color w:val="auto"/>
                <w:sz w:val="23"/>
                <w:szCs w:val="23"/>
                <w:highlight w:val="none"/>
                <w:lang w:val="en-US" w:eastAsia="zh-CN"/>
              </w:rPr>
              <w:t>在投标文件第x页</w:t>
            </w:r>
          </w:p>
        </w:tc>
        <w:tc>
          <w:tcPr>
            <w:tcW w:w="2130" w:type="dxa"/>
          </w:tcPr>
          <w:p w14:paraId="014320E0">
            <w:pPr>
              <w:spacing w:before="272" w:line="230" w:lineRule="auto"/>
              <w:ind w:left="71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3030BE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59B7A22">
            <w:pPr>
              <w:jc w:val="both"/>
              <w:rPr>
                <w:rFonts w:hint="eastAsia" w:ascii="宋体" w:hAnsi="宋体" w:eastAsia="宋体" w:cs="宋体"/>
                <w:color w:val="auto"/>
                <w:highlight w:val="none"/>
              </w:rPr>
            </w:pPr>
          </w:p>
        </w:tc>
        <w:tc>
          <w:tcPr>
            <w:tcW w:w="3826" w:type="dxa"/>
          </w:tcPr>
          <w:p w14:paraId="5DBD7808">
            <w:pPr>
              <w:jc w:val="both"/>
              <w:rPr>
                <w:rFonts w:hint="eastAsia" w:ascii="宋体" w:hAnsi="宋体" w:eastAsia="宋体" w:cs="宋体"/>
                <w:color w:val="auto"/>
                <w:highlight w:val="none"/>
              </w:rPr>
            </w:pPr>
          </w:p>
        </w:tc>
        <w:tc>
          <w:tcPr>
            <w:tcW w:w="2408" w:type="dxa"/>
          </w:tcPr>
          <w:p w14:paraId="0CFB26F4">
            <w:pPr>
              <w:jc w:val="both"/>
              <w:rPr>
                <w:rFonts w:hint="eastAsia" w:ascii="宋体" w:hAnsi="宋体" w:eastAsia="宋体" w:cs="宋体"/>
                <w:color w:val="auto"/>
                <w:highlight w:val="none"/>
              </w:rPr>
            </w:pPr>
          </w:p>
        </w:tc>
        <w:tc>
          <w:tcPr>
            <w:tcW w:w="2130" w:type="dxa"/>
          </w:tcPr>
          <w:p w14:paraId="6B1ABCC4">
            <w:pPr>
              <w:jc w:val="both"/>
              <w:rPr>
                <w:rFonts w:hint="eastAsia" w:ascii="宋体" w:hAnsi="宋体" w:eastAsia="宋体" w:cs="宋体"/>
                <w:color w:val="auto"/>
                <w:highlight w:val="none"/>
              </w:rPr>
            </w:pPr>
          </w:p>
        </w:tc>
      </w:tr>
      <w:tr w14:paraId="29F5AB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6639D9AE">
            <w:pPr>
              <w:jc w:val="both"/>
              <w:rPr>
                <w:rFonts w:hint="eastAsia" w:ascii="宋体" w:hAnsi="宋体" w:eastAsia="宋体" w:cs="宋体"/>
                <w:color w:val="auto"/>
                <w:highlight w:val="none"/>
              </w:rPr>
            </w:pPr>
          </w:p>
        </w:tc>
        <w:tc>
          <w:tcPr>
            <w:tcW w:w="3826" w:type="dxa"/>
          </w:tcPr>
          <w:p w14:paraId="502520C9">
            <w:pPr>
              <w:jc w:val="both"/>
              <w:rPr>
                <w:rFonts w:hint="eastAsia" w:ascii="宋体" w:hAnsi="宋体" w:eastAsia="宋体" w:cs="宋体"/>
                <w:color w:val="auto"/>
                <w:highlight w:val="none"/>
              </w:rPr>
            </w:pPr>
          </w:p>
        </w:tc>
        <w:tc>
          <w:tcPr>
            <w:tcW w:w="2408" w:type="dxa"/>
          </w:tcPr>
          <w:p w14:paraId="259A0795">
            <w:pPr>
              <w:jc w:val="both"/>
              <w:rPr>
                <w:rFonts w:hint="eastAsia" w:ascii="宋体" w:hAnsi="宋体" w:eastAsia="宋体" w:cs="宋体"/>
                <w:color w:val="auto"/>
                <w:highlight w:val="none"/>
              </w:rPr>
            </w:pPr>
          </w:p>
        </w:tc>
        <w:tc>
          <w:tcPr>
            <w:tcW w:w="2130" w:type="dxa"/>
          </w:tcPr>
          <w:p w14:paraId="06C285F4">
            <w:pPr>
              <w:jc w:val="both"/>
              <w:rPr>
                <w:rFonts w:hint="eastAsia" w:ascii="宋体" w:hAnsi="宋体" w:eastAsia="宋体" w:cs="宋体"/>
                <w:color w:val="auto"/>
                <w:highlight w:val="none"/>
              </w:rPr>
            </w:pPr>
          </w:p>
        </w:tc>
      </w:tr>
      <w:tr w14:paraId="323F7F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81E0A9E">
            <w:pPr>
              <w:jc w:val="both"/>
              <w:rPr>
                <w:rFonts w:hint="eastAsia" w:ascii="宋体" w:hAnsi="宋体" w:eastAsia="宋体" w:cs="宋体"/>
                <w:color w:val="auto"/>
                <w:highlight w:val="none"/>
              </w:rPr>
            </w:pPr>
          </w:p>
        </w:tc>
        <w:tc>
          <w:tcPr>
            <w:tcW w:w="3826" w:type="dxa"/>
          </w:tcPr>
          <w:p w14:paraId="0D480579">
            <w:pPr>
              <w:jc w:val="both"/>
              <w:rPr>
                <w:rFonts w:hint="eastAsia" w:ascii="宋体" w:hAnsi="宋体" w:eastAsia="宋体" w:cs="宋体"/>
                <w:color w:val="auto"/>
                <w:highlight w:val="none"/>
              </w:rPr>
            </w:pPr>
          </w:p>
        </w:tc>
        <w:tc>
          <w:tcPr>
            <w:tcW w:w="2408" w:type="dxa"/>
          </w:tcPr>
          <w:p w14:paraId="28FE4E46">
            <w:pPr>
              <w:jc w:val="both"/>
              <w:rPr>
                <w:rFonts w:hint="eastAsia" w:ascii="宋体" w:hAnsi="宋体" w:eastAsia="宋体" w:cs="宋体"/>
                <w:color w:val="auto"/>
                <w:highlight w:val="none"/>
              </w:rPr>
            </w:pPr>
          </w:p>
        </w:tc>
        <w:tc>
          <w:tcPr>
            <w:tcW w:w="2130" w:type="dxa"/>
          </w:tcPr>
          <w:p w14:paraId="20F82329">
            <w:pPr>
              <w:jc w:val="both"/>
              <w:rPr>
                <w:rFonts w:hint="eastAsia" w:ascii="宋体" w:hAnsi="宋体" w:eastAsia="宋体" w:cs="宋体"/>
                <w:color w:val="auto"/>
                <w:highlight w:val="none"/>
              </w:rPr>
            </w:pPr>
          </w:p>
        </w:tc>
      </w:tr>
      <w:tr w14:paraId="22F977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1F59EF3F">
            <w:pPr>
              <w:jc w:val="both"/>
              <w:rPr>
                <w:rFonts w:hint="eastAsia" w:ascii="宋体" w:hAnsi="宋体" w:eastAsia="宋体" w:cs="宋体"/>
                <w:color w:val="auto"/>
                <w:highlight w:val="none"/>
              </w:rPr>
            </w:pPr>
          </w:p>
        </w:tc>
        <w:tc>
          <w:tcPr>
            <w:tcW w:w="3826" w:type="dxa"/>
          </w:tcPr>
          <w:p w14:paraId="2C6A6650">
            <w:pPr>
              <w:jc w:val="both"/>
              <w:rPr>
                <w:rFonts w:hint="eastAsia" w:ascii="宋体" w:hAnsi="宋体" w:eastAsia="宋体" w:cs="宋体"/>
                <w:color w:val="auto"/>
                <w:highlight w:val="none"/>
              </w:rPr>
            </w:pPr>
          </w:p>
        </w:tc>
        <w:tc>
          <w:tcPr>
            <w:tcW w:w="2408" w:type="dxa"/>
          </w:tcPr>
          <w:p w14:paraId="579BEA52">
            <w:pPr>
              <w:jc w:val="both"/>
              <w:rPr>
                <w:rFonts w:hint="eastAsia" w:ascii="宋体" w:hAnsi="宋体" w:eastAsia="宋体" w:cs="宋体"/>
                <w:color w:val="auto"/>
                <w:highlight w:val="none"/>
              </w:rPr>
            </w:pPr>
          </w:p>
        </w:tc>
        <w:tc>
          <w:tcPr>
            <w:tcW w:w="2130" w:type="dxa"/>
          </w:tcPr>
          <w:p w14:paraId="0578DDEE">
            <w:pPr>
              <w:jc w:val="both"/>
              <w:rPr>
                <w:rFonts w:hint="eastAsia" w:ascii="宋体" w:hAnsi="宋体" w:eastAsia="宋体" w:cs="宋体"/>
                <w:color w:val="auto"/>
                <w:highlight w:val="none"/>
              </w:rPr>
            </w:pPr>
          </w:p>
        </w:tc>
      </w:tr>
      <w:tr w14:paraId="2FAD9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093FDC50">
            <w:pPr>
              <w:jc w:val="both"/>
              <w:rPr>
                <w:rFonts w:hint="eastAsia" w:ascii="宋体" w:hAnsi="宋体" w:eastAsia="宋体" w:cs="宋体"/>
                <w:color w:val="auto"/>
                <w:highlight w:val="none"/>
              </w:rPr>
            </w:pPr>
          </w:p>
        </w:tc>
        <w:tc>
          <w:tcPr>
            <w:tcW w:w="3826" w:type="dxa"/>
          </w:tcPr>
          <w:p w14:paraId="492A3967">
            <w:pPr>
              <w:jc w:val="both"/>
              <w:rPr>
                <w:rFonts w:hint="eastAsia" w:ascii="宋体" w:hAnsi="宋体" w:eastAsia="宋体" w:cs="宋体"/>
                <w:color w:val="auto"/>
                <w:highlight w:val="none"/>
              </w:rPr>
            </w:pPr>
          </w:p>
        </w:tc>
        <w:tc>
          <w:tcPr>
            <w:tcW w:w="2408" w:type="dxa"/>
          </w:tcPr>
          <w:p w14:paraId="3E296597">
            <w:pPr>
              <w:jc w:val="both"/>
              <w:rPr>
                <w:rFonts w:hint="eastAsia" w:ascii="宋体" w:hAnsi="宋体" w:eastAsia="宋体" w:cs="宋体"/>
                <w:color w:val="auto"/>
                <w:highlight w:val="none"/>
              </w:rPr>
            </w:pPr>
          </w:p>
        </w:tc>
        <w:tc>
          <w:tcPr>
            <w:tcW w:w="2130" w:type="dxa"/>
          </w:tcPr>
          <w:p w14:paraId="55EB5673">
            <w:pPr>
              <w:jc w:val="both"/>
              <w:rPr>
                <w:rFonts w:hint="eastAsia" w:ascii="宋体" w:hAnsi="宋体" w:eastAsia="宋体" w:cs="宋体"/>
                <w:color w:val="auto"/>
                <w:highlight w:val="none"/>
              </w:rPr>
            </w:pPr>
          </w:p>
        </w:tc>
      </w:tr>
      <w:tr w14:paraId="3ABC85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4D5665F">
            <w:pPr>
              <w:jc w:val="both"/>
              <w:rPr>
                <w:rFonts w:hint="eastAsia" w:ascii="宋体" w:hAnsi="宋体" w:eastAsia="宋体" w:cs="宋体"/>
                <w:color w:val="auto"/>
                <w:highlight w:val="none"/>
              </w:rPr>
            </w:pPr>
          </w:p>
        </w:tc>
        <w:tc>
          <w:tcPr>
            <w:tcW w:w="3826" w:type="dxa"/>
          </w:tcPr>
          <w:p w14:paraId="50F17395">
            <w:pPr>
              <w:jc w:val="both"/>
              <w:rPr>
                <w:rFonts w:hint="eastAsia" w:ascii="宋体" w:hAnsi="宋体" w:eastAsia="宋体" w:cs="宋体"/>
                <w:color w:val="auto"/>
                <w:highlight w:val="none"/>
              </w:rPr>
            </w:pPr>
          </w:p>
        </w:tc>
        <w:tc>
          <w:tcPr>
            <w:tcW w:w="2408" w:type="dxa"/>
          </w:tcPr>
          <w:p w14:paraId="31D84C46">
            <w:pPr>
              <w:jc w:val="both"/>
              <w:rPr>
                <w:rFonts w:hint="eastAsia" w:ascii="宋体" w:hAnsi="宋体" w:eastAsia="宋体" w:cs="宋体"/>
                <w:color w:val="auto"/>
                <w:highlight w:val="none"/>
              </w:rPr>
            </w:pPr>
          </w:p>
        </w:tc>
        <w:tc>
          <w:tcPr>
            <w:tcW w:w="2130" w:type="dxa"/>
          </w:tcPr>
          <w:p w14:paraId="35D04C6D">
            <w:pPr>
              <w:jc w:val="both"/>
              <w:rPr>
                <w:rFonts w:hint="eastAsia" w:ascii="宋体" w:hAnsi="宋体" w:eastAsia="宋体" w:cs="宋体"/>
                <w:color w:val="auto"/>
                <w:highlight w:val="none"/>
              </w:rPr>
            </w:pPr>
          </w:p>
        </w:tc>
      </w:tr>
      <w:tr w14:paraId="78D53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075F2EC7">
            <w:pPr>
              <w:jc w:val="both"/>
              <w:rPr>
                <w:rFonts w:hint="eastAsia" w:ascii="宋体" w:hAnsi="宋体" w:eastAsia="宋体" w:cs="宋体"/>
                <w:color w:val="auto"/>
                <w:highlight w:val="none"/>
              </w:rPr>
            </w:pPr>
          </w:p>
        </w:tc>
        <w:tc>
          <w:tcPr>
            <w:tcW w:w="3826" w:type="dxa"/>
          </w:tcPr>
          <w:p w14:paraId="0346002A">
            <w:pPr>
              <w:jc w:val="both"/>
              <w:rPr>
                <w:rFonts w:hint="eastAsia" w:ascii="宋体" w:hAnsi="宋体" w:eastAsia="宋体" w:cs="宋体"/>
                <w:color w:val="auto"/>
                <w:highlight w:val="none"/>
              </w:rPr>
            </w:pPr>
          </w:p>
        </w:tc>
        <w:tc>
          <w:tcPr>
            <w:tcW w:w="2408" w:type="dxa"/>
          </w:tcPr>
          <w:p w14:paraId="3FE6045B">
            <w:pPr>
              <w:jc w:val="both"/>
              <w:rPr>
                <w:rFonts w:hint="eastAsia" w:ascii="宋体" w:hAnsi="宋体" w:eastAsia="宋体" w:cs="宋体"/>
                <w:color w:val="auto"/>
                <w:highlight w:val="none"/>
              </w:rPr>
            </w:pPr>
          </w:p>
        </w:tc>
        <w:tc>
          <w:tcPr>
            <w:tcW w:w="2130" w:type="dxa"/>
          </w:tcPr>
          <w:p w14:paraId="3DA7BF39">
            <w:pPr>
              <w:jc w:val="both"/>
              <w:rPr>
                <w:rFonts w:hint="eastAsia" w:ascii="宋体" w:hAnsi="宋体" w:eastAsia="宋体" w:cs="宋体"/>
                <w:color w:val="auto"/>
                <w:highlight w:val="none"/>
              </w:rPr>
            </w:pPr>
          </w:p>
        </w:tc>
      </w:tr>
      <w:tr w14:paraId="60CAB6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7" w:hRule="atLeast"/>
        </w:trPr>
        <w:tc>
          <w:tcPr>
            <w:tcW w:w="997" w:type="dxa"/>
          </w:tcPr>
          <w:p w14:paraId="39D280C9">
            <w:pPr>
              <w:jc w:val="both"/>
              <w:rPr>
                <w:rFonts w:hint="eastAsia" w:ascii="宋体" w:hAnsi="宋体" w:eastAsia="宋体" w:cs="宋体"/>
                <w:color w:val="auto"/>
                <w:highlight w:val="none"/>
              </w:rPr>
            </w:pPr>
          </w:p>
        </w:tc>
        <w:tc>
          <w:tcPr>
            <w:tcW w:w="3826" w:type="dxa"/>
          </w:tcPr>
          <w:p w14:paraId="1BADB7FE">
            <w:pPr>
              <w:jc w:val="both"/>
              <w:rPr>
                <w:rFonts w:hint="eastAsia" w:ascii="宋体" w:hAnsi="宋体" w:eastAsia="宋体" w:cs="宋体"/>
                <w:color w:val="auto"/>
                <w:highlight w:val="none"/>
              </w:rPr>
            </w:pPr>
          </w:p>
        </w:tc>
        <w:tc>
          <w:tcPr>
            <w:tcW w:w="2408" w:type="dxa"/>
          </w:tcPr>
          <w:p w14:paraId="17E2F69B">
            <w:pPr>
              <w:jc w:val="both"/>
              <w:rPr>
                <w:rFonts w:hint="eastAsia" w:ascii="宋体" w:hAnsi="宋体" w:eastAsia="宋体" w:cs="宋体"/>
                <w:color w:val="auto"/>
                <w:highlight w:val="none"/>
              </w:rPr>
            </w:pPr>
          </w:p>
        </w:tc>
        <w:tc>
          <w:tcPr>
            <w:tcW w:w="2130" w:type="dxa"/>
          </w:tcPr>
          <w:p w14:paraId="792FC33B">
            <w:pPr>
              <w:jc w:val="both"/>
              <w:rPr>
                <w:rFonts w:hint="eastAsia" w:ascii="宋体" w:hAnsi="宋体" w:eastAsia="宋体" w:cs="宋体"/>
                <w:color w:val="auto"/>
                <w:highlight w:val="none"/>
              </w:rPr>
            </w:pPr>
          </w:p>
        </w:tc>
      </w:tr>
      <w:tr w14:paraId="04751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7DDD8A7">
            <w:pPr>
              <w:jc w:val="both"/>
              <w:rPr>
                <w:rFonts w:hint="eastAsia" w:ascii="宋体" w:hAnsi="宋体" w:eastAsia="宋体" w:cs="宋体"/>
                <w:color w:val="auto"/>
                <w:highlight w:val="none"/>
              </w:rPr>
            </w:pPr>
          </w:p>
        </w:tc>
        <w:tc>
          <w:tcPr>
            <w:tcW w:w="3826" w:type="dxa"/>
          </w:tcPr>
          <w:p w14:paraId="7101B6D9">
            <w:pPr>
              <w:jc w:val="both"/>
              <w:rPr>
                <w:rFonts w:hint="eastAsia" w:ascii="宋体" w:hAnsi="宋体" w:eastAsia="宋体" w:cs="宋体"/>
                <w:color w:val="auto"/>
                <w:highlight w:val="none"/>
              </w:rPr>
            </w:pPr>
          </w:p>
        </w:tc>
        <w:tc>
          <w:tcPr>
            <w:tcW w:w="2408" w:type="dxa"/>
          </w:tcPr>
          <w:p w14:paraId="14FB41FB">
            <w:pPr>
              <w:jc w:val="both"/>
              <w:rPr>
                <w:rFonts w:hint="eastAsia" w:ascii="宋体" w:hAnsi="宋体" w:eastAsia="宋体" w:cs="宋体"/>
                <w:color w:val="auto"/>
                <w:highlight w:val="none"/>
              </w:rPr>
            </w:pPr>
          </w:p>
        </w:tc>
        <w:tc>
          <w:tcPr>
            <w:tcW w:w="2130" w:type="dxa"/>
          </w:tcPr>
          <w:p w14:paraId="3BBA425A">
            <w:pPr>
              <w:jc w:val="both"/>
              <w:rPr>
                <w:rFonts w:hint="eastAsia" w:ascii="宋体" w:hAnsi="宋体" w:eastAsia="宋体" w:cs="宋体"/>
                <w:color w:val="auto"/>
                <w:highlight w:val="none"/>
              </w:rPr>
            </w:pPr>
          </w:p>
        </w:tc>
      </w:tr>
      <w:tr w14:paraId="20BD96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8" w:hRule="atLeast"/>
        </w:trPr>
        <w:tc>
          <w:tcPr>
            <w:tcW w:w="997" w:type="dxa"/>
          </w:tcPr>
          <w:p w14:paraId="528BBB59">
            <w:pPr>
              <w:jc w:val="both"/>
              <w:rPr>
                <w:rFonts w:hint="eastAsia" w:ascii="宋体" w:hAnsi="宋体" w:eastAsia="宋体" w:cs="宋体"/>
                <w:color w:val="auto"/>
                <w:highlight w:val="none"/>
              </w:rPr>
            </w:pPr>
          </w:p>
        </w:tc>
        <w:tc>
          <w:tcPr>
            <w:tcW w:w="3826" w:type="dxa"/>
          </w:tcPr>
          <w:p w14:paraId="477044B1">
            <w:pPr>
              <w:jc w:val="both"/>
              <w:rPr>
                <w:rFonts w:hint="eastAsia" w:ascii="宋体" w:hAnsi="宋体" w:eastAsia="宋体" w:cs="宋体"/>
                <w:color w:val="auto"/>
                <w:highlight w:val="none"/>
              </w:rPr>
            </w:pPr>
          </w:p>
        </w:tc>
        <w:tc>
          <w:tcPr>
            <w:tcW w:w="2408" w:type="dxa"/>
          </w:tcPr>
          <w:p w14:paraId="242F17EB">
            <w:pPr>
              <w:jc w:val="both"/>
              <w:rPr>
                <w:rFonts w:hint="eastAsia" w:ascii="宋体" w:hAnsi="宋体" w:eastAsia="宋体" w:cs="宋体"/>
                <w:color w:val="auto"/>
                <w:highlight w:val="none"/>
              </w:rPr>
            </w:pPr>
          </w:p>
        </w:tc>
        <w:tc>
          <w:tcPr>
            <w:tcW w:w="2130" w:type="dxa"/>
          </w:tcPr>
          <w:p w14:paraId="42CCD9F2">
            <w:pPr>
              <w:jc w:val="both"/>
              <w:rPr>
                <w:rFonts w:hint="eastAsia" w:ascii="宋体" w:hAnsi="宋体" w:eastAsia="宋体" w:cs="宋体"/>
                <w:color w:val="auto"/>
                <w:highlight w:val="none"/>
              </w:rPr>
            </w:pPr>
          </w:p>
        </w:tc>
      </w:tr>
      <w:tr w14:paraId="724FE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2" w:hRule="atLeast"/>
        </w:trPr>
        <w:tc>
          <w:tcPr>
            <w:tcW w:w="997" w:type="dxa"/>
          </w:tcPr>
          <w:p w14:paraId="59F2D9F4">
            <w:pPr>
              <w:jc w:val="both"/>
              <w:rPr>
                <w:rFonts w:hint="eastAsia" w:ascii="宋体" w:hAnsi="宋体" w:eastAsia="宋体" w:cs="宋体"/>
                <w:color w:val="auto"/>
                <w:highlight w:val="none"/>
              </w:rPr>
            </w:pPr>
          </w:p>
        </w:tc>
        <w:tc>
          <w:tcPr>
            <w:tcW w:w="3826" w:type="dxa"/>
          </w:tcPr>
          <w:p w14:paraId="60AC6C4D">
            <w:pPr>
              <w:jc w:val="both"/>
              <w:rPr>
                <w:rFonts w:hint="eastAsia" w:ascii="宋体" w:hAnsi="宋体" w:eastAsia="宋体" w:cs="宋体"/>
                <w:color w:val="auto"/>
                <w:highlight w:val="none"/>
              </w:rPr>
            </w:pPr>
          </w:p>
        </w:tc>
        <w:tc>
          <w:tcPr>
            <w:tcW w:w="2408" w:type="dxa"/>
          </w:tcPr>
          <w:p w14:paraId="335A6CD7">
            <w:pPr>
              <w:jc w:val="both"/>
              <w:rPr>
                <w:rFonts w:hint="eastAsia" w:ascii="宋体" w:hAnsi="宋体" w:eastAsia="宋体" w:cs="宋体"/>
                <w:color w:val="auto"/>
                <w:highlight w:val="none"/>
              </w:rPr>
            </w:pPr>
          </w:p>
        </w:tc>
        <w:tc>
          <w:tcPr>
            <w:tcW w:w="2130" w:type="dxa"/>
          </w:tcPr>
          <w:p w14:paraId="19567AEC">
            <w:pPr>
              <w:jc w:val="both"/>
              <w:rPr>
                <w:rFonts w:hint="eastAsia" w:ascii="宋体" w:hAnsi="宋体" w:eastAsia="宋体" w:cs="宋体"/>
                <w:color w:val="auto"/>
                <w:highlight w:val="none"/>
              </w:rPr>
            </w:pPr>
          </w:p>
        </w:tc>
      </w:tr>
    </w:tbl>
    <w:p w14:paraId="510CC751">
      <w:pPr>
        <w:spacing w:before="145" w:line="228" w:lineRule="auto"/>
        <w:ind w:left="800"/>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注：本表请按投标人须知前附表3.5.7“一、实质性响应招标文件资料”内容填写。</w:t>
      </w:r>
    </w:p>
    <w:p w14:paraId="488F7842">
      <w:pPr>
        <w:spacing w:line="281" w:lineRule="auto"/>
        <w:jc w:val="both"/>
        <w:rPr>
          <w:rFonts w:hint="eastAsia" w:ascii="宋体" w:hAnsi="宋体" w:eastAsia="宋体" w:cs="宋体"/>
          <w:color w:val="auto"/>
          <w:highlight w:val="none"/>
        </w:rPr>
      </w:pPr>
    </w:p>
    <w:p w14:paraId="65818EB1">
      <w:pPr>
        <w:spacing w:line="282" w:lineRule="auto"/>
        <w:jc w:val="both"/>
        <w:rPr>
          <w:rFonts w:hint="eastAsia" w:ascii="宋体" w:hAnsi="宋体" w:eastAsia="宋体" w:cs="宋体"/>
          <w:color w:val="auto"/>
          <w:highlight w:val="none"/>
        </w:rPr>
      </w:pPr>
    </w:p>
    <w:p w14:paraId="24D5AE7B">
      <w:pPr>
        <w:spacing w:line="282" w:lineRule="auto"/>
        <w:jc w:val="both"/>
        <w:rPr>
          <w:rFonts w:hint="eastAsia" w:ascii="宋体" w:hAnsi="宋体" w:eastAsia="宋体" w:cs="宋体"/>
          <w:color w:val="auto"/>
          <w:highlight w:val="none"/>
        </w:rPr>
      </w:pPr>
    </w:p>
    <w:p w14:paraId="4EE8D596">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761A1964">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3667D021">
      <w:pPr>
        <w:jc w:val="both"/>
        <w:rPr>
          <w:rFonts w:hint="eastAsia" w:ascii="宋体" w:hAnsi="宋体" w:eastAsia="宋体" w:cs="宋体"/>
          <w:color w:val="auto"/>
          <w:highlight w:val="none"/>
        </w:rPr>
        <w:sectPr>
          <w:footerReference r:id="rId21" w:type="default"/>
          <w:pgSz w:w="11907" w:h="16840"/>
          <w:pgMar w:top="1418" w:right="1559" w:bottom="1418" w:left="1474" w:header="0" w:footer="723" w:gutter="0"/>
          <w:cols w:space="720" w:num="1"/>
        </w:sectPr>
      </w:pPr>
    </w:p>
    <w:p w14:paraId="1D5496CA">
      <w:pPr>
        <w:spacing w:line="328" w:lineRule="auto"/>
        <w:jc w:val="both"/>
        <w:rPr>
          <w:rFonts w:hint="eastAsia" w:ascii="宋体" w:hAnsi="宋体" w:eastAsia="宋体" w:cs="宋体"/>
          <w:color w:val="auto"/>
          <w:highlight w:val="none"/>
        </w:rPr>
      </w:pPr>
    </w:p>
    <w:p w14:paraId="0FD53511">
      <w:pPr>
        <w:spacing w:line="328" w:lineRule="auto"/>
        <w:jc w:val="both"/>
        <w:rPr>
          <w:rFonts w:hint="eastAsia" w:ascii="宋体" w:hAnsi="宋体" w:eastAsia="宋体" w:cs="宋体"/>
          <w:color w:val="auto"/>
          <w:highlight w:val="none"/>
        </w:rPr>
      </w:pPr>
    </w:p>
    <w:p w14:paraId="5010EDC5">
      <w:pPr>
        <w:spacing w:before="91" w:line="221" w:lineRule="auto"/>
        <w:ind w:left="578"/>
        <w:jc w:val="both"/>
        <w:outlineLvl w:val="1"/>
        <w:rPr>
          <w:rFonts w:hint="eastAsia" w:ascii="宋体" w:hAnsi="宋体" w:eastAsia="宋体" w:cs="宋体"/>
          <w:color w:val="auto"/>
          <w:sz w:val="28"/>
          <w:szCs w:val="28"/>
          <w:highlight w:val="none"/>
        </w:rPr>
      </w:pPr>
      <w:bookmarkStart w:id="67" w:name="_bookmark20"/>
      <w:bookmarkEnd w:id="67"/>
      <w:r>
        <w:rPr>
          <w:rFonts w:hint="eastAsia" w:ascii="宋体" w:hAnsi="宋体" w:eastAsia="宋体" w:cs="宋体"/>
          <w:color w:val="auto"/>
          <w:sz w:val="28"/>
          <w:szCs w:val="28"/>
          <w:highlight w:val="none"/>
        </w:rPr>
        <w:t>格式六：打分资料一览表</w:t>
      </w:r>
    </w:p>
    <w:p w14:paraId="09B00CC5">
      <w:pPr>
        <w:spacing w:before="312" w:line="227" w:lineRule="auto"/>
        <w:ind w:left="2985"/>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投标人提供的评审打分资料一览表</w:t>
      </w:r>
    </w:p>
    <w:p w14:paraId="1BBF6FE9">
      <w:pPr>
        <w:jc w:val="both"/>
        <w:rPr>
          <w:rFonts w:hint="eastAsia" w:ascii="宋体" w:hAnsi="宋体" w:eastAsia="宋体" w:cs="宋体"/>
          <w:color w:val="auto"/>
          <w:highlight w:val="none"/>
        </w:rPr>
      </w:pPr>
    </w:p>
    <w:p w14:paraId="05DC9243">
      <w:pPr>
        <w:spacing w:line="210" w:lineRule="exact"/>
        <w:jc w:val="both"/>
        <w:rPr>
          <w:rFonts w:hint="eastAsia" w:ascii="宋体" w:hAnsi="宋体" w:eastAsia="宋体" w:cs="宋体"/>
          <w:color w:val="auto"/>
          <w:highlight w:val="none"/>
        </w:rPr>
      </w:pPr>
    </w:p>
    <w:tbl>
      <w:tblPr>
        <w:tblStyle w:val="58"/>
        <w:tblW w:w="921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39"/>
        <w:gridCol w:w="4675"/>
        <w:gridCol w:w="1700"/>
        <w:gridCol w:w="1705"/>
      </w:tblGrid>
      <w:tr w14:paraId="3CE533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58B9A3C0">
            <w:pPr>
              <w:spacing w:before="231" w:line="230" w:lineRule="auto"/>
              <w:ind w:left="336"/>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序号</w:t>
            </w:r>
          </w:p>
        </w:tc>
        <w:tc>
          <w:tcPr>
            <w:tcW w:w="4675" w:type="dxa"/>
          </w:tcPr>
          <w:p w14:paraId="165C7C38">
            <w:pPr>
              <w:spacing w:before="231" w:line="229" w:lineRule="auto"/>
              <w:ind w:left="1874"/>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资料名称</w:t>
            </w:r>
          </w:p>
        </w:tc>
        <w:tc>
          <w:tcPr>
            <w:tcW w:w="1700" w:type="dxa"/>
          </w:tcPr>
          <w:p w14:paraId="1437F66C">
            <w:pPr>
              <w:spacing w:before="231" w:line="228" w:lineRule="auto"/>
              <w:jc w:val="center"/>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lang w:val="en-US" w:eastAsia="zh-CN"/>
              </w:rPr>
              <w:t>在投标文件第x页</w:t>
            </w:r>
          </w:p>
        </w:tc>
        <w:tc>
          <w:tcPr>
            <w:tcW w:w="1705" w:type="dxa"/>
          </w:tcPr>
          <w:p w14:paraId="2595B5E9">
            <w:pPr>
              <w:spacing w:before="231" w:line="230" w:lineRule="auto"/>
              <w:ind w:left="501"/>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备注</w:t>
            </w:r>
          </w:p>
        </w:tc>
      </w:tr>
      <w:tr w14:paraId="0AA84E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7C0DEA97">
            <w:pPr>
              <w:jc w:val="both"/>
              <w:rPr>
                <w:rFonts w:hint="eastAsia" w:ascii="宋体" w:hAnsi="宋体" w:eastAsia="宋体" w:cs="宋体"/>
                <w:color w:val="auto"/>
                <w:highlight w:val="none"/>
              </w:rPr>
            </w:pPr>
          </w:p>
        </w:tc>
        <w:tc>
          <w:tcPr>
            <w:tcW w:w="4675" w:type="dxa"/>
          </w:tcPr>
          <w:p w14:paraId="7EE16772">
            <w:pPr>
              <w:jc w:val="both"/>
              <w:rPr>
                <w:rFonts w:hint="eastAsia" w:ascii="宋体" w:hAnsi="宋体" w:eastAsia="宋体" w:cs="宋体"/>
                <w:color w:val="auto"/>
                <w:highlight w:val="none"/>
              </w:rPr>
            </w:pPr>
          </w:p>
        </w:tc>
        <w:tc>
          <w:tcPr>
            <w:tcW w:w="1700" w:type="dxa"/>
          </w:tcPr>
          <w:p w14:paraId="39BECD28">
            <w:pPr>
              <w:jc w:val="both"/>
              <w:rPr>
                <w:rFonts w:hint="eastAsia" w:ascii="宋体" w:hAnsi="宋体" w:eastAsia="宋体" w:cs="宋体"/>
                <w:color w:val="auto"/>
                <w:highlight w:val="none"/>
              </w:rPr>
            </w:pPr>
          </w:p>
        </w:tc>
        <w:tc>
          <w:tcPr>
            <w:tcW w:w="1705" w:type="dxa"/>
          </w:tcPr>
          <w:p w14:paraId="72BAC2B3">
            <w:pPr>
              <w:jc w:val="both"/>
              <w:rPr>
                <w:rFonts w:hint="eastAsia" w:ascii="宋体" w:hAnsi="宋体" w:eastAsia="宋体" w:cs="宋体"/>
                <w:color w:val="auto"/>
                <w:highlight w:val="none"/>
              </w:rPr>
            </w:pPr>
          </w:p>
        </w:tc>
      </w:tr>
      <w:tr w14:paraId="7C2B10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4954D4A3">
            <w:pPr>
              <w:jc w:val="both"/>
              <w:rPr>
                <w:rFonts w:hint="eastAsia" w:ascii="宋体" w:hAnsi="宋体" w:eastAsia="宋体" w:cs="宋体"/>
                <w:color w:val="auto"/>
                <w:highlight w:val="none"/>
              </w:rPr>
            </w:pPr>
          </w:p>
        </w:tc>
        <w:tc>
          <w:tcPr>
            <w:tcW w:w="4675" w:type="dxa"/>
          </w:tcPr>
          <w:p w14:paraId="58654F1F">
            <w:pPr>
              <w:jc w:val="both"/>
              <w:rPr>
                <w:rFonts w:hint="eastAsia" w:ascii="宋体" w:hAnsi="宋体" w:eastAsia="宋体" w:cs="宋体"/>
                <w:color w:val="auto"/>
                <w:highlight w:val="none"/>
              </w:rPr>
            </w:pPr>
          </w:p>
        </w:tc>
        <w:tc>
          <w:tcPr>
            <w:tcW w:w="1700" w:type="dxa"/>
          </w:tcPr>
          <w:p w14:paraId="12A91800">
            <w:pPr>
              <w:jc w:val="both"/>
              <w:rPr>
                <w:rFonts w:hint="eastAsia" w:ascii="宋体" w:hAnsi="宋体" w:eastAsia="宋体" w:cs="宋体"/>
                <w:color w:val="auto"/>
                <w:highlight w:val="none"/>
              </w:rPr>
            </w:pPr>
          </w:p>
        </w:tc>
        <w:tc>
          <w:tcPr>
            <w:tcW w:w="1705" w:type="dxa"/>
          </w:tcPr>
          <w:p w14:paraId="3BABB609">
            <w:pPr>
              <w:jc w:val="both"/>
              <w:rPr>
                <w:rFonts w:hint="eastAsia" w:ascii="宋体" w:hAnsi="宋体" w:eastAsia="宋体" w:cs="宋体"/>
                <w:color w:val="auto"/>
                <w:highlight w:val="none"/>
              </w:rPr>
            </w:pPr>
          </w:p>
        </w:tc>
      </w:tr>
      <w:tr w14:paraId="34809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2EB9B11F">
            <w:pPr>
              <w:jc w:val="both"/>
              <w:rPr>
                <w:rFonts w:hint="eastAsia" w:ascii="宋体" w:hAnsi="宋体" w:eastAsia="宋体" w:cs="宋体"/>
                <w:color w:val="auto"/>
                <w:highlight w:val="none"/>
              </w:rPr>
            </w:pPr>
          </w:p>
        </w:tc>
        <w:tc>
          <w:tcPr>
            <w:tcW w:w="4675" w:type="dxa"/>
          </w:tcPr>
          <w:p w14:paraId="3B22AECE">
            <w:pPr>
              <w:jc w:val="both"/>
              <w:rPr>
                <w:rFonts w:hint="eastAsia" w:ascii="宋体" w:hAnsi="宋体" w:eastAsia="宋体" w:cs="宋体"/>
                <w:color w:val="auto"/>
                <w:highlight w:val="none"/>
              </w:rPr>
            </w:pPr>
          </w:p>
        </w:tc>
        <w:tc>
          <w:tcPr>
            <w:tcW w:w="1700" w:type="dxa"/>
          </w:tcPr>
          <w:p w14:paraId="4143867E">
            <w:pPr>
              <w:jc w:val="both"/>
              <w:rPr>
                <w:rFonts w:hint="eastAsia" w:ascii="宋体" w:hAnsi="宋体" w:eastAsia="宋体" w:cs="宋体"/>
                <w:color w:val="auto"/>
                <w:highlight w:val="none"/>
              </w:rPr>
            </w:pPr>
          </w:p>
        </w:tc>
        <w:tc>
          <w:tcPr>
            <w:tcW w:w="1705" w:type="dxa"/>
          </w:tcPr>
          <w:p w14:paraId="5C5AB085">
            <w:pPr>
              <w:jc w:val="both"/>
              <w:rPr>
                <w:rFonts w:hint="eastAsia" w:ascii="宋体" w:hAnsi="宋体" w:eastAsia="宋体" w:cs="宋体"/>
                <w:color w:val="auto"/>
                <w:highlight w:val="none"/>
              </w:rPr>
            </w:pPr>
          </w:p>
        </w:tc>
      </w:tr>
      <w:tr w14:paraId="7EF8C6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1139" w:type="dxa"/>
          </w:tcPr>
          <w:p w14:paraId="301A0BCD">
            <w:pPr>
              <w:jc w:val="both"/>
              <w:rPr>
                <w:rFonts w:hint="eastAsia" w:ascii="宋体" w:hAnsi="宋体" w:eastAsia="宋体" w:cs="宋体"/>
                <w:color w:val="auto"/>
                <w:highlight w:val="none"/>
              </w:rPr>
            </w:pPr>
          </w:p>
        </w:tc>
        <w:tc>
          <w:tcPr>
            <w:tcW w:w="4675" w:type="dxa"/>
          </w:tcPr>
          <w:p w14:paraId="53F81D7E">
            <w:pPr>
              <w:jc w:val="both"/>
              <w:rPr>
                <w:rFonts w:hint="eastAsia" w:ascii="宋体" w:hAnsi="宋体" w:eastAsia="宋体" w:cs="宋体"/>
                <w:color w:val="auto"/>
                <w:highlight w:val="none"/>
              </w:rPr>
            </w:pPr>
          </w:p>
        </w:tc>
        <w:tc>
          <w:tcPr>
            <w:tcW w:w="1700" w:type="dxa"/>
          </w:tcPr>
          <w:p w14:paraId="4A244EDE">
            <w:pPr>
              <w:jc w:val="both"/>
              <w:rPr>
                <w:rFonts w:hint="eastAsia" w:ascii="宋体" w:hAnsi="宋体" w:eastAsia="宋体" w:cs="宋体"/>
                <w:color w:val="auto"/>
                <w:highlight w:val="none"/>
              </w:rPr>
            </w:pPr>
          </w:p>
        </w:tc>
        <w:tc>
          <w:tcPr>
            <w:tcW w:w="1705" w:type="dxa"/>
          </w:tcPr>
          <w:p w14:paraId="6875BF93">
            <w:pPr>
              <w:jc w:val="both"/>
              <w:rPr>
                <w:rFonts w:hint="eastAsia" w:ascii="宋体" w:hAnsi="宋体" w:eastAsia="宋体" w:cs="宋体"/>
                <w:color w:val="auto"/>
                <w:highlight w:val="none"/>
              </w:rPr>
            </w:pPr>
          </w:p>
        </w:tc>
      </w:tr>
      <w:tr w14:paraId="5F3C3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5519EB7F">
            <w:pPr>
              <w:jc w:val="both"/>
              <w:rPr>
                <w:rFonts w:hint="eastAsia" w:ascii="宋体" w:hAnsi="宋体" w:eastAsia="宋体" w:cs="宋体"/>
                <w:color w:val="auto"/>
                <w:highlight w:val="none"/>
              </w:rPr>
            </w:pPr>
          </w:p>
        </w:tc>
        <w:tc>
          <w:tcPr>
            <w:tcW w:w="4675" w:type="dxa"/>
          </w:tcPr>
          <w:p w14:paraId="0768C3AD">
            <w:pPr>
              <w:jc w:val="both"/>
              <w:rPr>
                <w:rFonts w:hint="eastAsia" w:ascii="宋体" w:hAnsi="宋体" w:eastAsia="宋体" w:cs="宋体"/>
                <w:color w:val="auto"/>
                <w:highlight w:val="none"/>
              </w:rPr>
            </w:pPr>
          </w:p>
        </w:tc>
        <w:tc>
          <w:tcPr>
            <w:tcW w:w="1700" w:type="dxa"/>
          </w:tcPr>
          <w:p w14:paraId="648FF96A">
            <w:pPr>
              <w:jc w:val="both"/>
              <w:rPr>
                <w:rFonts w:hint="eastAsia" w:ascii="宋体" w:hAnsi="宋体" w:eastAsia="宋体" w:cs="宋体"/>
                <w:color w:val="auto"/>
                <w:highlight w:val="none"/>
              </w:rPr>
            </w:pPr>
          </w:p>
        </w:tc>
        <w:tc>
          <w:tcPr>
            <w:tcW w:w="1705" w:type="dxa"/>
          </w:tcPr>
          <w:p w14:paraId="55C5C027">
            <w:pPr>
              <w:jc w:val="both"/>
              <w:rPr>
                <w:rFonts w:hint="eastAsia" w:ascii="宋体" w:hAnsi="宋体" w:eastAsia="宋体" w:cs="宋体"/>
                <w:color w:val="auto"/>
                <w:highlight w:val="none"/>
              </w:rPr>
            </w:pPr>
          </w:p>
        </w:tc>
      </w:tr>
      <w:tr w14:paraId="2B014A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0" w:hRule="atLeast"/>
        </w:trPr>
        <w:tc>
          <w:tcPr>
            <w:tcW w:w="1139" w:type="dxa"/>
          </w:tcPr>
          <w:p w14:paraId="6006C241">
            <w:pPr>
              <w:jc w:val="both"/>
              <w:rPr>
                <w:rFonts w:hint="eastAsia" w:ascii="宋体" w:hAnsi="宋体" w:eastAsia="宋体" w:cs="宋体"/>
                <w:color w:val="auto"/>
                <w:highlight w:val="none"/>
              </w:rPr>
            </w:pPr>
          </w:p>
        </w:tc>
        <w:tc>
          <w:tcPr>
            <w:tcW w:w="4675" w:type="dxa"/>
          </w:tcPr>
          <w:p w14:paraId="2858BED6">
            <w:pPr>
              <w:jc w:val="both"/>
              <w:rPr>
                <w:rFonts w:hint="eastAsia" w:ascii="宋体" w:hAnsi="宋体" w:eastAsia="宋体" w:cs="宋体"/>
                <w:color w:val="auto"/>
                <w:highlight w:val="none"/>
              </w:rPr>
            </w:pPr>
          </w:p>
        </w:tc>
        <w:tc>
          <w:tcPr>
            <w:tcW w:w="1700" w:type="dxa"/>
          </w:tcPr>
          <w:p w14:paraId="52701E54">
            <w:pPr>
              <w:jc w:val="both"/>
              <w:rPr>
                <w:rFonts w:hint="eastAsia" w:ascii="宋体" w:hAnsi="宋体" w:eastAsia="宋体" w:cs="宋体"/>
                <w:color w:val="auto"/>
                <w:highlight w:val="none"/>
              </w:rPr>
            </w:pPr>
          </w:p>
        </w:tc>
        <w:tc>
          <w:tcPr>
            <w:tcW w:w="1705" w:type="dxa"/>
          </w:tcPr>
          <w:p w14:paraId="07EACAAC">
            <w:pPr>
              <w:jc w:val="both"/>
              <w:rPr>
                <w:rFonts w:hint="eastAsia" w:ascii="宋体" w:hAnsi="宋体" w:eastAsia="宋体" w:cs="宋体"/>
                <w:color w:val="auto"/>
                <w:highlight w:val="none"/>
              </w:rPr>
            </w:pPr>
          </w:p>
        </w:tc>
      </w:tr>
      <w:tr w14:paraId="41AA29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4" w:hRule="atLeast"/>
        </w:trPr>
        <w:tc>
          <w:tcPr>
            <w:tcW w:w="1139" w:type="dxa"/>
          </w:tcPr>
          <w:p w14:paraId="2232647D">
            <w:pPr>
              <w:jc w:val="both"/>
              <w:rPr>
                <w:rFonts w:hint="eastAsia" w:ascii="宋体" w:hAnsi="宋体" w:eastAsia="宋体" w:cs="宋体"/>
                <w:color w:val="auto"/>
                <w:highlight w:val="none"/>
              </w:rPr>
            </w:pPr>
          </w:p>
        </w:tc>
        <w:tc>
          <w:tcPr>
            <w:tcW w:w="4675" w:type="dxa"/>
          </w:tcPr>
          <w:p w14:paraId="1ACE95F5">
            <w:pPr>
              <w:jc w:val="both"/>
              <w:rPr>
                <w:rFonts w:hint="eastAsia" w:ascii="宋体" w:hAnsi="宋体" w:eastAsia="宋体" w:cs="宋体"/>
                <w:color w:val="auto"/>
                <w:highlight w:val="none"/>
              </w:rPr>
            </w:pPr>
          </w:p>
        </w:tc>
        <w:tc>
          <w:tcPr>
            <w:tcW w:w="1700" w:type="dxa"/>
          </w:tcPr>
          <w:p w14:paraId="05A9418B">
            <w:pPr>
              <w:jc w:val="both"/>
              <w:rPr>
                <w:rFonts w:hint="eastAsia" w:ascii="宋体" w:hAnsi="宋体" w:eastAsia="宋体" w:cs="宋体"/>
                <w:color w:val="auto"/>
                <w:highlight w:val="none"/>
              </w:rPr>
            </w:pPr>
          </w:p>
        </w:tc>
        <w:tc>
          <w:tcPr>
            <w:tcW w:w="1705" w:type="dxa"/>
          </w:tcPr>
          <w:p w14:paraId="4165EA3D">
            <w:pPr>
              <w:jc w:val="both"/>
              <w:rPr>
                <w:rFonts w:hint="eastAsia" w:ascii="宋体" w:hAnsi="宋体" w:eastAsia="宋体" w:cs="宋体"/>
                <w:color w:val="auto"/>
                <w:highlight w:val="none"/>
              </w:rPr>
            </w:pPr>
          </w:p>
        </w:tc>
      </w:tr>
    </w:tbl>
    <w:p w14:paraId="6B54B4FF">
      <w:pPr>
        <w:spacing w:before="146" w:line="232" w:lineRule="auto"/>
        <w:ind w:left="538"/>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注：本表请按投标人须知前附表3.5.7“二、评审打分资料”内容填写。</w:t>
      </w:r>
    </w:p>
    <w:p w14:paraId="3A03F158">
      <w:pPr>
        <w:spacing w:line="255" w:lineRule="auto"/>
        <w:jc w:val="both"/>
        <w:rPr>
          <w:rFonts w:hint="eastAsia" w:ascii="宋体" w:hAnsi="宋体" w:eastAsia="宋体" w:cs="宋体"/>
          <w:color w:val="auto"/>
          <w:highlight w:val="none"/>
        </w:rPr>
      </w:pPr>
    </w:p>
    <w:p w14:paraId="6A0940DD">
      <w:pPr>
        <w:spacing w:line="255" w:lineRule="auto"/>
        <w:jc w:val="both"/>
        <w:rPr>
          <w:rFonts w:hint="eastAsia" w:ascii="宋体" w:hAnsi="宋体" w:eastAsia="宋体" w:cs="宋体"/>
          <w:color w:val="auto"/>
          <w:highlight w:val="none"/>
        </w:rPr>
      </w:pPr>
    </w:p>
    <w:p w14:paraId="54CECE87">
      <w:pPr>
        <w:spacing w:line="255" w:lineRule="auto"/>
        <w:jc w:val="both"/>
        <w:rPr>
          <w:rFonts w:hint="eastAsia" w:ascii="宋体" w:hAnsi="宋体" w:eastAsia="宋体" w:cs="宋体"/>
          <w:color w:val="auto"/>
          <w:highlight w:val="none"/>
        </w:rPr>
      </w:pPr>
    </w:p>
    <w:p w14:paraId="5D15B328">
      <w:pPr>
        <w:spacing w:line="255" w:lineRule="auto"/>
        <w:jc w:val="both"/>
        <w:rPr>
          <w:rFonts w:hint="eastAsia" w:ascii="宋体" w:hAnsi="宋体" w:eastAsia="宋体" w:cs="宋体"/>
          <w:color w:val="auto"/>
          <w:highlight w:val="none"/>
        </w:rPr>
      </w:pPr>
    </w:p>
    <w:p w14:paraId="735D44D8">
      <w:pPr>
        <w:spacing w:line="256" w:lineRule="auto"/>
        <w:jc w:val="both"/>
        <w:rPr>
          <w:rFonts w:hint="eastAsia" w:ascii="宋体" w:hAnsi="宋体" w:eastAsia="宋体" w:cs="宋体"/>
          <w:color w:val="auto"/>
          <w:highlight w:val="none"/>
        </w:rPr>
      </w:pPr>
    </w:p>
    <w:p w14:paraId="384D89AD">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rPr>
        <w:t>投标人：</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 xml:space="preserve"> (盖章)</w:t>
      </w:r>
    </w:p>
    <w:p w14:paraId="48B0E15B">
      <w:pPr>
        <w:tabs>
          <w:tab w:val="left" w:pos="7132"/>
        </w:tabs>
        <w:spacing w:before="75" w:line="384" w:lineRule="auto"/>
        <w:ind w:left="6162" w:right="203" w:hanging="1187"/>
        <w:jc w:val="both"/>
        <w:rPr>
          <w:rFonts w:hint="eastAsia" w:ascii="宋体" w:hAnsi="宋体" w:eastAsia="宋体" w:cs="宋体"/>
          <w:color w:val="auto"/>
          <w:sz w:val="23"/>
          <w:szCs w:val="23"/>
          <w:highlight w:val="none"/>
        </w:rPr>
      </w:pP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年</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月</w:t>
      </w:r>
      <w:r>
        <w:rPr>
          <w:rFonts w:hint="eastAsia" w:ascii="宋体" w:hAnsi="宋体" w:eastAsia="宋体" w:cs="宋体"/>
          <w:color w:val="auto"/>
          <w:sz w:val="23"/>
          <w:szCs w:val="23"/>
          <w:highlight w:val="none"/>
          <w:u w:val="single"/>
        </w:rPr>
        <w:t xml:space="preserve">    </w:t>
      </w:r>
      <w:r>
        <w:rPr>
          <w:rFonts w:hint="eastAsia" w:ascii="宋体" w:hAnsi="宋体" w:eastAsia="宋体" w:cs="宋体"/>
          <w:color w:val="auto"/>
          <w:sz w:val="23"/>
          <w:szCs w:val="23"/>
          <w:highlight w:val="none"/>
        </w:rPr>
        <w:t>日</w:t>
      </w:r>
    </w:p>
    <w:p w14:paraId="2DB06A1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52D301E0">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20E59CC">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95929A8">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BEFEF9A">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924572B">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4F613E52">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14012770">
      <w:pPr>
        <w:spacing w:before="91" w:line="221" w:lineRule="auto"/>
        <w:ind w:left="578"/>
        <w:jc w:val="both"/>
        <w:outlineLvl w:val="1"/>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格式七：投标人基本情况</w:t>
      </w:r>
    </w:p>
    <w:p w14:paraId="61F1B45D">
      <w:pPr>
        <w:spacing w:line="360" w:lineRule="auto"/>
        <w:jc w:val="center"/>
        <w:outlineLvl w:val="0"/>
        <w:rPr>
          <w:rFonts w:hint="eastAsia" w:ascii="宋体" w:hAnsi="宋体" w:eastAsia="宋体" w:cs="宋体"/>
          <w:b/>
          <w:bCs/>
          <w:color w:val="auto"/>
          <w:highlight w:val="none"/>
        </w:rPr>
      </w:pPr>
      <w:r>
        <w:rPr>
          <w:rFonts w:hint="eastAsia" w:ascii="宋体" w:hAnsi="宋体" w:eastAsia="宋体" w:cs="宋体"/>
          <w:b/>
          <w:bCs/>
          <w:color w:val="auto"/>
          <w:highlight w:val="none"/>
        </w:rPr>
        <w:t>投标人基本情况</w:t>
      </w:r>
    </w:p>
    <w:p w14:paraId="363C8742">
      <w:pPr>
        <w:spacing w:line="360" w:lineRule="auto"/>
        <w:ind w:firstLine="316" w:firstLineChars="150"/>
        <w:jc w:val="center"/>
        <w:rPr>
          <w:rFonts w:hint="eastAsia" w:ascii="宋体" w:hAnsi="宋体" w:eastAsia="宋体" w:cs="宋体"/>
          <w:b/>
          <w:bCs/>
          <w:color w:val="auto"/>
          <w:highlight w:val="none"/>
        </w:rPr>
      </w:pPr>
    </w:p>
    <w:tbl>
      <w:tblPr>
        <w:tblStyle w:val="31"/>
        <w:tblW w:w="9186"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843"/>
        <w:gridCol w:w="993"/>
        <w:gridCol w:w="1134"/>
        <w:gridCol w:w="1275"/>
        <w:gridCol w:w="1389"/>
        <w:gridCol w:w="173"/>
        <w:gridCol w:w="1038"/>
        <w:gridCol w:w="1341"/>
      </w:tblGrid>
      <w:tr w14:paraId="29CD7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3AEF22B">
            <w:pPr>
              <w:rPr>
                <w:rFonts w:hint="eastAsia" w:ascii="宋体" w:hAnsi="宋体" w:eastAsia="宋体" w:cs="宋体"/>
                <w:color w:val="auto"/>
                <w:highlight w:val="none"/>
              </w:rPr>
            </w:pPr>
            <w:r>
              <w:rPr>
                <w:rFonts w:hint="eastAsia" w:ascii="宋体" w:hAnsi="宋体" w:eastAsia="宋体" w:cs="宋体"/>
                <w:color w:val="auto"/>
                <w:highlight w:val="none"/>
              </w:rPr>
              <w:t>投标人名称</w:t>
            </w:r>
          </w:p>
        </w:tc>
        <w:tc>
          <w:tcPr>
            <w:tcW w:w="7343" w:type="dxa"/>
            <w:gridSpan w:val="7"/>
            <w:tcBorders>
              <w:top w:val="single" w:color="auto" w:sz="4" w:space="0"/>
              <w:left w:val="nil"/>
              <w:bottom w:val="single" w:color="auto" w:sz="4" w:space="0"/>
              <w:right w:val="single" w:color="auto" w:sz="4" w:space="0"/>
            </w:tcBorders>
            <w:noWrap/>
            <w:vAlign w:val="center"/>
          </w:tcPr>
          <w:p w14:paraId="57BEF7BD">
            <w:pPr>
              <w:rPr>
                <w:rFonts w:hint="eastAsia" w:ascii="宋体" w:hAnsi="宋体" w:eastAsia="宋体" w:cs="宋体"/>
                <w:color w:val="auto"/>
                <w:highlight w:val="none"/>
              </w:rPr>
            </w:pPr>
          </w:p>
        </w:tc>
      </w:tr>
      <w:tr w14:paraId="21FD8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41DE137D">
            <w:pPr>
              <w:rPr>
                <w:rFonts w:hint="eastAsia" w:ascii="宋体" w:hAnsi="宋体" w:eastAsia="宋体" w:cs="宋体"/>
                <w:color w:val="auto"/>
                <w:highlight w:val="none"/>
              </w:rPr>
            </w:pPr>
            <w:r>
              <w:rPr>
                <w:rFonts w:hint="eastAsia" w:ascii="宋体" w:hAnsi="宋体" w:eastAsia="宋体" w:cs="宋体"/>
                <w:color w:val="auto"/>
                <w:highlight w:val="none"/>
              </w:rPr>
              <w:t>注册地址</w:t>
            </w:r>
          </w:p>
        </w:tc>
        <w:tc>
          <w:tcPr>
            <w:tcW w:w="3402" w:type="dxa"/>
            <w:gridSpan w:val="3"/>
            <w:tcBorders>
              <w:top w:val="single" w:color="auto" w:sz="4" w:space="0"/>
              <w:left w:val="nil"/>
              <w:bottom w:val="single" w:color="auto" w:sz="4" w:space="0"/>
              <w:right w:val="single" w:color="auto" w:sz="4" w:space="0"/>
            </w:tcBorders>
            <w:noWrap/>
            <w:vAlign w:val="center"/>
          </w:tcPr>
          <w:p w14:paraId="4B9FE1A3">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B42DEF9">
            <w:pPr>
              <w:rPr>
                <w:rFonts w:hint="eastAsia" w:ascii="宋体" w:hAnsi="宋体" w:eastAsia="宋体" w:cs="宋体"/>
                <w:color w:val="auto"/>
                <w:highlight w:val="none"/>
              </w:rPr>
            </w:pPr>
            <w:r>
              <w:rPr>
                <w:rFonts w:hint="eastAsia" w:ascii="宋体" w:hAnsi="宋体" w:eastAsia="宋体" w:cs="宋体"/>
                <w:color w:val="auto"/>
                <w:highlight w:val="none"/>
              </w:rPr>
              <w:t>邮政编码</w:t>
            </w:r>
          </w:p>
        </w:tc>
        <w:tc>
          <w:tcPr>
            <w:tcW w:w="2552" w:type="dxa"/>
            <w:gridSpan w:val="3"/>
            <w:tcBorders>
              <w:top w:val="single" w:color="auto" w:sz="4" w:space="0"/>
              <w:left w:val="nil"/>
              <w:bottom w:val="single" w:color="auto" w:sz="4" w:space="0"/>
              <w:right w:val="single" w:color="auto" w:sz="4" w:space="0"/>
            </w:tcBorders>
            <w:noWrap/>
            <w:vAlign w:val="center"/>
          </w:tcPr>
          <w:p w14:paraId="65700EEF">
            <w:pPr>
              <w:rPr>
                <w:rFonts w:hint="eastAsia" w:ascii="宋体" w:hAnsi="宋体" w:eastAsia="宋体" w:cs="宋体"/>
                <w:color w:val="auto"/>
                <w:highlight w:val="none"/>
              </w:rPr>
            </w:pPr>
          </w:p>
        </w:tc>
      </w:tr>
      <w:tr w14:paraId="6A3BF2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843" w:type="dxa"/>
            <w:vMerge w:val="restart"/>
            <w:tcBorders>
              <w:top w:val="nil"/>
              <w:left w:val="single" w:color="auto" w:sz="4" w:space="0"/>
              <w:bottom w:val="single" w:color="auto" w:sz="4" w:space="0"/>
              <w:right w:val="single" w:color="auto" w:sz="4" w:space="0"/>
            </w:tcBorders>
            <w:noWrap/>
            <w:vAlign w:val="center"/>
          </w:tcPr>
          <w:p w14:paraId="46379939">
            <w:pPr>
              <w:rPr>
                <w:rFonts w:hint="eastAsia" w:ascii="宋体" w:hAnsi="宋体" w:eastAsia="宋体" w:cs="宋体"/>
                <w:color w:val="auto"/>
                <w:highlight w:val="none"/>
              </w:rPr>
            </w:pPr>
            <w:r>
              <w:rPr>
                <w:rFonts w:hint="eastAsia" w:ascii="宋体" w:hAnsi="宋体" w:eastAsia="宋体" w:cs="宋体"/>
                <w:color w:val="auto"/>
                <w:highlight w:val="none"/>
              </w:rPr>
              <w:t>联系方式</w:t>
            </w:r>
          </w:p>
        </w:tc>
        <w:tc>
          <w:tcPr>
            <w:tcW w:w="993" w:type="dxa"/>
            <w:tcBorders>
              <w:top w:val="single" w:color="auto" w:sz="4" w:space="0"/>
              <w:left w:val="nil"/>
              <w:bottom w:val="single" w:color="auto" w:sz="4" w:space="0"/>
              <w:right w:val="single" w:color="auto" w:sz="4" w:space="0"/>
            </w:tcBorders>
            <w:noWrap/>
            <w:vAlign w:val="center"/>
          </w:tcPr>
          <w:p w14:paraId="6C1C2D06">
            <w:pPr>
              <w:rPr>
                <w:rFonts w:hint="eastAsia" w:ascii="宋体" w:hAnsi="宋体" w:eastAsia="宋体" w:cs="宋体"/>
                <w:color w:val="auto"/>
                <w:highlight w:val="none"/>
              </w:rPr>
            </w:pPr>
            <w:r>
              <w:rPr>
                <w:rFonts w:hint="eastAsia" w:ascii="宋体" w:hAnsi="宋体" w:eastAsia="宋体" w:cs="宋体"/>
                <w:color w:val="auto"/>
                <w:highlight w:val="none"/>
              </w:rPr>
              <w:t>联系人</w:t>
            </w:r>
          </w:p>
        </w:tc>
        <w:tc>
          <w:tcPr>
            <w:tcW w:w="2409" w:type="dxa"/>
            <w:gridSpan w:val="2"/>
            <w:tcBorders>
              <w:top w:val="single" w:color="auto" w:sz="4" w:space="0"/>
              <w:left w:val="nil"/>
              <w:bottom w:val="single" w:color="auto" w:sz="4" w:space="0"/>
              <w:right w:val="single" w:color="auto" w:sz="4" w:space="0"/>
            </w:tcBorders>
            <w:noWrap/>
            <w:vAlign w:val="center"/>
          </w:tcPr>
          <w:p w14:paraId="71D3CD7B">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0C7B95AE">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2552" w:type="dxa"/>
            <w:gridSpan w:val="3"/>
            <w:tcBorders>
              <w:top w:val="single" w:color="auto" w:sz="4" w:space="0"/>
              <w:left w:val="nil"/>
              <w:bottom w:val="single" w:color="auto" w:sz="4" w:space="0"/>
              <w:right w:val="single" w:color="auto" w:sz="4" w:space="0"/>
            </w:tcBorders>
            <w:noWrap/>
            <w:vAlign w:val="center"/>
          </w:tcPr>
          <w:p w14:paraId="4169B3D8">
            <w:pPr>
              <w:rPr>
                <w:rFonts w:hint="eastAsia" w:ascii="宋体" w:hAnsi="宋体" w:eastAsia="宋体" w:cs="宋体"/>
                <w:color w:val="auto"/>
                <w:highlight w:val="none"/>
              </w:rPr>
            </w:pPr>
          </w:p>
        </w:tc>
      </w:tr>
      <w:tr w14:paraId="61F929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vMerge w:val="continue"/>
            <w:tcBorders>
              <w:top w:val="nil"/>
              <w:left w:val="single" w:color="auto" w:sz="4" w:space="0"/>
              <w:bottom w:val="single" w:color="auto" w:sz="4" w:space="0"/>
              <w:right w:val="single" w:color="auto" w:sz="4" w:space="0"/>
            </w:tcBorders>
            <w:vAlign w:val="center"/>
          </w:tcPr>
          <w:p w14:paraId="1891F9D8">
            <w:pPr>
              <w:autoSpaceDE/>
              <w:autoSpaceDN/>
              <w:adjustRightInd/>
              <w:rPr>
                <w:rFonts w:hint="eastAsia" w:ascii="宋体" w:hAnsi="宋体" w:eastAsia="宋体" w:cs="宋体"/>
                <w:color w:val="auto"/>
                <w:highlight w:val="none"/>
              </w:rPr>
            </w:pPr>
          </w:p>
        </w:tc>
        <w:tc>
          <w:tcPr>
            <w:tcW w:w="993" w:type="dxa"/>
            <w:tcBorders>
              <w:top w:val="single" w:color="auto" w:sz="4" w:space="0"/>
              <w:left w:val="nil"/>
              <w:bottom w:val="single" w:color="auto" w:sz="4" w:space="0"/>
              <w:right w:val="single" w:color="auto" w:sz="4" w:space="0"/>
            </w:tcBorders>
            <w:noWrap/>
            <w:vAlign w:val="center"/>
          </w:tcPr>
          <w:p w14:paraId="77DE6162">
            <w:pPr>
              <w:rPr>
                <w:rFonts w:hint="eastAsia" w:ascii="宋体" w:hAnsi="宋体" w:eastAsia="宋体" w:cs="宋体"/>
                <w:color w:val="auto"/>
                <w:highlight w:val="none"/>
              </w:rPr>
            </w:pPr>
            <w:r>
              <w:rPr>
                <w:rFonts w:hint="eastAsia" w:ascii="宋体" w:hAnsi="宋体" w:eastAsia="宋体" w:cs="宋体"/>
                <w:color w:val="auto"/>
                <w:highlight w:val="none"/>
              </w:rPr>
              <w:t>传真</w:t>
            </w:r>
          </w:p>
        </w:tc>
        <w:tc>
          <w:tcPr>
            <w:tcW w:w="2409" w:type="dxa"/>
            <w:gridSpan w:val="2"/>
            <w:tcBorders>
              <w:top w:val="single" w:color="auto" w:sz="4" w:space="0"/>
              <w:left w:val="nil"/>
              <w:bottom w:val="single" w:color="auto" w:sz="4" w:space="0"/>
              <w:right w:val="single" w:color="auto" w:sz="4" w:space="0"/>
            </w:tcBorders>
            <w:noWrap/>
            <w:vAlign w:val="center"/>
          </w:tcPr>
          <w:p w14:paraId="008CAB01">
            <w:pPr>
              <w:rPr>
                <w:rFonts w:hint="eastAsia" w:ascii="宋体" w:hAnsi="宋体" w:eastAsia="宋体" w:cs="宋体"/>
                <w:color w:val="auto"/>
                <w:highlight w:val="none"/>
              </w:rPr>
            </w:pPr>
          </w:p>
        </w:tc>
        <w:tc>
          <w:tcPr>
            <w:tcW w:w="1389" w:type="dxa"/>
            <w:tcBorders>
              <w:top w:val="single" w:color="auto" w:sz="4" w:space="0"/>
              <w:left w:val="nil"/>
              <w:bottom w:val="single" w:color="auto" w:sz="4" w:space="0"/>
              <w:right w:val="single" w:color="auto" w:sz="4" w:space="0"/>
            </w:tcBorders>
            <w:noWrap/>
            <w:vAlign w:val="center"/>
          </w:tcPr>
          <w:p w14:paraId="2588D10F">
            <w:pPr>
              <w:rPr>
                <w:rFonts w:hint="eastAsia" w:ascii="宋体" w:hAnsi="宋体" w:eastAsia="宋体" w:cs="宋体"/>
                <w:color w:val="auto"/>
                <w:highlight w:val="none"/>
              </w:rPr>
            </w:pPr>
            <w:r>
              <w:rPr>
                <w:rFonts w:hint="eastAsia" w:ascii="宋体" w:hAnsi="宋体" w:eastAsia="宋体" w:cs="宋体"/>
                <w:color w:val="auto"/>
                <w:highlight w:val="none"/>
              </w:rPr>
              <w:t>网址</w:t>
            </w:r>
          </w:p>
        </w:tc>
        <w:tc>
          <w:tcPr>
            <w:tcW w:w="2552" w:type="dxa"/>
            <w:gridSpan w:val="3"/>
            <w:tcBorders>
              <w:top w:val="single" w:color="auto" w:sz="4" w:space="0"/>
              <w:left w:val="nil"/>
              <w:bottom w:val="single" w:color="auto" w:sz="4" w:space="0"/>
              <w:right w:val="single" w:color="auto" w:sz="4" w:space="0"/>
            </w:tcBorders>
            <w:noWrap/>
            <w:vAlign w:val="center"/>
          </w:tcPr>
          <w:p w14:paraId="004EA059">
            <w:pPr>
              <w:rPr>
                <w:rFonts w:hint="eastAsia" w:ascii="宋体" w:hAnsi="宋体" w:eastAsia="宋体" w:cs="宋体"/>
                <w:color w:val="auto"/>
                <w:highlight w:val="none"/>
              </w:rPr>
            </w:pPr>
          </w:p>
        </w:tc>
      </w:tr>
      <w:tr w14:paraId="4330C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21840B48">
            <w:pPr>
              <w:rPr>
                <w:rFonts w:hint="eastAsia" w:ascii="宋体" w:hAnsi="宋体" w:eastAsia="宋体" w:cs="宋体"/>
                <w:color w:val="auto"/>
                <w:highlight w:val="none"/>
              </w:rPr>
            </w:pPr>
            <w:r>
              <w:rPr>
                <w:rFonts w:hint="eastAsia" w:ascii="宋体" w:hAnsi="宋体" w:eastAsia="宋体" w:cs="宋体"/>
                <w:color w:val="auto"/>
                <w:highlight w:val="none"/>
              </w:rPr>
              <w:t>组织结构</w:t>
            </w:r>
          </w:p>
        </w:tc>
        <w:tc>
          <w:tcPr>
            <w:tcW w:w="7343" w:type="dxa"/>
            <w:gridSpan w:val="7"/>
            <w:tcBorders>
              <w:top w:val="single" w:color="auto" w:sz="4" w:space="0"/>
              <w:left w:val="nil"/>
              <w:bottom w:val="single" w:color="auto" w:sz="4" w:space="0"/>
              <w:right w:val="single" w:color="auto" w:sz="4" w:space="0"/>
            </w:tcBorders>
            <w:noWrap/>
            <w:vAlign w:val="center"/>
          </w:tcPr>
          <w:p w14:paraId="3BED5A8D">
            <w:pPr>
              <w:rPr>
                <w:rFonts w:hint="eastAsia" w:ascii="宋体" w:hAnsi="宋体" w:eastAsia="宋体" w:cs="宋体"/>
                <w:color w:val="auto"/>
                <w:highlight w:val="none"/>
              </w:rPr>
            </w:pPr>
          </w:p>
        </w:tc>
      </w:tr>
      <w:tr w14:paraId="3678EB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77BCAC0">
            <w:pPr>
              <w:rPr>
                <w:rFonts w:hint="eastAsia" w:ascii="宋体" w:hAnsi="宋体" w:eastAsia="宋体" w:cs="宋体"/>
                <w:color w:val="auto"/>
                <w:highlight w:val="none"/>
              </w:rPr>
            </w:pPr>
            <w:r>
              <w:rPr>
                <w:rFonts w:hint="eastAsia" w:ascii="宋体" w:hAnsi="宋体" w:eastAsia="宋体" w:cs="宋体"/>
                <w:color w:val="auto"/>
                <w:highlight w:val="none"/>
              </w:rPr>
              <w:t>法定代表人</w:t>
            </w:r>
          </w:p>
        </w:tc>
        <w:tc>
          <w:tcPr>
            <w:tcW w:w="993" w:type="dxa"/>
            <w:tcBorders>
              <w:top w:val="single" w:color="auto" w:sz="4" w:space="0"/>
              <w:left w:val="nil"/>
              <w:bottom w:val="single" w:color="auto" w:sz="4" w:space="0"/>
              <w:right w:val="single" w:color="auto" w:sz="4" w:space="0"/>
            </w:tcBorders>
            <w:noWrap/>
            <w:vAlign w:val="center"/>
          </w:tcPr>
          <w:p w14:paraId="3A1FB3F6">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35DE4CD6">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4AC2F191">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3D572B89">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301C56C8">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26391DF1">
            <w:pPr>
              <w:rPr>
                <w:rFonts w:hint="eastAsia" w:ascii="宋体" w:hAnsi="宋体" w:eastAsia="宋体" w:cs="宋体"/>
                <w:color w:val="auto"/>
                <w:highlight w:val="none"/>
              </w:rPr>
            </w:pPr>
          </w:p>
        </w:tc>
      </w:tr>
      <w:tr w14:paraId="6ED92F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1352D136">
            <w:pPr>
              <w:rPr>
                <w:rFonts w:hint="eastAsia" w:ascii="宋体" w:hAnsi="宋体" w:eastAsia="宋体" w:cs="宋体"/>
                <w:color w:val="auto"/>
                <w:highlight w:val="none"/>
              </w:rPr>
            </w:pPr>
            <w:r>
              <w:rPr>
                <w:rFonts w:hint="eastAsia" w:ascii="宋体" w:hAnsi="宋体" w:eastAsia="宋体" w:cs="宋体"/>
                <w:color w:val="auto"/>
                <w:highlight w:val="none"/>
              </w:rPr>
              <w:t>技术负责人</w:t>
            </w:r>
          </w:p>
        </w:tc>
        <w:tc>
          <w:tcPr>
            <w:tcW w:w="993" w:type="dxa"/>
            <w:tcBorders>
              <w:top w:val="single" w:color="auto" w:sz="4" w:space="0"/>
              <w:left w:val="nil"/>
              <w:bottom w:val="single" w:color="auto" w:sz="4" w:space="0"/>
              <w:right w:val="single" w:color="auto" w:sz="4" w:space="0"/>
            </w:tcBorders>
            <w:noWrap/>
            <w:vAlign w:val="center"/>
          </w:tcPr>
          <w:p w14:paraId="2DB0ACB5">
            <w:pPr>
              <w:rPr>
                <w:rFonts w:hint="eastAsia" w:ascii="宋体" w:hAnsi="宋体" w:eastAsia="宋体" w:cs="宋体"/>
                <w:color w:val="auto"/>
                <w:highlight w:val="none"/>
              </w:rPr>
            </w:pPr>
            <w:r>
              <w:rPr>
                <w:rFonts w:hint="eastAsia" w:ascii="宋体" w:hAnsi="宋体" w:eastAsia="宋体" w:cs="宋体"/>
                <w:color w:val="auto"/>
                <w:highlight w:val="none"/>
              </w:rPr>
              <w:t>姓名</w:t>
            </w:r>
          </w:p>
        </w:tc>
        <w:tc>
          <w:tcPr>
            <w:tcW w:w="1134" w:type="dxa"/>
            <w:tcBorders>
              <w:top w:val="single" w:color="auto" w:sz="4" w:space="0"/>
              <w:left w:val="nil"/>
              <w:bottom w:val="single" w:color="auto" w:sz="4" w:space="0"/>
              <w:right w:val="single" w:color="auto" w:sz="4" w:space="0"/>
            </w:tcBorders>
            <w:noWrap/>
            <w:vAlign w:val="center"/>
          </w:tcPr>
          <w:p w14:paraId="7E2929DC">
            <w:pPr>
              <w:rPr>
                <w:rFonts w:hint="eastAsia" w:ascii="宋体" w:hAnsi="宋体" w:eastAsia="宋体" w:cs="宋体"/>
                <w:color w:val="auto"/>
                <w:highlight w:val="none"/>
              </w:rPr>
            </w:pPr>
          </w:p>
        </w:tc>
        <w:tc>
          <w:tcPr>
            <w:tcW w:w="1275" w:type="dxa"/>
            <w:tcBorders>
              <w:top w:val="single" w:color="auto" w:sz="4" w:space="0"/>
              <w:left w:val="nil"/>
              <w:bottom w:val="single" w:color="auto" w:sz="4" w:space="0"/>
              <w:right w:val="single" w:color="auto" w:sz="4" w:space="0"/>
            </w:tcBorders>
            <w:noWrap/>
            <w:vAlign w:val="center"/>
          </w:tcPr>
          <w:p w14:paraId="1ABA94F3">
            <w:pPr>
              <w:rPr>
                <w:rFonts w:hint="eastAsia" w:ascii="宋体" w:hAnsi="宋体" w:eastAsia="宋体" w:cs="宋体"/>
                <w:color w:val="auto"/>
                <w:highlight w:val="none"/>
              </w:rPr>
            </w:pPr>
            <w:r>
              <w:rPr>
                <w:rFonts w:hint="eastAsia" w:ascii="宋体" w:hAnsi="宋体" w:eastAsia="宋体" w:cs="宋体"/>
                <w:color w:val="auto"/>
                <w:highlight w:val="none"/>
              </w:rPr>
              <w:t>技术职称</w:t>
            </w:r>
          </w:p>
        </w:tc>
        <w:tc>
          <w:tcPr>
            <w:tcW w:w="1562" w:type="dxa"/>
            <w:gridSpan w:val="2"/>
            <w:tcBorders>
              <w:top w:val="single" w:color="auto" w:sz="4" w:space="0"/>
              <w:left w:val="nil"/>
              <w:bottom w:val="single" w:color="auto" w:sz="4" w:space="0"/>
              <w:right w:val="single" w:color="auto" w:sz="4" w:space="0"/>
            </w:tcBorders>
            <w:noWrap/>
            <w:vAlign w:val="center"/>
          </w:tcPr>
          <w:p w14:paraId="2A38B835">
            <w:pPr>
              <w:rPr>
                <w:rFonts w:hint="eastAsia" w:ascii="宋体" w:hAnsi="宋体" w:eastAsia="宋体" w:cs="宋体"/>
                <w:color w:val="auto"/>
                <w:highlight w:val="none"/>
              </w:rPr>
            </w:pPr>
          </w:p>
        </w:tc>
        <w:tc>
          <w:tcPr>
            <w:tcW w:w="1038" w:type="dxa"/>
            <w:tcBorders>
              <w:top w:val="single" w:color="auto" w:sz="4" w:space="0"/>
              <w:left w:val="nil"/>
              <w:bottom w:val="single" w:color="auto" w:sz="4" w:space="0"/>
              <w:right w:val="single" w:color="auto" w:sz="4" w:space="0"/>
            </w:tcBorders>
            <w:noWrap/>
            <w:vAlign w:val="center"/>
          </w:tcPr>
          <w:p w14:paraId="6F1CB075">
            <w:pPr>
              <w:rPr>
                <w:rFonts w:hint="eastAsia" w:ascii="宋体" w:hAnsi="宋体" w:eastAsia="宋体" w:cs="宋体"/>
                <w:color w:val="auto"/>
                <w:highlight w:val="none"/>
              </w:rPr>
            </w:pPr>
            <w:r>
              <w:rPr>
                <w:rFonts w:hint="eastAsia" w:ascii="宋体" w:hAnsi="宋体" w:eastAsia="宋体" w:cs="宋体"/>
                <w:color w:val="auto"/>
                <w:highlight w:val="none"/>
              </w:rPr>
              <w:t>电话</w:t>
            </w:r>
          </w:p>
        </w:tc>
        <w:tc>
          <w:tcPr>
            <w:tcW w:w="1341" w:type="dxa"/>
            <w:tcBorders>
              <w:top w:val="single" w:color="auto" w:sz="4" w:space="0"/>
              <w:left w:val="nil"/>
              <w:bottom w:val="single" w:color="auto" w:sz="4" w:space="0"/>
              <w:right w:val="single" w:color="auto" w:sz="4" w:space="0"/>
            </w:tcBorders>
            <w:noWrap/>
            <w:vAlign w:val="center"/>
          </w:tcPr>
          <w:p w14:paraId="1E5A59BC">
            <w:pPr>
              <w:rPr>
                <w:rFonts w:hint="eastAsia" w:ascii="宋体" w:hAnsi="宋体" w:eastAsia="宋体" w:cs="宋体"/>
                <w:color w:val="auto"/>
                <w:highlight w:val="none"/>
              </w:rPr>
            </w:pPr>
          </w:p>
        </w:tc>
      </w:tr>
      <w:tr w14:paraId="2855B8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DB3FCB1">
            <w:pPr>
              <w:rPr>
                <w:rFonts w:hint="eastAsia" w:ascii="宋体" w:hAnsi="宋体" w:eastAsia="宋体" w:cs="宋体"/>
                <w:color w:val="auto"/>
                <w:highlight w:val="none"/>
              </w:rPr>
            </w:pPr>
            <w:r>
              <w:rPr>
                <w:rFonts w:hint="eastAsia" w:ascii="宋体" w:hAnsi="宋体" w:eastAsia="宋体" w:cs="宋体"/>
                <w:color w:val="auto"/>
                <w:highlight w:val="none"/>
              </w:rPr>
              <w:t>成立时间</w:t>
            </w:r>
          </w:p>
        </w:tc>
        <w:tc>
          <w:tcPr>
            <w:tcW w:w="2127" w:type="dxa"/>
            <w:gridSpan w:val="2"/>
            <w:tcBorders>
              <w:top w:val="single" w:color="auto" w:sz="4" w:space="0"/>
              <w:left w:val="nil"/>
              <w:bottom w:val="single" w:color="auto" w:sz="4" w:space="0"/>
              <w:right w:val="single" w:color="auto" w:sz="4" w:space="0"/>
            </w:tcBorders>
            <w:noWrap/>
            <w:vAlign w:val="center"/>
          </w:tcPr>
          <w:p w14:paraId="2885A9F4">
            <w:pPr>
              <w:rPr>
                <w:rFonts w:hint="eastAsia" w:ascii="宋体" w:hAnsi="宋体" w:eastAsia="宋体" w:cs="宋体"/>
                <w:color w:val="auto"/>
                <w:highlight w:val="none"/>
              </w:rPr>
            </w:pPr>
          </w:p>
        </w:tc>
        <w:tc>
          <w:tcPr>
            <w:tcW w:w="5216" w:type="dxa"/>
            <w:gridSpan w:val="5"/>
            <w:tcBorders>
              <w:top w:val="single" w:color="auto" w:sz="4" w:space="0"/>
              <w:left w:val="nil"/>
              <w:bottom w:val="single" w:color="auto" w:sz="4" w:space="0"/>
              <w:right w:val="single" w:color="auto" w:sz="4" w:space="0"/>
            </w:tcBorders>
            <w:noWrap/>
            <w:vAlign w:val="center"/>
          </w:tcPr>
          <w:p w14:paraId="5CA1A3F8">
            <w:pPr>
              <w:rPr>
                <w:rFonts w:hint="eastAsia" w:ascii="宋体" w:hAnsi="宋体" w:eastAsia="宋体" w:cs="宋体"/>
                <w:color w:val="auto"/>
                <w:highlight w:val="none"/>
              </w:rPr>
            </w:pPr>
            <w:r>
              <w:rPr>
                <w:rFonts w:hint="eastAsia" w:ascii="宋体" w:hAnsi="宋体" w:eastAsia="宋体" w:cs="宋体"/>
                <w:color w:val="auto"/>
                <w:highlight w:val="none"/>
              </w:rPr>
              <w:t>员工总人数：</w:t>
            </w:r>
          </w:p>
        </w:tc>
      </w:tr>
      <w:tr w14:paraId="748448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06700F74">
            <w:pPr>
              <w:rPr>
                <w:rFonts w:hint="eastAsia" w:ascii="宋体" w:hAnsi="宋体" w:eastAsia="宋体" w:cs="宋体"/>
                <w:color w:val="auto"/>
                <w:highlight w:val="none"/>
              </w:rPr>
            </w:pPr>
            <w:r>
              <w:rPr>
                <w:rFonts w:hint="eastAsia" w:ascii="宋体" w:hAnsi="宋体" w:eastAsia="宋体" w:cs="宋体"/>
                <w:color w:val="auto"/>
                <w:highlight w:val="none"/>
              </w:rPr>
              <w:t>企业资质等级</w:t>
            </w:r>
          </w:p>
        </w:tc>
        <w:tc>
          <w:tcPr>
            <w:tcW w:w="2127" w:type="dxa"/>
            <w:gridSpan w:val="2"/>
            <w:tcBorders>
              <w:top w:val="single" w:color="auto" w:sz="4" w:space="0"/>
              <w:left w:val="nil"/>
              <w:bottom w:val="single" w:color="auto" w:sz="4" w:space="0"/>
              <w:right w:val="single" w:color="auto" w:sz="4" w:space="0"/>
            </w:tcBorders>
            <w:noWrap/>
            <w:vAlign w:val="center"/>
          </w:tcPr>
          <w:p w14:paraId="6C855E89">
            <w:pPr>
              <w:rPr>
                <w:rFonts w:hint="eastAsia" w:ascii="宋体" w:hAnsi="宋体" w:eastAsia="宋体" w:cs="宋体"/>
                <w:color w:val="auto"/>
                <w:highlight w:val="none"/>
              </w:rPr>
            </w:pPr>
          </w:p>
        </w:tc>
        <w:tc>
          <w:tcPr>
            <w:tcW w:w="1275" w:type="dxa"/>
            <w:vMerge w:val="restart"/>
            <w:tcBorders>
              <w:top w:val="nil"/>
              <w:left w:val="nil"/>
              <w:bottom w:val="single" w:color="auto" w:sz="4" w:space="0"/>
              <w:right w:val="single" w:color="auto" w:sz="4" w:space="0"/>
            </w:tcBorders>
            <w:noWrap/>
            <w:vAlign w:val="center"/>
          </w:tcPr>
          <w:p w14:paraId="041F17A8">
            <w:pPr>
              <w:rPr>
                <w:rFonts w:hint="eastAsia" w:ascii="宋体" w:hAnsi="宋体" w:eastAsia="宋体" w:cs="宋体"/>
                <w:color w:val="auto"/>
                <w:highlight w:val="none"/>
              </w:rPr>
            </w:pPr>
            <w:r>
              <w:rPr>
                <w:rFonts w:hint="eastAsia" w:ascii="宋体" w:hAnsi="宋体" w:eastAsia="宋体" w:cs="宋体"/>
                <w:color w:val="auto"/>
                <w:highlight w:val="none"/>
              </w:rPr>
              <w:t>其中</w:t>
            </w:r>
          </w:p>
        </w:tc>
        <w:tc>
          <w:tcPr>
            <w:tcW w:w="1562" w:type="dxa"/>
            <w:gridSpan w:val="2"/>
            <w:tcBorders>
              <w:top w:val="single" w:color="auto" w:sz="4" w:space="0"/>
              <w:left w:val="nil"/>
              <w:bottom w:val="single" w:color="auto" w:sz="4" w:space="0"/>
              <w:right w:val="single" w:color="auto" w:sz="4" w:space="0"/>
            </w:tcBorders>
            <w:noWrap/>
            <w:vAlign w:val="center"/>
          </w:tcPr>
          <w:p w14:paraId="2EB5E503">
            <w:pPr>
              <w:rPr>
                <w:rFonts w:hint="eastAsia" w:ascii="宋体" w:hAnsi="宋体" w:eastAsia="宋体" w:cs="宋体"/>
                <w:color w:val="auto"/>
                <w:highlight w:val="none"/>
              </w:rPr>
            </w:pPr>
            <w:r>
              <w:rPr>
                <w:rFonts w:hint="eastAsia" w:ascii="宋体" w:hAnsi="宋体" w:eastAsia="宋体" w:cs="宋体"/>
                <w:color w:val="auto"/>
                <w:highlight w:val="none"/>
              </w:rPr>
              <w:t>项目负责人</w:t>
            </w:r>
          </w:p>
        </w:tc>
        <w:tc>
          <w:tcPr>
            <w:tcW w:w="2379" w:type="dxa"/>
            <w:gridSpan w:val="2"/>
            <w:tcBorders>
              <w:top w:val="single" w:color="auto" w:sz="4" w:space="0"/>
              <w:left w:val="nil"/>
              <w:bottom w:val="single" w:color="auto" w:sz="4" w:space="0"/>
              <w:right w:val="single" w:color="auto" w:sz="4" w:space="0"/>
            </w:tcBorders>
            <w:noWrap/>
            <w:vAlign w:val="center"/>
          </w:tcPr>
          <w:p w14:paraId="6D173D36">
            <w:pPr>
              <w:rPr>
                <w:rFonts w:hint="eastAsia" w:ascii="宋体" w:hAnsi="宋体" w:eastAsia="宋体" w:cs="宋体"/>
                <w:color w:val="auto"/>
                <w:highlight w:val="none"/>
              </w:rPr>
            </w:pPr>
          </w:p>
        </w:tc>
      </w:tr>
      <w:tr w14:paraId="33E63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FD41603">
            <w:pPr>
              <w:rPr>
                <w:rFonts w:hint="eastAsia" w:ascii="宋体" w:hAnsi="宋体" w:eastAsia="宋体" w:cs="宋体"/>
                <w:color w:val="auto"/>
                <w:highlight w:val="none"/>
              </w:rPr>
            </w:pPr>
            <w:r>
              <w:rPr>
                <w:rFonts w:hint="eastAsia" w:ascii="宋体" w:hAnsi="宋体" w:eastAsia="宋体" w:cs="宋体"/>
                <w:color w:val="auto"/>
                <w:highlight w:val="none"/>
              </w:rPr>
              <w:t>营业执照号</w:t>
            </w:r>
          </w:p>
        </w:tc>
        <w:tc>
          <w:tcPr>
            <w:tcW w:w="2127" w:type="dxa"/>
            <w:gridSpan w:val="2"/>
            <w:tcBorders>
              <w:top w:val="single" w:color="auto" w:sz="4" w:space="0"/>
              <w:left w:val="nil"/>
              <w:bottom w:val="single" w:color="auto" w:sz="4" w:space="0"/>
              <w:right w:val="single" w:color="auto" w:sz="4" w:space="0"/>
            </w:tcBorders>
            <w:noWrap/>
            <w:vAlign w:val="center"/>
          </w:tcPr>
          <w:p w14:paraId="5B1ECDAE">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121074D8">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0BAC07D3">
            <w:pPr>
              <w:rPr>
                <w:rFonts w:hint="eastAsia" w:ascii="宋体" w:hAnsi="宋体" w:eastAsia="宋体" w:cs="宋体"/>
                <w:color w:val="auto"/>
                <w:highlight w:val="none"/>
              </w:rPr>
            </w:pPr>
            <w:r>
              <w:rPr>
                <w:rFonts w:hint="eastAsia" w:ascii="宋体" w:hAnsi="宋体" w:eastAsia="宋体" w:cs="宋体"/>
                <w:color w:val="auto"/>
                <w:highlight w:val="none"/>
              </w:rPr>
              <w:t>高级职称人员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2BB3E2FC">
            <w:pPr>
              <w:rPr>
                <w:rFonts w:hint="eastAsia" w:ascii="宋体" w:hAnsi="宋体" w:eastAsia="宋体" w:cs="宋体"/>
                <w:color w:val="auto"/>
                <w:highlight w:val="none"/>
              </w:rPr>
            </w:pPr>
          </w:p>
        </w:tc>
      </w:tr>
      <w:tr w14:paraId="79F2C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DC2937D">
            <w:pPr>
              <w:rPr>
                <w:rFonts w:hint="eastAsia" w:ascii="宋体" w:hAnsi="宋体" w:eastAsia="宋体" w:cs="宋体"/>
                <w:color w:val="auto"/>
                <w:highlight w:val="none"/>
              </w:rPr>
            </w:pPr>
            <w:r>
              <w:rPr>
                <w:rFonts w:hint="eastAsia" w:ascii="宋体" w:hAnsi="宋体" w:eastAsia="宋体" w:cs="宋体"/>
                <w:color w:val="auto"/>
                <w:highlight w:val="none"/>
              </w:rPr>
              <w:t>注册资金</w:t>
            </w:r>
          </w:p>
        </w:tc>
        <w:tc>
          <w:tcPr>
            <w:tcW w:w="2127" w:type="dxa"/>
            <w:gridSpan w:val="2"/>
            <w:tcBorders>
              <w:top w:val="single" w:color="auto" w:sz="4" w:space="0"/>
              <w:left w:val="nil"/>
              <w:bottom w:val="single" w:color="auto" w:sz="4" w:space="0"/>
              <w:right w:val="single" w:color="auto" w:sz="4" w:space="0"/>
            </w:tcBorders>
            <w:noWrap/>
            <w:vAlign w:val="center"/>
          </w:tcPr>
          <w:p w14:paraId="7E2C3463">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041A678B">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1E28FF47">
            <w:pPr>
              <w:rPr>
                <w:rFonts w:hint="eastAsia" w:ascii="宋体" w:hAnsi="宋体" w:eastAsia="宋体" w:cs="宋体"/>
                <w:color w:val="auto"/>
                <w:highlight w:val="none"/>
              </w:rPr>
            </w:pPr>
            <w:r>
              <w:rPr>
                <w:rFonts w:hint="eastAsia" w:ascii="宋体" w:hAnsi="宋体" w:eastAsia="宋体" w:cs="宋体"/>
                <w:color w:val="auto"/>
                <w:highlight w:val="none"/>
              </w:rPr>
              <w:t>中级职称人员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427905D2">
            <w:pPr>
              <w:rPr>
                <w:rFonts w:hint="eastAsia" w:ascii="宋体" w:hAnsi="宋体" w:eastAsia="宋体" w:cs="宋体"/>
                <w:color w:val="auto"/>
                <w:highlight w:val="none"/>
              </w:rPr>
            </w:pPr>
          </w:p>
        </w:tc>
      </w:tr>
      <w:tr w14:paraId="088539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3"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35595DDE">
            <w:pPr>
              <w:rPr>
                <w:rFonts w:hint="eastAsia" w:ascii="宋体" w:hAnsi="宋体" w:eastAsia="宋体" w:cs="宋体"/>
                <w:color w:val="auto"/>
                <w:highlight w:val="none"/>
              </w:rPr>
            </w:pPr>
            <w:r>
              <w:rPr>
                <w:rFonts w:hint="eastAsia" w:ascii="宋体" w:hAnsi="宋体" w:eastAsia="宋体" w:cs="宋体"/>
                <w:color w:val="auto"/>
                <w:highlight w:val="none"/>
              </w:rPr>
              <w:t>开户银行</w:t>
            </w:r>
          </w:p>
        </w:tc>
        <w:tc>
          <w:tcPr>
            <w:tcW w:w="2127" w:type="dxa"/>
            <w:gridSpan w:val="2"/>
            <w:tcBorders>
              <w:top w:val="single" w:color="auto" w:sz="4" w:space="0"/>
              <w:left w:val="nil"/>
              <w:bottom w:val="single" w:color="auto" w:sz="4" w:space="0"/>
              <w:right w:val="single" w:color="auto" w:sz="4" w:space="0"/>
            </w:tcBorders>
            <w:noWrap/>
            <w:vAlign w:val="center"/>
          </w:tcPr>
          <w:p w14:paraId="614A27D5">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6A1E4B37">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51AF78AB">
            <w:pPr>
              <w:rPr>
                <w:rFonts w:hint="eastAsia" w:ascii="宋体" w:hAnsi="宋体" w:eastAsia="宋体" w:cs="宋体"/>
                <w:color w:val="auto"/>
                <w:highlight w:val="none"/>
              </w:rPr>
            </w:pPr>
            <w:r>
              <w:rPr>
                <w:rFonts w:hint="eastAsia" w:ascii="宋体" w:hAnsi="宋体" w:eastAsia="宋体" w:cs="宋体"/>
                <w:color w:val="auto"/>
                <w:highlight w:val="none"/>
              </w:rPr>
              <w:t>初级职称人员</w:t>
            </w:r>
          </w:p>
        </w:tc>
        <w:tc>
          <w:tcPr>
            <w:tcW w:w="2379" w:type="dxa"/>
            <w:gridSpan w:val="2"/>
            <w:tcBorders>
              <w:top w:val="single" w:color="auto" w:sz="4" w:space="0"/>
              <w:left w:val="nil"/>
              <w:bottom w:val="single" w:color="auto" w:sz="4" w:space="0"/>
              <w:right w:val="single" w:color="auto" w:sz="4" w:space="0"/>
            </w:tcBorders>
            <w:noWrap/>
            <w:vAlign w:val="center"/>
          </w:tcPr>
          <w:p w14:paraId="54B03B97">
            <w:pPr>
              <w:rPr>
                <w:rFonts w:hint="eastAsia" w:ascii="宋体" w:hAnsi="宋体" w:eastAsia="宋体" w:cs="宋体"/>
                <w:color w:val="auto"/>
                <w:highlight w:val="none"/>
              </w:rPr>
            </w:pPr>
          </w:p>
        </w:tc>
      </w:tr>
      <w:tr w14:paraId="31A9D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2523230">
            <w:pPr>
              <w:rPr>
                <w:rFonts w:hint="eastAsia" w:ascii="宋体" w:hAnsi="宋体" w:eastAsia="宋体" w:cs="宋体"/>
                <w:color w:val="auto"/>
                <w:highlight w:val="none"/>
              </w:rPr>
            </w:pPr>
            <w:r>
              <w:rPr>
                <w:rFonts w:hint="eastAsia" w:ascii="宋体" w:hAnsi="宋体" w:eastAsia="宋体" w:cs="宋体"/>
                <w:color w:val="auto"/>
                <w:highlight w:val="none"/>
              </w:rPr>
              <w:t>账号</w:t>
            </w:r>
          </w:p>
        </w:tc>
        <w:tc>
          <w:tcPr>
            <w:tcW w:w="2127" w:type="dxa"/>
            <w:gridSpan w:val="2"/>
            <w:tcBorders>
              <w:top w:val="single" w:color="auto" w:sz="4" w:space="0"/>
              <w:left w:val="nil"/>
              <w:bottom w:val="single" w:color="auto" w:sz="4" w:space="0"/>
              <w:right w:val="single" w:color="auto" w:sz="4" w:space="0"/>
            </w:tcBorders>
            <w:noWrap/>
            <w:vAlign w:val="center"/>
          </w:tcPr>
          <w:p w14:paraId="75A6EA5C">
            <w:pPr>
              <w:rPr>
                <w:rFonts w:hint="eastAsia" w:ascii="宋体" w:hAnsi="宋体" w:eastAsia="宋体" w:cs="宋体"/>
                <w:color w:val="auto"/>
                <w:highlight w:val="none"/>
              </w:rPr>
            </w:pPr>
          </w:p>
        </w:tc>
        <w:tc>
          <w:tcPr>
            <w:tcW w:w="5216" w:type="dxa"/>
            <w:vMerge w:val="continue"/>
            <w:tcBorders>
              <w:top w:val="nil"/>
              <w:left w:val="nil"/>
              <w:bottom w:val="single" w:color="auto" w:sz="4" w:space="0"/>
              <w:right w:val="single" w:color="auto" w:sz="4" w:space="0"/>
            </w:tcBorders>
            <w:vAlign w:val="center"/>
          </w:tcPr>
          <w:p w14:paraId="3DEB04ED">
            <w:pPr>
              <w:autoSpaceDE/>
              <w:autoSpaceDN/>
              <w:adjustRightInd/>
              <w:rPr>
                <w:rFonts w:hint="eastAsia" w:ascii="宋体" w:hAnsi="宋体" w:eastAsia="宋体" w:cs="宋体"/>
                <w:color w:val="auto"/>
                <w:highlight w:val="none"/>
              </w:rPr>
            </w:pPr>
          </w:p>
        </w:tc>
        <w:tc>
          <w:tcPr>
            <w:tcW w:w="1562" w:type="dxa"/>
            <w:gridSpan w:val="2"/>
            <w:tcBorders>
              <w:top w:val="single" w:color="auto" w:sz="4" w:space="0"/>
              <w:left w:val="nil"/>
              <w:bottom w:val="single" w:color="auto" w:sz="4" w:space="0"/>
              <w:right w:val="single" w:color="auto" w:sz="4" w:space="0"/>
            </w:tcBorders>
            <w:noWrap/>
            <w:vAlign w:val="center"/>
          </w:tcPr>
          <w:p w14:paraId="2F0A5EFB">
            <w:pPr>
              <w:rPr>
                <w:rFonts w:hint="eastAsia" w:ascii="宋体" w:hAnsi="宋体" w:eastAsia="宋体" w:cs="宋体"/>
                <w:color w:val="auto"/>
                <w:highlight w:val="none"/>
              </w:rPr>
            </w:pPr>
            <w:r>
              <w:rPr>
                <w:rFonts w:hint="eastAsia" w:ascii="宋体" w:hAnsi="宋体" w:eastAsia="宋体" w:cs="宋体"/>
                <w:color w:val="auto"/>
                <w:highlight w:val="none"/>
              </w:rPr>
              <w:t>技工</w:t>
            </w:r>
          </w:p>
        </w:tc>
        <w:tc>
          <w:tcPr>
            <w:tcW w:w="2379" w:type="dxa"/>
            <w:gridSpan w:val="2"/>
            <w:tcBorders>
              <w:top w:val="single" w:color="auto" w:sz="4" w:space="0"/>
              <w:left w:val="nil"/>
              <w:bottom w:val="single" w:color="auto" w:sz="4" w:space="0"/>
              <w:right w:val="single" w:color="auto" w:sz="4" w:space="0"/>
            </w:tcBorders>
            <w:noWrap/>
            <w:vAlign w:val="center"/>
          </w:tcPr>
          <w:p w14:paraId="1047C6B8">
            <w:pPr>
              <w:rPr>
                <w:rFonts w:hint="eastAsia" w:ascii="宋体" w:hAnsi="宋体" w:eastAsia="宋体" w:cs="宋体"/>
                <w:color w:val="auto"/>
                <w:highlight w:val="none"/>
              </w:rPr>
            </w:pPr>
          </w:p>
        </w:tc>
      </w:tr>
      <w:tr w14:paraId="5FA6B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2" w:hRule="atLeast"/>
        </w:trPr>
        <w:tc>
          <w:tcPr>
            <w:tcW w:w="1843" w:type="dxa"/>
            <w:tcBorders>
              <w:top w:val="single" w:color="auto" w:sz="4" w:space="0"/>
              <w:left w:val="single" w:color="auto" w:sz="4" w:space="0"/>
              <w:bottom w:val="single" w:color="auto" w:sz="4" w:space="0"/>
              <w:right w:val="single" w:color="auto" w:sz="4" w:space="0"/>
            </w:tcBorders>
            <w:noWrap/>
            <w:vAlign w:val="center"/>
          </w:tcPr>
          <w:p w14:paraId="78CEA83C">
            <w:pPr>
              <w:rPr>
                <w:rFonts w:hint="eastAsia" w:ascii="宋体" w:hAnsi="宋体" w:eastAsia="宋体" w:cs="宋体"/>
                <w:color w:val="auto"/>
                <w:highlight w:val="none"/>
              </w:rPr>
            </w:pPr>
            <w:r>
              <w:rPr>
                <w:rFonts w:hint="eastAsia" w:ascii="宋体" w:hAnsi="宋体" w:eastAsia="宋体" w:cs="宋体"/>
                <w:color w:val="auto"/>
                <w:highlight w:val="none"/>
              </w:rPr>
              <w:t>经营范围备注</w:t>
            </w:r>
          </w:p>
        </w:tc>
        <w:tc>
          <w:tcPr>
            <w:tcW w:w="7343" w:type="dxa"/>
            <w:gridSpan w:val="7"/>
            <w:tcBorders>
              <w:top w:val="single" w:color="auto" w:sz="4" w:space="0"/>
              <w:left w:val="nil"/>
              <w:bottom w:val="single" w:color="auto" w:sz="4" w:space="0"/>
              <w:right w:val="single" w:color="auto" w:sz="4" w:space="0"/>
            </w:tcBorders>
            <w:noWrap/>
            <w:vAlign w:val="center"/>
          </w:tcPr>
          <w:p w14:paraId="515388D2">
            <w:pPr>
              <w:ind w:firstLine="420" w:firstLineChars="200"/>
              <w:rPr>
                <w:rFonts w:hint="eastAsia" w:ascii="宋体" w:hAnsi="宋体" w:eastAsia="宋体" w:cs="宋体"/>
                <w:color w:val="auto"/>
                <w:highlight w:val="none"/>
              </w:rPr>
            </w:pPr>
          </w:p>
        </w:tc>
      </w:tr>
    </w:tbl>
    <w:p w14:paraId="7E8DDE6D">
      <w:pPr>
        <w:rPr>
          <w:rFonts w:hint="eastAsia" w:ascii="宋体" w:hAnsi="宋体" w:eastAsia="宋体" w:cs="宋体"/>
          <w:color w:val="auto"/>
          <w:highlight w:val="none"/>
        </w:rPr>
      </w:pPr>
    </w:p>
    <w:p w14:paraId="396C9988">
      <w:pPr>
        <w:rPr>
          <w:rFonts w:hint="eastAsia" w:ascii="宋体" w:hAnsi="宋体" w:eastAsia="宋体" w:cs="宋体"/>
          <w:color w:val="auto"/>
          <w:highlight w:val="none"/>
        </w:rPr>
      </w:pPr>
      <w:r>
        <w:rPr>
          <w:rFonts w:hint="eastAsia" w:ascii="宋体" w:hAnsi="宋体" w:eastAsia="宋体" w:cs="宋体"/>
          <w:color w:val="auto"/>
          <w:highlight w:val="none"/>
        </w:rPr>
        <w:t>附营业执照、资质证书等相关资格审查资料。</w:t>
      </w:r>
    </w:p>
    <w:p w14:paraId="01D1242E">
      <w:pPr>
        <w:tabs>
          <w:tab w:val="left" w:pos="6569"/>
        </w:tabs>
        <w:spacing w:before="75" w:line="384" w:lineRule="auto"/>
        <w:ind w:left="5708" w:right="270" w:hanging="1173"/>
        <w:jc w:val="both"/>
        <w:rPr>
          <w:rFonts w:hint="eastAsia" w:ascii="宋体" w:hAnsi="宋体" w:eastAsia="宋体" w:cs="宋体"/>
          <w:color w:val="auto"/>
          <w:sz w:val="23"/>
          <w:szCs w:val="23"/>
          <w:highlight w:val="none"/>
        </w:rPr>
      </w:pPr>
    </w:p>
    <w:p w14:paraId="7FA7D550">
      <w:pPr>
        <w:rPr>
          <w:rFonts w:hint="eastAsia" w:ascii="宋体" w:hAnsi="宋体" w:eastAsia="宋体" w:cs="宋体"/>
          <w:color w:val="auto"/>
          <w:highlight w:val="none"/>
        </w:rPr>
      </w:pPr>
    </w:p>
    <w:p w14:paraId="271D5996">
      <w:pPr>
        <w:pStyle w:val="20"/>
        <w:rPr>
          <w:rFonts w:hint="eastAsia" w:ascii="宋体" w:hAnsi="宋体" w:cs="宋体"/>
          <w:color w:val="auto"/>
          <w:highlight w:val="none"/>
        </w:rPr>
      </w:pPr>
    </w:p>
    <w:p w14:paraId="1C063A81">
      <w:pPr>
        <w:rPr>
          <w:rFonts w:hint="eastAsia" w:ascii="宋体" w:hAnsi="宋体" w:eastAsia="宋体" w:cs="宋体"/>
          <w:color w:val="auto"/>
          <w:highlight w:val="none"/>
        </w:rPr>
      </w:pPr>
    </w:p>
    <w:p w14:paraId="72A9BDB4">
      <w:pPr>
        <w:pStyle w:val="20"/>
        <w:rPr>
          <w:rFonts w:hint="eastAsia" w:ascii="宋体" w:hAnsi="宋体" w:cs="宋体"/>
          <w:color w:val="auto"/>
          <w:highlight w:val="none"/>
        </w:rPr>
      </w:pPr>
    </w:p>
    <w:p w14:paraId="0D998A85">
      <w:pPr>
        <w:rPr>
          <w:rFonts w:hint="eastAsia" w:ascii="宋体" w:hAnsi="宋体" w:eastAsia="宋体" w:cs="宋体"/>
          <w:color w:val="auto"/>
          <w:highlight w:val="none"/>
        </w:rPr>
      </w:pPr>
    </w:p>
    <w:p w14:paraId="10B767B2">
      <w:pPr>
        <w:pStyle w:val="20"/>
        <w:rPr>
          <w:rFonts w:hint="eastAsia" w:ascii="宋体" w:hAnsi="宋体" w:cs="宋体"/>
          <w:color w:val="auto"/>
          <w:highlight w:val="none"/>
        </w:rPr>
      </w:pPr>
    </w:p>
    <w:p w14:paraId="48643346">
      <w:pPr>
        <w:rPr>
          <w:rFonts w:hint="eastAsia" w:ascii="宋体" w:hAnsi="宋体" w:eastAsia="宋体" w:cs="宋体"/>
          <w:color w:val="auto"/>
          <w:highlight w:val="none"/>
        </w:rPr>
      </w:pPr>
    </w:p>
    <w:p w14:paraId="78D92D40">
      <w:pPr>
        <w:widowControl w:val="0"/>
        <w:outlineLvl w:val="0"/>
        <w:rPr>
          <w:rFonts w:hint="eastAsia" w:ascii="宋体" w:hAnsi="宋体" w:eastAsia="宋体" w:cs="宋体"/>
          <w:strike/>
          <w:color w:val="auto"/>
          <w:sz w:val="28"/>
          <w:szCs w:val="28"/>
          <w:highlight w:val="none"/>
        </w:rPr>
      </w:pPr>
      <w:r>
        <w:rPr>
          <w:rFonts w:hint="eastAsia" w:ascii="宋体" w:hAnsi="宋体" w:eastAsia="宋体" w:cs="宋体"/>
          <w:strike/>
          <w:color w:val="auto"/>
          <w:sz w:val="28"/>
          <w:szCs w:val="28"/>
          <w:highlight w:val="none"/>
        </w:rPr>
        <w:t>格式八：中小企业声明函</w:t>
      </w:r>
    </w:p>
    <w:p w14:paraId="3F739FB0">
      <w:pPr>
        <w:widowControl w:val="0"/>
        <w:jc w:val="center"/>
        <w:rPr>
          <w:rFonts w:hint="eastAsia" w:ascii="宋体" w:hAnsi="宋体" w:eastAsia="宋体" w:cs="宋体"/>
          <w:b/>
          <w:strike/>
          <w:color w:val="auto"/>
          <w:kern w:val="2"/>
          <w:sz w:val="32"/>
          <w:szCs w:val="24"/>
          <w:highlight w:val="none"/>
        </w:rPr>
      </w:pPr>
    </w:p>
    <w:p w14:paraId="5B3DBF32">
      <w:pPr>
        <w:widowControl w:val="0"/>
        <w:jc w:val="center"/>
        <w:outlineLvl w:val="0"/>
        <w:rPr>
          <w:rFonts w:hint="eastAsia" w:ascii="宋体" w:hAnsi="宋体" w:eastAsia="宋体" w:cs="宋体"/>
          <w:b/>
          <w:strike/>
          <w:color w:val="auto"/>
          <w:kern w:val="2"/>
          <w:sz w:val="32"/>
          <w:szCs w:val="24"/>
          <w:highlight w:val="none"/>
        </w:rPr>
      </w:pPr>
      <w:r>
        <w:rPr>
          <w:rFonts w:hint="eastAsia" w:ascii="宋体" w:hAnsi="宋体" w:eastAsia="宋体" w:cs="宋体"/>
          <w:b/>
          <w:strike/>
          <w:color w:val="auto"/>
          <w:kern w:val="2"/>
          <w:sz w:val="32"/>
          <w:szCs w:val="24"/>
          <w:highlight w:val="none"/>
        </w:rPr>
        <w:t>中小企业声明函（货物）</w:t>
      </w:r>
    </w:p>
    <w:p w14:paraId="029EAF0B">
      <w:pPr>
        <w:pStyle w:val="20"/>
        <w:rPr>
          <w:rFonts w:hint="eastAsia" w:ascii="宋体" w:hAnsi="宋体" w:cs="宋体"/>
          <w:strike/>
          <w:color w:val="auto"/>
          <w:highlight w:val="none"/>
        </w:rPr>
      </w:pPr>
    </w:p>
    <w:p w14:paraId="29E008F6">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本公司（联合体）郑重声明，根据《政府采购促进中小企业发展管理办法》 （财库﹝2020﹞46号）的规定，本公司（联合体）参加</w:t>
      </w:r>
      <w:r>
        <w:rPr>
          <w:rFonts w:hint="eastAsia" w:ascii="宋体" w:hAnsi="宋体" w:eastAsia="宋体" w:cs="宋体"/>
          <w:strike/>
          <w:color w:val="auto"/>
          <w:kern w:val="2"/>
          <w:sz w:val="28"/>
          <w:szCs w:val="28"/>
          <w:highlight w:val="none"/>
          <w:u w:val="single"/>
        </w:rPr>
        <w:t xml:space="preserve"> （单位名称） </w:t>
      </w:r>
      <w:r>
        <w:rPr>
          <w:rFonts w:hint="eastAsia" w:ascii="宋体" w:hAnsi="宋体" w:eastAsia="宋体" w:cs="宋体"/>
          <w:strike/>
          <w:color w:val="auto"/>
          <w:kern w:val="2"/>
          <w:sz w:val="28"/>
          <w:szCs w:val="28"/>
          <w:highlight w:val="none"/>
        </w:rPr>
        <w:t>的（</w:t>
      </w:r>
      <w:r>
        <w:rPr>
          <w:rFonts w:hint="eastAsia" w:ascii="宋体" w:hAnsi="宋体" w:eastAsia="宋体" w:cs="宋体"/>
          <w:strike/>
          <w:color w:val="auto"/>
          <w:kern w:val="2"/>
          <w:sz w:val="28"/>
          <w:szCs w:val="28"/>
          <w:highlight w:val="none"/>
          <w:u w:val="single"/>
        </w:rPr>
        <w:t>项目名称</w:t>
      </w:r>
      <w:r>
        <w:rPr>
          <w:rFonts w:hint="eastAsia" w:ascii="宋体" w:hAnsi="宋体" w:eastAsia="宋体" w:cs="宋体"/>
          <w:strike/>
          <w:color w:val="auto"/>
          <w:kern w:val="2"/>
          <w:sz w:val="28"/>
          <w:szCs w:val="28"/>
          <w:highlight w:val="none"/>
        </w:rPr>
        <w:t>）采购活动，提供的货物全部由符合政策要求的中小企业制造。相关企业（含联合体中的中小企业、签订分包意向协议的中小企业）的具体情况如下：</w:t>
      </w:r>
    </w:p>
    <w:p w14:paraId="5C4669A1">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1.</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6031639A">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2.</w:t>
      </w:r>
      <w:r>
        <w:rPr>
          <w:rFonts w:hint="eastAsia" w:ascii="宋体" w:hAnsi="宋体" w:eastAsia="宋体" w:cs="宋体"/>
          <w:strike/>
          <w:color w:val="auto"/>
          <w:kern w:val="2"/>
          <w:sz w:val="28"/>
          <w:szCs w:val="28"/>
          <w:highlight w:val="none"/>
          <w:u w:val="single"/>
        </w:rPr>
        <w:t>（标的名称）</w:t>
      </w:r>
      <w:r>
        <w:rPr>
          <w:rFonts w:hint="eastAsia" w:ascii="宋体" w:hAnsi="宋体" w:eastAsia="宋体" w:cs="宋体"/>
          <w:strike/>
          <w:color w:val="auto"/>
          <w:kern w:val="2"/>
          <w:sz w:val="28"/>
          <w:szCs w:val="28"/>
          <w:highlight w:val="none"/>
        </w:rPr>
        <w:t>，属于</w:t>
      </w:r>
      <w:r>
        <w:rPr>
          <w:rFonts w:hint="eastAsia" w:ascii="宋体" w:hAnsi="宋体" w:eastAsia="宋体" w:cs="宋体"/>
          <w:strike/>
          <w:color w:val="auto"/>
          <w:sz w:val="28"/>
          <w:szCs w:val="28"/>
          <w:highlight w:val="none"/>
          <w:u w:val="single"/>
        </w:rPr>
        <w:t>（采购文件中明确的所属行业）</w:t>
      </w:r>
      <w:r>
        <w:rPr>
          <w:rFonts w:hint="eastAsia" w:ascii="宋体" w:hAnsi="宋体" w:eastAsia="宋体" w:cs="宋体"/>
          <w:strike/>
          <w:color w:val="auto"/>
          <w:sz w:val="28"/>
          <w:szCs w:val="28"/>
          <w:highlight w:val="none"/>
        </w:rPr>
        <w:t>行业；制造商为</w:t>
      </w:r>
      <w:r>
        <w:rPr>
          <w:rFonts w:hint="eastAsia" w:ascii="宋体" w:hAnsi="宋体" w:eastAsia="宋体" w:cs="宋体"/>
          <w:strike/>
          <w:color w:val="auto"/>
          <w:sz w:val="28"/>
          <w:szCs w:val="28"/>
          <w:highlight w:val="none"/>
          <w:u w:val="single"/>
        </w:rPr>
        <w:t>（企业名称）</w:t>
      </w:r>
      <w:r>
        <w:rPr>
          <w:rFonts w:hint="eastAsia" w:ascii="宋体" w:hAnsi="宋体" w:eastAsia="宋体" w:cs="宋体"/>
          <w:strike/>
          <w:color w:val="auto"/>
          <w:sz w:val="28"/>
          <w:szCs w:val="28"/>
          <w:highlight w:val="none"/>
        </w:rPr>
        <w:t>，从业人员</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人，营业收入为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万元，资产总额为</w:t>
      </w:r>
      <w:r>
        <w:rPr>
          <w:rFonts w:hint="eastAsia" w:ascii="宋体" w:hAnsi="宋体" w:eastAsia="宋体" w:cs="宋体"/>
          <w:strike/>
          <w:color w:val="auto"/>
          <w:sz w:val="28"/>
          <w:szCs w:val="28"/>
          <w:highlight w:val="none"/>
          <w:u w:val="single"/>
        </w:rPr>
        <w:t xml:space="preserve">  </w:t>
      </w:r>
      <w:r>
        <w:rPr>
          <w:rFonts w:hint="eastAsia" w:ascii="宋体" w:hAnsi="宋体" w:eastAsia="宋体" w:cs="宋体"/>
          <w:strike/>
          <w:color w:val="auto"/>
          <w:sz w:val="28"/>
          <w:szCs w:val="28"/>
          <w:highlight w:val="none"/>
        </w:rPr>
        <w:t>万元，属于</w:t>
      </w:r>
      <w:r>
        <w:rPr>
          <w:rFonts w:hint="eastAsia" w:ascii="宋体" w:hAnsi="宋体" w:eastAsia="宋体" w:cs="宋体"/>
          <w:strike/>
          <w:color w:val="auto"/>
          <w:sz w:val="28"/>
          <w:szCs w:val="28"/>
          <w:highlight w:val="none"/>
          <w:u w:val="single"/>
        </w:rPr>
        <w:t>（中型企业、小型企业、微型企业）</w:t>
      </w:r>
      <w:r>
        <w:rPr>
          <w:rFonts w:hint="eastAsia" w:ascii="宋体" w:hAnsi="宋体" w:eastAsia="宋体" w:cs="宋体"/>
          <w:strike/>
          <w:color w:val="auto"/>
          <w:sz w:val="28"/>
          <w:szCs w:val="28"/>
          <w:highlight w:val="none"/>
        </w:rPr>
        <w:t xml:space="preserve"> ；</w:t>
      </w:r>
    </w:p>
    <w:p w14:paraId="7CF03B59">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w:t>
      </w:r>
    </w:p>
    <w:p w14:paraId="328CA95C">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以上企业，不属于大企业的分支机构，不存在控股股东为大企业的情形，也不存在与大企业的负责人为同一人的情形。</w:t>
      </w:r>
    </w:p>
    <w:p w14:paraId="40D6D81B">
      <w:pPr>
        <w:widowControl w:val="0"/>
        <w:spacing w:line="360" w:lineRule="auto"/>
        <w:ind w:firstLine="560" w:firstLineChars="200"/>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本企业对上述声明内容的真实性负责。如有虚假，将依法承担相应责任。</w:t>
      </w:r>
    </w:p>
    <w:p w14:paraId="0DF1A7A6">
      <w:pPr>
        <w:widowControl w:val="0"/>
        <w:spacing w:line="360" w:lineRule="auto"/>
        <w:ind w:right="420" w:firstLine="6860" w:firstLineChars="2450"/>
        <w:rPr>
          <w:rFonts w:hint="eastAsia" w:ascii="宋体" w:hAnsi="宋体" w:eastAsia="宋体" w:cs="宋体"/>
          <w:strike/>
          <w:color w:val="auto"/>
          <w:sz w:val="28"/>
          <w:szCs w:val="28"/>
          <w:highlight w:val="none"/>
        </w:rPr>
      </w:pPr>
    </w:p>
    <w:p w14:paraId="6B01A95F">
      <w:pPr>
        <w:widowControl w:val="0"/>
        <w:spacing w:line="360" w:lineRule="auto"/>
        <w:ind w:right="420"/>
        <w:jc w:val="right"/>
        <w:rPr>
          <w:rFonts w:hint="eastAsia" w:ascii="宋体" w:hAnsi="宋体" w:eastAsia="宋体" w:cs="宋体"/>
          <w:strike/>
          <w:color w:val="auto"/>
          <w:sz w:val="28"/>
          <w:szCs w:val="28"/>
          <w:highlight w:val="none"/>
        </w:rPr>
      </w:pPr>
      <w:r>
        <w:rPr>
          <w:rFonts w:hint="eastAsia" w:ascii="宋体" w:hAnsi="宋体" w:eastAsia="宋体" w:cs="宋体"/>
          <w:strike/>
          <w:color w:val="auto"/>
          <w:kern w:val="2"/>
          <w:sz w:val="28"/>
          <w:szCs w:val="28"/>
          <w:highlight w:val="none"/>
        </w:rPr>
        <w:t>企业名称（盖章）：</w:t>
      </w:r>
    </w:p>
    <w:p w14:paraId="0B6C3290">
      <w:pPr>
        <w:widowControl w:val="0"/>
        <w:spacing w:line="360" w:lineRule="auto"/>
        <w:ind w:right="420"/>
        <w:jc w:val="right"/>
        <w:rPr>
          <w:rFonts w:hint="eastAsia" w:ascii="宋体" w:hAnsi="宋体" w:eastAsia="宋体" w:cs="宋体"/>
          <w:strike/>
          <w:color w:val="auto"/>
          <w:kern w:val="2"/>
          <w:sz w:val="28"/>
          <w:szCs w:val="28"/>
          <w:highlight w:val="none"/>
        </w:rPr>
      </w:pPr>
      <w:r>
        <w:rPr>
          <w:rFonts w:hint="eastAsia" w:ascii="宋体" w:hAnsi="宋体" w:eastAsia="宋体" w:cs="宋体"/>
          <w:strike/>
          <w:color w:val="auto"/>
          <w:kern w:val="2"/>
          <w:sz w:val="28"/>
          <w:szCs w:val="28"/>
          <w:highlight w:val="none"/>
        </w:rPr>
        <w:t>日期：   年   月   日</w:t>
      </w:r>
    </w:p>
    <w:p w14:paraId="4F1F7852">
      <w:pPr>
        <w:pStyle w:val="20"/>
        <w:rPr>
          <w:rFonts w:hint="eastAsia" w:ascii="宋体" w:hAnsi="宋体" w:cs="宋体"/>
          <w:strike/>
          <w:color w:val="auto"/>
          <w:sz w:val="20"/>
          <w:szCs w:val="20"/>
          <w:highlight w:val="none"/>
          <w:u w:val="single"/>
        </w:rPr>
      </w:pPr>
    </w:p>
    <w:p w14:paraId="7933A246">
      <w:pPr>
        <w:pStyle w:val="20"/>
        <w:rPr>
          <w:rFonts w:hint="eastAsia" w:ascii="宋体" w:hAnsi="宋体" w:cs="宋体"/>
          <w:strike/>
          <w:color w:val="auto"/>
          <w:sz w:val="20"/>
          <w:szCs w:val="20"/>
          <w:highlight w:val="none"/>
        </w:rPr>
      </w:pPr>
      <w:r>
        <w:rPr>
          <w:rFonts w:hint="eastAsia" w:ascii="宋体" w:hAnsi="宋体" w:cs="宋体"/>
          <w:strike/>
          <w:color w:val="auto"/>
          <w:sz w:val="20"/>
          <w:szCs w:val="20"/>
          <w:highlight w:val="none"/>
        </w:rPr>
        <w:t>从业人员、营业收入、资产总额填报上一年度数据，无上一年度数据的新成立企业可不填报。</w:t>
      </w:r>
    </w:p>
    <w:p w14:paraId="4A2B0961">
      <w:pPr>
        <w:rPr>
          <w:rFonts w:hint="eastAsia" w:ascii="宋体" w:hAnsi="宋体" w:eastAsia="宋体" w:cs="宋体"/>
          <w:color w:val="auto"/>
          <w:sz w:val="20"/>
          <w:szCs w:val="20"/>
          <w:highlight w:val="none"/>
        </w:rPr>
      </w:pPr>
    </w:p>
    <w:p w14:paraId="36337ED8">
      <w:pPr>
        <w:pStyle w:val="20"/>
        <w:rPr>
          <w:rFonts w:hint="eastAsia" w:ascii="宋体" w:hAnsi="宋体" w:cs="宋体"/>
          <w:color w:val="auto"/>
          <w:sz w:val="20"/>
          <w:szCs w:val="20"/>
          <w:highlight w:val="none"/>
        </w:rPr>
      </w:pPr>
    </w:p>
    <w:p w14:paraId="1A7D5294">
      <w:pPr>
        <w:rPr>
          <w:rFonts w:hint="eastAsia" w:ascii="宋体" w:hAnsi="宋体" w:eastAsia="宋体" w:cs="宋体"/>
          <w:color w:val="auto"/>
          <w:sz w:val="20"/>
          <w:szCs w:val="20"/>
          <w:highlight w:val="none"/>
        </w:rPr>
      </w:pPr>
    </w:p>
    <w:p w14:paraId="3F900ED3">
      <w:pPr>
        <w:pStyle w:val="20"/>
        <w:rPr>
          <w:rFonts w:hint="eastAsia" w:ascii="宋体" w:hAnsi="宋体" w:cs="宋体"/>
          <w:color w:val="auto"/>
          <w:sz w:val="20"/>
          <w:szCs w:val="20"/>
          <w:highlight w:val="none"/>
        </w:rPr>
      </w:pPr>
    </w:p>
    <w:p w14:paraId="07F3B62B">
      <w:pPr>
        <w:autoSpaceDE/>
        <w:autoSpaceDN/>
        <w:adjustRightInd/>
        <w:outlineLvl w:val="0"/>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格式九：投标承诺书</w:t>
      </w:r>
    </w:p>
    <w:p w14:paraId="2627DFE7">
      <w:pPr>
        <w:autoSpaceDE/>
        <w:autoSpaceDN/>
        <w:adjustRightInd/>
        <w:jc w:val="center"/>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投标承诺书</w:t>
      </w:r>
    </w:p>
    <w:p w14:paraId="0F8EA142">
      <w:pPr>
        <w:pStyle w:val="14"/>
        <w:spacing w:line="440" w:lineRule="exact"/>
        <w:rPr>
          <w:rFonts w:hint="eastAsia" w:hAnsi="宋体" w:eastAsia="宋体" w:cs="宋体"/>
          <w:color w:val="auto"/>
          <w:sz w:val="24"/>
          <w:szCs w:val="24"/>
          <w:highlight w:val="none"/>
        </w:rPr>
      </w:pPr>
      <w:r>
        <w:rPr>
          <w:rFonts w:hint="eastAsia" w:hAnsi="宋体" w:eastAsia="宋体" w:cs="宋体"/>
          <w:color w:val="auto"/>
          <w:sz w:val="24"/>
          <w:szCs w:val="24"/>
          <w:highlight w:val="none"/>
          <w:u w:val="single"/>
        </w:rPr>
        <w:t xml:space="preserve">（招标人名称）                    </w:t>
      </w:r>
      <w:r>
        <w:rPr>
          <w:rFonts w:hint="eastAsia" w:hAnsi="宋体" w:eastAsia="宋体" w:cs="宋体"/>
          <w:color w:val="auto"/>
          <w:sz w:val="24"/>
          <w:szCs w:val="24"/>
          <w:highlight w:val="none"/>
        </w:rPr>
        <w:t>：</w:t>
      </w:r>
    </w:p>
    <w:p w14:paraId="5104CB5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本公司已详细阅读</w:t>
      </w:r>
      <w:r>
        <w:rPr>
          <w:rFonts w:hint="eastAsia" w:hAnsi="宋体" w:eastAsia="宋体" w:cs="宋体"/>
          <w:color w:val="auto"/>
          <w:sz w:val="24"/>
          <w:szCs w:val="24"/>
          <w:highlight w:val="none"/>
          <w:u w:val="single"/>
        </w:rPr>
        <w:t xml:space="preserve">     （名称及招标编号）   </w:t>
      </w:r>
      <w:r>
        <w:rPr>
          <w:rFonts w:hint="eastAsia" w:hAnsi="宋体" w:eastAsia="宋体" w:cs="宋体"/>
          <w:color w:val="auto"/>
          <w:sz w:val="24"/>
          <w:szCs w:val="24"/>
          <w:highlight w:val="none"/>
        </w:rPr>
        <w:t>招标文件，自觉遵守中华人民共和国、浙江省及当地有关招标投标的法律法规规定，自觉维护建筑市场正常秩序，现自愿就参加本项目投标有关事项郑重承诺如下：</w:t>
      </w:r>
    </w:p>
    <w:p w14:paraId="681EFA62">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1.承诺投标文件无虚假、伪造的内容。若投标文件中存在虚假、伪造的内容，同意作无效投标处理。</w:t>
      </w:r>
    </w:p>
    <w:p w14:paraId="1550272C">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2.承诺我单位法定代表人、授权代表等主要责任人诚信投标。</w:t>
      </w:r>
    </w:p>
    <w:p w14:paraId="7B385E90">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3.承诺按照投标文件派驻管理人员及投入机械设备，</w:t>
      </w:r>
      <w:r>
        <w:rPr>
          <w:rFonts w:hint="eastAsia" w:hAnsi="宋体" w:eastAsia="宋体" w:cs="宋体"/>
          <w:color w:val="auto"/>
          <w:spacing w:val="-5"/>
          <w:sz w:val="24"/>
          <w:szCs w:val="24"/>
          <w:highlight w:val="none"/>
        </w:rPr>
        <w:t>若存在不到位的情况，同意接受合同约定的处罚。</w:t>
      </w:r>
    </w:p>
    <w:p w14:paraId="40ED601A">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4.承诺本招标文件要求的人员和我单位至投标截止时间三年内没有行贿犯罪记录。</w:t>
      </w:r>
    </w:p>
    <w:p w14:paraId="2B70843E">
      <w:pPr>
        <w:pStyle w:val="14"/>
        <w:spacing w:line="440" w:lineRule="exact"/>
        <w:ind w:firstLine="480" w:firstLineChars="200"/>
        <w:rPr>
          <w:rFonts w:hint="eastAsia" w:hAnsi="宋体" w:eastAsia="宋体" w:cs="宋体"/>
          <w:color w:val="auto"/>
          <w:sz w:val="24"/>
          <w:szCs w:val="24"/>
          <w:highlight w:val="none"/>
        </w:rPr>
      </w:pPr>
      <w:r>
        <w:rPr>
          <w:rFonts w:hint="eastAsia" w:hAnsi="宋体" w:eastAsia="宋体" w:cs="宋体"/>
          <w:color w:val="auto"/>
          <w:sz w:val="24"/>
          <w:szCs w:val="24"/>
          <w:highlight w:val="none"/>
        </w:rPr>
        <w:t>5.承诺未被有关行政主管部门列入建筑市场严重失信名单（以全国建筑市场监管公共服务平台黑名单记录、失信联合惩戒记录和浙江省建筑市场监管公共服务系统严重失信名单）或限制参加投标。</w:t>
      </w:r>
    </w:p>
    <w:p w14:paraId="713C8418">
      <w:pPr>
        <w:pStyle w:val="25"/>
        <w:spacing w:line="440" w:lineRule="exact"/>
        <w:ind w:right="150" w:firstLine="480" w:firstLineChars="200"/>
        <w:rPr>
          <w:rFonts w:cs="宋体"/>
          <w:color w:val="auto"/>
          <w:highlight w:val="none"/>
        </w:rPr>
      </w:pPr>
      <w:r>
        <w:rPr>
          <w:rFonts w:cs="宋体"/>
          <w:color w:val="auto"/>
          <w:highlight w:val="none"/>
        </w:rPr>
        <w:t>6.</w:t>
      </w:r>
      <w:r>
        <w:rPr>
          <w:rFonts w:cs="宋体"/>
          <w:color w:val="auto"/>
          <w:highlight w:val="none"/>
          <w:shd w:val="clear" w:color="auto" w:fill="FFFFFF"/>
        </w:rPr>
        <w:t>我单位直接负责本项目投标的主管人</w:t>
      </w:r>
      <w:r>
        <w:rPr>
          <w:rFonts w:cs="宋体"/>
          <w:color w:val="auto"/>
          <w:highlight w:val="none"/>
        </w:rPr>
        <w:t>员为</w:t>
      </w:r>
      <w:r>
        <w:rPr>
          <w:rFonts w:cs="宋体"/>
          <w:color w:val="auto"/>
          <w:highlight w:val="none"/>
          <w:u w:val="single"/>
        </w:rPr>
        <w:t>法定代表人</w:t>
      </w:r>
      <w:r>
        <w:rPr>
          <w:rFonts w:cs="宋体"/>
          <w:color w:val="auto"/>
          <w:highlight w:val="none"/>
          <w:u w:val="single"/>
          <w:shd w:val="clear" w:color="auto" w:fill="FFFFFF"/>
        </w:rPr>
        <w:t xml:space="preserve">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  ，联系手机号码：</w:t>
      </w:r>
      <w:r>
        <w:rPr>
          <w:rFonts w:cs="宋体"/>
          <w:color w:val="auto"/>
          <w:highlight w:val="none"/>
          <w:u w:val="single"/>
          <w:shd w:val="clear" w:color="auto" w:fill="FFFFFF"/>
        </w:rPr>
        <w:t xml:space="preserve"> </w:t>
      </w:r>
      <w:r>
        <w:rPr>
          <w:rFonts w:cs="宋体"/>
          <w:i/>
          <w:iCs/>
          <w:color w:val="auto"/>
          <w:highlight w:val="none"/>
          <w:u w:val="single"/>
          <w:shd w:val="clear" w:color="auto" w:fill="FFFFFF"/>
        </w:rPr>
        <w:t xml:space="preserve">（必须为本人实名办理的手机号码） </w:t>
      </w:r>
      <w:r>
        <w:rPr>
          <w:rFonts w:cs="宋体"/>
          <w:color w:val="auto"/>
          <w:highlight w:val="none"/>
          <w:u w:val="single"/>
          <w:shd w:val="clear" w:color="auto" w:fill="FFFFFF"/>
        </w:rPr>
        <w:t xml:space="preserve">   </w:t>
      </w:r>
      <w:r>
        <w:rPr>
          <w:rFonts w:cs="宋体"/>
          <w:color w:val="auto"/>
          <w:highlight w:val="none"/>
          <w:shd w:val="clear" w:color="auto" w:fill="FFFFFF"/>
        </w:rPr>
        <w:t xml:space="preserve"> ）；我单位与本项目投标相关的直接责任人员为</w:t>
      </w:r>
      <w:r>
        <w:rPr>
          <w:rFonts w:cs="宋体"/>
          <w:color w:val="auto"/>
          <w:highlight w:val="none"/>
          <w:u w:val="single"/>
          <w:shd w:val="clear" w:color="auto" w:fill="FFFFFF"/>
        </w:rPr>
        <w:t xml:space="preserve">本次投标委托授权代表           </w:t>
      </w:r>
      <w:r>
        <w:rPr>
          <w:rFonts w:cs="宋体"/>
          <w:color w:val="auto"/>
          <w:highlight w:val="none"/>
          <w:shd w:val="clear" w:color="auto" w:fill="FFFFFF"/>
        </w:rPr>
        <w:t>（身份证号码：</w:t>
      </w:r>
      <w:r>
        <w:rPr>
          <w:rFonts w:cs="宋体"/>
          <w:color w:val="auto"/>
          <w:highlight w:val="none"/>
          <w:u w:val="single"/>
          <w:shd w:val="clear" w:color="auto" w:fill="FFFFFF"/>
        </w:rPr>
        <w:t xml:space="preserve">              </w:t>
      </w:r>
      <w:r>
        <w:rPr>
          <w:rFonts w:cs="宋体"/>
          <w:color w:val="auto"/>
          <w:highlight w:val="none"/>
          <w:shd w:val="clear" w:color="auto" w:fill="FFFFFF"/>
        </w:rPr>
        <w:t xml:space="preserve">联系手机号码： </w:t>
      </w:r>
      <w:r>
        <w:rPr>
          <w:rFonts w:cs="宋体"/>
          <w:i/>
          <w:iCs/>
          <w:color w:val="auto"/>
          <w:highlight w:val="none"/>
          <w:u w:val="single"/>
          <w:shd w:val="clear" w:color="auto" w:fill="FFFFFF"/>
        </w:rPr>
        <w:t>（必须为本人实名办理的手机号码）</w:t>
      </w:r>
      <w:r>
        <w:rPr>
          <w:rFonts w:cs="宋体"/>
          <w:color w:val="auto"/>
          <w:highlight w:val="none"/>
          <w:u w:val="single"/>
          <w:shd w:val="clear" w:color="auto" w:fill="FFFFFF"/>
        </w:rPr>
        <w:t xml:space="preserve">             </w:t>
      </w:r>
      <w:r>
        <w:rPr>
          <w:rFonts w:cs="宋体"/>
          <w:color w:val="auto"/>
          <w:highlight w:val="none"/>
          <w:shd w:val="clear" w:color="auto" w:fill="FFFFFF"/>
        </w:rPr>
        <w:t>）</w:t>
      </w:r>
      <w:r>
        <w:rPr>
          <w:rFonts w:cs="宋体"/>
          <w:color w:val="auto"/>
          <w:highlight w:val="none"/>
        </w:rPr>
        <w:t>，上述人员承诺承担相应的法律责任。</w:t>
      </w:r>
    </w:p>
    <w:p w14:paraId="2E9358C5">
      <w:pPr>
        <w:pStyle w:val="14"/>
        <w:spacing w:line="440" w:lineRule="exact"/>
        <w:ind w:firstLine="480" w:firstLineChars="200"/>
        <w:rPr>
          <w:rFonts w:hint="eastAsia" w:hAnsi="宋体" w:eastAsia="宋体" w:cs="宋体"/>
          <w:color w:val="auto"/>
          <w:sz w:val="24"/>
          <w:szCs w:val="24"/>
          <w:highlight w:val="none"/>
          <w:u w:val="single"/>
        </w:rPr>
      </w:pPr>
      <w:r>
        <w:rPr>
          <w:rFonts w:hint="eastAsia" w:hAnsi="宋体" w:eastAsia="宋体" w:cs="宋体"/>
          <w:color w:val="auto"/>
          <w:sz w:val="24"/>
          <w:szCs w:val="24"/>
          <w:highlight w:val="none"/>
        </w:rPr>
        <w:t>7.其他：</w:t>
      </w:r>
      <w:r>
        <w:rPr>
          <w:rFonts w:hint="eastAsia" w:hAnsi="宋体" w:eastAsia="宋体" w:cs="宋体"/>
          <w:color w:val="auto"/>
          <w:sz w:val="24"/>
          <w:szCs w:val="24"/>
          <w:highlight w:val="none"/>
          <w:u w:val="single"/>
        </w:rPr>
        <w:t xml:space="preserve">    </w:t>
      </w:r>
      <w:r>
        <w:rPr>
          <w:rFonts w:hint="eastAsia" w:hAnsi="宋体" w:eastAsia="宋体" w:cs="宋体"/>
          <w:i/>
          <w:iCs/>
          <w:color w:val="auto"/>
          <w:sz w:val="24"/>
          <w:szCs w:val="24"/>
          <w:highlight w:val="none"/>
          <w:u w:val="single"/>
        </w:rPr>
        <w:t>（招标人可根据实际情况增加相应的条款）</w:t>
      </w:r>
      <w:r>
        <w:rPr>
          <w:rFonts w:hint="eastAsia" w:hAnsi="宋体" w:eastAsia="宋体" w:cs="宋体"/>
          <w:color w:val="auto"/>
          <w:sz w:val="24"/>
          <w:szCs w:val="24"/>
          <w:highlight w:val="none"/>
          <w:u w:val="single"/>
        </w:rPr>
        <w:t xml:space="preserve">   </w:t>
      </w:r>
      <w:r>
        <w:rPr>
          <w:rFonts w:hint="eastAsia" w:hAnsi="宋体" w:eastAsia="宋体" w:cs="宋体"/>
          <w:color w:val="auto"/>
          <w:sz w:val="24"/>
          <w:szCs w:val="24"/>
          <w:highlight w:val="none"/>
        </w:rPr>
        <w:t>。</w:t>
      </w:r>
    </w:p>
    <w:p w14:paraId="4C2C7493">
      <w:pPr>
        <w:pStyle w:val="14"/>
        <w:spacing w:line="440" w:lineRule="exact"/>
        <w:ind w:firstLine="480" w:firstLineChars="200"/>
        <w:rPr>
          <w:rFonts w:hint="eastAsia" w:hAnsi="宋体" w:eastAsia="宋体" w:cs="宋体"/>
          <w:color w:val="auto"/>
          <w:spacing w:val="-5"/>
          <w:sz w:val="24"/>
          <w:szCs w:val="24"/>
          <w:highlight w:val="none"/>
        </w:rPr>
      </w:pPr>
      <w:r>
        <w:rPr>
          <w:rFonts w:hint="eastAsia" w:hAnsi="宋体" w:eastAsia="宋体" w:cs="宋体"/>
          <w:color w:val="auto"/>
          <w:sz w:val="24"/>
          <w:szCs w:val="24"/>
          <w:highlight w:val="none"/>
        </w:rPr>
        <w:t>8.以上承诺如有虚假，</w:t>
      </w:r>
      <w:r>
        <w:rPr>
          <w:rFonts w:hint="eastAsia" w:hAnsi="宋体" w:eastAsia="宋体" w:cs="宋体"/>
          <w:color w:val="auto"/>
          <w:spacing w:val="-5"/>
          <w:sz w:val="24"/>
          <w:szCs w:val="24"/>
          <w:highlight w:val="none"/>
        </w:rPr>
        <w:t>愿意接受投标保证金不予退还的处理。给招标人造成损失的，愿意依法承担赔偿责任。如已中标，同意招标人取消我单位中标资格的处理。</w:t>
      </w:r>
    </w:p>
    <w:p w14:paraId="1D0759D2">
      <w:pPr>
        <w:pStyle w:val="14"/>
        <w:spacing w:line="440" w:lineRule="exact"/>
        <w:ind w:firstLine="460" w:firstLineChars="200"/>
        <w:rPr>
          <w:rFonts w:hint="eastAsia" w:hAnsi="宋体" w:eastAsia="宋体" w:cs="宋体"/>
          <w:color w:val="auto"/>
          <w:spacing w:val="-5"/>
          <w:sz w:val="24"/>
          <w:szCs w:val="24"/>
          <w:highlight w:val="none"/>
        </w:rPr>
      </w:pPr>
    </w:p>
    <w:p w14:paraId="3F923C6F">
      <w:pPr>
        <w:pStyle w:val="14"/>
        <w:spacing w:line="440" w:lineRule="exact"/>
        <w:ind w:firstLine="3120" w:firstLineChars="1300"/>
        <w:rPr>
          <w:rFonts w:hint="eastAsia" w:hAnsi="宋体" w:eastAsia="宋体" w:cs="宋体"/>
          <w:color w:val="auto"/>
          <w:sz w:val="24"/>
          <w:szCs w:val="24"/>
          <w:highlight w:val="none"/>
        </w:rPr>
      </w:pPr>
    </w:p>
    <w:p w14:paraId="0F1E3F69">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法定代表人（签字或盖章）：</w:t>
      </w:r>
    </w:p>
    <w:p w14:paraId="77A638B3">
      <w:pPr>
        <w:pStyle w:val="14"/>
        <w:spacing w:line="440" w:lineRule="exact"/>
        <w:ind w:firstLine="3120" w:firstLineChars="1300"/>
        <w:rPr>
          <w:rFonts w:hint="eastAsia" w:hAnsi="宋体" w:eastAsia="宋体" w:cs="宋体"/>
          <w:color w:val="auto"/>
          <w:sz w:val="24"/>
          <w:szCs w:val="24"/>
          <w:highlight w:val="none"/>
        </w:rPr>
      </w:pPr>
      <w:r>
        <w:rPr>
          <w:rFonts w:hint="eastAsia" w:hAnsi="宋体" w:eastAsia="宋体" w:cs="宋体"/>
          <w:color w:val="auto"/>
          <w:sz w:val="24"/>
          <w:szCs w:val="24"/>
          <w:highlight w:val="none"/>
        </w:rPr>
        <w:t>投标人（单位盖章）：</w:t>
      </w:r>
    </w:p>
    <w:p w14:paraId="2C361286">
      <w:pPr>
        <w:autoSpaceDN/>
        <w:spacing w:line="440" w:lineRule="exact"/>
        <w:jc w:val="both"/>
        <w:rPr>
          <w:rFonts w:hint="eastAsia" w:ascii="宋体" w:hAnsi="宋体" w:eastAsia="宋体" w:cs="宋体"/>
          <w:color w:val="auto"/>
          <w:sz w:val="24"/>
          <w:szCs w:val="24"/>
          <w:highlight w:val="none"/>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年    月    日</w:t>
      </w:r>
    </w:p>
    <w:p w14:paraId="4AE87A80">
      <w:pPr>
        <w:autoSpaceDN/>
        <w:rPr>
          <w:rFonts w:hint="eastAsia" w:ascii="宋体" w:hAnsi="宋体" w:eastAsia="宋体" w:cs="宋体"/>
          <w:color w:val="auto"/>
          <w:sz w:val="28"/>
          <w:szCs w:val="28"/>
          <w:highlight w:val="none"/>
        </w:rPr>
      </w:pPr>
    </w:p>
    <w:p w14:paraId="256D32BF">
      <w:pPr>
        <w:pStyle w:val="20"/>
        <w:rPr>
          <w:rFonts w:hint="eastAsia" w:ascii="宋体" w:hAnsi="宋体" w:cs="宋体"/>
          <w:color w:val="auto"/>
          <w:highlight w:val="none"/>
        </w:rPr>
      </w:pPr>
    </w:p>
    <w:sectPr>
      <w:footerReference r:id="rId22" w:type="default"/>
      <w:pgSz w:w="11907" w:h="16840"/>
      <w:pgMar w:top="1418" w:right="1559" w:bottom="1418" w:left="1474" w:header="0" w:footer="723"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libri Light">
    <w:panose1 w:val="020F03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楷体">
    <w:panose1 w:val="02010600040101010101"/>
    <w:charset w:val="86"/>
    <w:family w:val="auto"/>
    <w:pitch w:val="default"/>
    <w:sig w:usb0="00000287" w:usb1="080F0000" w:usb2="00000000" w:usb3="00000000" w:csb0="0004009F" w:csb1="DFD70000"/>
  </w:font>
  <w:font w:name="Helvetica">
    <w:panose1 w:val="020B0504020202030204"/>
    <w:charset w:val="00"/>
    <w:family w:val="swiss"/>
    <w:pitch w:val="default"/>
    <w:sig w:usb0="00000007" w:usb1="00000000" w:usb2="00000000" w:usb3="00000000" w:csb0="00000093" w:csb1="00000000"/>
  </w:font>
  <w:font w:name="Wingdings 2">
    <w:panose1 w:val="05020102010507070707"/>
    <w:charset w:val="02"/>
    <w:family w:val="roman"/>
    <w:pitch w:val="default"/>
    <w:sig w:usb0="00000000" w:usb1="00000000" w:usb2="00000000" w:usb3="00000000" w:csb0="80000000" w:csb1="00000000"/>
  </w:font>
  <w:font w:name="sans-serif">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27BB38">
    <w:pPr>
      <w:pStyle w:val="18"/>
    </w:pP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7" name="文本框 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27EAAA">
                          <w:pPr>
                            <w:pStyle w:val="18"/>
                          </w:pPr>
                          <w:r>
                            <w:fldChar w:fldCharType="begin"/>
                          </w:r>
                          <w:r>
                            <w:instrText xml:space="preserve"> PAGE  \* MERGEFORMAT </w:instrText>
                          </w:r>
                          <w:r>
                            <w:fldChar w:fldCharType="separate"/>
                          </w:r>
                          <w:r>
                            <w:t>5</w:t>
                          </w:r>
                          <w:r>
                            <w:fldChar w:fldCharType="end"/>
                          </w:r>
                        </w:p>
                      </w:txbxContent>
                    </wps:txbx>
                    <wps:bodyPr vert="horz" wrap="none" lIns="0" tIns="0" rIns="0" bIns="0" anchor="t">
                      <a:spAutoFit/>
                    </wps:bodyPr>
                  </wps:wsp>
                </a:graphicData>
              </a:graphic>
            </wp:anchor>
          </w:drawing>
        </mc:Choice>
        <mc:Fallback>
          <w:pict>
            <v:rect id="文本框 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Alies8kBAACSAwAADgAAAAAAAAABACAAAAAfAQAAZHJzL2Uyb0Rv&#10;Yy54bWxQSwUGAAAAAAYABgBZAQAAWgUAAAAA&#10;">
              <v:fill on="f" focussize="0,0"/>
              <v:stroke on="f"/>
              <v:imagedata o:title=""/>
              <o:lock v:ext="edit" aspectratio="f"/>
              <v:textbox inset="0mm,0mm,0mm,0mm" style="mso-fit-shape-to-text:t;">
                <w:txbxContent>
                  <w:p w14:paraId="2627EAAA">
                    <w:pPr>
                      <w:pStyle w:val="18"/>
                    </w:pPr>
                    <w:r>
                      <w:fldChar w:fldCharType="begin"/>
                    </w:r>
                    <w:r>
                      <w:instrText xml:space="preserve"> PAGE  \* MERGEFORMAT </w:instrText>
                    </w:r>
                    <w:r>
                      <w:fldChar w:fldCharType="separate"/>
                    </w:r>
                    <w:r>
                      <w:t>5</w:t>
                    </w:r>
                    <w:r>
                      <w:fldChar w:fldCharType="end"/>
                    </w:r>
                  </w:p>
                </w:txbxContent>
              </v:textbox>
            </v:rect>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BEBE3">
    <w:pPr>
      <w:pStyle w:val="1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C28EB">
    <w:pPr>
      <w:pStyle w:val="1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452996">
    <w:pPr>
      <w:spacing w:line="187" w:lineRule="auto"/>
      <w:ind w:left="441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8" name="文本框 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1E5F7B6">
                          <w:pPr>
                            <w:pStyle w:val="18"/>
                          </w:pPr>
                          <w:r>
                            <w:fldChar w:fldCharType="begin"/>
                          </w:r>
                          <w:r>
                            <w:instrText xml:space="preserve"> PAGE  \* MERGEFORMAT </w:instrText>
                          </w:r>
                          <w:r>
                            <w:fldChar w:fldCharType="separate"/>
                          </w:r>
                          <w:r>
                            <w:t>3</w:t>
                          </w:r>
                          <w:r>
                            <w:fldChar w:fldCharType="end"/>
                          </w:r>
                        </w:p>
                      </w:txbxContent>
                    </wps:txbx>
                    <wps:bodyPr vert="horz" wrap="none" lIns="0" tIns="0" rIns="0" bIns="0" anchor="t">
                      <a:spAutoFit/>
                    </wps:bodyPr>
                  </wps:wsp>
                </a:graphicData>
              </a:graphic>
            </wp:anchor>
          </w:drawing>
        </mc:Choice>
        <mc:Fallback>
          <w:pict>
            <v:rect id="文本框 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8RvrdckBAACSAwAADgAAAAAAAAABACAAAAAfAQAAZHJzL2Uyb0Rv&#10;Yy54bWxQSwUGAAAAAAYABgBZAQAAWgUAAAAA&#10;">
              <v:fill on="f" focussize="0,0"/>
              <v:stroke on="f"/>
              <v:imagedata o:title=""/>
              <o:lock v:ext="edit" aspectratio="f"/>
              <v:textbox inset="0mm,0mm,0mm,0mm" style="mso-fit-shape-to-text:t;">
                <w:txbxContent>
                  <w:p w14:paraId="01E5F7B6">
                    <w:pPr>
                      <w:pStyle w:val="18"/>
                    </w:pPr>
                    <w:r>
                      <w:fldChar w:fldCharType="begin"/>
                    </w:r>
                    <w:r>
                      <w:instrText xml:space="preserve"> PAGE  \* MERGEFORMAT </w:instrText>
                    </w:r>
                    <w:r>
                      <w:fldChar w:fldCharType="separate"/>
                    </w:r>
                    <w:r>
                      <w:t>3</w:t>
                    </w:r>
                    <w:r>
                      <w:fldChar w:fldCharType="end"/>
                    </w:r>
                  </w:p>
                </w:txbxContent>
              </v:textbox>
            </v:rect>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9D0BF4">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99" name="文本框 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409C7062">
                          <w:pPr>
                            <w:pStyle w:val="18"/>
                          </w:pPr>
                          <w:r>
                            <w:fldChar w:fldCharType="begin"/>
                          </w:r>
                          <w:r>
                            <w:instrText xml:space="preserve"> PAGE  \* MERGEFORMAT </w:instrText>
                          </w:r>
                          <w:r>
                            <w:fldChar w:fldCharType="separate"/>
                          </w:r>
                          <w:r>
                            <w:t>10</w:t>
                          </w:r>
                          <w:r>
                            <w:fldChar w:fldCharType="end"/>
                          </w:r>
                        </w:p>
                      </w:txbxContent>
                    </wps:txbx>
                    <wps:bodyPr vert="horz" wrap="none" lIns="0" tIns="0" rIns="0" bIns="0" anchor="t">
                      <a:spAutoFit/>
                    </wps:bodyPr>
                  </wps:wsp>
                </a:graphicData>
              </a:graphic>
            </wp:anchor>
          </w:drawing>
        </mc:Choice>
        <mc:Fallback>
          <w:pict>
            <v:rect id="文本框 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EC8bAPKAQAAkgMAAA4AAAAAAAAAAQAgAAAAHwEAAGRycy9lMm9E&#10;b2MueG1sUEsFBgAAAAAGAAYAWQEAAFsFAAAAAA==&#10;">
              <v:fill on="f" focussize="0,0"/>
              <v:stroke on="f"/>
              <v:imagedata o:title=""/>
              <o:lock v:ext="edit" aspectratio="f"/>
              <v:textbox inset="0mm,0mm,0mm,0mm" style="mso-fit-shape-to-text:t;">
                <w:txbxContent>
                  <w:p w14:paraId="409C7062">
                    <w:pPr>
                      <w:pStyle w:val="18"/>
                    </w:pPr>
                    <w:r>
                      <w:fldChar w:fldCharType="begin"/>
                    </w:r>
                    <w:r>
                      <w:instrText xml:space="preserve"> PAGE  \* MERGEFORMAT </w:instrText>
                    </w:r>
                    <w:r>
                      <w:fldChar w:fldCharType="separate"/>
                    </w:r>
                    <w:r>
                      <w:t>10</w:t>
                    </w:r>
                    <w:r>
                      <w:fldChar w:fldCharType="end"/>
                    </w:r>
                  </w:p>
                </w:txbxContent>
              </v:textbox>
            </v:rect>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FA269">
    <w:pPr>
      <w:spacing w:line="188" w:lineRule="auto"/>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0" name="文本框 4"/>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F2377E">
                          <w:pPr>
                            <w:pStyle w:val="18"/>
                          </w:pPr>
                          <w:r>
                            <w:fldChar w:fldCharType="begin"/>
                          </w:r>
                          <w:r>
                            <w:instrText xml:space="preserve"> PAGE  \* MERGEFORMAT </w:instrText>
                          </w:r>
                          <w:r>
                            <w:fldChar w:fldCharType="separate"/>
                          </w:r>
                          <w:r>
                            <w:t>14</w:t>
                          </w:r>
                          <w:r>
                            <w:fldChar w:fldCharType="end"/>
                          </w:r>
                        </w:p>
                      </w:txbxContent>
                    </wps:txbx>
                    <wps:bodyPr vert="horz" wrap="none" lIns="0" tIns="0" rIns="0" bIns="0" anchor="t">
                      <a:spAutoFit/>
                    </wps:bodyPr>
                  </wps:wsp>
                </a:graphicData>
              </a:graphic>
            </wp:anchor>
          </w:drawing>
        </mc:Choice>
        <mc:Fallback>
          <w:pict>
            <v:rect id="文本框 4"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">
              <v:fill on="f" focussize="0,0"/>
              <v:stroke on="f"/>
              <v:imagedata o:title=""/>
              <o:lock v:ext="edit" aspectratio="f"/>
              <v:textbox inset="0mm,0mm,0mm,0mm" style="mso-fit-shape-to-text:t;">
                <w:txbxContent>
                  <w:p w14:paraId="2DF2377E">
                    <w:pPr>
                      <w:pStyle w:val="18"/>
                    </w:pPr>
                    <w:r>
                      <w:fldChar w:fldCharType="begin"/>
                    </w:r>
                    <w:r>
                      <w:instrText xml:space="preserve"> PAGE  \* MERGEFORMAT </w:instrText>
                    </w:r>
                    <w:r>
                      <w:fldChar w:fldCharType="separate"/>
                    </w:r>
                    <w:r>
                      <w:t>14</w:t>
                    </w:r>
                    <w:r>
                      <w:fldChar w:fldCharType="end"/>
                    </w:r>
                  </w:p>
                </w:txbxContent>
              </v:textbox>
            </v:rect>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B68FAC">
    <w:pPr>
      <w:spacing w:line="188" w:lineRule="auto"/>
      <w:ind w:left="419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1" name="文本框 6"/>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8C01E">
                          <w:pPr>
                            <w:pStyle w:val="18"/>
                          </w:pPr>
                          <w:r>
                            <w:fldChar w:fldCharType="begin"/>
                          </w:r>
                          <w:r>
                            <w:instrText xml:space="preserve"> PAGE  \* MERGEFORMAT </w:instrText>
                          </w:r>
                          <w:r>
                            <w:fldChar w:fldCharType="separate"/>
                          </w:r>
                          <w:r>
                            <w:t>28</w:t>
                          </w:r>
                          <w:r>
                            <w:fldChar w:fldCharType="end"/>
                          </w:r>
                        </w:p>
                      </w:txbxContent>
                    </wps:txbx>
                    <wps:bodyPr vert="horz" wrap="none" lIns="0" tIns="0" rIns="0" bIns="0" anchor="t">
                      <a:spAutoFit/>
                    </wps:bodyPr>
                  </wps:wsp>
                </a:graphicData>
              </a:graphic>
            </wp:anchor>
          </w:drawing>
        </mc:Choice>
        <mc:Fallback>
          <w:pict>
            <v:rect id="文本框 6"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Bw3+qnKAQAAkgMAAA4AAAAAAAAAAQAgAAAAHwEAAGRycy9lMm9E&#10;b2MueG1sUEsFBgAAAAAGAAYAWQEAAFsFAAAAAA==&#10;">
              <v:fill on="f" focussize="0,0"/>
              <v:stroke on="f"/>
              <v:imagedata o:title=""/>
              <o:lock v:ext="edit" aspectratio="f"/>
              <v:textbox inset="0mm,0mm,0mm,0mm" style="mso-fit-shape-to-text:t;">
                <w:txbxContent>
                  <w:p w14:paraId="2D78C01E">
                    <w:pPr>
                      <w:pStyle w:val="18"/>
                    </w:pPr>
                    <w:r>
                      <w:fldChar w:fldCharType="begin"/>
                    </w:r>
                    <w:r>
                      <w:instrText xml:space="preserve"> PAGE  \* MERGEFORMAT </w:instrText>
                    </w:r>
                    <w:r>
                      <w:fldChar w:fldCharType="separate"/>
                    </w:r>
                    <w:r>
                      <w:t>28</w:t>
                    </w:r>
                    <w:r>
                      <w:fldChar w:fldCharType="end"/>
                    </w:r>
                  </w:p>
                </w:txbxContent>
              </v:textbox>
            </v:rect>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F2C00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2" name="文本框 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64CF4830">
                          <w:pPr>
                            <w:pStyle w:val="18"/>
                          </w:pPr>
                          <w:r>
                            <w:fldChar w:fldCharType="begin"/>
                          </w:r>
                          <w:r>
                            <w:instrText xml:space="preserve"> PAGE  \* MERGEFORMAT </w:instrText>
                          </w:r>
                          <w:r>
                            <w:fldChar w:fldCharType="separate"/>
                          </w:r>
                          <w:r>
                            <w:t>29</w:t>
                          </w:r>
                          <w:r>
                            <w:fldChar w:fldCharType="end"/>
                          </w:r>
                        </w:p>
                      </w:txbxContent>
                    </wps:txbx>
                    <wps:bodyPr vert="horz" wrap="none" lIns="0" tIns="0" rIns="0" bIns="0" anchor="t">
                      <a:spAutoFit/>
                    </wps:bodyPr>
                  </wps:wsp>
                </a:graphicData>
              </a:graphic>
            </wp:anchor>
          </w:drawing>
        </mc:Choice>
        <mc:Fallback>
          <w:pict>
            <v:rect id="文本框 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3SMoxckBAACSAwAADgAAAAAAAAABACAAAAAfAQAAZHJzL2Uyb0Rv&#10;Yy54bWxQSwUGAAAAAAYABgBZAQAAWgUAAAAA&#10;">
              <v:fill on="f" focussize="0,0"/>
              <v:stroke on="f"/>
              <v:imagedata o:title=""/>
              <o:lock v:ext="edit" aspectratio="f"/>
              <v:textbox inset="0mm,0mm,0mm,0mm" style="mso-fit-shape-to-text:t;">
                <w:txbxContent>
                  <w:p w14:paraId="64CF4830">
                    <w:pPr>
                      <w:pStyle w:val="18"/>
                    </w:pPr>
                    <w:r>
                      <w:fldChar w:fldCharType="begin"/>
                    </w:r>
                    <w:r>
                      <w:instrText xml:space="preserve"> PAGE  \* MERGEFORMAT </w:instrText>
                    </w:r>
                    <w:r>
                      <w:fldChar w:fldCharType="separate"/>
                    </w:r>
                    <w:r>
                      <w:t>29</w:t>
                    </w:r>
                    <w:r>
                      <w:fldChar w:fldCharType="end"/>
                    </w:r>
                  </w:p>
                </w:txbxContent>
              </v:textbox>
            </v:rect>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281FEA">
    <w:pPr>
      <w:spacing w:line="188" w:lineRule="auto"/>
      <w:ind w:left="482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3" name="文本框 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60A468">
                          <w:pPr>
                            <w:pStyle w:val="18"/>
                          </w:pPr>
                          <w:r>
                            <w:fldChar w:fldCharType="begin"/>
                          </w:r>
                          <w:r>
                            <w:instrText xml:space="preserve"> PAGE  \* MERGEFORMAT </w:instrText>
                          </w:r>
                          <w:r>
                            <w:fldChar w:fldCharType="separate"/>
                          </w:r>
                          <w:r>
                            <w:t>30</w:t>
                          </w:r>
                          <w:r>
                            <w:fldChar w:fldCharType="end"/>
                          </w:r>
                        </w:p>
                      </w:txbxContent>
                    </wps:txbx>
                    <wps:bodyPr vert="horz" wrap="none" lIns="0" tIns="0" rIns="0" bIns="0" anchor="t">
                      <a:spAutoFit/>
                    </wps:bodyPr>
                  </wps:wsp>
                </a:graphicData>
              </a:graphic>
            </wp:anchor>
          </w:drawing>
        </mc:Choice>
        <mc:Fallback>
          <w:pict>
            <v:rect id="文本框 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2AQVYckBAACSAwAADgAAAAAAAAABACAAAAAfAQAAZHJzL2Uyb0Rv&#10;Yy54bWxQSwUGAAAAAAYABgBZAQAAWgUAAAAA&#10;">
              <v:fill on="f" focussize="0,0"/>
              <v:stroke on="f"/>
              <v:imagedata o:title=""/>
              <o:lock v:ext="edit" aspectratio="f"/>
              <v:textbox inset="0mm,0mm,0mm,0mm" style="mso-fit-shape-to-text:t;">
                <w:txbxContent>
                  <w:p w14:paraId="1160A468">
                    <w:pPr>
                      <w:pStyle w:val="18"/>
                    </w:pPr>
                    <w:r>
                      <w:fldChar w:fldCharType="begin"/>
                    </w:r>
                    <w:r>
                      <w:instrText xml:space="preserve"> PAGE  \* MERGEFORMAT </w:instrText>
                    </w:r>
                    <w:r>
                      <w:fldChar w:fldCharType="separate"/>
                    </w:r>
                    <w:r>
                      <w:t>30</w:t>
                    </w:r>
                    <w:r>
                      <w:fldChar w:fldCharType="end"/>
                    </w:r>
                  </w:p>
                </w:txbxContent>
              </v:textbox>
            </v:rect>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AA9704">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4" name="文本框 1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8389D2A">
                          <w:pPr>
                            <w:pStyle w:val="18"/>
                          </w:pPr>
                          <w:r>
                            <w:fldChar w:fldCharType="begin"/>
                          </w:r>
                          <w:r>
                            <w:instrText xml:space="preserve"> PAGE  \* MERGEFORMAT </w:instrText>
                          </w:r>
                          <w:r>
                            <w:fldChar w:fldCharType="separate"/>
                          </w:r>
                          <w:r>
                            <w:t>31</w:t>
                          </w:r>
                          <w:r>
                            <w:fldChar w:fldCharType="end"/>
                          </w:r>
                        </w:p>
                      </w:txbxContent>
                    </wps:txbx>
                    <wps:bodyPr vert="horz" wrap="none" lIns="0" tIns="0" rIns="0" bIns="0" anchor="t">
                      <a:spAutoFit/>
                    </wps:bodyPr>
                  </wps:wsp>
                </a:graphicData>
              </a:graphic>
            </wp:anchor>
          </w:drawing>
        </mc:Choice>
        <mc:Fallback>
          <w:pict>
            <v:rect id="文本框 1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tVvbHKAQAAkwMAAA4AAAAAAAAAAQAgAAAAHwEAAGRycy9lMm9E&#10;b2MueG1sUEsFBgAAAAAGAAYAWQEAAFsFAAAAAA==&#10;">
              <v:fill on="f" focussize="0,0"/>
              <v:stroke on="f"/>
              <v:imagedata o:title=""/>
              <o:lock v:ext="edit" aspectratio="f"/>
              <v:textbox inset="0mm,0mm,0mm,0mm" style="mso-fit-shape-to-text:t;">
                <w:txbxContent>
                  <w:p w14:paraId="58389D2A">
                    <w:pPr>
                      <w:pStyle w:val="18"/>
                    </w:pPr>
                    <w:r>
                      <w:fldChar w:fldCharType="begin"/>
                    </w:r>
                    <w:r>
                      <w:instrText xml:space="preserve"> PAGE  \* MERGEFORMAT </w:instrText>
                    </w:r>
                    <w:r>
                      <w:fldChar w:fldCharType="separate"/>
                    </w:r>
                    <w:r>
                      <w:t>31</w:t>
                    </w:r>
                    <w:r>
                      <w:fldChar w:fldCharType="end"/>
                    </w:r>
                  </w:p>
                </w:txbxContent>
              </v:textbox>
            </v:rect>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588FFBB">
    <w:pPr>
      <w:spacing w:line="188" w:lineRule="auto"/>
      <w:ind w:left="437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5" name="文本框 1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E9F84F4">
                          <w:pPr>
                            <w:pStyle w:val="18"/>
                          </w:pPr>
                          <w:r>
                            <w:fldChar w:fldCharType="begin"/>
                          </w:r>
                          <w:r>
                            <w:instrText xml:space="preserve"> PAGE  \* MERGEFORMAT </w:instrText>
                          </w:r>
                          <w:r>
                            <w:fldChar w:fldCharType="separate"/>
                          </w:r>
                          <w:r>
                            <w:t>32</w:t>
                          </w:r>
                          <w:r>
                            <w:fldChar w:fldCharType="end"/>
                          </w:r>
                        </w:p>
                      </w:txbxContent>
                    </wps:txbx>
                    <wps:bodyPr vert="horz" wrap="none" lIns="0" tIns="0" rIns="0" bIns="0" anchor="t">
                      <a:spAutoFit/>
                    </wps:bodyPr>
                  </wps:wsp>
                </a:graphicData>
              </a:graphic>
            </wp:anchor>
          </w:drawing>
        </mc:Choice>
        <mc:Fallback>
          <w:pict>
            <v:rect id="文本框 1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fG/fjLAQAAkwMAAA4AAABkcnMvZTJvRG9jLnhtbK1TS27bMBDdF+gd&#10;CO5jSUZa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pfF/k7zpyw9Obn37/Of/6d&#10;//5kxT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Hxv34ywEAAJMDAAAOAAAAAAAAAAEAIAAAAB8BAABkcnMvZTJv&#10;RG9jLnhtbFBLBQYAAAAABgAGAFkBAABcBQAAAAA=&#10;">
              <v:fill on="f" focussize="0,0"/>
              <v:stroke on="f"/>
              <v:imagedata o:title=""/>
              <o:lock v:ext="edit" aspectratio="f"/>
              <v:textbox inset="0mm,0mm,0mm,0mm" style="mso-fit-shape-to-text:t;">
                <w:txbxContent>
                  <w:p w14:paraId="0E9F84F4">
                    <w:pPr>
                      <w:pStyle w:val="18"/>
                    </w:pPr>
                    <w:r>
                      <w:fldChar w:fldCharType="begin"/>
                    </w:r>
                    <w:r>
                      <w:instrText xml:space="preserve"> PAGE  \* MERGEFORMAT </w:instrText>
                    </w:r>
                    <w:r>
                      <w:fldChar w:fldCharType="separate"/>
                    </w:r>
                    <w:r>
                      <w:t>32</w:t>
                    </w:r>
                    <w:r>
                      <w:fldChar w:fldCharType="end"/>
                    </w:r>
                  </w:p>
                </w:txbxContent>
              </v:textbox>
            </v:rect>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A2B0C">
    <w:pPr>
      <w:spacing w:line="188" w:lineRule="auto"/>
      <w:ind w:left="422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6" name="文本框 13"/>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6E5C408">
                          <w:pPr>
                            <w:pStyle w:val="18"/>
                          </w:pPr>
                          <w:r>
                            <w:fldChar w:fldCharType="begin"/>
                          </w:r>
                          <w:r>
                            <w:instrText xml:space="preserve"> PAGE  \* MERGEFORMAT </w:instrText>
                          </w:r>
                          <w:r>
                            <w:fldChar w:fldCharType="separate"/>
                          </w:r>
                          <w:r>
                            <w:t>33</w:t>
                          </w:r>
                          <w:r>
                            <w:fldChar w:fldCharType="end"/>
                          </w:r>
                        </w:p>
                      </w:txbxContent>
                    </wps:txbx>
                    <wps:bodyPr vert="horz" wrap="none" lIns="0" tIns="0" rIns="0" bIns="0" anchor="t">
                      <a:spAutoFit/>
                    </wps:bodyPr>
                  </wps:wsp>
                </a:graphicData>
              </a:graphic>
            </wp:anchor>
          </w:drawing>
        </mc:Choice>
        <mc:Fallback>
          <w:pict>
            <v:rect id="文本框 13"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mjfgWywEAAJMDAAAOAAAAAAAAAAEAIAAAAB8BAABkcnMvZTJv&#10;RG9jLnhtbFBLBQYAAAAABgAGAFkBAABcBQAAAAA=&#10;">
              <v:fill on="f" focussize="0,0"/>
              <v:stroke on="f"/>
              <v:imagedata o:title=""/>
              <o:lock v:ext="edit" aspectratio="f"/>
              <v:textbox inset="0mm,0mm,0mm,0mm" style="mso-fit-shape-to-text:t;">
                <w:txbxContent>
                  <w:p w14:paraId="76E5C408">
                    <w:pPr>
                      <w:pStyle w:val="18"/>
                    </w:pPr>
                    <w:r>
                      <w:fldChar w:fldCharType="begin"/>
                    </w:r>
                    <w:r>
                      <w:instrText xml:space="preserve"> PAGE  \* MERGEFORMAT </w:instrText>
                    </w:r>
                    <w:r>
                      <w:fldChar w:fldCharType="separate"/>
                    </w:r>
                    <w:r>
                      <w:t>33</w:t>
                    </w:r>
                    <w:r>
                      <w:fldChar w:fldCharType="end"/>
                    </w:r>
                  </w:p>
                </w:txbxContent>
              </v:textbox>
            </v:rect>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3114C4">
    <w:pPr>
      <w:spacing w:line="188" w:lineRule="auto"/>
      <w:ind w:left="4815"/>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8" name="文本框 1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63C73BE">
                          <w:pPr>
                            <w:pStyle w:val="18"/>
                          </w:pPr>
                          <w:r>
                            <w:fldChar w:fldCharType="begin"/>
                          </w:r>
                          <w:r>
                            <w:instrText xml:space="preserve"> PAGE  \* MERGEFORMAT </w:instrText>
                          </w:r>
                          <w:r>
                            <w:fldChar w:fldCharType="separate"/>
                          </w:r>
                          <w:r>
                            <w:t>41</w:t>
                          </w:r>
                          <w:r>
                            <w:fldChar w:fldCharType="end"/>
                          </w:r>
                        </w:p>
                      </w:txbxContent>
                    </wps:txbx>
                    <wps:bodyPr vert="horz" wrap="none" lIns="0" tIns="0" rIns="0" bIns="0" anchor="t">
                      <a:spAutoFit/>
                    </wps:bodyPr>
                  </wps:wsp>
                </a:graphicData>
              </a:graphic>
            </wp:anchor>
          </w:drawing>
        </mc:Choice>
        <mc:Fallback>
          <w:pict>
            <v:rect id="文本框 1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D12Sr/KAQAAkwMAAA4AAAAAAAAAAQAgAAAAHwEAAGRycy9lMm9E&#10;b2MueG1sUEsFBgAAAAAGAAYAWQEAAFsFAAAAAA==&#10;">
              <v:fill on="f" focussize="0,0"/>
              <v:stroke on="f"/>
              <v:imagedata o:title=""/>
              <o:lock v:ext="edit" aspectratio="f"/>
              <v:textbox inset="0mm,0mm,0mm,0mm" style="mso-fit-shape-to-text:t;">
                <w:txbxContent>
                  <w:p w14:paraId="263C73BE">
                    <w:pPr>
                      <w:pStyle w:val="18"/>
                    </w:pPr>
                    <w:r>
                      <w:fldChar w:fldCharType="begin"/>
                    </w:r>
                    <w:r>
                      <w:instrText xml:space="preserve"> PAGE  \* MERGEFORMAT </w:instrText>
                    </w:r>
                    <w:r>
                      <w:fldChar w:fldCharType="separate"/>
                    </w:r>
                    <w:r>
                      <w:t>41</w:t>
                    </w:r>
                    <w:r>
                      <w:fldChar w:fldCharType="end"/>
                    </w:r>
                  </w:p>
                </w:txbxContent>
              </v:textbox>
            </v:rect>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C2B0D1">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09" name="文本框 17"/>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7D263679">
                          <w:pPr>
                            <w:pStyle w:val="18"/>
                          </w:pPr>
                          <w:r>
                            <w:fldChar w:fldCharType="begin"/>
                          </w:r>
                          <w:r>
                            <w:instrText xml:space="preserve"> PAGE  \* MERGEFORMAT </w:instrText>
                          </w:r>
                          <w:r>
                            <w:fldChar w:fldCharType="separate"/>
                          </w:r>
                          <w:r>
                            <w:t>59</w:t>
                          </w:r>
                          <w:r>
                            <w:fldChar w:fldCharType="end"/>
                          </w:r>
                        </w:p>
                      </w:txbxContent>
                    </wps:txbx>
                    <wps:bodyPr vert="horz" wrap="none" lIns="0" tIns="0" rIns="0" bIns="0" anchor="t">
                      <a:spAutoFit/>
                    </wps:bodyPr>
                  </wps:wsp>
                </a:graphicData>
              </a:graphic>
            </wp:anchor>
          </w:drawing>
        </mc:Choice>
        <mc:Fallback>
          <w:pict>
            <v:rect id="文本框 17"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m6eNywEAAJMDAAAOAAAAAAAAAAEAIAAAAB8BAABkcnMvZTJv&#10;RG9jLnhtbFBLBQYAAAAABgAGAFkBAABcBQAAAAA=&#10;">
              <v:fill on="f" focussize="0,0"/>
              <v:stroke on="f"/>
              <v:imagedata o:title=""/>
              <o:lock v:ext="edit" aspectratio="f"/>
              <v:textbox inset="0mm,0mm,0mm,0mm" style="mso-fit-shape-to-text:t;">
                <w:txbxContent>
                  <w:p w14:paraId="7D263679">
                    <w:pPr>
                      <w:pStyle w:val="18"/>
                    </w:pPr>
                    <w:r>
                      <w:fldChar w:fldCharType="begin"/>
                    </w:r>
                    <w:r>
                      <w:instrText xml:space="preserve"> PAGE  \* MERGEFORMAT </w:instrText>
                    </w:r>
                    <w:r>
                      <w:fldChar w:fldCharType="separate"/>
                    </w:r>
                    <w:r>
                      <w:t>59</w:t>
                    </w:r>
                    <w:r>
                      <w:fldChar w:fldCharType="end"/>
                    </w:r>
                  </w:p>
                </w:txbxContent>
              </v:textbox>
            </v:rect>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9343F1">
    <w:pPr>
      <w:spacing w:line="186" w:lineRule="auto"/>
      <w:ind w:left="4359"/>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0" name="文本框 18"/>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0F8CDBCF">
                          <w:pPr>
                            <w:pStyle w:val="18"/>
                          </w:pPr>
                          <w:r>
                            <w:fldChar w:fldCharType="begin"/>
                          </w:r>
                          <w:r>
                            <w:instrText xml:space="preserve"> PAGE  \* MERGEFORMAT </w:instrText>
                          </w:r>
                          <w:r>
                            <w:fldChar w:fldCharType="separate"/>
                          </w:r>
                          <w:r>
                            <w:t>60</w:t>
                          </w:r>
                          <w:r>
                            <w:fldChar w:fldCharType="end"/>
                          </w:r>
                        </w:p>
                      </w:txbxContent>
                    </wps:txbx>
                    <wps:bodyPr vert="horz" wrap="none" lIns="0" tIns="0" rIns="0" bIns="0" anchor="t">
                      <a:spAutoFit/>
                    </wps:bodyPr>
                  </wps:wsp>
                </a:graphicData>
              </a:graphic>
            </wp:anchor>
          </w:drawing>
        </mc:Choice>
        <mc:Fallback>
          <w:pict>
            <v:rect id="文本框 18"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DN200skBAACTAwAADgAAAAAAAAABACAAAAAfAQAAZHJzL2Uyb0Rv&#10;Yy54bWxQSwUGAAAAAAYABgBZAQAAWgUAAAAA&#10;">
              <v:fill on="f" focussize="0,0"/>
              <v:stroke on="f"/>
              <v:imagedata o:title=""/>
              <o:lock v:ext="edit" aspectratio="f"/>
              <v:textbox inset="0mm,0mm,0mm,0mm" style="mso-fit-shape-to-text:t;">
                <w:txbxContent>
                  <w:p w14:paraId="0F8CDBCF">
                    <w:pPr>
                      <w:pStyle w:val="18"/>
                    </w:pPr>
                    <w:r>
                      <w:fldChar w:fldCharType="begin"/>
                    </w:r>
                    <w:r>
                      <w:instrText xml:space="preserve"> PAGE  \* MERGEFORMAT </w:instrText>
                    </w:r>
                    <w:r>
                      <w:fldChar w:fldCharType="separate"/>
                    </w:r>
                    <w:r>
                      <w:t>60</w:t>
                    </w:r>
                    <w:r>
                      <w:fldChar w:fldCharType="end"/>
                    </w:r>
                  </w:p>
                </w:txbxContent>
              </v:textbox>
            </v:rect>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1BC6DE">
    <w:pPr>
      <w:spacing w:line="188" w:lineRule="auto"/>
      <w:ind w:left="4170"/>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1" name="文本框 19"/>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32900FE6">
                          <w:pPr>
                            <w:pStyle w:val="18"/>
                          </w:pPr>
                          <w:r>
                            <w:fldChar w:fldCharType="begin"/>
                          </w:r>
                          <w:r>
                            <w:instrText xml:space="preserve"> PAGE  \* MERGEFORMAT </w:instrText>
                          </w:r>
                          <w:r>
                            <w:fldChar w:fldCharType="separate"/>
                          </w:r>
                          <w:r>
                            <w:t>61</w:t>
                          </w:r>
                          <w:r>
                            <w:fldChar w:fldCharType="end"/>
                          </w:r>
                        </w:p>
                      </w:txbxContent>
                    </wps:txbx>
                    <wps:bodyPr vert="horz" wrap="none" lIns="0" tIns="0" rIns="0" bIns="0" anchor="t">
                      <a:spAutoFit/>
                    </wps:bodyPr>
                  </wps:wsp>
                </a:graphicData>
              </a:graphic>
            </wp:anchor>
          </w:drawing>
        </mc:Choice>
        <mc:Fallback>
          <w:pict>
            <v:rect id="文本框 19"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isq5sywEAAJMDAAAOAAAAAAAAAAEAIAAAAB8BAABkcnMvZTJv&#10;RG9jLnhtbFBLBQYAAAAABgAGAFkBAABcBQAAAAA=&#10;">
              <v:fill on="f" focussize="0,0"/>
              <v:stroke on="f"/>
              <v:imagedata o:title=""/>
              <o:lock v:ext="edit" aspectratio="f"/>
              <v:textbox inset="0mm,0mm,0mm,0mm" style="mso-fit-shape-to-text:t;">
                <w:txbxContent>
                  <w:p w14:paraId="32900FE6">
                    <w:pPr>
                      <w:pStyle w:val="18"/>
                    </w:pPr>
                    <w:r>
                      <w:fldChar w:fldCharType="begin"/>
                    </w:r>
                    <w:r>
                      <w:instrText xml:space="preserve"> PAGE  \* MERGEFORMAT </w:instrText>
                    </w:r>
                    <w:r>
                      <w:fldChar w:fldCharType="separate"/>
                    </w:r>
                    <w:r>
                      <w:t>61</w:t>
                    </w:r>
                    <w:r>
                      <w:fldChar w:fldCharType="end"/>
                    </w:r>
                  </w:p>
                </w:txbxContent>
              </v:textbox>
            </v:rect>
          </w:pict>
        </mc:Fallback>
      </mc:AlternateConten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BE660EA">
    <w:pPr>
      <w:spacing w:line="188" w:lineRule="auto"/>
      <w:ind w:left="4466"/>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2" name="文本框 20"/>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ACB891A">
                          <w:pPr>
                            <w:pStyle w:val="18"/>
                          </w:pPr>
                          <w:r>
                            <w:fldChar w:fldCharType="begin"/>
                          </w:r>
                          <w:r>
                            <w:instrText xml:space="preserve"> PAGE  \* MERGEFORMAT </w:instrText>
                          </w:r>
                          <w:r>
                            <w:fldChar w:fldCharType="separate"/>
                          </w:r>
                          <w:r>
                            <w:t>62</w:t>
                          </w:r>
                          <w:r>
                            <w:fldChar w:fldCharType="end"/>
                          </w:r>
                        </w:p>
                      </w:txbxContent>
                    </wps:txbx>
                    <wps:bodyPr vert="horz" wrap="none" lIns="0" tIns="0" rIns="0" bIns="0" anchor="t">
                      <a:spAutoFit/>
                    </wps:bodyPr>
                  </wps:wsp>
                </a:graphicData>
              </a:graphic>
            </wp:anchor>
          </w:drawing>
        </mc:Choice>
        <mc:Fallback>
          <w:pict>
            <v:rect id="文本框 20"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C5dblS0AAAAAUBAAAPAAAAAAAAAAEAIAAAACIAAABkcnMvZG93bnJldi54&#10;bWxQSwECFAAUAAAACACHTuJAJzvLY8kBAACTAwAADgAAAAAAAAABACAAAAAfAQAAZHJzL2Uyb0Rv&#10;Yy54bWxQSwUGAAAAAAYABgBZAQAAWgUAAAAA&#10;">
              <v:fill on="f" focussize="0,0"/>
              <v:stroke on="f"/>
              <v:imagedata o:title=""/>
              <o:lock v:ext="edit" aspectratio="f"/>
              <v:textbox inset="0mm,0mm,0mm,0mm" style="mso-fit-shape-to-text:t;">
                <w:txbxContent>
                  <w:p w14:paraId="2ACB891A">
                    <w:pPr>
                      <w:pStyle w:val="18"/>
                    </w:pPr>
                    <w:r>
                      <w:fldChar w:fldCharType="begin"/>
                    </w:r>
                    <w:r>
                      <w:instrText xml:space="preserve"> PAGE  \* MERGEFORMAT </w:instrText>
                    </w:r>
                    <w:r>
                      <w:fldChar w:fldCharType="separate"/>
                    </w:r>
                    <w:r>
                      <w:t>62</w:t>
                    </w:r>
                    <w:r>
                      <w:fldChar w:fldCharType="end"/>
                    </w:r>
                  </w:p>
                </w:txbxContent>
              </v:textbox>
            </v:rect>
          </w:pict>
        </mc:Fallback>
      </mc:AlternateConten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09DA67">
    <w:pPr>
      <w:spacing w:line="188" w:lineRule="auto"/>
      <w:ind w:left="7337"/>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3" name="文本框 21"/>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115EF192">
                          <w:pPr>
                            <w:pStyle w:val="18"/>
                          </w:pPr>
                          <w:r>
                            <w:fldChar w:fldCharType="begin"/>
                          </w:r>
                          <w:r>
                            <w:instrText xml:space="preserve"> PAGE  \* MERGEFORMAT </w:instrText>
                          </w:r>
                          <w:r>
                            <w:fldChar w:fldCharType="separate"/>
                          </w:r>
                          <w:r>
                            <w:t>63</w:t>
                          </w:r>
                          <w:r>
                            <w:fldChar w:fldCharType="end"/>
                          </w:r>
                        </w:p>
                      </w:txbxContent>
                    </wps:txbx>
                    <wps:bodyPr vert="horz" wrap="none" lIns="0" tIns="0" rIns="0" bIns="0" anchor="t">
                      <a:spAutoFit/>
                    </wps:bodyPr>
                  </wps:wsp>
                </a:graphicData>
              </a:graphic>
            </wp:anchor>
          </w:drawing>
        </mc:Choice>
        <mc:Fallback>
          <w:pict>
            <v:rect id="文本框 21"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BJVNHdywEAAJMDAAAOAAAAAAAAAAEAIAAAAB8BAABkcnMvZTJv&#10;RG9jLnhtbFBLBQYAAAAABgAGAFkBAABcBQAAAAA=&#10;">
              <v:fill on="f" focussize="0,0"/>
              <v:stroke on="f"/>
              <v:imagedata o:title=""/>
              <o:lock v:ext="edit" aspectratio="f"/>
              <v:textbox inset="0mm,0mm,0mm,0mm" style="mso-fit-shape-to-text:t;">
                <w:txbxContent>
                  <w:p w14:paraId="115EF192">
                    <w:pPr>
                      <w:pStyle w:val="18"/>
                    </w:pPr>
                    <w:r>
                      <w:fldChar w:fldCharType="begin"/>
                    </w:r>
                    <w:r>
                      <w:instrText xml:space="preserve"> PAGE  \* MERGEFORMAT </w:instrText>
                    </w:r>
                    <w:r>
                      <w:fldChar w:fldCharType="separate"/>
                    </w:r>
                    <w:r>
                      <w:t>63</w:t>
                    </w:r>
                    <w:r>
                      <w:fldChar w:fldCharType="end"/>
                    </w:r>
                  </w:p>
                </w:txbxContent>
              </v:textbox>
            </v:rect>
          </w:pict>
        </mc:Fallback>
      </mc:AlternateConten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9F9AD9F">
    <w:pPr>
      <w:spacing w:line="186" w:lineRule="auto"/>
      <w:ind w:left="4803"/>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4" name="文本框 22"/>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2D7BB93D">
                          <w:pPr>
                            <w:pStyle w:val="18"/>
                          </w:pPr>
                          <w:r>
                            <w:fldChar w:fldCharType="begin"/>
                          </w:r>
                          <w:r>
                            <w:instrText xml:space="preserve"> PAGE  \* MERGEFORMAT </w:instrText>
                          </w:r>
                          <w:r>
                            <w:fldChar w:fldCharType="separate"/>
                          </w:r>
                          <w:r>
                            <w:t>64</w:t>
                          </w:r>
                          <w:r>
                            <w:fldChar w:fldCharType="end"/>
                          </w:r>
                        </w:p>
                      </w:txbxContent>
                    </wps:txbx>
                    <wps:bodyPr vert="horz" wrap="none" lIns="0" tIns="0" rIns="0" bIns="0" anchor="t">
                      <a:spAutoFit/>
                    </wps:bodyPr>
                  </wps:wsp>
                </a:graphicData>
              </a:graphic>
            </wp:anchor>
          </w:drawing>
        </mc:Choice>
        <mc:Fallback>
          <w:pict>
            <v:rect id="文本框 22"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uXW5UtAAAAAFAQAADwAAAAAAAAABACAAAAAiAAAAZHJzL2Rvd25yZXYu&#10;eG1sUEsBAhQAFAAAAAgAh07iQKSqsGTKAQAAkwMAAA4AAAAAAAAAAQAgAAAAHwEAAGRycy9lMm9E&#10;b2MueG1sUEsFBgAAAAAGAAYAWQEAAFsFAAAAAA==&#10;">
              <v:fill on="f" focussize="0,0"/>
              <v:stroke on="f"/>
              <v:imagedata o:title=""/>
              <o:lock v:ext="edit" aspectratio="f"/>
              <v:textbox inset="0mm,0mm,0mm,0mm" style="mso-fit-shape-to-text:t;">
                <w:txbxContent>
                  <w:p w14:paraId="2D7BB93D">
                    <w:pPr>
                      <w:pStyle w:val="18"/>
                    </w:pPr>
                    <w:r>
                      <w:fldChar w:fldCharType="begin"/>
                    </w:r>
                    <w:r>
                      <w:instrText xml:space="preserve"> PAGE  \* MERGEFORMAT </w:instrText>
                    </w:r>
                    <w:r>
                      <w:fldChar w:fldCharType="separate"/>
                    </w:r>
                    <w:r>
                      <w:t>64</w:t>
                    </w:r>
                    <w:r>
                      <w:fldChar w:fldCharType="end"/>
                    </w:r>
                  </w:p>
                </w:txbxContent>
              </v:textbox>
            </v:rect>
          </w:pict>
        </mc:Fallback>
      </mc:AlternateConten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7A63D0">
    <w:pPr>
      <w:spacing w:line="188" w:lineRule="auto"/>
      <w:ind w:left="4661"/>
      <w:rPr>
        <w:rFonts w:ascii="Calibri" w:hAnsi="Calibri" w:eastAsia="Calibri" w:cs="Calibri"/>
        <w:sz w:val="17"/>
        <w:szCs w:val="17"/>
      </w:rPr>
    </w:pPr>
    <w:r>
      <w:rPr>
        <w:sz w:val="17"/>
      </w:rP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115" name="文本框 25"/>
              <wp:cNvGraphicFramePr/>
              <a:graphic xmlns:a="http://schemas.openxmlformats.org/drawingml/2006/main">
                <a:graphicData uri="http://schemas.microsoft.com/office/word/2010/wordprocessingShape">
                  <wps:wsp>
                    <wps:cNvSpPr/>
                    <wps:spPr>
                      <a:xfrm>
                        <a:off x="0" y="0"/>
                        <a:ext cx="1828800" cy="1828800"/>
                      </a:xfrm>
                      <a:prstGeom prst="rect">
                        <a:avLst/>
                      </a:prstGeom>
                      <a:ln>
                        <a:noFill/>
                      </a:ln>
                    </wps:spPr>
                    <wps:txbx>
                      <w:txbxContent>
                        <w:p w14:paraId="5DFCC072">
                          <w:pPr>
                            <w:pStyle w:val="18"/>
                          </w:pPr>
                          <w:r>
                            <w:fldChar w:fldCharType="begin"/>
                          </w:r>
                          <w:r>
                            <w:instrText xml:space="preserve"> PAGE  \* MERGEFORMAT </w:instrText>
                          </w:r>
                          <w:r>
                            <w:fldChar w:fldCharType="separate"/>
                          </w:r>
                          <w:r>
                            <w:t>67</w:t>
                          </w:r>
                          <w:r>
                            <w:fldChar w:fldCharType="end"/>
                          </w:r>
                        </w:p>
                      </w:txbxContent>
                    </wps:txbx>
                    <wps:bodyPr vert="horz" wrap="none" lIns="0" tIns="0" rIns="0" bIns="0" anchor="t">
                      <a:spAutoFit/>
                    </wps:bodyPr>
                  </wps:wsp>
                </a:graphicData>
              </a:graphic>
            </wp:anchor>
          </w:drawing>
        </mc:Choice>
        <mc:Fallback>
          <w:pict>
            <v:rect id="文本框 25" o:spid="_x0000_s1026" o:spt="1"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">
              <v:fill on="f" focussize="0,0"/>
              <v:stroke on="f"/>
              <v:imagedata o:title=""/>
              <o:lock v:ext="edit" aspectratio="f"/>
              <v:textbox inset="0mm,0mm,0mm,0mm" style="mso-fit-shape-to-text:t;">
                <w:txbxContent>
                  <w:p w14:paraId="5DFCC072">
                    <w:pPr>
                      <w:pStyle w:val="18"/>
                    </w:pPr>
                    <w:r>
                      <w:fldChar w:fldCharType="begin"/>
                    </w:r>
                    <w:r>
                      <w:instrText xml:space="preserve"> PAGE  \* MERGEFORMAT </w:instrText>
                    </w:r>
                    <w:r>
                      <w:fldChar w:fldCharType="separate"/>
                    </w:r>
                    <w:r>
                      <w:t>67</w:t>
                    </w:r>
                    <w: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FBCE19E"/>
    <w:multiLevelType w:val="singleLevel"/>
    <w:tmpl w:val="AFBCE19E"/>
    <w:lvl w:ilvl="0" w:tentative="0">
      <w:start w:val="1"/>
      <w:numFmt w:val="decimal"/>
      <w:suff w:val="nothing"/>
      <w:lvlText w:val="%1、"/>
      <w:lvlJc w:val="left"/>
    </w:lvl>
  </w:abstractNum>
  <w:abstractNum w:abstractNumId="1">
    <w:nsid w:val="C2498BF4"/>
    <w:multiLevelType w:val="singleLevel"/>
    <w:tmpl w:val="C2498BF4"/>
    <w:lvl w:ilvl="0" w:tentative="0">
      <w:start w:val="1"/>
      <w:numFmt w:val="decimal"/>
      <w:suff w:val="nothing"/>
      <w:lvlText w:val="%1、"/>
      <w:lvlJc w:val="left"/>
    </w:lvl>
  </w:abstractNum>
  <w:abstractNum w:abstractNumId="2">
    <w:nsid w:val="E899A8D4"/>
    <w:multiLevelType w:val="singleLevel"/>
    <w:tmpl w:val="E899A8D4"/>
    <w:lvl w:ilvl="0" w:tentative="0">
      <w:start w:val="5"/>
      <w:numFmt w:val="decimal"/>
      <w:suff w:val="nothing"/>
      <w:lvlText w:val="%1、"/>
      <w:lvlJc w:val="left"/>
    </w:lvl>
  </w:abstractNum>
  <w:abstractNum w:abstractNumId="3">
    <w:nsid w:val="00000005"/>
    <w:multiLevelType w:val="multilevel"/>
    <w:tmpl w:val="00000005"/>
    <w:lvl w:ilvl="0" w:tentative="0">
      <w:start w:val="1"/>
      <w:numFmt w:val="chineseCounting"/>
      <w:suff w:val="nothing"/>
      <w:lvlText w:val="第%1章 "/>
      <w:lvlJc w:val="left"/>
      <w:pPr>
        <w:ind w:left="432" w:hanging="432"/>
      </w:pPr>
      <w:rPr>
        <w:rFonts w:hint="eastAsia"/>
      </w:rPr>
    </w:lvl>
    <w:lvl w:ilvl="1" w:tentative="0">
      <w:start w:val="1"/>
      <w:numFmt w:val="decimal"/>
      <w:isLgl/>
      <w:lvlText w:val="%1.%2."/>
      <w:lvlJc w:val="left"/>
      <w:pPr>
        <w:ind w:left="575" w:hanging="575"/>
      </w:pPr>
      <w:rPr>
        <w:rFonts w:hint="eastAsia"/>
      </w:rPr>
    </w:lvl>
    <w:lvl w:ilvl="2" w:tentative="0">
      <w:start w:val="1"/>
      <w:numFmt w:val="decimal"/>
      <w:isLgl/>
      <w:lvlText w:val="%1.%2.%3."/>
      <w:lvlJc w:val="left"/>
      <w:pPr>
        <w:ind w:left="720" w:hanging="720"/>
      </w:pPr>
      <w:rPr>
        <w:rFonts w:hint="eastAsia"/>
      </w:rPr>
    </w:lvl>
    <w:lvl w:ilvl="3" w:tentative="0">
      <w:start w:val="1"/>
      <w:numFmt w:val="decimal"/>
      <w:isLgl/>
      <w:lvlText w:val="%1.%2.%3.%4."/>
      <w:lvlJc w:val="left"/>
      <w:pPr>
        <w:ind w:left="864" w:hanging="864"/>
      </w:pPr>
      <w:rPr>
        <w:rFonts w:hint="eastAsia"/>
      </w:rPr>
    </w:lvl>
    <w:lvl w:ilvl="4" w:tentative="0">
      <w:start w:val="1"/>
      <w:numFmt w:val="decimal"/>
      <w:pStyle w:val="7"/>
      <w:isLgl/>
      <w:lvlText w:val="%1.%2.%3.%4.%5."/>
      <w:lvlJc w:val="left"/>
      <w:pPr>
        <w:ind w:left="1008" w:hanging="1008"/>
      </w:pPr>
      <w:rPr>
        <w:rFonts w:hint="eastAsia"/>
      </w:rPr>
    </w:lvl>
    <w:lvl w:ilvl="5" w:tentative="0">
      <w:start w:val="1"/>
      <w:numFmt w:val="decimal"/>
      <w:isLgl/>
      <w:lvlText w:val="%1.%2.%3.%4.%5.%6."/>
      <w:lvlJc w:val="left"/>
      <w:pPr>
        <w:ind w:left="1151" w:hanging="1151"/>
      </w:pPr>
      <w:rPr>
        <w:rFonts w:hint="eastAsia"/>
      </w:rPr>
    </w:lvl>
    <w:lvl w:ilvl="6" w:tentative="0">
      <w:start w:val="1"/>
      <w:numFmt w:val="decimal"/>
      <w:isLgl/>
      <w:lvlText w:val="%1.%2.%3.%4.%5.%6.%7."/>
      <w:lvlJc w:val="left"/>
      <w:pPr>
        <w:ind w:left="1296" w:hanging="1296"/>
      </w:pPr>
      <w:rPr>
        <w:rFonts w:hint="eastAsia"/>
      </w:rPr>
    </w:lvl>
    <w:lvl w:ilvl="7" w:tentative="0">
      <w:start w:val="1"/>
      <w:numFmt w:val="decimal"/>
      <w:isLgl/>
      <w:lvlText w:val="%1.%2.%3.%4.%5.%6.%7.%8."/>
      <w:lvlJc w:val="left"/>
      <w:pPr>
        <w:ind w:left="1440" w:hanging="1440"/>
      </w:pPr>
      <w:rPr>
        <w:rFonts w:hint="eastAsia"/>
      </w:rPr>
    </w:lvl>
    <w:lvl w:ilvl="8" w:tentative="0">
      <w:start w:val="1"/>
      <w:numFmt w:val="decimal"/>
      <w:isLgl/>
      <w:lvlText w:val="%1.%2.%3.%4.%5.%6.%7.%8.%9."/>
      <w:lvlJc w:val="left"/>
      <w:pPr>
        <w:ind w:left="1583" w:hanging="1583"/>
      </w:pPr>
      <w:rPr>
        <w:rFonts w:hint="eastAsia"/>
      </w:rPr>
    </w:lvl>
  </w:abstractNum>
  <w:abstractNum w:abstractNumId="4">
    <w:nsid w:val="00000007"/>
    <w:multiLevelType w:val="multilevel"/>
    <w:tmpl w:val="00000007"/>
    <w:lvl w:ilvl="0" w:tentative="0">
      <w:start w:val="1"/>
      <w:numFmt w:val="chineseCounting"/>
      <w:suff w:val="nothing"/>
      <w:lvlText w:val="%1、"/>
      <w:lvlJc w:val="left"/>
      <w:pPr>
        <w:tabs>
          <w:tab w:val="left" w:pos="0"/>
        </w:tabs>
        <w:ind w:left="0" w:firstLine="0"/>
      </w:pPr>
      <w:rPr>
        <w:rFonts w:hint="eastAsia" w:ascii="宋体" w:hAnsi="宋体" w:eastAsia="宋体" w:cs="宋体"/>
        <w:sz w:val="24"/>
        <w:szCs w:val="24"/>
      </w:rPr>
    </w:lvl>
    <w:lvl w:ilvl="1" w:tentative="0">
      <w:start w:val="1"/>
      <w:numFmt w:val="chineseCounting"/>
      <w:pStyle w:val="3"/>
      <w:suff w:val="nothing"/>
      <w:lvlText w:val="（%2）"/>
      <w:lvlJc w:val="left"/>
      <w:pPr>
        <w:ind w:left="0" w:firstLine="0"/>
      </w:pPr>
      <w:rPr>
        <w:rFonts w:hint="eastAsia" w:ascii="宋体" w:hAnsi="宋体" w:eastAsia="宋体" w:cs="宋体"/>
        <w:sz w:val="24"/>
        <w:szCs w:val="24"/>
      </w:rPr>
    </w:lvl>
    <w:lvl w:ilvl="2" w:tentative="0">
      <w:start w:val="1"/>
      <w:numFmt w:val="decimal"/>
      <w:suff w:val="nothing"/>
      <w:lvlText w:val="%3．"/>
      <w:lvlJc w:val="left"/>
      <w:pPr>
        <w:ind w:left="210" w:firstLine="400"/>
      </w:pPr>
      <w:rPr>
        <w:rFonts w:hint="eastAsia" w:ascii="宋体" w:hAnsi="宋体" w:eastAsia="宋体" w:cs="宋体"/>
        <w:sz w:val="24"/>
        <w:szCs w:val="24"/>
      </w:rPr>
    </w:lvl>
    <w:lvl w:ilvl="3" w:tentative="0">
      <w:start w:val="1"/>
      <w:numFmt w:val="decimal"/>
      <w:suff w:val="nothing"/>
      <w:lvlText w:val="（%4）"/>
      <w:lvlJc w:val="left"/>
      <w:pPr>
        <w:ind w:left="0" w:firstLine="0"/>
      </w:pPr>
      <w:rPr>
        <w:rFonts w:hint="eastAsia" w:ascii="宋体" w:hAnsi="宋体" w:eastAsia="宋体" w:cs="宋体"/>
        <w:sz w:val="24"/>
        <w:szCs w:val="24"/>
      </w:rPr>
    </w:lvl>
    <w:lvl w:ilvl="4" w:tentative="0">
      <w:start w:val="1"/>
      <w:numFmt w:val="decimalEnclosedCircleChinese"/>
      <w:suff w:val="nothing"/>
      <w:lvlText w:val="%5"/>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5">
    <w:nsid w:val="00000008"/>
    <w:multiLevelType w:val="singleLevel"/>
    <w:tmpl w:val="00000008"/>
    <w:lvl w:ilvl="0" w:tentative="0">
      <w:start w:val="4"/>
      <w:numFmt w:val="chineseCounting"/>
      <w:suff w:val="nothing"/>
      <w:lvlText w:val="%1、"/>
      <w:lvlJc w:val="left"/>
      <w:rPr>
        <w:rFonts w:hint="eastAsia"/>
      </w:rPr>
    </w:lvl>
  </w:abstractNum>
  <w:abstractNum w:abstractNumId="6">
    <w:nsid w:val="14737BA9"/>
    <w:multiLevelType w:val="singleLevel"/>
    <w:tmpl w:val="14737BA9"/>
    <w:lvl w:ilvl="0" w:tentative="0">
      <w:start w:val="1"/>
      <w:numFmt w:val="decimal"/>
      <w:suff w:val="nothing"/>
      <w:lvlText w:val="%1、"/>
      <w:lvlJc w:val="left"/>
    </w:lvl>
  </w:abstractNum>
  <w:abstractNum w:abstractNumId="7">
    <w:nsid w:val="198AAB16"/>
    <w:multiLevelType w:val="singleLevel"/>
    <w:tmpl w:val="198AAB16"/>
    <w:lvl w:ilvl="0" w:tentative="0">
      <w:start w:val="1"/>
      <w:numFmt w:val="chineseCounting"/>
      <w:pStyle w:val="75"/>
      <w:suff w:val="nothing"/>
      <w:lvlText w:val="%1、"/>
      <w:lvlJc w:val="left"/>
      <w:pPr>
        <w:ind w:left="0" w:firstLine="420"/>
      </w:pPr>
      <w:rPr>
        <w:rFonts w:hint="eastAsia"/>
      </w:rPr>
    </w:lvl>
  </w:abstractNum>
  <w:abstractNum w:abstractNumId="8">
    <w:nsid w:val="26C1EF9B"/>
    <w:multiLevelType w:val="singleLevel"/>
    <w:tmpl w:val="26C1EF9B"/>
    <w:lvl w:ilvl="0" w:tentative="0">
      <w:start w:val="8"/>
      <w:numFmt w:val="decimal"/>
      <w:suff w:val="nothing"/>
      <w:lvlText w:val="（%1）"/>
      <w:lvlJc w:val="left"/>
    </w:lvl>
  </w:abstractNum>
  <w:abstractNum w:abstractNumId="9">
    <w:nsid w:val="48EEB674"/>
    <w:multiLevelType w:val="singleLevel"/>
    <w:tmpl w:val="48EEB674"/>
    <w:lvl w:ilvl="0" w:tentative="0">
      <w:start w:val="2"/>
      <w:numFmt w:val="chineseCounting"/>
      <w:suff w:val="nothing"/>
      <w:lvlText w:val="%1、"/>
      <w:lvlJc w:val="left"/>
      <w:rPr>
        <w:rFonts w:hint="eastAsia"/>
      </w:rPr>
    </w:lvl>
  </w:abstractNum>
  <w:num w:numId="1">
    <w:abstractNumId w:val="4"/>
  </w:num>
  <w:num w:numId="2">
    <w:abstractNumId w:val="3"/>
  </w:num>
  <w:num w:numId="3">
    <w:abstractNumId w:val="7"/>
  </w:num>
  <w:num w:numId="4">
    <w:abstractNumId w:val="9"/>
  </w:num>
  <w:num w:numId="5">
    <w:abstractNumId w:val="5"/>
  </w:num>
  <w:num w:numId="6">
    <w:abstractNumId w:val="8"/>
  </w:num>
  <w:num w:numId="7">
    <w:abstractNumId w:val="6"/>
  </w:num>
  <w:num w:numId="8">
    <w:abstractNumId w:val="0"/>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zY0NGExZTIxOGQ5OWFlN2I2Y2MwZmJmZTJkYTIxMjQifQ=="/>
  </w:docVars>
  <w:rsids>
    <w:rsidRoot w:val="00000000"/>
    <w:rsid w:val="00207F35"/>
    <w:rsid w:val="003A6B66"/>
    <w:rsid w:val="004901D4"/>
    <w:rsid w:val="007C0F2D"/>
    <w:rsid w:val="009C337D"/>
    <w:rsid w:val="00AB35C0"/>
    <w:rsid w:val="00FE7BF9"/>
    <w:rsid w:val="011238C7"/>
    <w:rsid w:val="0159301C"/>
    <w:rsid w:val="018737B7"/>
    <w:rsid w:val="01AF70E0"/>
    <w:rsid w:val="020531A4"/>
    <w:rsid w:val="02165344"/>
    <w:rsid w:val="02346455"/>
    <w:rsid w:val="0236335D"/>
    <w:rsid w:val="027E0C2A"/>
    <w:rsid w:val="02840270"/>
    <w:rsid w:val="028E4F47"/>
    <w:rsid w:val="029A1B3E"/>
    <w:rsid w:val="02B2505C"/>
    <w:rsid w:val="03B135A0"/>
    <w:rsid w:val="042C7B36"/>
    <w:rsid w:val="042F236B"/>
    <w:rsid w:val="04CB1E10"/>
    <w:rsid w:val="05340028"/>
    <w:rsid w:val="054B586B"/>
    <w:rsid w:val="059705B7"/>
    <w:rsid w:val="05FE61F2"/>
    <w:rsid w:val="06372550"/>
    <w:rsid w:val="066B167A"/>
    <w:rsid w:val="067A5F0E"/>
    <w:rsid w:val="07571DAC"/>
    <w:rsid w:val="0768220B"/>
    <w:rsid w:val="09191057"/>
    <w:rsid w:val="095A3DD5"/>
    <w:rsid w:val="098A290C"/>
    <w:rsid w:val="099E26EF"/>
    <w:rsid w:val="0A997772"/>
    <w:rsid w:val="0AAA2B3A"/>
    <w:rsid w:val="0ADE3BB0"/>
    <w:rsid w:val="0B386398"/>
    <w:rsid w:val="0B3A406F"/>
    <w:rsid w:val="0B8B64C8"/>
    <w:rsid w:val="0BFA364D"/>
    <w:rsid w:val="0C63281E"/>
    <w:rsid w:val="0CCC4FEA"/>
    <w:rsid w:val="0CE911C3"/>
    <w:rsid w:val="0D701E19"/>
    <w:rsid w:val="0DF5231E"/>
    <w:rsid w:val="0E770F85"/>
    <w:rsid w:val="0EC817E1"/>
    <w:rsid w:val="0EF95E3E"/>
    <w:rsid w:val="0F3F6D80"/>
    <w:rsid w:val="0F6634D4"/>
    <w:rsid w:val="0F9D4A1B"/>
    <w:rsid w:val="0FDD0E57"/>
    <w:rsid w:val="107D490A"/>
    <w:rsid w:val="11196324"/>
    <w:rsid w:val="116D721B"/>
    <w:rsid w:val="11E76422"/>
    <w:rsid w:val="12624A54"/>
    <w:rsid w:val="126D1CBF"/>
    <w:rsid w:val="129442FC"/>
    <w:rsid w:val="136715C8"/>
    <w:rsid w:val="139E4A43"/>
    <w:rsid w:val="13BD568C"/>
    <w:rsid w:val="13C36AF0"/>
    <w:rsid w:val="13DD7ADC"/>
    <w:rsid w:val="14033995"/>
    <w:rsid w:val="14B65D67"/>
    <w:rsid w:val="153A7F2C"/>
    <w:rsid w:val="159A6830"/>
    <w:rsid w:val="161A7070"/>
    <w:rsid w:val="16E9271A"/>
    <w:rsid w:val="17125CEF"/>
    <w:rsid w:val="178169D1"/>
    <w:rsid w:val="17942BA8"/>
    <w:rsid w:val="17B56640"/>
    <w:rsid w:val="17C074F9"/>
    <w:rsid w:val="18027C63"/>
    <w:rsid w:val="182E4DAB"/>
    <w:rsid w:val="188F2489"/>
    <w:rsid w:val="18FA6A3B"/>
    <w:rsid w:val="190B50EC"/>
    <w:rsid w:val="19120228"/>
    <w:rsid w:val="1A8C1DD9"/>
    <w:rsid w:val="1A950225"/>
    <w:rsid w:val="1AED589C"/>
    <w:rsid w:val="1B0011DE"/>
    <w:rsid w:val="1B0818E3"/>
    <w:rsid w:val="1B186FA4"/>
    <w:rsid w:val="1B5468D6"/>
    <w:rsid w:val="1B9273FE"/>
    <w:rsid w:val="1C990B3C"/>
    <w:rsid w:val="1D0B56BA"/>
    <w:rsid w:val="1D2642A2"/>
    <w:rsid w:val="1D345DF0"/>
    <w:rsid w:val="1D383FD6"/>
    <w:rsid w:val="1D3D6A4B"/>
    <w:rsid w:val="1E236A34"/>
    <w:rsid w:val="1E426CF2"/>
    <w:rsid w:val="1F362BBF"/>
    <w:rsid w:val="1FA140B4"/>
    <w:rsid w:val="1FD471C5"/>
    <w:rsid w:val="20D83B05"/>
    <w:rsid w:val="212B00D9"/>
    <w:rsid w:val="2161214D"/>
    <w:rsid w:val="21DA38AD"/>
    <w:rsid w:val="21EA1D42"/>
    <w:rsid w:val="22B12860"/>
    <w:rsid w:val="233B037C"/>
    <w:rsid w:val="23BA6FBE"/>
    <w:rsid w:val="2471674B"/>
    <w:rsid w:val="2479432D"/>
    <w:rsid w:val="255E4015"/>
    <w:rsid w:val="256516E0"/>
    <w:rsid w:val="25C1100C"/>
    <w:rsid w:val="26154EB4"/>
    <w:rsid w:val="26546BC3"/>
    <w:rsid w:val="265C74DC"/>
    <w:rsid w:val="27296555"/>
    <w:rsid w:val="273A72C8"/>
    <w:rsid w:val="2753036E"/>
    <w:rsid w:val="27606603"/>
    <w:rsid w:val="278F4A5D"/>
    <w:rsid w:val="27C60AB0"/>
    <w:rsid w:val="28012902"/>
    <w:rsid w:val="28757E8C"/>
    <w:rsid w:val="291A4CAD"/>
    <w:rsid w:val="292031BB"/>
    <w:rsid w:val="29211DC2"/>
    <w:rsid w:val="29357A83"/>
    <w:rsid w:val="29373007"/>
    <w:rsid w:val="29785E86"/>
    <w:rsid w:val="29E72BF1"/>
    <w:rsid w:val="2A1F3093"/>
    <w:rsid w:val="2AAB4039"/>
    <w:rsid w:val="2BF612E4"/>
    <w:rsid w:val="2C336F35"/>
    <w:rsid w:val="2D03015C"/>
    <w:rsid w:val="2D197980"/>
    <w:rsid w:val="2D510EC7"/>
    <w:rsid w:val="2D575863"/>
    <w:rsid w:val="2D9E60D7"/>
    <w:rsid w:val="2DE47F8D"/>
    <w:rsid w:val="2E5A041B"/>
    <w:rsid w:val="2F1228D8"/>
    <w:rsid w:val="2F5C3B54"/>
    <w:rsid w:val="2FAF6379"/>
    <w:rsid w:val="2FB5042E"/>
    <w:rsid w:val="2FCE1DB4"/>
    <w:rsid w:val="2FDE27BA"/>
    <w:rsid w:val="30D37E45"/>
    <w:rsid w:val="31046349"/>
    <w:rsid w:val="315C772F"/>
    <w:rsid w:val="318555E4"/>
    <w:rsid w:val="31FC33CC"/>
    <w:rsid w:val="324E3C27"/>
    <w:rsid w:val="327411B4"/>
    <w:rsid w:val="335C05C6"/>
    <w:rsid w:val="340A284A"/>
    <w:rsid w:val="3417273F"/>
    <w:rsid w:val="3432054C"/>
    <w:rsid w:val="343D21A6"/>
    <w:rsid w:val="347D6A46"/>
    <w:rsid w:val="34B90A7B"/>
    <w:rsid w:val="35235501"/>
    <w:rsid w:val="35521C81"/>
    <w:rsid w:val="356C49DA"/>
    <w:rsid w:val="35E115C1"/>
    <w:rsid w:val="369D33CF"/>
    <w:rsid w:val="37615141"/>
    <w:rsid w:val="37651714"/>
    <w:rsid w:val="37767378"/>
    <w:rsid w:val="37AB38CA"/>
    <w:rsid w:val="37B30AEE"/>
    <w:rsid w:val="37E45585"/>
    <w:rsid w:val="38185E2F"/>
    <w:rsid w:val="38675A43"/>
    <w:rsid w:val="38A722E3"/>
    <w:rsid w:val="38C83EBE"/>
    <w:rsid w:val="3A1F1CA4"/>
    <w:rsid w:val="3A43603C"/>
    <w:rsid w:val="3ABE0B60"/>
    <w:rsid w:val="3B387EFA"/>
    <w:rsid w:val="3B7A4FE6"/>
    <w:rsid w:val="3B9528C7"/>
    <w:rsid w:val="3B981A2D"/>
    <w:rsid w:val="3BB74B6D"/>
    <w:rsid w:val="3BBD1E1E"/>
    <w:rsid w:val="3C2C331B"/>
    <w:rsid w:val="3C3025F0"/>
    <w:rsid w:val="3CC054BB"/>
    <w:rsid w:val="3CDD4F1D"/>
    <w:rsid w:val="3D0238C1"/>
    <w:rsid w:val="3E0F3918"/>
    <w:rsid w:val="3E442382"/>
    <w:rsid w:val="3E4D1237"/>
    <w:rsid w:val="3E865CC0"/>
    <w:rsid w:val="3EFFA24C"/>
    <w:rsid w:val="3F1C374E"/>
    <w:rsid w:val="3FE756BB"/>
    <w:rsid w:val="3FEFA557"/>
    <w:rsid w:val="40387CC5"/>
    <w:rsid w:val="408F1FDB"/>
    <w:rsid w:val="40925627"/>
    <w:rsid w:val="40EB2F89"/>
    <w:rsid w:val="41415F19"/>
    <w:rsid w:val="41AF2209"/>
    <w:rsid w:val="41FB36A0"/>
    <w:rsid w:val="42130460"/>
    <w:rsid w:val="422F753F"/>
    <w:rsid w:val="425D2049"/>
    <w:rsid w:val="42E934F8"/>
    <w:rsid w:val="43340C18"/>
    <w:rsid w:val="43664B49"/>
    <w:rsid w:val="436A5D90"/>
    <w:rsid w:val="442F13DF"/>
    <w:rsid w:val="448766C3"/>
    <w:rsid w:val="45887465"/>
    <w:rsid w:val="4594599D"/>
    <w:rsid w:val="45B871E1"/>
    <w:rsid w:val="45C85647"/>
    <w:rsid w:val="4699195A"/>
    <w:rsid w:val="46A16181"/>
    <w:rsid w:val="46C068FD"/>
    <w:rsid w:val="46C978C9"/>
    <w:rsid w:val="473311E6"/>
    <w:rsid w:val="47A63E71"/>
    <w:rsid w:val="47C3256A"/>
    <w:rsid w:val="47DB78B4"/>
    <w:rsid w:val="47E013A1"/>
    <w:rsid w:val="48205444"/>
    <w:rsid w:val="48220D44"/>
    <w:rsid w:val="4861761A"/>
    <w:rsid w:val="486D24D6"/>
    <w:rsid w:val="48E04A06"/>
    <w:rsid w:val="49E92301"/>
    <w:rsid w:val="4A1C2405"/>
    <w:rsid w:val="4A4A6F73"/>
    <w:rsid w:val="4A5D6BCC"/>
    <w:rsid w:val="4A8D175A"/>
    <w:rsid w:val="4AB80380"/>
    <w:rsid w:val="4B2B56D6"/>
    <w:rsid w:val="4B67093E"/>
    <w:rsid w:val="4C0C0983"/>
    <w:rsid w:val="4E0A0EF3"/>
    <w:rsid w:val="4EC248E9"/>
    <w:rsid w:val="507B60D8"/>
    <w:rsid w:val="50863EFD"/>
    <w:rsid w:val="50B74C36"/>
    <w:rsid w:val="50F33EC0"/>
    <w:rsid w:val="51475FBA"/>
    <w:rsid w:val="5205123B"/>
    <w:rsid w:val="52132340"/>
    <w:rsid w:val="52956C08"/>
    <w:rsid w:val="52A501FA"/>
    <w:rsid w:val="52CF3A41"/>
    <w:rsid w:val="53DA3115"/>
    <w:rsid w:val="53FF230E"/>
    <w:rsid w:val="546E5C98"/>
    <w:rsid w:val="5486504B"/>
    <w:rsid w:val="54F2623D"/>
    <w:rsid w:val="55344AA7"/>
    <w:rsid w:val="558902F7"/>
    <w:rsid w:val="55B92FF0"/>
    <w:rsid w:val="55D43B94"/>
    <w:rsid w:val="560B1CAC"/>
    <w:rsid w:val="561A1BD8"/>
    <w:rsid w:val="56AE0AF2"/>
    <w:rsid w:val="571628C8"/>
    <w:rsid w:val="57335A1F"/>
    <w:rsid w:val="57C31C00"/>
    <w:rsid w:val="58077311"/>
    <w:rsid w:val="584E76A7"/>
    <w:rsid w:val="58562F86"/>
    <w:rsid w:val="58CB127E"/>
    <w:rsid w:val="58E30CBE"/>
    <w:rsid w:val="58F77B64"/>
    <w:rsid w:val="5A096502"/>
    <w:rsid w:val="5A3453DA"/>
    <w:rsid w:val="5A5D684E"/>
    <w:rsid w:val="5A871B1D"/>
    <w:rsid w:val="5ABC3575"/>
    <w:rsid w:val="5AC02939"/>
    <w:rsid w:val="5B13515F"/>
    <w:rsid w:val="5B4A5896"/>
    <w:rsid w:val="5B865931"/>
    <w:rsid w:val="5B8B1199"/>
    <w:rsid w:val="5BC50226"/>
    <w:rsid w:val="5BF40AEC"/>
    <w:rsid w:val="5CB14C2F"/>
    <w:rsid w:val="5D0C38DF"/>
    <w:rsid w:val="5E067761"/>
    <w:rsid w:val="5E37145B"/>
    <w:rsid w:val="5E4C7EA6"/>
    <w:rsid w:val="5E994821"/>
    <w:rsid w:val="5EBD78BB"/>
    <w:rsid w:val="5F1800ED"/>
    <w:rsid w:val="5F7F1015"/>
    <w:rsid w:val="5FB25257"/>
    <w:rsid w:val="5FD30B8B"/>
    <w:rsid w:val="600B2395"/>
    <w:rsid w:val="60BE791B"/>
    <w:rsid w:val="621C6FEF"/>
    <w:rsid w:val="624F2F20"/>
    <w:rsid w:val="62940A10"/>
    <w:rsid w:val="62AE006E"/>
    <w:rsid w:val="62DD0DB4"/>
    <w:rsid w:val="631A352E"/>
    <w:rsid w:val="63276573"/>
    <w:rsid w:val="634E3437"/>
    <w:rsid w:val="63555179"/>
    <w:rsid w:val="63C90AB0"/>
    <w:rsid w:val="63CD4FA9"/>
    <w:rsid w:val="63F466D2"/>
    <w:rsid w:val="63F47DAD"/>
    <w:rsid w:val="64967A65"/>
    <w:rsid w:val="64D911C7"/>
    <w:rsid w:val="65FF25D9"/>
    <w:rsid w:val="66657707"/>
    <w:rsid w:val="66C905AC"/>
    <w:rsid w:val="66D6120F"/>
    <w:rsid w:val="67001E82"/>
    <w:rsid w:val="67C3769D"/>
    <w:rsid w:val="67D13202"/>
    <w:rsid w:val="688558EE"/>
    <w:rsid w:val="68910714"/>
    <w:rsid w:val="68B1654A"/>
    <w:rsid w:val="690A7BA1"/>
    <w:rsid w:val="6922313D"/>
    <w:rsid w:val="696E0A32"/>
    <w:rsid w:val="69F529EE"/>
    <w:rsid w:val="6A460108"/>
    <w:rsid w:val="6B621DBD"/>
    <w:rsid w:val="6B7B1AB7"/>
    <w:rsid w:val="6C5C22D4"/>
    <w:rsid w:val="6C77379F"/>
    <w:rsid w:val="6D371181"/>
    <w:rsid w:val="6E522AE8"/>
    <w:rsid w:val="6EA14120"/>
    <w:rsid w:val="6EAA41FA"/>
    <w:rsid w:val="6EF90AB4"/>
    <w:rsid w:val="6F2579BF"/>
    <w:rsid w:val="6FBE0D84"/>
    <w:rsid w:val="6FE00466"/>
    <w:rsid w:val="6FEF3C1B"/>
    <w:rsid w:val="70512430"/>
    <w:rsid w:val="70583123"/>
    <w:rsid w:val="71871854"/>
    <w:rsid w:val="71E2790D"/>
    <w:rsid w:val="727D4545"/>
    <w:rsid w:val="72C2329A"/>
    <w:rsid w:val="72E03917"/>
    <w:rsid w:val="72F316A6"/>
    <w:rsid w:val="738E5CE6"/>
    <w:rsid w:val="73B513F3"/>
    <w:rsid w:val="73DB194D"/>
    <w:rsid w:val="74675EA7"/>
    <w:rsid w:val="74E74A45"/>
    <w:rsid w:val="75B43B85"/>
    <w:rsid w:val="764D1B7C"/>
    <w:rsid w:val="76684159"/>
    <w:rsid w:val="76745EA9"/>
    <w:rsid w:val="76F854DD"/>
    <w:rsid w:val="779F004E"/>
    <w:rsid w:val="77CB1832"/>
    <w:rsid w:val="77CF0F22"/>
    <w:rsid w:val="77E141C3"/>
    <w:rsid w:val="78232A2D"/>
    <w:rsid w:val="78C56889"/>
    <w:rsid w:val="78FA1C9A"/>
    <w:rsid w:val="79116D2A"/>
    <w:rsid w:val="79537342"/>
    <w:rsid w:val="799B36BF"/>
    <w:rsid w:val="7A124C2E"/>
    <w:rsid w:val="7A796935"/>
    <w:rsid w:val="7AD02C89"/>
    <w:rsid w:val="7AE55D78"/>
    <w:rsid w:val="7B713AB0"/>
    <w:rsid w:val="7C9215A5"/>
    <w:rsid w:val="7D2854EC"/>
    <w:rsid w:val="7D976DE3"/>
    <w:rsid w:val="7DBD2FDC"/>
    <w:rsid w:val="7DC4436B"/>
    <w:rsid w:val="7DC73E5B"/>
    <w:rsid w:val="7E68119A"/>
    <w:rsid w:val="7F71187E"/>
    <w:rsid w:val="7F863192"/>
    <w:rsid w:val="7FB8169C"/>
    <w:rsid w:val="7FF32F1D"/>
    <w:rsid w:val="FDF617A8"/>
    <w:rsid w:val="FFBC92B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 w:semiHidden="0" w:name="heading 3"/>
    <w:lsdException w:qFormat="1" w:unhideWhenUsed="0" w:uiPriority="0" w:semiHidden="0" w:name="heading 4"/>
    <w:lsdException w:qFormat="1" w:unhideWhenUsed="0" w:uiPriority="0" w:semiHidden="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qFormat="1" w:unhideWhenUsed="0" w:uiPriority="9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1"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99" w:semiHidden="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textAlignment w:val="baseline"/>
    </w:pPr>
    <w:rPr>
      <w:rFonts w:ascii="Arial" w:hAnsi="Arial" w:eastAsia="Arial" w:cs="Arial"/>
      <w:snapToGrid w:val="0"/>
      <w:color w:val="000000"/>
      <w:sz w:val="21"/>
      <w:szCs w:val="21"/>
      <w:lang w:val="en-US" w:eastAsia="zh-CN" w:bidi="ar-SA"/>
    </w:rPr>
  </w:style>
  <w:style w:type="paragraph" w:styleId="2">
    <w:name w:val="heading 1"/>
    <w:basedOn w:val="1"/>
    <w:next w:val="1"/>
    <w:link w:val="50"/>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numPr>
        <w:ilvl w:val="1"/>
        <w:numId w:val="1"/>
      </w:numPr>
      <w:tabs>
        <w:tab w:val="left" w:pos="360"/>
        <w:tab w:val="left" w:pos="420"/>
      </w:tabs>
      <w:spacing w:line="360" w:lineRule="auto"/>
      <w:outlineLvl w:val="1"/>
    </w:pPr>
    <w:rPr>
      <w:rFonts w:eastAsia="宋体"/>
      <w:b/>
      <w:sz w:val="24"/>
      <w:szCs w:val="20"/>
    </w:rPr>
  </w:style>
  <w:style w:type="paragraph" w:styleId="4">
    <w:name w:val="heading 3"/>
    <w:basedOn w:val="1"/>
    <w:next w:val="5"/>
    <w:qFormat/>
    <w:uiPriority w:val="9"/>
    <w:pPr>
      <w:keepNext/>
      <w:keepLines/>
      <w:tabs>
        <w:tab w:val="left" w:pos="643"/>
        <w:tab w:val="left" w:pos="2651"/>
      </w:tabs>
      <w:spacing w:before="260" w:after="260" w:line="416" w:lineRule="auto"/>
      <w:ind w:left="1418" w:hanging="567"/>
      <w:outlineLvl w:val="2"/>
    </w:pPr>
    <w:rPr>
      <w:b/>
      <w:sz w:val="32"/>
      <w:szCs w:val="20"/>
    </w:rPr>
  </w:style>
  <w:style w:type="paragraph" w:styleId="6">
    <w:name w:val="heading 4"/>
    <w:basedOn w:val="1"/>
    <w:next w:val="1"/>
    <w:qFormat/>
    <w:uiPriority w:val="0"/>
    <w:pPr>
      <w:keepNext/>
      <w:keepLines/>
      <w:spacing w:before="280" w:after="290" w:line="376" w:lineRule="auto"/>
      <w:outlineLvl w:val="3"/>
    </w:pPr>
    <w:rPr>
      <w:rFonts w:ascii="Cambria" w:hAnsi="Cambria" w:eastAsia="宋体" w:cs="Times New Roman"/>
      <w:b/>
      <w:bCs/>
      <w:sz w:val="28"/>
      <w:szCs w:val="28"/>
    </w:rPr>
  </w:style>
  <w:style w:type="paragraph" w:styleId="7">
    <w:name w:val="heading 5"/>
    <w:basedOn w:val="1"/>
    <w:next w:val="1"/>
    <w:qFormat/>
    <w:uiPriority w:val="0"/>
    <w:pPr>
      <w:keepNext/>
      <w:keepLines/>
      <w:numPr>
        <w:ilvl w:val="4"/>
        <w:numId w:val="2"/>
      </w:numPr>
      <w:spacing w:before="280" w:after="290" w:line="372" w:lineRule="auto"/>
      <w:ind w:firstLine="0"/>
      <w:outlineLvl w:val="4"/>
    </w:pPr>
    <w:rPr>
      <w:b/>
    </w:rPr>
  </w:style>
  <w:style w:type="character" w:default="1" w:styleId="33">
    <w:name w:val="Default Paragraph Font"/>
    <w:qFormat/>
    <w:uiPriority w:val="1"/>
  </w:style>
  <w:style w:type="table" w:default="1" w:styleId="31">
    <w:name w:val="Normal Table"/>
    <w:qFormat/>
    <w:uiPriority w:val="99"/>
    <w:tblPr>
      <w:tblCellMar>
        <w:top w:w="0" w:type="dxa"/>
        <w:left w:w="108" w:type="dxa"/>
        <w:bottom w:w="0" w:type="dxa"/>
        <w:right w:w="108" w:type="dxa"/>
      </w:tblCellMar>
    </w:tblPr>
  </w:style>
  <w:style w:type="paragraph" w:customStyle="1" w:styleId="5">
    <w:name w:val="标书正文格式"/>
    <w:qFormat/>
    <w:uiPriority w:val="0"/>
    <w:pPr>
      <w:tabs>
        <w:tab w:val="left" w:pos="2025"/>
      </w:tabs>
      <w:spacing w:line="360" w:lineRule="auto"/>
      <w:ind w:firstLine="200" w:firstLineChars="200"/>
      <w:jc w:val="both"/>
    </w:pPr>
    <w:rPr>
      <w:rFonts w:ascii="Times New Roman" w:hAnsi="Times New Roman" w:eastAsia="宋体" w:cs="Times New Roman"/>
      <w:kern w:val="2"/>
      <w:sz w:val="24"/>
      <w:szCs w:val="24"/>
      <w:lang w:val="en-US" w:eastAsia="zh-CN" w:bidi="ar-SA"/>
    </w:rPr>
  </w:style>
  <w:style w:type="paragraph" w:styleId="8">
    <w:name w:val="Normal Indent"/>
    <w:basedOn w:val="1"/>
    <w:next w:val="1"/>
    <w:qFormat/>
    <w:uiPriority w:val="0"/>
    <w:pPr>
      <w:ind w:firstLine="420" w:firstLineChars="200"/>
    </w:pPr>
  </w:style>
  <w:style w:type="paragraph" w:styleId="9">
    <w:name w:val="annotation text"/>
    <w:basedOn w:val="1"/>
    <w:link w:val="51"/>
    <w:qFormat/>
    <w:uiPriority w:val="0"/>
    <w:pPr>
      <w:widowControl w:val="0"/>
    </w:pPr>
    <w:rPr>
      <w:rFonts w:ascii="Times New Roman" w:hAnsi="Times New Roman" w:eastAsia="宋体" w:cs="Times New Roman"/>
      <w:kern w:val="2"/>
      <w:szCs w:val="24"/>
    </w:rPr>
  </w:style>
  <w:style w:type="paragraph" w:styleId="10">
    <w:name w:val="Body Text"/>
    <w:basedOn w:val="1"/>
    <w:next w:val="11"/>
    <w:qFormat/>
    <w:uiPriority w:val="0"/>
    <w:pPr>
      <w:spacing w:after="120"/>
    </w:pPr>
    <w:rPr>
      <w:sz w:val="20"/>
    </w:rPr>
  </w:style>
  <w:style w:type="paragraph" w:styleId="11">
    <w:name w:val="toc 2"/>
    <w:basedOn w:val="1"/>
    <w:next w:val="1"/>
    <w:qFormat/>
    <w:uiPriority w:val="39"/>
    <w:pPr>
      <w:kinsoku/>
      <w:autoSpaceDE/>
      <w:autoSpaceDN/>
      <w:adjustRightInd/>
      <w:snapToGrid/>
      <w:spacing w:after="100" w:line="276" w:lineRule="auto"/>
      <w:ind w:left="220"/>
      <w:textAlignment w:val="auto"/>
    </w:pPr>
    <w:rPr>
      <w:rFonts w:ascii="Calibri" w:hAnsi="Calibri" w:eastAsia="宋体" w:cs="Times New Roman"/>
      <w:snapToGrid/>
      <w:color w:val="auto"/>
      <w:sz w:val="22"/>
      <w:szCs w:val="22"/>
    </w:rPr>
  </w:style>
  <w:style w:type="paragraph" w:styleId="12">
    <w:name w:val="Body Text Indent"/>
    <w:basedOn w:val="1"/>
    <w:next w:val="1"/>
    <w:qFormat/>
    <w:uiPriority w:val="0"/>
    <w:pPr>
      <w:spacing w:line="500" w:lineRule="atLeast"/>
      <w:ind w:firstLine="510"/>
    </w:pPr>
    <w:rPr>
      <w:rFonts w:ascii="仿宋_GB2312" w:eastAsia="仿宋_GB2312"/>
      <w:sz w:val="24"/>
      <w:szCs w:val="20"/>
    </w:rPr>
  </w:style>
  <w:style w:type="paragraph" w:styleId="13">
    <w:name w:val="toc 3"/>
    <w:basedOn w:val="1"/>
    <w:next w:val="1"/>
    <w:qFormat/>
    <w:uiPriority w:val="39"/>
    <w:pPr>
      <w:kinsoku/>
      <w:autoSpaceDE/>
      <w:autoSpaceDN/>
      <w:adjustRightInd/>
      <w:snapToGrid/>
      <w:spacing w:after="100" w:line="276" w:lineRule="auto"/>
      <w:ind w:left="440"/>
      <w:textAlignment w:val="auto"/>
    </w:pPr>
    <w:rPr>
      <w:rFonts w:ascii="Calibri" w:hAnsi="Calibri" w:eastAsia="宋体" w:cs="Times New Roman"/>
      <w:snapToGrid/>
      <w:color w:val="auto"/>
      <w:sz w:val="22"/>
      <w:szCs w:val="22"/>
    </w:rPr>
  </w:style>
  <w:style w:type="paragraph" w:styleId="14">
    <w:name w:val="Plain Text"/>
    <w:basedOn w:val="1"/>
    <w:qFormat/>
    <w:uiPriority w:val="99"/>
    <w:pPr>
      <w:autoSpaceDN/>
      <w:adjustRightInd/>
      <w:jc w:val="both"/>
    </w:pPr>
    <w:rPr>
      <w:rFonts w:ascii="宋体" w:hAnsi="Courier New"/>
      <w:sz w:val="20"/>
      <w:szCs w:val="20"/>
    </w:rPr>
  </w:style>
  <w:style w:type="paragraph" w:styleId="15">
    <w:name w:val="Date"/>
    <w:basedOn w:val="1"/>
    <w:next w:val="1"/>
    <w:qFormat/>
    <w:uiPriority w:val="0"/>
    <w:rPr>
      <w:rFonts w:ascii="宋体"/>
      <w:szCs w:val="20"/>
    </w:rPr>
  </w:style>
  <w:style w:type="paragraph" w:styleId="16">
    <w:name w:val="Body Text Indent 2"/>
    <w:basedOn w:val="1"/>
    <w:qFormat/>
    <w:uiPriority w:val="0"/>
    <w:pPr>
      <w:spacing w:line="360" w:lineRule="auto"/>
      <w:ind w:firstLine="601"/>
      <w:textAlignment w:val="baseline"/>
    </w:pPr>
    <w:rPr>
      <w:rFonts w:ascii="宋体"/>
      <w:kern w:val="0"/>
      <w:sz w:val="28"/>
      <w:szCs w:val="20"/>
    </w:rPr>
  </w:style>
  <w:style w:type="paragraph" w:styleId="17">
    <w:name w:val="Balloon Text"/>
    <w:basedOn w:val="1"/>
    <w:link w:val="52"/>
    <w:qFormat/>
    <w:uiPriority w:val="0"/>
    <w:rPr>
      <w:sz w:val="18"/>
      <w:szCs w:val="18"/>
    </w:rPr>
  </w:style>
  <w:style w:type="paragraph" w:styleId="18">
    <w:name w:val="footer"/>
    <w:basedOn w:val="1"/>
    <w:link w:val="53"/>
    <w:qFormat/>
    <w:uiPriority w:val="0"/>
    <w:pPr>
      <w:tabs>
        <w:tab w:val="center" w:pos="4153"/>
        <w:tab w:val="right" w:pos="8306"/>
      </w:tabs>
    </w:pPr>
    <w:rPr>
      <w:sz w:val="18"/>
      <w:szCs w:val="18"/>
    </w:rPr>
  </w:style>
  <w:style w:type="paragraph" w:styleId="19">
    <w:name w:val="header"/>
    <w:basedOn w:val="1"/>
    <w:link w:val="54"/>
    <w:qFormat/>
    <w:uiPriority w:val="0"/>
    <w:pPr>
      <w:pBdr>
        <w:bottom w:val="single" w:color="auto" w:sz="6" w:space="1"/>
      </w:pBdr>
      <w:tabs>
        <w:tab w:val="center" w:pos="4153"/>
        <w:tab w:val="right" w:pos="8306"/>
      </w:tabs>
      <w:jc w:val="center"/>
    </w:pPr>
    <w:rPr>
      <w:sz w:val="18"/>
      <w:szCs w:val="18"/>
    </w:rPr>
  </w:style>
  <w:style w:type="paragraph" w:styleId="20">
    <w:name w:val="toc 1"/>
    <w:basedOn w:val="1"/>
    <w:next w:val="1"/>
    <w:qFormat/>
    <w:uiPriority w:val="39"/>
    <w:pPr>
      <w:kinsoku/>
      <w:autoSpaceDE/>
      <w:autoSpaceDN/>
      <w:adjustRightInd/>
      <w:snapToGrid/>
      <w:spacing w:after="100" w:line="276" w:lineRule="auto"/>
      <w:textAlignment w:val="auto"/>
    </w:pPr>
    <w:rPr>
      <w:rFonts w:ascii="Calibri" w:hAnsi="Calibri" w:eastAsia="宋体" w:cs="Times New Roman"/>
      <w:snapToGrid/>
      <w:color w:val="auto"/>
      <w:sz w:val="22"/>
      <w:szCs w:val="22"/>
    </w:rPr>
  </w:style>
  <w:style w:type="paragraph" w:styleId="21">
    <w:name w:val="Subtitle"/>
    <w:basedOn w:val="1"/>
    <w:next w:val="1"/>
    <w:qFormat/>
    <w:uiPriority w:val="0"/>
    <w:pPr>
      <w:spacing w:before="240" w:after="60" w:line="312" w:lineRule="auto"/>
      <w:jc w:val="center"/>
      <w:outlineLvl w:val="1"/>
    </w:pPr>
    <w:rPr>
      <w:rFonts w:ascii="Cambria" w:hAnsi="Cambria"/>
      <w:b/>
      <w:bCs/>
      <w:kern w:val="28"/>
      <w:sz w:val="32"/>
      <w:szCs w:val="32"/>
    </w:rPr>
  </w:style>
  <w:style w:type="paragraph" w:styleId="22">
    <w:name w:val="toc 6"/>
    <w:basedOn w:val="1"/>
    <w:next w:val="1"/>
    <w:qFormat/>
    <w:uiPriority w:val="99"/>
    <w:pPr>
      <w:autoSpaceDN/>
      <w:adjustRightInd/>
      <w:spacing w:before="100" w:beforeAutospacing="1" w:after="100" w:afterAutospacing="1"/>
      <w:ind w:left="2100" w:leftChars="1000"/>
      <w:jc w:val="both"/>
    </w:pPr>
    <w:rPr>
      <w:kern w:val="2"/>
    </w:rPr>
  </w:style>
  <w:style w:type="paragraph" w:styleId="23">
    <w:name w:val="Body Text Indent 3"/>
    <w:basedOn w:val="1"/>
    <w:qFormat/>
    <w:uiPriority w:val="0"/>
    <w:pPr>
      <w:spacing w:after="120"/>
      <w:ind w:left="420" w:leftChars="200"/>
    </w:pPr>
    <w:rPr>
      <w:sz w:val="16"/>
      <w:szCs w:val="16"/>
    </w:rPr>
  </w:style>
  <w:style w:type="paragraph" w:styleId="24">
    <w:name w:val="Body Text 2"/>
    <w:basedOn w:val="1"/>
    <w:next w:val="10"/>
    <w:qFormat/>
    <w:uiPriority w:val="0"/>
    <w:pPr>
      <w:spacing w:line="480" w:lineRule="auto"/>
    </w:pPr>
  </w:style>
  <w:style w:type="paragraph" w:styleId="25">
    <w:name w:val="HTML Preformatted"/>
    <w:basedOn w:val="1"/>
    <w:qFormat/>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ascii="宋体" w:hAnsi="宋体" w:eastAsia="宋体" w:cs="Times New Roman"/>
      <w:sz w:val="24"/>
      <w:szCs w:val="24"/>
    </w:rPr>
  </w:style>
  <w:style w:type="paragraph" w:styleId="26">
    <w:name w:val="Normal (Web)"/>
    <w:basedOn w:val="1"/>
    <w:qFormat/>
    <w:uiPriority w:val="0"/>
    <w:pPr>
      <w:spacing w:before="100" w:beforeAutospacing="1" w:after="100" w:afterAutospacing="1"/>
    </w:pPr>
    <w:rPr>
      <w:rFonts w:cs="Times New Roman"/>
      <w:sz w:val="24"/>
    </w:rPr>
  </w:style>
  <w:style w:type="paragraph" w:styleId="27">
    <w:name w:val="Title"/>
    <w:basedOn w:val="1"/>
    <w:next w:val="1"/>
    <w:qFormat/>
    <w:uiPriority w:val="0"/>
    <w:pPr>
      <w:widowControl w:val="0"/>
      <w:spacing w:before="240" w:after="60"/>
      <w:jc w:val="center"/>
      <w:outlineLvl w:val="0"/>
    </w:pPr>
    <w:rPr>
      <w:rFonts w:ascii="Calibri Light" w:hAnsi="Calibri Light" w:eastAsia="宋体" w:cs="Times New Roman"/>
      <w:b/>
      <w:bCs/>
      <w:kern w:val="2"/>
      <w:sz w:val="32"/>
      <w:szCs w:val="32"/>
    </w:rPr>
  </w:style>
  <w:style w:type="paragraph" w:styleId="28">
    <w:name w:val="annotation subject"/>
    <w:basedOn w:val="9"/>
    <w:next w:val="9"/>
    <w:link w:val="55"/>
    <w:qFormat/>
    <w:uiPriority w:val="0"/>
    <w:rPr>
      <w:b/>
      <w:bCs/>
    </w:rPr>
  </w:style>
  <w:style w:type="paragraph" w:styleId="29">
    <w:name w:val="Body Text First Indent"/>
    <w:basedOn w:val="10"/>
    <w:qFormat/>
    <w:uiPriority w:val="99"/>
    <w:pPr>
      <w:ind w:firstLine="420" w:firstLineChars="100"/>
    </w:pPr>
  </w:style>
  <w:style w:type="paragraph" w:styleId="30">
    <w:name w:val="Body Text First Indent 2"/>
    <w:basedOn w:val="12"/>
    <w:qFormat/>
    <w:uiPriority w:val="99"/>
    <w:pPr>
      <w:spacing w:line="200" w:lineRule="atLeast"/>
      <w:ind w:firstLine="420"/>
    </w:pPr>
    <w:rPr>
      <w:rFonts w:ascii="宋体" w:hAnsi="Courier New"/>
      <w:spacing w:val="-4"/>
      <w:sz w:val="18"/>
    </w:rPr>
  </w:style>
  <w:style w:type="table" w:styleId="32">
    <w:name w:val="Table Grid"/>
    <w:basedOn w:val="31"/>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4">
    <w:name w:val="Strong"/>
    <w:basedOn w:val="33"/>
    <w:qFormat/>
    <w:uiPriority w:val="0"/>
    <w:rPr>
      <w:b/>
      <w:bCs/>
    </w:rPr>
  </w:style>
  <w:style w:type="character" w:styleId="35">
    <w:name w:val="FollowedHyperlink"/>
    <w:basedOn w:val="33"/>
    <w:qFormat/>
    <w:uiPriority w:val="0"/>
    <w:rPr>
      <w:color w:val="800080"/>
      <w:u w:val="none"/>
    </w:rPr>
  </w:style>
  <w:style w:type="character" w:styleId="36">
    <w:name w:val="Emphasis"/>
    <w:basedOn w:val="33"/>
    <w:qFormat/>
    <w:uiPriority w:val="0"/>
    <w:rPr>
      <w:b/>
      <w:bCs/>
    </w:rPr>
  </w:style>
  <w:style w:type="character" w:styleId="37">
    <w:name w:val="HTML Definition"/>
    <w:basedOn w:val="33"/>
    <w:qFormat/>
    <w:uiPriority w:val="0"/>
  </w:style>
  <w:style w:type="character" w:styleId="38">
    <w:name w:val="HTML Typewriter"/>
    <w:basedOn w:val="33"/>
    <w:qFormat/>
    <w:uiPriority w:val="0"/>
    <w:rPr>
      <w:rFonts w:ascii="monospace" w:hAnsi="monospace" w:eastAsia="monospace" w:cs="monospace"/>
      <w:sz w:val="20"/>
    </w:rPr>
  </w:style>
  <w:style w:type="character" w:styleId="39">
    <w:name w:val="HTML Acronym"/>
    <w:basedOn w:val="33"/>
    <w:qFormat/>
    <w:uiPriority w:val="0"/>
  </w:style>
  <w:style w:type="character" w:styleId="40">
    <w:name w:val="HTML Variable"/>
    <w:basedOn w:val="33"/>
    <w:qFormat/>
    <w:uiPriority w:val="0"/>
  </w:style>
  <w:style w:type="character" w:styleId="41">
    <w:name w:val="Hyperlink"/>
    <w:basedOn w:val="33"/>
    <w:qFormat/>
    <w:uiPriority w:val="0"/>
    <w:rPr>
      <w:color w:val="0000FF"/>
      <w:u w:val="single"/>
    </w:rPr>
  </w:style>
  <w:style w:type="character" w:styleId="42">
    <w:name w:val="HTML Code"/>
    <w:basedOn w:val="33"/>
    <w:qFormat/>
    <w:uiPriority w:val="0"/>
    <w:rPr>
      <w:rFonts w:hint="default" w:ascii="monospace" w:hAnsi="monospace" w:eastAsia="monospace" w:cs="monospace"/>
      <w:sz w:val="20"/>
    </w:rPr>
  </w:style>
  <w:style w:type="character" w:styleId="43">
    <w:name w:val="annotation reference"/>
    <w:basedOn w:val="33"/>
    <w:qFormat/>
    <w:uiPriority w:val="0"/>
    <w:rPr>
      <w:sz w:val="21"/>
      <w:szCs w:val="21"/>
    </w:rPr>
  </w:style>
  <w:style w:type="character" w:styleId="44">
    <w:name w:val="HTML Cite"/>
    <w:basedOn w:val="33"/>
    <w:qFormat/>
    <w:uiPriority w:val="0"/>
  </w:style>
  <w:style w:type="character" w:styleId="45">
    <w:name w:val="HTML Keyboard"/>
    <w:basedOn w:val="33"/>
    <w:qFormat/>
    <w:uiPriority w:val="0"/>
    <w:rPr>
      <w:rFonts w:hint="default" w:ascii="monospace" w:hAnsi="monospace" w:eastAsia="monospace" w:cs="monospace"/>
      <w:sz w:val="20"/>
    </w:rPr>
  </w:style>
  <w:style w:type="character" w:styleId="46">
    <w:name w:val="HTML Sample"/>
    <w:basedOn w:val="33"/>
    <w:qFormat/>
    <w:uiPriority w:val="0"/>
    <w:rPr>
      <w:rFonts w:hint="default" w:ascii="monospace" w:hAnsi="monospace" w:eastAsia="monospace" w:cs="monospace"/>
      <w:vertAlign w:val="baseline"/>
    </w:rPr>
  </w:style>
  <w:style w:type="paragraph" w:customStyle="1" w:styleId="47">
    <w:name w:val="明显引用1"/>
    <w:basedOn w:val="1"/>
    <w:next w:val="1"/>
    <w:qFormat/>
    <w:uiPriority w:val="0"/>
    <w:pPr>
      <w:spacing w:before="200" w:after="280"/>
      <w:ind w:left="936" w:right="936"/>
    </w:pPr>
    <w:rPr>
      <w:b/>
      <w:i/>
      <w:color w:val="4F81BD"/>
      <w:sz w:val="20"/>
    </w:rPr>
  </w:style>
  <w:style w:type="paragraph" w:customStyle="1" w:styleId="48">
    <w:name w:val="TOC1"/>
    <w:basedOn w:val="1"/>
    <w:next w:val="1"/>
    <w:qFormat/>
    <w:uiPriority w:val="0"/>
    <w:pPr>
      <w:tabs>
        <w:tab w:val="right" w:leader="dot" w:pos="9203"/>
      </w:tabs>
      <w:spacing w:before="120" w:after="120" w:line="360" w:lineRule="auto"/>
      <w:jc w:val="center"/>
      <w:textAlignment w:val="baseline"/>
    </w:pPr>
    <w:rPr>
      <w:rFonts w:ascii="宋体" w:hAnsi="宋体"/>
      <w:b/>
      <w:bCs/>
      <w:caps/>
      <w:sz w:val="20"/>
      <w:szCs w:val="20"/>
    </w:rPr>
  </w:style>
  <w:style w:type="paragraph" w:customStyle="1" w:styleId="49">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50">
    <w:name w:val="标题 1 字符"/>
    <w:basedOn w:val="33"/>
    <w:link w:val="2"/>
    <w:qFormat/>
    <w:uiPriority w:val="0"/>
    <w:rPr>
      <w:rFonts w:ascii="Arial" w:hAnsi="Arial" w:eastAsia="Arial" w:cs="Arial"/>
      <w:b/>
      <w:bCs/>
      <w:snapToGrid w:val="0"/>
      <w:color w:val="000000"/>
      <w:kern w:val="44"/>
      <w:sz w:val="44"/>
      <w:szCs w:val="44"/>
    </w:rPr>
  </w:style>
  <w:style w:type="character" w:customStyle="1" w:styleId="51">
    <w:name w:val="批注文字 字符"/>
    <w:basedOn w:val="33"/>
    <w:link w:val="9"/>
    <w:qFormat/>
    <w:uiPriority w:val="0"/>
    <w:rPr>
      <w:kern w:val="2"/>
      <w:sz w:val="21"/>
      <w:szCs w:val="24"/>
    </w:rPr>
  </w:style>
  <w:style w:type="character" w:customStyle="1" w:styleId="52">
    <w:name w:val="批注框文本 字符"/>
    <w:basedOn w:val="33"/>
    <w:link w:val="17"/>
    <w:qFormat/>
    <w:uiPriority w:val="0"/>
    <w:rPr>
      <w:rFonts w:ascii="Arial" w:hAnsi="Arial" w:eastAsia="Arial" w:cs="Arial"/>
      <w:snapToGrid w:val="0"/>
      <w:color w:val="000000"/>
      <w:sz w:val="18"/>
      <w:szCs w:val="18"/>
    </w:rPr>
  </w:style>
  <w:style w:type="character" w:customStyle="1" w:styleId="53">
    <w:name w:val="页脚 字符"/>
    <w:basedOn w:val="33"/>
    <w:link w:val="18"/>
    <w:qFormat/>
    <w:uiPriority w:val="0"/>
    <w:rPr>
      <w:rFonts w:ascii="Arial" w:hAnsi="Arial" w:eastAsia="Arial" w:cs="Arial"/>
      <w:snapToGrid w:val="0"/>
      <w:color w:val="000000"/>
      <w:sz w:val="18"/>
      <w:szCs w:val="18"/>
    </w:rPr>
  </w:style>
  <w:style w:type="character" w:customStyle="1" w:styleId="54">
    <w:name w:val="页眉 字符"/>
    <w:basedOn w:val="33"/>
    <w:link w:val="19"/>
    <w:qFormat/>
    <w:uiPriority w:val="0"/>
    <w:rPr>
      <w:rFonts w:ascii="Arial" w:hAnsi="Arial" w:eastAsia="Arial" w:cs="Arial"/>
      <w:snapToGrid w:val="0"/>
      <w:color w:val="000000"/>
      <w:sz w:val="18"/>
      <w:szCs w:val="18"/>
    </w:rPr>
  </w:style>
  <w:style w:type="character" w:customStyle="1" w:styleId="55">
    <w:name w:val="批注主题 字符"/>
    <w:basedOn w:val="56"/>
    <w:link w:val="28"/>
    <w:qFormat/>
    <w:uiPriority w:val="0"/>
    <w:rPr>
      <w:rFonts w:ascii="Arial" w:hAnsi="Arial" w:eastAsia="Arial" w:cs="Arial"/>
      <w:b/>
      <w:bCs/>
      <w:snapToGrid w:val="0"/>
      <w:color w:val="000000"/>
      <w:sz w:val="21"/>
      <w:szCs w:val="21"/>
    </w:rPr>
  </w:style>
  <w:style w:type="character" w:customStyle="1" w:styleId="56">
    <w:name w:val="批注文字 Char"/>
    <w:basedOn w:val="33"/>
    <w:qFormat/>
    <w:uiPriority w:val="0"/>
    <w:rPr>
      <w:rFonts w:ascii="Arial" w:hAnsi="Arial" w:eastAsia="Arial" w:cs="Arial"/>
      <w:snapToGrid w:val="0"/>
      <w:color w:val="000000"/>
      <w:sz w:val="21"/>
      <w:szCs w:val="21"/>
    </w:rPr>
  </w:style>
  <w:style w:type="paragraph" w:customStyle="1" w:styleId="57">
    <w:name w:val="Heading1"/>
    <w:basedOn w:val="1"/>
    <w:next w:val="1"/>
    <w:qFormat/>
    <w:uiPriority w:val="0"/>
    <w:pPr>
      <w:keepNext/>
      <w:keepLines/>
      <w:spacing w:before="340" w:after="330" w:line="576" w:lineRule="auto"/>
    </w:pPr>
    <w:rPr>
      <w:b/>
      <w:bCs/>
      <w:kern w:val="44"/>
      <w:sz w:val="44"/>
      <w:szCs w:val="44"/>
    </w:rPr>
  </w:style>
  <w:style w:type="table" w:customStyle="1" w:styleId="58">
    <w:name w:val="Table Normal"/>
    <w:qFormat/>
    <w:uiPriority w:val="0"/>
    <w:tblPr>
      <w:tblCellMar>
        <w:top w:w="0" w:type="dxa"/>
        <w:left w:w="0" w:type="dxa"/>
        <w:bottom w:w="0" w:type="dxa"/>
        <w:right w:w="0" w:type="dxa"/>
      </w:tblCellMar>
    </w:tblPr>
  </w:style>
  <w:style w:type="paragraph" w:customStyle="1" w:styleId="59">
    <w:name w:val="TOC 标题1"/>
    <w:basedOn w:val="2"/>
    <w:next w:val="1"/>
    <w:qFormat/>
    <w:uiPriority w:val="39"/>
    <w:pPr>
      <w:kinsoku/>
      <w:autoSpaceDE/>
      <w:autoSpaceDN/>
      <w:adjustRightInd/>
      <w:snapToGrid/>
      <w:spacing w:before="480" w:after="0" w:line="276" w:lineRule="auto"/>
      <w:textAlignment w:val="auto"/>
      <w:outlineLvl w:val="9"/>
    </w:pPr>
    <w:rPr>
      <w:rFonts w:ascii="Cambria" w:hAnsi="Cambria" w:eastAsia="宋体" w:cs="Times New Roman"/>
      <w:snapToGrid/>
      <w:color w:val="366091"/>
      <w:kern w:val="0"/>
      <w:sz w:val="28"/>
      <w:szCs w:val="28"/>
    </w:rPr>
  </w:style>
  <w:style w:type="paragraph" w:customStyle="1" w:styleId="60">
    <w:name w:val="正文，首行缩进:"/>
    <w:basedOn w:val="1"/>
    <w:qFormat/>
    <w:uiPriority w:val="0"/>
    <w:pPr>
      <w:spacing w:line="460" w:lineRule="exact"/>
      <w:ind w:firstLine="480" w:firstLineChars="200"/>
    </w:pPr>
    <w:rPr>
      <w:rFonts w:ascii="宋体" w:hAnsi="宋体" w:cs="宋体"/>
    </w:rPr>
  </w:style>
  <w:style w:type="paragraph" w:customStyle="1" w:styleId="61">
    <w:name w:val="Table Paragraph"/>
    <w:basedOn w:val="1"/>
    <w:qFormat/>
    <w:uiPriority w:val="1"/>
    <w:pPr>
      <w:ind w:firstLine="126" w:firstLineChars="60"/>
    </w:pPr>
  </w:style>
  <w:style w:type="paragraph" w:styleId="62">
    <w:name w:val="List Paragraph"/>
    <w:basedOn w:val="1"/>
    <w:qFormat/>
    <w:uiPriority w:val="0"/>
    <w:pPr>
      <w:spacing w:line="440" w:lineRule="exact"/>
      <w:ind w:firstLine="420" w:firstLineChars="200"/>
    </w:pPr>
    <w:rPr>
      <w:szCs w:val="20"/>
    </w:rPr>
  </w:style>
  <w:style w:type="paragraph" w:customStyle="1" w:styleId="63">
    <w:name w:val="正文1"/>
    <w:qFormat/>
    <w:uiPriority w:val="0"/>
    <w:pPr>
      <w:jc w:val="both"/>
    </w:pPr>
    <w:rPr>
      <w:rFonts w:ascii="Calibri" w:hAnsi="Calibri" w:eastAsia="宋体" w:cs="Calibri"/>
      <w:kern w:val="2"/>
      <w:sz w:val="21"/>
      <w:szCs w:val="21"/>
      <w:lang w:val="en-US" w:eastAsia="zh-CN" w:bidi="ar-SA"/>
    </w:rPr>
  </w:style>
  <w:style w:type="paragraph" w:customStyle="1" w:styleId="64">
    <w:name w:val="修订1"/>
    <w:qFormat/>
    <w:uiPriority w:val="99"/>
    <w:rPr>
      <w:rFonts w:ascii="Arial" w:hAnsi="Arial" w:eastAsia="Arial" w:cs="Arial"/>
      <w:snapToGrid w:val="0"/>
      <w:color w:val="000000"/>
      <w:sz w:val="21"/>
      <w:szCs w:val="21"/>
      <w:lang w:val="en-US" w:eastAsia="zh-CN" w:bidi="ar-SA"/>
    </w:rPr>
  </w:style>
  <w:style w:type="character" w:customStyle="1" w:styleId="65">
    <w:name w:val="19"/>
    <w:qFormat/>
    <w:uiPriority w:val="0"/>
    <w:rPr>
      <w:rFonts w:hint="default" w:ascii="Times New Roman" w:hAnsi="Times New Roman" w:cs="Times New Roman"/>
      <w:sz w:val="21"/>
      <w:szCs w:val="21"/>
    </w:rPr>
  </w:style>
  <w:style w:type="paragraph" w:customStyle="1" w:styleId="66">
    <w:name w:val="目录 71"/>
    <w:next w:val="1"/>
    <w:qFormat/>
    <w:uiPriority w:val="0"/>
    <w:pPr>
      <w:wordWrap w:val="0"/>
      <w:ind w:left="2550"/>
      <w:jc w:val="both"/>
    </w:pPr>
    <w:rPr>
      <w:rFonts w:ascii="宋体" w:hAnsi="宋体" w:eastAsia="Times New Roman" w:cs="Times New Roman"/>
      <w:sz w:val="21"/>
      <w:lang w:val="en-US" w:eastAsia="zh-CN" w:bidi="ar-SA"/>
    </w:rPr>
  </w:style>
  <w:style w:type="paragraph" w:customStyle="1" w:styleId="67">
    <w:name w:val="表格内容"/>
    <w:basedOn w:val="1"/>
    <w:qFormat/>
    <w:uiPriority w:val="0"/>
    <w:rPr>
      <w:rFonts w:hint="eastAsia"/>
    </w:rPr>
  </w:style>
  <w:style w:type="paragraph" w:customStyle="1" w:styleId="68">
    <w:name w:val="列表段落1"/>
    <w:basedOn w:val="1"/>
    <w:qFormat/>
    <w:uiPriority w:val="34"/>
    <w:pPr>
      <w:ind w:firstLine="420"/>
    </w:pPr>
  </w:style>
  <w:style w:type="character" w:customStyle="1" w:styleId="69">
    <w:name w:val="font31"/>
    <w:basedOn w:val="33"/>
    <w:qFormat/>
    <w:uiPriority w:val="0"/>
    <w:rPr>
      <w:rFonts w:hint="eastAsia" w:ascii="宋体" w:hAnsi="宋体" w:eastAsia="宋体" w:cs="宋体"/>
      <w:color w:val="000000"/>
      <w:sz w:val="24"/>
      <w:szCs w:val="24"/>
      <w:u w:val="none"/>
    </w:rPr>
  </w:style>
  <w:style w:type="character" w:customStyle="1" w:styleId="70">
    <w:name w:val="font41"/>
    <w:basedOn w:val="33"/>
    <w:qFormat/>
    <w:uiPriority w:val="0"/>
    <w:rPr>
      <w:rFonts w:hint="eastAsia" w:ascii="宋体" w:hAnsi="宋体" w:eastAsia="宋体" w:cs="宋体"/>
      <w:color w:val="00B050"/>
      <w:sz w:val="24"/>
      <w:szCs w:val="24"/>
      <w:u w:val="none"/>
    </w:rPr>
  </w:style>
  <w:style w:type="character" w:customStyle="1" w:styleId="71">
    <w:name w:val="font11"/>
    <w:basedOn w:val="33"/>
    <w:qFormat/>
    <w:uiPriority w:val="0"/>
    <w:rPr>
      <w:rFonts w:hint="eastAsia" w:ascii="宋体" w:hAnsi="宋体" w:eastAsia="宋体" w:cs="宋体"/>
      <w:color w:val="000000"/>
      <w:sz w:val="24"/>
      <w:szCs w:val="24"/>
      <w:u w:val="none"/>
    </w:rPr>
  </w:style>
  <w:style w:type="paragraph" w:customStyle="1" w:styleId="72">
    <w:name w:val="--排版样式--正文"/>
    <w:basedOn w:val="1"/>
    <w:qFormat/>
    <w:uiPriority w:val="0"/>
    <w:pPr>
      <w:tabs>
        <w:tab w:val="left" w:pos="600"/>
      </w:tabs>
      <w:spacing w:after="200" w:line="360" w:lineRule="auto"/>
      <w:ind w:firstLine="200" w:firstLineChars="200"/>
    </w:pPr>
    <w:rPr>
      <w:rFonts w:ascii="宋体"/>
    </w:rPr>
  </w:style>
  <w:style w:type="character" w:customStyle="1" w:styleId="73">
    <w:name w:val="样式 宋体 四号"/>
    <w:qFormat/>
    <w:uiPriority w:val="0"/>
    <w:rPr>
      <w:rFonts w:ascii="宋体" w:hAnsi="宋体" w:eastAsia="仿宋_GB2312"/>
      <w:sz w:val="28"/>
    </w:rPr>
  </w:style>
  <w:style w:type="paragraph" w:customStyle="1" w:styleId="74">
    <w:name w:val="标书_正文"/>
    <w:qFormat/>
    <w:uiPriority w:val="0"/>
    <w:pPr>
      <w:widowControl w:val="0"/>
      <w:adjustRightInd w:val="0"/>
      <w:snapToGrid w:val="0"/>
      <w:spacing w:line="400" w:lineRule="exact"/>
      <w:ind w:firstLine="560" w:firstLineChars="200"/>
      <w:jc w:val="both"/>
    </w:pPr>
    <w:rPr>
      <w:rFonts w:ascii="仿宋_GB2312" w:hAnsi="Times New Roman" w:eastAsia="仿宋_GB2312" w:cs="Times New Roman"/>
      <w:bCs/>
      <w:color w:val="000000"/>
      <w:sz w:val="28"/>
      <w:szCs w:val="28"/>
      <w:lang w:val="en-US" w:eastAsia="zh-CN" w:bidi="ar-SA"/>
    </w:rPr>
  </w:style>
  <w:style w:type="paragraph" w:customStyle="1" w:styleId="75">
    <w:name w:val="大标题"/>
    <w:basedOn w:val="1"/>
    <w:qFormat/>
    <w:uiPriority w:val="0"/>
    <w:pPr>
      <w:numPr>
        <w:ilvl w:val="0"/>
        <w:numId w:val="3"/>
      </w:numPr>
      <w:spacing w:line="440" w:lineRule="exact"/>
      <w:ind w:firstLine="482" w:firstLineChars="200"/>
      <w:outlineLvl w:val="0"/>
    </w:pPr>
    <w:rPr>
      <w:rFonts w:hint="eastAsia" w:ascii="宋体" w:hAnsi="宋体" w:eastAsia="宋体" w:cs="宋体"/>
      <w:b/>
      <w:bCs/>
      <w:color w:val="auto"/>
      <w:sz w:val="24"/>
    </w:rPr>
  </w:style>
  <w:style w:type="paragraph" w:customStyle="1" w:styleId="76">
    <w:name w:val="自动更正"/>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77">
    <w:name w:val="Body text|1"/>
    <w:basedOn w:val="1"/>
    <w:qFormat/>
    <w:uiPriority w:val="0"/>
    <w:pPr>
      <w:autoSpaceDE/>
      <w:autoSpaceDN/>
      <w:spacing w:line="353" w:lineRule="auto"/>
      <w:ind w:firstLine="400"/>
    </w:pPr>
    <w:rPr>
      <w:rFonts w:ascii="宋体" w:hAnsi="宋体" w:eastAsia="宋体" w:cs="宋体"/>
      <w:lang w:val="zh-TW" w:eastAsia="zh-TW" w:bidi="zh-TW"/>
    </w:rPr>
  </w:style>
  <w:style w:type="paragraph" w:customStyle="1" w:styleId="78">
    <w:name w:val="Table Text"/>
    <w:basedOn w:val="1"/>
    <w:semiHidden/>
    <w:qFormat/>
    <w:uiPriority w:val="0"/>
    <w:rPr>
      <w:rFonts w:ascii="宋体" w:hAnsi="宋体" w:eastAsia="宋体" w:cs="宋体"/>
      <w:sz w:val="24"/>
      <w:szCs w:val="24"/>
    </w:rPr>
  </w:style>
  <w:style w:type="paragraph" w:customStyle="1" w:styleId="79">
    <w:name w:val="章正文"/>
    <w:basedOn w:val="1"/>
    <w:qFormat/>
    <w:locked/>
    <w:uiPriority w:val="0"/>
    <w:pPr>
      <w:spacing w:beforeLines="50" w:after="120" w:line="300" w:lineRule="auto"/>
      <w:ind w:firstLine="480"/>
    </w:pPr>
    <w:rPr>
      <w:rFonts w:ascii="Helvetica" w:hAnsi="Helvetica"/>
      <w:kern w:val="0"/>
    </w:rPr>
  </w:style>
  <w:style w:type="character" w:customStyle="1" w:styleId="80">
    <w:name w:val="mini-outputtext1"/>
    <w:basedOn w:val="33"/>
    <w:qFormat/>
    <w:uiPriority w:val="0"/>
  </w:style>
  <w:style w:type="character" w:customStyle="1" w:styleId="81">
    <w:name w:val="NormalCharacter"/>
    <w:semiHidden/>
    <w:qFormat/>
    <w:uiPriority w:val="0"/>
  </w:style>
  <w:style w:type="character" w:customStyle="1" w:styleId="82">
    <w:name w:val="font111"/>
    <w:basedOn w:val="33"/>
    <w:qFormat/>
    <w:uiPriority w:val="0"/>
    <w:rPr>
      <w:rFonts w:hint="eastAsia" w:ascii="宋体" w:hAnsi="宋体" w:eastAsia="宋体" w:cs="宋体"/>
      <w:color w:val="000000"/>
      <w:sz w:val="20"/>
      <w:szCs w:val="20"/>
      <w:u w:val="none"/>
    </w:rPr>
  </w:style>
  <w:style w:type="character" w:customStyle="1" w:styleId="83">
    <w:name w:val="font101"/>
    <w:basedOn w:val="33"/>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7.xml"/><Relationship Id="rId8" Type="http://schemas.openxmlformats.org/officeDocument/2006/relationships/footer" Target="footer6.xml"/><Relationship Id="rId7" Type="http://schemas.openxmlformats.org/officeDocument/2006/relationships/footer" Target="footer5.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9" Type="http://schemas.openxmlformats.org/officeDocument/2006/relationships/fontTable" Target="fontTable.xml"/><Relationship Id="rId28" Type="http://schemas.openxmlformats.org/officeDocument/2006/relationships/customXml" Target="../customXml/item3.xml"/><Relationship Id="rId27" Type="http://schemas.openxmlformats.org/officeDocument/2006/relationships/customXml" Target="../customXml/item2.xml"/><Relationship Id="rId26" Type="http://schemas.openxmlformats.org/officeDocument/2006/relationships/numbering" Target="numbering.xml"/><Relationship Id="rId25" Type="http://schemas.openxmlformats.org/officeDocument/2006/relationships/customXml" Target="../customXml/item1.xml"/><Relationship Id="rId24" Type="http://schemas.openxmlformats.org/officeDocument/2006/relationships/image" Target="media/image1.png"/><Relationship Id="rId23" Type="http://schemas.openxmlformats.org/officeDocument/2006/relationships/theme" Target="theme/theme1.xml"/><Relationship Id="rId22" Type="http://schemas.openxmlformats.org/officeDocument/2006/relationships/footer" Target="footer20.xml"/><Relationship Id="rId21" Type="http://schemas.openxmlformats.org/officeDocument/2006/relationships/footer" Target="footer19.xml"/><Relationship Id="rId20" Type="http://schemas.openxmlformats.org/officeDocument/2006/relationships/footer" Target="footer18.xml"/><Relationship Id="rId2" Type="http://schemas.openxmlformats.org/officeDocument/2006/relationships/settings" Target="settings.xml"/><Relationship Id="rId19" Type="http://schemas.openxmlformats.org/officeDocument/2006/relationships/footer" Target="footer17.xml"/><Relationship Id="rId18" Type="http://schemas.openxmlformats.org/officeDocument/2006/relationships/footer" Target="footer16.xml"/><Relationship Id="rId17" Type="http://schemas.openxmlformats.org/officeDocument/2006/relationships/footer" Target="footer15.xml"/><Relationship Id="rId16" Type="http://schemas.openxmlformats.org/officeDocument/2006/relationships/footer" Target="footer14.xml"/><Relationship Id="rId15" Type="http://schemas.openxmlformats.org/officeDocument/2006/relationships/footer" Target="footer13.xml"/><Relationship Id="rId14" Type="http://schemas.openxmlformats.org/officeDocument/2006/relationships/footer" Target="footer12.xml"/><Relationship Id="rId13" Type="http://schemas.openxmlformats.org/officeDocument/2006/relationships/footer" Target="footer11.xml"/><Relationship Id="rId12" Type="http://schemas.openxmlformats.org/officeDocument/2006/relationships/footer" Target="footer10.xml"/><Relationship Id="rId11" Type="http://schemas.openxmlformats.org/officeDocument/2006/relationships/footer" Target="footer9.xml"/><Relationship Id="rId10" Type="http://schemas.openxmlformats.org/officeDocument/2006/relationships/footer" Target="footer8.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mcd:customData xmlns:mcd="http://www.wps.cn/android/officeDocument/2013/mofficeCustomData" version="2">
  <mcd:comments xmlns:mcd="http://www.wps.cn/android/officeDocument/2013/mofficeCustomData"/>
</mcd:customData>
</file>

<file path=customXml/item3.xml><?xml version="1.0" encoding="utf-8"?>
<b:Sources xmlns:b="http://schemas.openxmlformats.org/officeDocument/2006/bibliography" Version="6" StyleName="APA" SelectedStyle="\APASixthEditionOfficeOnline.xsl"/>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f8c475-3d80-4080-82bc-b2a01dfbee9c}">
  <ds:schemaRefs/>
</ds:datastoreItem>
</file>

<file path=customXml/itemProps3.xml><?xml version="1.0" encoding="utf-8"?>
<ds:datastoreItem xmlns:ds="http://schemas.openxmlformats.org/officeDocument/2006/customXml" ds:itemID="{26240CF8-7C2A-40A3-98AE-07BEE6F3A594}">
  <ds:schemaRefs/>
</ds:datastoreItem>
</file>

<file path=docProps/app.xml><?xml version="1.0" encoding="utf-8"?>
<Properties xmlns="http://schemas.openxmlformats.org/officeDocument/2006/extended-properties" xmlns:vt="http://schemas.openxmlformats.org/officeDocument/2006/docPropsVTypes">
  <Template>Normal</Template>
  <Pages>127</Pages>
  <Words>20776</Words>
  <Characters>22719</Characters>
  <Paragraphs>3407</Paragraphs>
  <TotalTime>38</TotalTime>
  <ScaleCrop>false</ScaleCrop>
  <LinksUpToDate>false</LinksUpToDate>
  <CharactersWithSpaces>23236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2025-12-06T14:50:00Z</dcterms:created>
  <dc:creator>微软系统</dc:creator>
  <cp:lastModifiedBy>Administrator</cp:lastModifiedBy>
  <cp:lastPrinted>2026-06-09T04:50:00Z</cp:lastPrinted>
  <dcterms:modified xsi:type="dcterms:W3CDTF">2026-09-09T02:32:42Z</dcterms:modified>
  <dc:title>（项目名称） 标段服务招标</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2023-06-16T17:12:46Z</vt:filetime>
  </property>
  <property fmtid="{D5CDD505-2E9C-101B-9397-08002B2CF9AE}" pid="4" name="KSOProductBuildVer">
    <vt:lpwstr>2052-12.1.0.23542</vt:lpwstr>
  </property>
  <property fmtid="{D5CDD505-2E9C-101B-9397-08002B2CF9AE}" pid="5" name="ICV">
    <vt:lpwstr>CF576F924C9C4536BF28981C755DE6CE_13</vt:lpwstr>
  </property>
  <property fmtid="{D5CDD505-2E9C-101B-9397-08002B2CF9AE}" pid="6" name="KSOTemplateDocerSaveRecord">
    <vt:lpwstr>eyJoZGlkIjoiNTM3NzUzZWM3YTg5OTFhYzA5MjUxYmI1YzYzMTEzNDQiLCJ1c2VySWQiOiI3MDM4MjE3NDAifQ==</vt:lpwstr>
  </property>
</Properties>
</file>