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9CB1D3">
      <w:pPr>
        <w:spacing w:line="258" w:lineRule="auto"/>
        <w:jc w:val="both"/>
        <w:rPr>
          <w:rFonts w:hint="eastAsia" w:ascii="宋体" w:hAnsi="宋体" w:eastAsia="宋体" w:cs="宋体"/>
          <w:color w:val="auto"/>
          <w:highlight w:val="none"/>
        </w:rPr>
      </w:pPr>
    </w:p>
    <w:p w14:paraId="6D1FE6EE">
      <w:pPr>
        <w:spacing w:line="258" w:lineRule="auto"/>
        <w:jc w:val="both"/>
        <w:rPr>
          <w:rFonts w:hint="eastAsia" w:ascii="宋体" w:hAnsi="宋体" w:eastAsia="宋体" w:cs="宋体"/>
          <w:color w:val="auto"/>
          <w:highlight w:val="none"/>
        </w:rPr>
      </w:pPr>
    </w:p>
    <w:p w14:paraId="5D07479F">
      <w:pPr>
        <w:spacing w:line="258" w:lineRule="auto"/>
        <w:jc w:val="both"/>
        <w:rPr>
          <w:rFonts w:hint="eastAsia" w:ascii="宋体" w:hAnsi="宋体" w:eastAsia="宋体" w:cs="宋体"/>
          <w:color w:val="auto"/>
          <w:highlight w:val="none"/>
        </w:rPr>
      </w:pPr>
    </w:p>
    <w:p w14:paraId="2D2F60CE">
      <w:pPr>
        <w:spacing w:line="258" w:lineRule="auto"/>
        <w:jc w:val="both"/>
        <w:rPr>
          <w:rFonts w:hint="eastAsia" w:ascii="宋体" w:hAnsi="宋体" w:eastAsia="宋体" w:cs="宋体"/>
          <w:color w:val="auto"/>
          <w:highlight w:val="none"/>
        </w:rPr>
      </w:pPr>
    </w:p>
    <w:p w14:paraId="0BCD0D6B">
      <w:pPr>
        <w:spacing w:line="259" w:lineRule="auto"/>
        <w:jc w:val="both"/>
        <w:rPr>
          <w:rFonts w:hint="eastAsia" w:ascii="宋体" w:hAnsi="宋体" w:eastAsia="宋体" w:cs="宋体"/>
          <w:color w:val="auto"/>
          <w:highlight w:val="none"/>
        </w:rPr>
      </w:pPr>
    </w:p>
    <w:p w14:paraId="1023B17B">
      <w:pPr>
        <w:spacing w:line="259" w:lineRule="auto"/>
        <w:jc w:val="both"/>
        <w:rPr>
          <w:rFonts w:hint="eastAsia" w:ascii="宋体" w:hAnsi="宋体" w:eastAsia="宋体" w:cs="宋体"/>
          <w:color w:val="auto"/>
          <w:highlight w:val="none"/>
        </w:rPr>
      </w:pPr>
    </w:p>
    <w:p w14:paraId="47FC3ECA">
      <w:pPr>
        <w:pStyle w:val="17"/>
        <w:jc w:val="center"/>
        <w:rPr>
          <w:rFonts w:hint="eastAsia" w:ascii="宋体" w:hAnsi="宋体" w:eastAsia="宋体" w:cs="宋体"/>
          <w:snapToGrid/>
          <w:color w:val="auto"/>
          <w:kern w:val="2"/>
          <w:sz w:val="52"/>
          <w:szCs w:val="52"/>
          <w:highlight w:val="none"/>
        </w:rPr>
      </w:pPr>
      <w:r>
        <w:rPr>
          <w:rFonts w:hint="eastAsia" w:ascii="宋体" w:hAnsi="宋体" w:eastAsia="宋体" w:cs="宋体"/>
          <w:snapToGrid/>
          <w:color w:val="auto"/>
          <w:kern w:val="2"/>
          <w:sz w:val="52"/>
          <w:szCs w:val="52"/>
          <w:highlight w:val="none"/>
        </w:rPr>
        <w:t>绍兴市房屋建筑和市政基础设施货物</w:t>
      </w:r>
    </w:p>
    <w:p w14:paraId="21B78951">
      <w:pPr>
        <w:widowControl w:val="0"/>
        <w:kinsoku/>
        <w:autoSpaceDE/>
        <w:autoSpaceDN/>
        <w:adjustRightInd/>
        <w:snapToGrid/>
        <w:jc w:val="center"/>
        <w:textAlignment w:val="auto"/>
        <w:rPr>
          <w:rFonts w:hint="eastAsia" w:ascii="宋体" w:hAnsi="宋体" w:eastAsia="宋体" w:cs="宋体"/>
          <w:snapToGrid/>
          <w:color w:val="auto"/>
          <w:kern w:val="2"/>
          <w:sz w:val="52"/>
          <w:szCs w:val="52"/>
          <w:highlight w:val="none"/>
        </w:rPr>
      </w:pPr>
      <w:r>
        <w:rPr>
          <w:rFonts w:hint="eastAsia" w:ascii="宋体" w:hAnsi="宋体" w:eastAsia="宋体" w:cs="宋体"/>
          <w:snapToGrid/>
          <w:color w:val="auto"/>
          <w:kern w:val="2"/>
          <w:sz w:val="52"/>
          <w:szCs w:val="52"/>
          <w:highlight w:val="none"/>
        </w:rPr>
        <w:t>招标文件</w:t>
      </w:r>
    </w:p>
    <w:p w14:paraId="1269E650">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66833983">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403EEC0C">
      <w:pPr>
        <w:pStyle w:val="2"/>
        <w:rPr>
          <w:rFonts w:hint="eastAsia" w:ascii="宋体" w:hAnsi="宋体" w:eastAsia="宋体" w:cs="宋体"/>
          <w:color w:val="auto"/>
          <w:highlight w:val="none"/>
        </w:rPr>
      </w:pPr>
    </w:p>
    <w:p w14:paraId="22905B4F">
      <w:pPr>
        <w:widowControl w:val="0"/>
        <w:kinsoku/>
        <w:autoSpaceDE/>
        <w:autoSpaceDN/>
        <w:adjustRightInd/>
        <w:snapToGrid/>
        <w:jc w:val="center"/>
        <w:textAlignment w:val="auto"/>
        <w:rPr>
          <w:rFonts w:hint="eastAsia" w:ascii="宋体" w:hAnsi="宋体" w:eastAsia="宋体" w:cs="宋体"/>
          <w:snapToGrid/>
          <w:color w:val="auto"/>
          <w:kern w:val="2"/>
          <w:sz w:val="48"/>
          <w:szCs w:val="48"/>
          <w:highlight w:val="none"/>
        </w:rPr>
      </w:pPr>
      <w:r>
        <w:rPr>
          <w:rFonts w:hint="eastAsia" w:ascii="宋体" w:hAnsi="宋体" w:eastAsia="宋体" w:cs="宋体"/>
          <w:snapToGrid/>
          <w:color w:val="auto"/>
          <w:kern w:val="2"/>
          <w:sz w:val="48"/>
          <w:szCs w:val="48"/>
          <w:highlight w:val="none"/>
        </w:rPr>
        <w:t>（2024-01版）20241205</w:t>
      </w:r>
    </w:p>
    <w:p w14:paraId="63B5988E">
      <w:pPr>
        <w:widowControl w:val="0"/>
        <w:kinsoku/>
        <w:autoSpaceDE/>
        <w:autoSpaceDN/>
        <w:adjustRightInd/>
        <w:snapToGrid/>
        <w:jc w:val="center"/>
        <w:textAlignment w:val="auto"/>
        <w:rPr>
          <w:rFonts w:hint="eastAsia" w:ascii="宋体" w:hAnsi="宋体" w:eastAsia="宋体" w:cs="宋体"/>
          <w:snapToGrid/>
          <w:color w:val="auto"/>
          <w:kern w:val="2"/>
          <w:sz w:val="48"/>
          <w:szCs w:val="48"/>
          <w:highlight w:val="none"/>
        </w:rPr>
      </w:pPr>
    </w:p>
    <w:p w14:paraId="61B2690D">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283E5764">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6ADB61FA">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1E74D4F9">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3812C088">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7C19C3A6">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4CA05E27">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22C2B762">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469A1B79">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0D979324">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3AEF8AF6">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33A3A85A">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43C5BF6F">
      <w:pPr>
        <w:widowControl w:val="0"/>
        <w:tabs>
          <w:tab w:val="left" w:pos="6627"/>
        </w:tabs>
        <w:kinsoku/>
        <w:autoSpaceDE/>
        <w:autoSpaceDN/>
        <w:adjustRightInd/>
        <w:snapToGrid/>
        <w:textAlignment w:val="auto"/>
        <w:rPr>
          <w:rFonts w:hint="eastAsia" w:ascii="宋体" w:hAnsi="宋体" w:eastAsia="宋体" w:cs="宋体"/>
          <w:b/>
          <w:snapToGrid/>
          <w:color w:val="auto"/>
          <w:kern w:val="2"/>
          <w:sz w:val="32"/>
          <w:szCs w:val="24"/>
          <w:highlight w:val="none"/>
        </w:rPr>
      </w:pPr>
      <w:r>
        <w:rPr>
          <w:rFonts w:hint="eastAsia" w:ascii="宋体" w:hAnsi="宋体" w:eastAsia="宋体" w:cs="宋体"/>
          <w:b/>
          <w:snapToGrid/>
          <w:color w:val="auto"/>
          <w:kern w:val="2"/>
          <w:sz w:val="32"/>
          <w:szCs w:val="24"/>
          <w:highlight w:val="none"/>
        </w:rPr>
        <w:tab/>
      </w:r>
    </w:p>
    <w:p w14:paraId="1A1A1869">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252EFC1A">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40B550BB">
      <w:pPr>
        <w:widowControl w:val="0"/>
        <w:kinsoku/>
        <w:autoSpaceDE/>
        <w:autoSpaceDN/>
        <w:adjustRightInd/>
        <w:snapToGrid/>
        <w:jc w:val="center"/>
        <w:textAlignment w:val="auto"/>
        <w:rPr>
          <w:rFonts w:hint="eastAsia" w:ascii="宋体" w:hAnsi="宋体" w:eastAsia="宋体" w:cs="宋体"/>
          <w:b/>
          <w:snapToGrid/>
          <w:color w:val="auto"/>
          <w:kern w:val="2"/>
          <w:sz w:val="44"/>
          <w:szCs w:val="44"/>
          <w:highlight w:val="none"/>
        </w:rPr>
      </w:pPr>
      <w:r>
        <w:rPr>
          <w:rFonts w:hint="eastAsia" w:ascii="宋体" w:hAnsi="宋体" w:eastAsia="宋体" w:cs="宋体"/>
          <w:b/>
          <w:snapToGrid/>
          <w:color w:val="auto"/>
          <w:kern w:val="2"/>
          <w:sz w:val="44"/>
          <w:szCs w:val="44"/>
          <w:highlight w:val="none"/>
        </w:rPr>
        <w:t>绍兴市政务服务办公室</w:t>
      </w:r>
    </w:p>
    <w:p w14:paraId="0E199AE9">
      <w:pPr>
        <w:pStyle w:val="2"/>
        <w:rPr>
          <w:rFonts w:hint="eastAsia" w:ascii="宋体" w:hAnsi="宋体" w:eastAsia="宋体" w:cs="宋体"/>
          <w:color w:val="auto"/>
          <w:highlight w:val="none"/>
        </w:rPr>
      </w:pPr>
    </w:p>
    <w:p w14:paraId="1B8C9146">
      <w:pPr>
        <w:pStyle w:val="2"/>
        <w:jc w:val="center"/>
        <w:rPr>
          <w:rFonts w:hint="eastAsia" w:ascii="宋体" w:hAnsi="宋体" w:eastAsia="宋体" w:cs="宋体"/>
          <w:color w:val="auto"/>
          <w:highlight w:val="none"/>
        </w:rPr>
        <w:sectPr>
          <w:footerReference r:id="rId3" w:type="default"/>
          <w:pgSz w:w="11906" w:h="16839"/>
          <w:pgMar w:top="1417" w:right="1559" w:bottom="1417" w:left="1474" w:header="1134" w:footer="1134" w:gutter="0"/>
          <w:cols w:space="720" w:num="1"/>
        </w:sectPr>
      </w:pPr>
      <w:r>
        <w:rPr>
          <w:rFonts w:hint="eastAsia" w:ascii="宋体" w:hAnsi="宋体" w:eastAsia="宋体" w:cs="宋体"/>
          <w:b/>
          <w:color w:val="auto"/>
          <w:sz w:val="44"/>
          <w:szCs w:val="44"/>
          <w:highlight w:val="none"/>
        </w:rPr>
        <w:t>二〇二四年一月</w:t>
      </w:r>
    </w:p>
    <w:p w14:paraId="1D616F5A">
      <w:pPr>
        <w:spacing w:before="336" w:line="225" w:lineRule="auto"/>
        <w:ind w:left="3317"/>
        <w:jc w:val="both"/>
        <w:rPr>
          <w:rFonts w:hint="eastAsia" w:ascii="宋体" w:hAnsi="宋体" w:eastAsia="宋体" w:cs="宋体"/>
          <w:color w:val="auto"/>
          <w:sz w:val="43"/>
          <w:szCs w:val="43"/>
          <w:highlight w:val="none"/>
        </w:rPr>
      </w:pPr>
      <w:r>
        <w:rPr>
          <w:rFonts w:hint="eastAsia" w:ascii="宋体" w:hAnsi="宋体" w:eastAsia="宋体" w:cs="宋体"/>
          <w:color w:val="auto"/>
          <w:sz w:val="43"/>
          <w:szCs w:val="43"/>
          <w:highlight w:val="none"/>
        </w:rPr>
        <w:t>使用指南</w:t>
      </w:r>
    </w:p>
    <w:p w14:paraId="46364099">
      <w:pPr>
        <w:spacing w:line="334" w:lineRule="auto"/>
        <w:jc w:val="both"/>
        <w:rPr>
          <w:rFonts w:hint="eastAsia" w:ascii="宋体" w:hAnsi="宋体" w:eastAsia="宋体" w:cs="宋体"/>
          <w:color w:val="auto"/>
          <w:highlight w:val="none"/>
        </w:rPr>
      </w:pPr>
    </w:p>
    <w:p w14:paraId="46FBE3E3">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position w:val="2"/>
          <w:sz w:val="24"/>
          <w:szCs w:val="24"/>
          <w:highlight w:val="none"/>
        </w:rPr>
        <w:t>一、总体要求</w:t>
      </w:r>
    </w:p>
    <w:p w14:paraId="226C5A09">
      <w:pPr>
        <w:spacing w:line="440" w:lineRule="exact"/>
        <w:ind w:firstLine="49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1.适用范围。绍兴市行政区域内依法必须招标的建设项目的货物类项目招标，招标人应使用本范本编制招标文件。</w:t>
      </w:r>
    </w:p>
    <w:p w14:paraId="636FF405">
      <w:pPr>
        <w:spacing w:line="440" w:lineRule="exact"/>
        <w:ind w:firstLine="48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2.括号加斜体字部分为提示性内容，招标人选择或填写相关内容后，在定稿的招标文件中应删除。</w:t>
      </w:r>
    </w:p>
    <w:p w14:paraId="6F9EF36D">
      <w:pPr>
        <w:spacing w:line="440" w:lineRule="exact"/>
        <w:ind w:firstLine="46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3.以“□”前缀部分为选择性内容，在定稿的招标文件中招标人应删除未选择的内容。</w:t>
      </w:r>
    </w:p>
    <w:p w14:paraId="5E0E0E86">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4.下划线和投标人须知前附表空格部分，由招标人根据招标项目实际情况和国家有关法律法规规定进行填写，文字应采用斜体字；确实不需要填写具体内容的，用“/”标示。</w:t>
      </w:r>
    </w:p>
    <w:p w14:paraId="390267EF">
      <w:pPr>
        <w:spacing w:line="440" w:lineRule="exact"/>
        <w:ind w:firstLine="47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5.除可选择部分和下划线部分由招标人根据以上2、3、4三项进行选择或填写外，其他文字不得改动。</w:t>
      </w:r>
    </w:p>
    <w:p w14:paraId="04ED1D0D">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二、招标公告部分</w:t>
      </w:r>
    </w:p>
    <w:p w14:paraId="76DBFE2E">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(一)招标项目基本信息</w:t>
      </w:r>
    </w:p>
    <w:p w14:paraId="6BEA1E80">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1.项目名称、文号。应与项目工可批复或初步设计批复或企业信息赋码表中内容一致。</w:t>
      </w:r>
    </w:p>
    <w:p w14:paraId="74EF5798">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2.项目建设规模。应与工可批复或初步设计批复或企业信息赋码表中内容一致，主要包括建筑面积、总投资等内容。</w:t>
      </w:r>
    </w:p>
    <w:p w14:paraId="0A854B43">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3.建设地址、建成时间、资金来源、投资比例。按工可批复或初步设计批复或企业信息赋码表内容填写。</w:t>
      </w:r>
    </w:p>
    <w:p w14:paraId="7E99BF17">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4.项目业主。即本招标项目的法人。</w:t>
      </w:r>
    </w:p>
    <w:p w14:paraId="59066317">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5.招标人。为组织项目招标活动的主体。</w:t>
      </w:r>
    </w:p>
    <w:p w14:paraId="45ED32B4">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6.代理机构。为本次招标提供招标代理服务的机构，自行招标的，括号内的代理内容应删除。</w:t>
      </w:r>
    </w:p>
    <w:p w14:paraId="3E45B71E">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7.标段名称。招标人应合理划分标段，标段名称应恰当反映本次招标内容。</w:t>
      </w:r>
    </w:p>
    <w:p w14:paraId="37B7A212">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(二)本次招标内容</w:t>
      </w:r>
    </w:p>
    <w:p w14:paraId="40F55397">
      <w:pPr>
        <w:spacing w:line="440" w:lineRule="exact"/>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1.本次招标内容。尽可能详细说明本次招标项目的招标范围、内容、规模、服务要求等。</w:t>
      </w:r>
    </w:p>
    <w:p w14:paraId="1E660A89">
      <w:pPr>
        <w:spacing w:line="440" w:lineRule="exact"/>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估算(或概算)造价。应根据工可批复或初步设计批复或企业信息赋码表内容填写本次招标范围的服务费用造价，批复汇总表不能反映本次招标的估算(或概算)造价的，应根据经批准的估算(或概算)详细文件汇总计算。</w:t>
      </w:r>
    </w:p>
    <w:p w14:paraId="7BD26F7E">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(三)投标资格条件、要求</w:t>
      </w:r>
    </w:p>
    <w:p w14:paraId="70D4BEA3">
      <w:pPr>
        <w:spacing w:line="440" w:lineRule="exact"/>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1.企业资格要求。根据本次招标内容，设置投标人资格要求。</w:t>
      </w:r>
    </w:p>
    <w:p w14:paraId="7E1C76A7">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2.联合体。根据本次招标的实际情况进行约定。</w:t>
      </w:r>
    </w:p>
    <w:p w14:paraId="412D24E6">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3.无行贿犯罪记录。查询的时间区间为投标截止之日上溯不少于三年。投标人不必提供外证或自证材料，由招标人在定标前在中国裁判文书网查询。</w:t>
      </w:r>
    </w:p>
    <w:p w14:paraId="15EDE3CF">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招标人可根据招标项目的实际需要及相关法律法规规定，设置合理的资格条件和要求。业绩证明材料要求其所能承载的证明内容应符合业绩要求的具体表述；招标人可选择中标通知书、合同、交货单及业主证明等资料作为业绩证明资料，但应明确如出现载明信息不一致时的资料认定顺序。</w:t>
      </w:r>
    </w:p>
    <w:p w14:paraId="75FCF7F5">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(四)招标文件的获取</w:t>
      </w:r>
    </w:p>
    <w:p w14:paraId="4A113BEB">
      <w:pPr>
        <w:spacing w:line="440" w:lineRule="exact"/>
        <w:ind w:firstLine="49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1.网上下载时间。招标人应在招标公告及招标文件中明确招标文件发售方式及时间，发售期不得少于5日。截止时间如遇国家法定休假日的，应顺延至法定休假日后的第一个工作日。</w:t>
      </w:r>
    </w:p>
    <w:p w14:paraId="29F9E9F1">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2.疑问提交时间。由招标人依法设定，具体时间应充分考虑投标人获取、阅读招标文件、提出疑问的时间，同时要为答疑预留一定的时间。</w:t>
      </w:r>
    </w:p>
    <w:p w14:paraId="357E5B0D">
      <w:pPr>
        <w:spacing w:line="440" w:lineRule="exact"/>
        <w:ind w:firstLine="47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3.补充(答疑、澄清)招标文件发布日期。为招标人最迟可能发出补充文件的时间，充分考虑在投标截止时间前可能发生的变化。</w:t>
      </w:r>
    </w:p>
    <w:p w14:paraId="55ABEDA8">
      <w:pPr>
        <w:spacing w:line="440" w:lineRule="exact"/>
        <w:ind w:firstLine="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截止时间。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18694E4B">
      <w:pPr>
        <w:pStyle w:val="52"/>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5.投标文件的递交方式为电子网上传输提交形式。招标人应在招标公告（或投标邀请书）及招标文件中明确投标文件递交方式及时间，还应明确是否需要同时递交纸质投标文件。</w:t>
      </w:r>
    </w:p>
    <w:p w14:paraId="6CF55425">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三、投标人须知前附表部分</w:t>
      </w:r>
    </w:p>
    <w:p w14:paraId="0204FA21">
      <w:pPr>
        <w:spacing w:line="440" w:lineRule="exact"/>
        <w:ind w:firstLine="42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1.条款号1.1.2—1.2.2。与招标公告相关内容填写一致。</w:t>
      </w:r>
    </w:p>
    <w:p w14:paraId="463E64BF">
      <w:pPr>
        <w:spacing w:line="440" w:lineRule="exact"/>
        <w:ind w:firstLine="42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2.招标范围。应与招标公告中招标内容一致，具体描述可详见公告。</w:t>
      </w:r>
    </w:p>
    <w:p w14:paraId="67FF2E04">
      <w:pPr>
        <w:spacing w:line="440" w:lineRule="exact"/>
        <w:ind w:firstLine="48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3.交货期。交货期应满足招标的要求，并应当允许投标人提出优于交货期的投标承诺。</w:t>
      </w:r>
    </w:p>
    <w:p w14:paraId="59981694">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4.条款号1.4.1-2.2.1。根据本次招标的具体情况和要求，按示范文本提示内容选择或填写。</w:t>
      </w:r>
    </w:p>
    <w:p w14:paraId="5684A012">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5.投标截止时间。应与招标公告规定的投标截止时间一致。</w:t>
      </w:r>
    </w:p>
    <w:p w14:paraId="11CB30E2">
      <w:pPr>
        <w:spacing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实质性响应招标文件及评审打分资料。本栏是示范文本特别增加的内容，招标人应将要求投标人提交的所有资料列在本栏，招标文件中不再另附强制性资格条件(审查)表，招标人可根据本次招标的实际需要增减资料项目。</w:t>
      </w:r>
    </w:p>
    <w:p w14:paraId="2A5CEF4D">
      <w:pPr>
        <w:spacing w:line="440" w:lineRule="exact"/>
        <w:ind w:firstLine="48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标办法。招标人应根据本次招标的实际情况合理选定评标办法，谨慎选用经评审的最低投标价法，鼓励选用综合评估法。技术简单或技术规格、性能、制作工艺要求统一的货物，可采用经评审的最低投标价法；技术复杂或技术规格、性能、制作工艺要求难以统一的货物，宜采用综合评估法。</w:t>
      </w:r>
    </w:p>
    <w:p w14:paraId="4A0ED16D">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否决投标的情形。招标人在编制招标文件时，应将所有否决投标的情形、以肯定句式集中列入本栏；凡未列入此栏内容的要求，均不得作为否决投标的依据。招标人通过补充文件增加、删除或修改否决投标条款的，应当在补充文件中集中载明调整后完整的否决投标条款。</w:t>
      </w:r>
    </w:p>
    <w:p w14:paraId="6628DB24">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9.招标人根据实际情况需要补充的其他内容，应集中在第10.4条。</w:t>
      </w:r>
    </w:p>
    <w:p w14:paraId="06C97D97">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四、评标办法部分</w:t>
      </w:r>
    </w:p>
    <w:p w14:paraId="718536C9">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否决投标的内容均请列入招标文件投标人须知前附表“否决投标的情形”中，评标办法中不再重复，以免产生矛盾和歧义。评标委员会拟作出否决投标前，应组织相关投标人进行询问核实。招标人应协助评标委员会做好询问核实工作。</w:t>
      </w:r>
    </w:p>
    <w:p w14:paraId="20864EE2">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采用综合评估法的技术评分内容可根据招标项目的特点设置相应的评审内容和标准，原则上技术含量高的货物，技术评分权重大。可自选评审内容并要求细化每一打分项分值区间不宜超过3分。</w:t>
      </w:r>
    </w:p>
    <w:p w14:paraId="6B384820">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使用的电子招标工具应及时更新，并选择与本项目相匹配的招标工具模式（如：评标办法、电子标书递交方式等）。</w:t>
      </w:r>
    </w:p>
    <w:p w14:paraId="57A047B7">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五、合同文本部分</w:t>
      </w:r>
    </w:p>
    <w:p w14:paraId="1C835283">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合同条款与格式由招标人根据项目实际提供。建议采用国家或行业的示范文本。</w:t>
      </w:r>
    </w:p>
    <w:p w14:paraId="263F9B37">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六、相关表单部分</w:t>
      </w:r>
    </w:p>
    <w:p w14:paraId="0A773E1E">
      <w:pPr>
        <w:spacing w:line="440" w:lineRule="exact"/>
        <w:ind w:firstLine="4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投标人前附表设置了“实质性响应招标文件及评审打分资料”栏，在相关表单中无需再设强制性审查表单，以避免前后不一致。</w:t>
      </w:r>
    </w:p>
    <w:p w14:paraId="15272482">
      <w:pPr>
        <w:jc w:val="both"/>
        <w:rPr>
          <w:rFonts w:hint="eastAsia" w:ascii="宋体" w:hAnsi="宋体" w:eastAsia="宋体" w:cs="宋体"/>
          <w:color w:val="auto"/>
          <w:highlight w:val="none"/>
        </w:rPr>
        <w:sectPr>
          <w:pgSz w:w="11906" w:h="16839"/>
          <w:pgMar w:top="1417" w:right="1559" w:bottom="1417" w:left="1474" w:header="1134" w:footer="1134" w:gutter="0"/>
          <w:cols w:space="720" w:num="1"/>
        </w:sectPr>
      </w:pPr>
    </w:p>
    <w:p w14:paraId="47FAECA2">
      <w:pPr>
        <w:spacing w:line="245" w:lineRule="auto"/>
        <w:jc w:val="both"/>
        <w:rPr>
          <w:rFonts w:hint="eastAsia" w:ascii="宋体" w:hAnsi="宋体" w:eastAsia="宋体" w:cs="宋体"/>
          <w:color w:val="auto"/>
          <w:highlight w:val="none"/>
        </w:rPr>
      </w:pPr>
    </w:p>
    <w:p w14:paraId="476E43C0">
      <w:pPr>
        <w:spacing w:line="245" w:lineRule="auto"/>
        <w:jc w:val="both"/>
        <w:rPr>
          <w:rFonts w:hint="eastAsia" w:ascii="宋体" w:hAnsi="宋体" w:eastAsia="宋体" w:cs="宋体"/>
          <w:color w:val="auto"/>
          <w:highlight w:val="none"/>
        </w:rPr>
      </w:pPr>
    </w:p>
    <w:p w14:paraId="63192A56">
      <w:pPr>
        <w:spacing w:line="245" w:lineRule="auto"/>
        <w:jc w:val="both"/>
        <w:rPr>
          <w:rFonts w:hint="eastAsia" w:ascii="宋体" w:hAnsi="宋体" w:eastAsia="宋体" w:cs="宋体"/>
          <w:color w:val="auto"/>
          <w:highlight w:val="none"/>
        </w:rPr>
      </w:pPr>
    </w:p>
    <w:p w14:paraId="005E83B9">
      <w:pPr>
        <w:pStyle w:val="12"/>
        <w:spacing w:line="360" w:lineRule="auto"/>
        <w:jc w:val="both"/>
        <w:rPr>
          <w:rFonts w:hint="eastAsia" w:ascii="宋体" w:hAnsi="宋体" w:eastAsia="宋体" w:cs="宋体"/>
          <w:color w:val="auto"/>
          <w:highlight w:val="none"/>
        </w:rPr>
      </w:pPr>
    </w:p>
    <w:p w14:paraId="6E9B68FA">
      <w:pPr>
        <w:tabs>
          <w:tab w:val="left" w:pos="2909"/>
        </w:tabs>
        <w:spacing w:line="360" w:lineRule="auto"/>
        <w:ind w:left="138"/>
        <w:jc w:val="center"/>
        <w:rPr>
          <w:rFonts w:hint="eastAsia" w:ascii="宋体" w:hAnsi="宋体" w:eastAsia="宋体" w:cs="宋体"/>
          <w:color w:val="auto"/>
          <w:sz w:val="35"/>
          <w:szCs w:val="35"/>
          <w:highlight w:val="none"/>
        </w:rPr>
      </w:pPr>
      <w:r>
        <w:rPr>
          <w:rFonts w:hint="eastAsia" w:ascii="宋体" w:hAnsi="宋体" w:eastAsia="宋体" w:cs="宋体"/>
          <w:color w:val="auto"/>
          <w:sz w:val="35"/>
          <w:szCs w:val="35"/>
          <w:highlight w:val="none"/>
          <w:u w:val="single"/>
          <w:lang w:eastAsia="zh-CN"/>
        </w:rPr>
        <w:t>绍兴文理学院附属医院(绍兴市立医院)二期A地块建设工程物流传输系统项目</w:t>
      </w:r>
      <w:r>
        <w:rPr>
          <w:rFonts w:hint="eastAsia" w:ascii="宋体" w:hAnsi="宋体" w:eastAsia="宋体" w:cs="宋体"/>
          <w:color w:val="auto"/>
          <w:sz w:val="35"/>
          <w:szCs w:val="35"/>
          <w:highlight w:val="none"/>
        </w:rPr>
        <w:t>(货物)采购</w:t>
      </w:r>
    </w:p>
    <w:p w14:paraId="24D91DF7">
      <w:pPr>
        <w:spacing w:line="249" w:lineRule="auto"/>
        <w:jc w:val="both"/>
        <w:rPr>
          <w:rFonts w:hint="eastAsia" w:ascii="宋体" w:hAnsi="宋体" w:eastAsia="宋体" w:cs="宋体"/>
          <w:color w:val="auto"/>
          <w:highlight w:val="none"/>
        </w:rPr>
      </w:pPr>
    </w:p>
    <w:p w14:paraId="77C4AD6C">
      <w:pPr>
        <w:spacing w:line="249" w:lineRule="auto"/>
        <w:jc w:val="both"/>
        <w:rPr>
          <w:rFonts w:hint="eastAsia" w:ascii="宋体" w:hAnsi="宋体" w:eastAsia="宋体" w:cs="宋体"/>
          <w:color w:val="auto"/>
          <w:highlight w:val="none"/>
        </w:rPr>
      </w:pPr>
    </w:p>
    <w:p w14:paraId="03E1D6F8">
      <w:pPr>
        <w:spacing w:line="249" w:lineRule="auto"/>
        <w:jc w:val="both"/>
        <w:rPr>
          <w:rFonts w:hint="eastAsia" w:ascii="宋体" w:hAnsi="宋体" w:eastAsia="宋体" w:cs="宋体"/>
          <w:color w:val="auto"/>
          <w:highlight w:val="none"/>
        </w:rPr>
      </w:pPr>
    </w:p>
    <w:p w14:paraId="122E2034">
      <w:pPr>
        <w:spacing w:line="249" w:lineRule="auto"/>
        <w:jc w:val="both"/>
        <w:rPr>
          <w:rFonts w:hint="eastAsia" w:ascii="宋体" w:hAnsi="宋体" w:eastAsia="宋体" w:cs="宋体"/>
          <w:color w:val="auto"/>
          <w:highlight w:val="none"/>
        </w:rPr>
      </w:pPr>
    </w:p>
    <w:p w14:paraId="28BBADC7">
      <w:pPr>
        <w:pStyle w:val="12"/>
        <w:jc w:val="both"/>
        <w:rPr>
          <w:rFonts w:hint="eastAsia" w:ascii="宋体" w:hAnsi="宋体" w:eastAsia="宋体" w:cs="宋体"/>
          <w:color w:val="auto"/>
          <w:highlight w:val="none"/>
        </w:rPr>
      </w:pPr>
    </w:p>
    <w:p w14:paraId="62B747EA">
      <w:pPr>
        <w:pStyle w:val="29"/>
        <w:ind w:firstLine="0"/>
        <w:jc w:val="both"/>
        <w:rPr>
          <w:rFonts w:hint="eastAsia" w:hAnsi="宋体" w:eastAsia="宋体" w:cs="宋体"/>
          <w:color w:val="auto"/>
          <w:spacing w:val="0"/>
          <w:highlight w:val="none"/>
        </w:rPr>
      </w:pPr>
    </w:p>
    <w:p w14:paraId="60D15EEB">
      <w:pPr>
        <w:pStyle w:val="29"/>
        <w:jc w:val="both"/>
        <w:rPr>
          <w:rFonts w:hint="eastAsia" w:hAnsi="宋体" w:eastAsia="宋体" w:cs="宋体"/>
          <w:color w:val="auto"/>
          <w:spacing w:val="0"/>
          <w:highlight w:val="none"/>
        </w:rPr>
      </w:pPr>
    </w:p>
    <w:p w14:paraId="6E2331E6">
      <w:pPr>
        <w:spacing w:line="249" w:lineRule="auto"/>
        <w:jc w:val="both"/>
        <w:rPr>
          <w:rFonts w:hint="eastAsia" w:ascii="宋体" w:hAnsi="宋体" w:eastAsia="宋体" w:cs="宋体"/>
          <w:color w:val="auto"/>
          <w:highlight w:val="none"/>
        </w:rPr>
      </w:pPr>
    </w:p>
    <w:p w14:paraId="574CAE9A">
      <w:pPr>
        <w:spacing w:line="249" w:lineRule="auto"/>
        <w:jc w:val="both"/>
        <w:rPr>
          <w:rFonts w:hint="eastAsia" w:ascii="宋体" w:hAnsi="宋体" w:eastAsia="宋体" w:cs="宋体"/>
          <w:color w:val="auto"/>
          <w:highlight w:val="none"/>
        </w:rPr>
      </w:pPr>
    </w:p>
    <w:p w14:paraId="6BB5D258">
      <w:pPr>
        <w:pStyle w:val="12"/>
        <w:jc w:val="both"/>
        <w:rPr>
          <w:rFonts w:hint="eastAsia" w:ascii="宋体" w:hAnsi="宋体" w:eastAsia="宋体" w:cs="宋体"/>
          <w:color w:val="auto"/>
          <w:highlight w:val="none"/>
        </w:rPr>
      </w:pPr>
    </w:p>
    <w:p w14:paraId="7905EFC8">
      <w:pPr>
        <w:pStyle w:val="29"/>
        <w:jc w:val="both"/>
        <w:rPr>
          <w:rFonts w:hint="eastAsia" w:hAnsi="宋体" w:eastAsia="宋体" w:cs="宋体"/>
          <w:color w:val="auto"/>
          <w:spacing w:val="0"/>
          <w:highlight w:val="none"/>
        </w:rPr>
      </w:pPr>
    </w:p>
    <w:p w14:paraId="50DEA4A4">
      <w:pPr>
        <w:pStyle w:val="29"/>
        <w:jc w:val="both"/>
        <w:rPr>
          <w:rFonts w:hint="eastAsia" w:hAnsi="宋体" w:eastAsia="宋体" w:cs="宋体"/>
          <w:color w:val="auto"/>
          <w:spacing w:val="0"/>
          <w:highlight w:val="none"/>
        </w:rPr>
      </w:pPr>
    </w:p>
    <w:p w14:paraId="02BE84C2">
      <w:pPr>
        <w:spacing w:line="249" w:lineRule="auto"/>
        <w:jc w:val="both"/>
        <w:rPr>
          <w:rFonts w:hint="eastAsia" w:ascii="宋体" w:hAnsi="宋体" w:eastAsia="宋体" w:cs="宋体"/>
          <w:color w:val="auto"/>
          <w:highlight w:val="none"/>
        </w:rPr>
      </w:pPr>
    </w:p>
    <w:p w14:paraId="659002C4">
      <w:pPr>
        <w:spacing w:line="249" w:lineRule="auto"/>
        <w:jc w:val="both"/>
        <w:rPr>
          <w:rFonts w:hint="eastAsia" w:ascii="宋体" w:hAnsi="宋体" w:eastAsia="宋体" w:cs="宋体"/>
          <w:color w:val="auto"/>
          <w:highlight w:val="none"/>
        </w:rPr>
      </w:pPr>
    </w:p>
    <w:p w14:paraId="2A2F1C16">
      <w:pPr>
        <w:spacing w:line="251" w:lineRule="auto"/>
        <w:jc w:val="both"/>
        <w:rPr>
          <w:rFonts w:hint="eastAsia" w:ascii="宋体" w:hAnsi="宋体" w:eastAsia="宋体" w:cs="宋体"/>
          <w:color w:val="auto"/>
          <w:highlight w:val="none"/>
        </w:rPr>
      </w:pPr>
    </w:p>
    <w:p w14:paraId="527026EC">
      <w:pPr>
        <w:spacing w:before="231" w:line="224" w:lineRule="auto"/>
        <w:jc w:val="center"/>
        <w:rPr>
          <w:rFonts w:hint="eastAsia" w:ascii="宋体" w:hAnsi="宋体" w:eastAsia="宋体" w:cs="宋体"/>
          <w:color w:val="auto"/>
          <w:sz w:val="71"/>
          <w:szCs w:val="71"/>
          <w:highlight w:val="none"/>
        </w:rPr>
      </w:pPr>
      <w:r>
        <w:rPr>
          <w:rFonts w:hint="eastAsia" w:ascii="宋体" w:hAnsi="宋体" w:eastAsia="宋体" w:cs="宋体"/>
          <w:color w:val="auto"/>
          <w:sz w:val="71"/>
          <w:szCs w:val="71"/>
          <w:highlight w:val="none"/>
        </w:rPr>
        <w:t>招标文件</w:t>
      </w:r>
      <w:bookmarkStart w:id="68" w:name="_GoBack"/>
      <w:bookmarkEnd w:id="68"/>
    </w:p>
    <w:p w14:paraId="5E0B80B0">
      <w:pPr>
        <w:spacing w:line="247" w:lineRule="auto"/>
        <w:jc w:val="both"/>
        <w:rPr>
          <w:rFonts w:hint="eastAsia" w:ascii="宋体" w:hAnsi="宋体" w:eastAsia="宋体" w:cs="宋体"/>
          <w:color w:val="auto"/>
          <w:highlight w:val="none"/>
        </w:rPr>
      </w:pPr>
    </w:p>
    <w:p w14:paraId="53934C5C">
      <w:pPr>
        <w:spacing w:line="247" w:lineRule="auto"/>
        <w:jc w:val="both"/>
        <w:rPr>
          <w:rFonts w:hint="eastAsia" w:ascii="宋体" w:hAnsi="宋体" w:eastAsia="宋体" w:cs="宋体"/>
          <w:color w:val="auto"/>
          <w:highlight w:val="none"/>
        </w:rPr>
      </w:pPr>
    </w:p>
    <w:p w14:paraId="0AEF6423">
      <w:pPr>
        <w:spacing w:line="247" w:lineRule="auto"/>
        <w:jc w:val="both"/>
        <w:rPr>
          <w:rFonts w:hint="eastAsia" w:ascii="宋体" w:hAnsi="宋体" w:eastAsia="宋体" w:cs="宋体"/>
          <w:color w:val="auto"/>
          <w:highlight w:val="none"/>
        </w:rPr>
      </w:pPr>
    </w:p>
    <w:p w14:paraId="3BAAF8D2">
      <w:pPr>
        <w:spacing w:line="247" w:lineRule="auto"/>
        <w:jc w:val="both"/>
        <w:rPr>
          <w:rFonts w:hint="eastAsia" w:ascii="宋体" w:hAnsi="宋体" w:eastAsia="宋体" w:cs="宋体"/>
          <w:color w:val="auto"/>
          <w:highlight w:val="none"/>
        </w:rPr>
      </w:pPr>
    </w:p>
    <w:p w14:paraId="409B2CBA">
      <w:pPr>
        <w:spacing w:line="247" w:lineRule="auto"/>
        <w:jc w:val="both"/>
        <w:rPr>
          <w:rFonts w:hint="eastAsia" w:ascii="宋体" w:hAnsi="宋体" w:eastAsia="宋体" w:cs="宋体"/>
          <w:color w:val="auto"/>
          <w:highlight w:val="none"/>
        </w:rPr>
      </w:pPr>
    </w:p>
    <w:p w14:paraId="24FBE4E7">
      <w:pPr>
        <w:spacing w:line="247" w:lineRule="auto"/>
        <w:jc w:val="both"/>
        <w:rPr>
          <w:rFonts w:hint="eastAsia" w:ascii="宋体" w:hAnsi="宋体" w:eastAsia="宋体" w:cs="宋体"/>
          <w:color w:val="auto"/>
          <w:highlight w:val="none"/>
        </w:rPr>
      </w:pPr>
    </w:p>
    <w:p w14:paraId="48CFA7E5">
      <w:pPr>
        <w:spacing w:line="248" w:lineRule="auto"/>
        <w:jc w:val="both"/>
        <w:rPr>
          <w:rFonts w:hint="eastAsia" w:ascii="宋体" w:hAnsi="宋体" w:eastAsia="宋体" w:cs="宋体"/>
          <w:color w:val="auto"/>
          <w:highlight w:val="none"/>
        </w:rPr>
      </w:pPr>
    </w:p>
    <w:p w14:paraId="73DEB821">
      <w:pPr>
        <w:spacing w:line="248" w:lineRule="auto"/>
        <w:jc w:val="both"/>
        <w:rPr>
          <w:rFonts w:hint="eastAsia" w:ascii="宋体" w:hAnsi="宋体" w:eastAsia="宋体" w:cs="宋体"/>
          <w:color w:val="auto"/>
          <w:highlight w:val="none"/>
        </w:rPr>
      </w:pPr>
    </w:p>
    <w:p w14:paraId="7341E3D7">
      <w:pPr>
        <w:spacing w:line="248" w:lineRule="auto"/>
        <w:jc w:val="both"/>
        <w:rPr>
          <w:rFonts w:hint="eastAsia" w:ascii="宋体" w:hAnsi="宋体" w:eastAsia="宋体" w:cs="宋体"/>
          <w:color w:val="auto"/>
          <w:highlight w:val="none"/>
        </w:rPr>
      </w:pPr>
    </w:p>
    <w:p w14:paraId="11215401">
      <w:pPr>
        <w:spacing w:line="248" w:lineRule="auto"/>
        <w:jc w:val="both"/>
        <w:rPr>
          <w:rFonts w:hint="eastAsia" w:ascii="宋体" w:hAnsi="宋体" w:eastAsia="宋体" w:cs="宋体"/>
          <w:color w:val="auto"/>
          <w:highlight w:val="none"/>
        </w:rPr>
      </w:pPr>
    </w:p>
    <w:p w14:paraId="3550A4D7">
      <w:pPr>
        <w:spacing w:line="248" w:lineRule="auto"/>
        <w:jc w:val="both"/>
        <w:rPr>
          <w:rFonts w:hint="eastAsia" w:ascii="宋体" w:hAnsi="宋体" w:eastAsia="宋体" w:cs="宋体"/>
          <w:color w:val="auto"/>
          <w:highlight w:val="none"/>
        </w:rPr>
      </w:pPr>
    </w:p>
    <w:p w14:paraId="324034BD">
      <w:pPr>
        <w:spacing w:line="248" w:lineRule="auto"/>
        <w:jc w:val="both"/>
        <w:rPr>
          <w:rFonts w:hint="eastAsia" w:ascii="宋体" w:hAnsi="宋体" w:eastAsia="宋体" w:cs="宋体"/>
          <w:color w:val="auto"/>
          <w:highlight w:val="none"/>
        </w:rPr>
      </w:pPr>
    </w:p>
    <w:p w14:paraId="3257C042">
      <w:pPr>
        <w:spacing w:line="248" w:lineRule="auto"/>
        <w:jc w:val="both"/>
        <w:rPr>
          <w:rFonts w:hint="eastAsia" w:ascii="宋体" w:hAnsi="宋体" w:eastAsia="宋体" w:cs="宋体"/>
          <w:color w:val="auto"/>
          <w:highlight w:val="none"/>
        </w:rPr>
      </w:pPr>
    </w:p>
    <w:p w14:paraId="55CBB7B6">
      <w:pPr>
        <w:spacing w:line="600" w:lineRule="exact"/>
        <w:ind w:left="1626" w:hanging="1260" w:hangingChars="450"/>
        <w:jc w:val="center"/>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招标人：</w:t>
      </w:r>
      <w:bookmarkStart w:id="0" w:name="OLE_LINK30"/>
      <w:r>
        <w:rPr>
          <w:rFonts w:hint="eastAsia" w:ascii="宋体" w:hAnsi="宋体" w:eastAsia="宋体" w:cs="宋体"/>
          <w:b w:val="0"/>
          <w:bCs/>
          <w:color w:val="auto"/>
          <w:sz w:val="28"/>
          <w:szCs w:val="28"/>
          <w:highlight w:val="none"/>
          <w:u w:val="single"/>
          <w:lang w:eastAsia="zh-CN"/>
        </w:rPr>
        <w:t>绍兴</w:t>
      </w:r>
      <w:r>
        <w:rPr>
          <w:rFonts w:hint="eastAsia" w:ascii="宋体" w:hAnsi="宋体" w:eastAsia="宋体" w:cs="宋体"/>
          <w:b w:val="0"/>
          <w:bCs/>
          <w:color w:val="auto"/>
          <w:sz w:val="28"/>
          <w:szCs w:val="28"/>
          <w:highlight w:val="none"/>
          <w:u w:val="single"/>
          <w:lang w:val="en-US" w:eastAsia="zh-CN"/>
        </w:rPr>
        <w:t>大学</w:t>
      </w:r>
      <w:r>
        <w:rPr>
          <w:rFonts w:hint="eastAsia" w:ascii="宋体" w:hAnsi="宋体" w:eastAsia="宋体" w:cs="宋体"/>
          <w:b w:val="0"/>
          <w:bCs/>
          <w:color w:val="auto"/>
          <w:sz w:val="28"/>
          <w:szCs w:val="28"/>
          <w:highlight w:val="none"/>
          <w:u w:val="single"/>
          <w:lang w:eastAsia="zh-CN"/>
        </w:rPr>
        <w:t>附属医院</w:t>
      </w:r>
      <w:bookmarkEnd w:id="0"/>
      <w:r>
        <w:rPr>
          <w:rFonts w:hint="eastAsia" w:ascii="宋体" w:hAnsi="宋体" w:eastAsia="宋体" w:cs="宋体"/>
          <w:color w:val="auto"/>
          <w:sz w:val="28"/>
          <w:szCs w:val="28"/>
          <w:highlight w:val="none"/>
        </w:rPr>
        <w:t>(盖章)</w:t>
      </w:r>
    </w:p>
    <w:p w14:paraId="7FC134C8">
      <w:pPr>
        <w:spacing w:line="600" w:lineRule="exact"/>
        <w:ind w:left="1626" w:hanging="1260" w:hangingChars="450"/>
        <w:jc w:val="center"/>
        <w:rPr>
          <w:rFonts w:hint="eastAsia" w:ascii="宋体" w:hAnsi="宋体" w:eastAsia="宋体" w:cs="宋体"/>
          <w:color w:val="auto"/>
          <w:sz w:val="28"/>
          <w:szCs w:val="28"/>
          <w:highlight w:val="none"/>
        </w:rPr>
      </w:pPr>
      <w:r>
        <w:rPr>
          <w:rFonts w:hint="eastAsia" w:ascii="宋体" w:hAnsi="宋体" w:eastAsia="宋体" w:cs="宋体"/>
          <w:b w:val="0"/>
          <w:bCs/>
          <w:color w:val="auto"/>
          <w:sz w:val="28"/>
          <w:szCs w:val="28"/>
          <w:highlight w:val="none"/>
        </w:rPr>
        <w:t>代建单位：</w:t>
      </w:r>
      <w:r>
        <w:rPr>
          <w:rFonts w:hint="eastAsia" w:ascii="宋体" w:hAnsi="宋体" w:eastAsia="宋体" w:cs="宋体"/>
          <w:b w:val="0"/>
          <w:bCs/>
          <w:color w:val="auto"/>
          <w:sz w:val="28"/>
          <w:szCs w:val="28"/>
          <w:highlight w:val="none"/>
          <w:u w:val="single"/>
          <w:lang w:eastAsia="zh-CN"/>
        </w:rPr>
        <w:t>绍兴市城发建设有限公司</w:t>
      </w:r>
      <w:r>
        <w:rPr>
          <w:rFonts w:hint="eastAsia" w:ascii="宋体" w:hAnsi="宋体" w:eastAsia="宋体" w:cs="宋体"/>
          <w:color w:val="auto"/>
          <w:sz w:val="28"/>
          <w:szCs w:val="28"/>
          <w:highlight w:val="none"/>
        </w:rPr>
        <w:t>(盖章)</w:t>
      </w:r>
    </w:p>
    <w:p w14:paraId="468799D9">
      <w:pPr>
        <w:tabs>
          <w:tab w:val="left" w:pos="3427"/>
        </w:tabs>
        <w:spacing w:line="360" w:lineRule="auto"/>
        <w:jc w:val="center"/>
        <w:rPr>
          <w:rFonts w:hint="eastAsia" w:ascii="宋体" w:hAnsi="宋体" w:eastAsia="宋体" w:cs="宋体"/>
          <w:color w:val="auto"/>
          <w:sz w:val="31"/>
          <w:szCs w:val="31"/>
          <w:highlight w:val="none"/>
        </w:rPr>
      </w:pPr>
      <w:r>
        <w:rPr>
          <w:rFonts w:hint="eastAsia" w:ascii="宋体" w:hAnsi="宋体" w:eastAsia="宋体" w:cs="宋体"/>
          <w:color w:val="auto"/>
          <w:sz w:val="28"/>
          <w:szCs w:val="28"/>
          <w:highlight w:val="none"/>
          <w:u w:val="single"/>
        </w:rPr>
        <w:t>202</w:t>
      </w:r>
      <w:r>
        <w:rPr>
          <w:rFonts w:hint="eastAsia" w:ascii="宋体" w:hAnsi="宋体" w:eastAsia="宋体" w:cs="宋体"/>
          <w:color w:val="auto"/>
          <w:sz w:val="28"/>
          <w:szCs w:val="28"/>
          <w:highlight w:val="none"/>
          <w:u w:val="single"/>
          <w:lang w:val="en-US" w:eastAsia="zh-CN"/>
        </w:rPr>
        <w:t>6</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31"/>
          <w:szCs w:val="31"/>
          <w:highlight w:val="none"/>
        </w:rPr>
        <w:t>年</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6</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31"/>
          <w:szCs w:val="31"/>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31"/>
          <w:szCs w:val="31"/>
          <w:highlight w:val="none"/>
        </w:rPr>
        <w:t>日</w:t>
      </w:r>
    </w:p>
    <w:p w14:paraId="47146021">
      <w:pPr>
        <w:jc w:val="both"/>
        <w:rPr>
          <w:rFonts w:hint="eastAsia" w:ascii="宋体" w:hAnsi="宋体" w:eastAsia="宋体" w:cs="宋体"/>
          <w:color w:val="auto"/>
          <w:highlight w:val="none"/>
        </w:rPr>
        <w:sectPr>
          <w:footerReference r:id="rId4" w:type="default"/>
          <w:pgSz w:w="11906" w:h="16839"/>
          <w:pgMar w:top="1418" w:right="1559" w:bottom="1418" w:left="1474" w:header="0" w:footer="0" w:gutter="0"/>
          <w:pgNumType w:start="1"/>
          <w:cols w:space="720" w:num="1"/>
        </w:sectPr>
      </w:pPr>
    </w:p>
    <w:p w14:paraId="75A9233D">
      <w:pPr>
        <w:spacing w:line="245" w:lineRule="auto"/>
        <w:jc w:val="both"/>
        <w:rPr>
          <w:rFonts w:hint="eastAsia" w:ascii="宋体" w:hAnsi="宋体" w:eastAsia="宋体" w:cs="宋体"/>
          <w:color w:val="auto"/>
          <w:highlight w:val="none"/>
        </w:rPr>
      </w:pPr>
    </w:p>
    <w:p w14:paraId="19EA32B5">
      <w:pPr>
        <w:spacing w:before="64" w:line="227" w:lineRule="auto"/>
        <w:ind w:left="3498"/>
        <w:jc w:val="both"/>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目录</w:t>
      </w:r>
    </w:p>
    <w:p w14:paraId="37BC00E3">
      <w:pPr>
        <w:spacing w:line="269" w:lineRule="auto"/>
        <w:jc w:val="both"/>
        <w:rPr>
          <w:rFonts w:hint="eastAsia" w:ascii="宋体" w:hAnsi="宋体" w:eastAsia="宋体" w:cs="宋体"/>
          <w:color w:val="auto"/>
          <w:highlight w:val="none"/>
        </w:rPr>
      </w:pPr>
    </w:p>
    <w:p w14:paraId="6505739F">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eastAsia="宋体" w:cs="宋体"/>
          <w:color w:val="auto"/>
          <w:sz w:val="23"/>
          <w:szCs w:val="23"/>
          <w:highlight w:val="none"/>
        </w:rPr>
        <w:t>第一章招标公告</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p>
    <w:p w14:paraId="1834A18C">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 </w:instrText>
      </w:r>
      <w:r>
        <w:rPr>
          <w:color w:val="auto"/>
          <w:highlight w:val="none"/>
        </w:rPr>
        <w:fldChar w:fldCharType="separate"/>
      </w:r>
      <w:r>
        <w:rPr>
          <w:rFonts w:hint="eastAsia" w:ascii="宋体" w:hAnsi="宋体" w:eastAsia="宋体" w:cs="宋体"/>
          <w:color w:val="auto"/>
          <w:sz w:val="23"/>
          <w:szCs w:val="23"/>
          <w:highlight w:val="none"/>
        </w:rPr>
        <w:t>第二章投标人须知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053BC8FA">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"_bookmark3" </w:instrText>
      </w:r>
      <w:r>
        <w:rPr>
          <w:color w:val="auto"/>
          <w:highlight w:val="none"/>
        </w:rPr>
        <w:fldChar w:fldCharType="separate"/>
      </w:r>
      <w:r>
        <w:rPr>
          <w:rFonts w:hint="eastAsia" w:ascii="宋体" w:hAnsi="宋体" w:eastAsia="宋体" w:cs="宋体"/>
          <w:color w:val="auto"/>
          <w:sz w:val="23"/>
          <w:szCs w:val="23"/>
          <w:highlight w:val="none"/>
        </w:rPr>
        <w:t>第一节投标人须知前附表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34B08D76">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"_bookmark4" </w:instrText>
      </w:r>
      <w:r>
        <w:rPr>
          <w:color w:val="auto"/>
          <w:highlight w:val="none"/>
        </w:rPr>
        <w:fldChar w:fldCharType="separate"/>
      </w:r>
      <w:r>
        <w:rPr>
          <w:rFonts w:hint="eastAsia" w:ascii="宋体" w:hAnsi="宋体" w:eastAsia="宋体" w:cs="宋体"/>
          <w:color w:val="auto"/>
          <w:sz w:val="23"/>
          <w:szCs w:val="23"/>
          <w:highlight w:val="none"/>
        </w:rPr>
        <w:t>第二节投标人须知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00B1F44A">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"_bookmark5" </w:instrText>
      </w:r>
      <w:r>
        <w:rPr>
          <w:color w:val="auto"/>
          <w:highlight w:val="none"/>
        </w:rPr>
        <w:fldChar w:fldCharType="separate"/>
      </w:r>
      <w:r>
        <w:rPr>
          <w:rFonts w:hint="eastAsia" w:ascii="宋体" w:hAnsi="宋体" w:eastAsia="宋体" w:cs="宋体"/>
          <w:color w:val="auto"/>
          <w:sz w:val="23"/>
          <w:szCs w:val="23"/>
          <w:highlight w:val="none"/>
        </w:rPr>
        <w:t>附表一：开标记录表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21</w:t>
      </w:r>
    </w:p>
    <w:p w14:paraId="610CEA22">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"_bookmark6" </w:instrText>
      </w:r>
      <w:r>
        <w:rPr>
          <w:color w:val="auto"/>
          <w:highlight w:val="none"/>
        </w:rPr>
        <w:fldChar w:fldCharType="separate"/>
      </w:r>
      <w:r>
        <w:rPr>
          <w:rFonts w:hint="eastAsia" w:ascii="宋体" w:hAnsi="宋体" w:eastAsia="宋体" w:cs="宋体"/>
          <w:color w:val="auto"/>
          <w:sz w:val="23"/>
          <w:szCs w:val="23"/>
          <w:highlight w:val="none"/>
        </w:rPr>
        <w:t>附表二：问题澄清通知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22</w:t>
      </w:r>
    </w:p>
    <w:p w14:paraId="06612461">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"_bookmark7" </w:instrText>
      </w:r>
      <w:r>
        <w:rPr>
          <w:color w:val="auto"/>
          <w:highlight w:val="none"/>
        </w:rPr>
        <w:fldChar w:fldCharType="separate"/>
      </w:r>
      <w:r>
        <w:rPr>
          <w:rFonts w:hint="eastAsia" w:ascii="宋体" w:hAnsi="宋体" w:eastAsia="宋体" w:cs="宋体"/>
          <w:color w:val="auto"/>
          <w:sz w:val="23"/>
          <w:szCs w:val="23"/>
          <w:highlight w:val="none"/>
        </w:rPr>
        <w:t>附表三：问题的澄清</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23</w:t>
      </w:r>
    </w:p>
    <w:p w14:paraId="434A7911">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"_bookmark8" </w:instrText>
      </w:r>
      <w:r>
        <w:rPr>
          <w:color w:val="auto"/>
          <w:highlight w:val="none"/>
        </w:rPr>
        <w:fldChar w:fldCharType="separate"/>
      </w:r>
      <w:r>
        <w:rPr>
          <w:rFonts w:hint="eastAsia" w:ascii="宋体" w:hAnsi="宋体" w:eastAsia="宋体" w:cs="宋体"/>
          <w:color w:val="auto"/>
          <w:sz w:val="23"/>
          <w:szCs w:val="23"/>
          <w:highlight w:val="none"/>
        </w:rPr>
        <w:t>附表四：中标通知书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24</w:t>
      </w:r>
    </w:p>
    <w:p w14:paraId="6C836C2A">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"_bookmark10" </w:instrText>
      </w:r>
      <w:r>
        <w:rPr>
          <w:color w:val="auto"/>
          <w:highlight w:val="none"/>
        </w:rPr>
        <w:fldChar w:fldCharType="separate"/>
      </w:r>
      <w:r>
        <w:rPr>
          <w:rFonts w:hint="eastAsia" w:ascii="宋体" w:hAnsi="宋体" w:eastAsia="宋体" w:cs="宋体"/>
          <w:color w:val="auto"/>
          <w:sz w:val="23"/>
          <w:szCs w:val="23"/>
          <w:highlight w:val="none"/>
        </w:rPr>
        <w:t>附表五：确认通知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25</w:t>
      </w:r>
      <w:r>
        <w:rPr>
          <w:rFonts w:hint="eastAsia" w:ascii="宋体" w:hAnsi="宋体" w:eastAsia="宋体" w:cs="宋体"/>
          <w:color w:val="auto"/>
          <w:sz w:val="23"/>
          <w:szCs w:val="23"/>
          <w:highlight w:val="none"/>
        </w:rPr>
        <w:fldChar w:fldCharType="end"/>
      </w:r>
    </w:p>
    <w:p w14:paraId="15678389">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"_bookmark11" </w:instrText>
      </w:r>
      <w:r>
        <w:rPr>
          <w:color w:val="auto"/>
          <w:highlight w:val="none"/>
        </w:rPr>
        <w:fldChar w:fldCharType="separate"/>
      </w:r>
      <w:r>
        <w:rPr>
          <w:rFonts w:hint="eastAsia" w:ascii="宋体" w:hAnsi="宋体" w:eastAsia="宋体" w:cs="宋体"/>
          <w:color w:val="auto"/>
          <w:sz w:val="23"/>
          <w:szCs w:val="23"/>
          <w:highlight w:val="none"/>
        </w:rPr>
        <w:t>第三章评标定标办法</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3617EBF9">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"_bookmark12" </w:instrText>
      </w:r>
      <w:r>
        <w:rPr>
          <w:color w:val="auto"/>
          <w:highlight w:val="none"/>
        </w:rPr>
        <w:fldChar w:fldCharType="separate"/>
      </w:r>
      <w:r>
        <w:rPr>
          <w:rFonts w:hint="eastAsia" w:ascii="宋体" w:hAnsi="宋体" w:eastAsia="宋体" w:cs="宋体"/>
          <w:color w:val="auto"/>
          <w:sz w:val="23"/>
          <w:szCs w:val="23"/>
          <w:highlight w:val="none"/>
        </w:rPr>
        <w:t>第四章合同条款及格式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w:t>
      </w:r>
    </w:p>
    <w:p w14:paraId="5072DA35">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"_bookmark13" </w:instrText>
      </w:r>
      <w:r>
        <w:rPr>
          <w:color w:val="auto"/>
          <w:highlight w:val="none"/>
        </w:rPr>
        <w:fldChar w:fldCharType="separate"/>
      </w:r>
      <w:r>
        <w:rPr>
          <w:rFonts w:hint="eastAsia" w:ascii="宋体" w:hAnsi="宋体" w:eastAsia="宋体" w:cs="宋体"/>
          <w:color w:val="auto"/>
          <w:sz w:val="23"/>
          <w:szCs w:val="23"/>
          <w:highlight w:val="none"/>
        </w:rPr>
        <w:t>第五章招标内容和技术要求</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1</w:t>
      </w:r>
    </w:p>
    <w:p w14:paraId="15760484">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"_bookmark14" </w:instrText>
      </w:r>
      <w:r>
        <w:rPr>
          <w:color w:val="auto"/>
          <w:highlight w:val="none"/>
        </w:rPr>
        <w:fldChar w:fldCharType="separate"/>
      </w:r>
      <w:r>
        <w:rPr>
          <w:rFonts w:hint="eastAsia" w:ascii="宋体" w:hAnsi="宋体" w:eastAsia="宋体" w:cs="宋体"/>
          <w:color w:val="auto"/>
          <w:sz w:val="23"/>
          <w:szCs w:val="23"/>
          <w:highlight w:val="none"/>
        </w:rPr>
        <w:t>第六章投标文件格式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62929107">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"_bookmark15" </w:instrText>
      </w:r>
      <w:r>
        <w:rPr>
          <w:color w:val="auto"/>
          <w:highlight w:val="none"/>
        </w:rPr>
        <w:fldChar w:fldCharType="separate"/>
      </w:r>
      <w:r>
        <w:rPr>
          <w:rFonts w:hint="eastAsia" w:ascii="宋体" w:hAnsi="宋体" w:eastAsia="宋体" w:cs="宋体"/>
          <w:color w:val="auto"/>
          <w:sz w:val="23"/>
          <w:szCs w:val="23"/>
          <w:highlight w:val="none"/>
        </w:rPr>
        <w:t>格式一：投标函</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53</w:t>
      </w:r>
      <w:r>
        <w:rPr>
          <w:rFonts w:hint="eastAsia" w:ascii="宋体" w:hAnsi="宋体" w:eastAsia="宋体" w:cs="宋体"/>
          <w:color w:val="auto"/>
          <w:sz w:val="23"/>
          <w:szCs w:val="23"/>
          <w:highlight w:val="none"/>
        </w:rPr>
        <w:fldChar w:fldCharType="end"/>
      </w:r>
    </w:p>
    <w:p w14:paraId="23B3AEAB">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"_bookmark16" </w:instrText>
      </w:r>
      <w:r>
        <w:rPr>
          <w:color w:val="auto"/>
          <w:highlight w:val="none"/>
        </w:rPr>
        <w:fldChar w:fldCharType="separate"/>
      </w:r>
      <w:r>
        <w:rPr>
          <w:rFonts w:hint="eastAsia" w:ascii="宋体" w:hAnsi="宋体" w:eastAsia="宋体" w:cs="宋体"/>
          <w:color w:val="auto"/>
          <w:sz w:val="23"/>
          <w:szCs w:val="23"/>
          <w:highlight w:val="none"/>
        </w:rPr>
        <w:t>格式二：法定代表人身份证明</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54</w:t>
      </w:r>
      <w:r>
        <w:rPr>
          <w:rFonts w:hint="eastAsia" w:ascii="宋体" w:hAnsi="宋体" w:eastAsia="宋体" w:cs="宋体"/>
          <w:color w:val="auto"/>
          <w:sz w:val="23"/>
          <w:szCs w:val="23"/>
          <w:highlight w:val="none"/>
        </w:rPr>
        <w:fldChar w:fldCharType="end"/>
      </w:r>
    </w:p>
    <w:p w14:paraId="60A69132">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"_bookmark17" </w:instrText>
      </w:r>
      <w:r>
        <w:rPr>
          <w:color w:val="auto"/>
          <w:highlight w:val="none"/>
        </w:rPr>
        <w:fldChar w:fldCharType="separate"/>
      </w:r>
      <w:r>
        <w:rPr>
          <w:rFonts w:hint="eastAsia" w:ascii="宋体" w:hAnsi="宋体" w:eastAsia="宋体" w:cs="宋体"/>
          <w:color w:val="auto"/>
          <w:sz w:val="23"/>
          <w:szCs w:val="23"/>
          <w:highlight w:val="none"/>
        </w:rPr>
        <w:t>格式三：</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3"/>
          <w:szCs w:val="23"/>
          <w:highlight w:val="none"/>
        </w:rPr>
        <w:t>授权委托书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55</w:t>
      </w:r>
    </w:p>
    <w:p w14:paraId="6CA24F28">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"_bookmark18" </w:instrText>
      </w:r>
      <w:r>
        <w:rPr>
          <w:color w:val="auto"/>
          <w:highlight w:val="none"/>
        </w:rPr>
        <w:fldChar w:fldCharType="separate"/>
      </w:r>
      <w:r>
        <w:rPr>
          <w:rFonts w:hint="eastAsia" w:ascii="宋体" w:hAnsi="宋体" w:eastAsia="宋体" w:cs="宋体"/>
          <w:color w:val="auto"/>
          <w:sz w:val="23"/>
          <w:szCs w:val="23"/>
          <w:highlight w:val="none"/>
        </w:rPr>
        <w:t>格式四：投标报价表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746D6EB0">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"_bookmark19" </w:instrText>
      </w:r>
      <w:r>
        <w:rPr>
          <w:color w:val="auto"/>
          <w:highlight w:val="none"/>
        </w:rPr>
        <w:fldChar w:fldCharType="separate"/>
      </w:r>
      <w:r>
        <w:rPr>
          <w:rFonts w:hint="eastAsia" w:ascii="宋体" w:hAnsi="宋体" w:eastAsia="宋体" w:cs="宋体"/>
          <w:color w:val="auto"/>
          <w:sz w:val="23"/>
          <w:szCs w:val="23"/>
          <w:highlight w:val="none"/>
        </w:rPr>
        <w:t>格式五：资料一览表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7</w:t>
      </w:r>
    </w:p>
    <w:p w14:paraId="1E336F41">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hint="eastAsia" w:ascii="宋体" w:hAnsi="宋体" w:eastAsia="宋体" w:cs="宋体"/>
          <w:color w:val="auto"/>
          <w:sz w:val="23"/>
          <w:szCs w:val="23"/>
          <w:highlight w:val="none"/>
        </w:rPr>
        <w:t>格式六：打分资料一览表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8</w:t>
      </w:r>
    </w:p>
    <w:p w14:paraId="2F12EE0E">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hint="eastAsia" w:ascii="宋体" w:hAnsi="宋体" w:eastAsia="宋体" w:cs="宋体"/>
          <w:color w:val="auto"/>
          <w:sz w:val="23"/>
          <w:szCs w:val="23"/>
          <w:highlight w:val="none"/>
        </w:rPr>
        <w:t>格式七：投标人基本情况</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9</w:t>
      </w:r>
    </w:p>
    <w:p w14:paraId="23247EA7">
      <w:pPr>
        <w:jc w:val="both"/>
        <w:rPr>
          <w:rFonts w:hint="eastAsia" w:ascii="宋体" w:hAnsi="宋体" w:eastAsia="宋体" w:cs="宋体"/>
          <w:color w:val="auto"/>
          <w:highlight w:val="none"/>
        </w:rPr>
        <w:sectPr>
          <w:footerReference r:id="rId5" w:type="default"/>
          <w:pgSz w:w="11906" w:h="16839"/>
          <w:pgMar w:top="1418" w:right="1559" w:bottom="1418" w:left="1474" w:header="0" w:footer="0" w:gutter="0"/>
          <w:cols w:space="720" w:num="1"/>
        </w:sectPr>
      </w:pPr>
    </w:p>
    <w:p w14:paraId="081B0D18">
      <w:pPr>
        <w:spacing w:line="245" w:lineRule="auto"/>
        <w:jc w:val="both"/>
        <w:rPr>
          <w:rFonts w:hint="eastAsia" w:ascii="宋体" w:hAnsi="宋体" w:eastAsia="宋体" w:cs="宋体"/>
          <w:color w:val="auto"/>
          <w:highlight w:val="none"/>
        </w:rPr>
      </w:pPr>
    </w:p>
    <w:p w14:paraId="071CECA0">
      <w:pPr>
        <w:spacing w:before="101" w:line="224" w:lineRule="auto"/>
        <w:ind w:left="3173"/>
        <w:jc w:val="both"/>
        <w:outlineLvl w:val="0"/>
        <w:rPr>
          <w:rFonts w:hint="eastAsia" w:ascii="宋体" w:hAnsi="宋体" w:eastAsia="宋体" w:cs="宋体"/>
          <w:color w:val="auto"/>
          <w:sz w:val="31"/>
          <w:szCs w:val="31"/>
          <w:highlight w:val="none"/>
        </w:rPr>
      </w:pPr>
      <w:bookmarkStart w:id="1" w:name="_bookmark1"/>
      <w:bookmarkEnd w:id="1"/>
      <w:r>
        <w:rPr>
          <w:rFonts w:hint="eastAsia" w:ascii="宋体" w:hAnsi="宋体" w:eastAsia="宋体" w:cs="宋体"/>
          <w:color w:val="auto"/>
          <w:sz w:val="31"/>
          <w:szCs w:val="31"/>
          <w:highlight w:val="none"/>
        </w:rPr>
        <w:t>第一章招标公告</w:t>
      </w:r>
    </w:p>
    <w:p w14:paraId="5C5901E0">
      <w:pPr>
        <w:spacing w:before="125" w:line="353" w:lineRule="auto"/>
        <w:ind w:left="10" w:right="65" w:firstLine="497"/>
        <w:jc w:val="both"/>
        <w:rPr>
          <w:rFonts w:hint="default" w:ascii="宋体" w:hAnsi="宋体" w:eastAsia="宋体" w:cs="宋体"/>
          <w:color w:val="auto"/>
          <w:highlight w:val="none"/>
          <w:u w:val="single"/>
          <w:lang w:val="en-US" w:eastAsia="zh-CN"/>
        </w:rPr>
      </w:pPr>
      <w:r>
        <w:rPr>
          <w:rFonts w:hint="eastAsia" w:ascii="宋体" w:hAnsi="宋体" w:eastAsia="宋体" w:cs="宋体"/>
          <w:color w:val="auto"/>
          <w:sz w:val="23"/>
          <w:szCs w:val="23"/>
          <w:highlight w:val="none"/>
        </w:rPr>
        <w:t xml:space="preserve">                                       </w:t>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lang w:val="en-US" w:eastAsia="zh-CN"/>
        </w:rPr>
        <w:t xml:space="preserve">              </w:t>
      </w:r>
    </w:p>
    <w:p w14:paraId="2433E6DA">
      <w:pPr>
        <w:spacing w:line="253" w:lineRule="auto"/>
        <w:jc w:val="both"/>
        <w:rPr>
          <w:rFonts w:hint="eastAsia" w:ascii="宋体" w:hAnsi="宋体" w:eastAsia="宋体" w:cs="宋体"/>
          <w:color w:val="auto"/>
          <w:highlight w:val="none"/>
        </w:rPr>
      </w:pPr>
    </w:p>
    <w:p w14:paraId="1176F082">
      <w:pPr>
        <w:spacing w:line="312" w:lineRule="auto"/>
        <w:ind w:firstLine="420" w:firstLineChars="200"/>
        <w:rPr>
          <w:rFonts w:hint="eastAsia" w:ascii="宋体" w:hAnsi="宋体" w:eastAsia="宋体" w:cs="宋体"/>
          <w:color w:val="auto"/>
          <w:position w:val="2"/>
          <w:highlight w:val="none"/>
        </w:rPr>
      </w:pPr>
      <w:r>
        <w:rPr>
          <w:rFonts w:hint="eastAsia" w:ascii="宋体" w:hAnsi="宋体" w:eastAsia="宋体" w:cs="宋体"/>
          <w:color w:val="auto"/>
          <w:highlight w:val="none"/>
        </w:rPr>
        <w:t>本次招标项目</w:t>
      </w:r>
      <w:r>
        <w:rPr>
          <w:rFonts w:hint="eastAsia" w:ascii="宋体" w:hAnsi="宋体" w:eastAsia="宋体" w:cs="宋体"/>
          <w:b/>
          <w:bCs/>
          <w:color w:val="auto"/>
          <w:highlight w:val="none"/>
          <w:u w:val="single"/>
          <w:lang w:eastAsia="zh-CN"/>
        </w:rPr>
        <w:t>绍兴文理学院附属医院(绍兴市立医院)二期A地块建设工程物流传输系统项目</w:t>
      </w:r>
      <w:r>
        <w:rPr>
          <w:rFonts w:hint="eastAsia" w:ascii="宋体" w:hAnsi="宋体" w:eastAsia="宋体" w:cs="宋体"/>
          <w:color w:val="auto"/>
          <w:highlight w:val="none"/>
        </w:rPr>
        <w:t>，已由</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u w:val="single"/>
          <w:lang w:eastAsia="zh-CN"/>
        </w:rPr>
        <w:t>绍兴市发展和改革局</w:t>
      </w:r>
      <w:r>
        <w:rPr>
          <w:rFonts w:hint="eastAsia" w:ascii="宋体" w:hAnsi="宋体" w:eastAsia="宋体" w:cs="宋体"/>
          <w:color w:val="auto"/>
          <w:highlight w:val="none"/>
        </w:rPr>
        <w:t>以</w:t>
      </w:r>
      <w:r>
        <w:rPr>
          <w:rFonts w:hint="eastAsia" w:ascii="宋体" w:hAnsi="宋体" w:eastAsia="宋体" w:cs="宋体"/>
          <w:b/>
          <w:bCs/>
          <w:color w:val="auto"/>
          <w:highlight w:val="none"/>
          <w:u w:val="single"/>
          <w:lang w:eastAsia="zh-CN"/>
        </w:rPr>
        <w:t>2201-330600-04-01-897469</w:t>
      </w:r>
      <w:r>
        <w:rPr>
          <w:rFonts w:hint="eastAsia" w:ascii="宋体" w:hAnsi="宋体" w:eastAsia="宋体" w:cs="宋体"/>
          <w:color w:val="auto"/>
          <w:highlight w:val="none"/>
        </w:rPr>
        <w:t>批准建设，项目业主为</w:t>
      </w:r>
      <w:r>
        <w:rPr>
          <w:rFonts w:hint="eastAsia" w:ascii="宋体" w:hAnsi="宋体" w:eastAsia="宋体" w:cs="宋体"/>
          <w:b/>
          <w:bCs/>
          <w:color w:val="auto"/>
          <w:highlight w:val="none"/>
          <w:u w:val="single"/>
          <w:lang w:eastAsia="zh-CN"/>
        </w:rPr>
        <w:t>绍兴大学附属医院</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，建设资金</w:t>
      </w:r>
      <w:r>
        <w:rPr>
          <w:rFonts w:hint="eastAsia" w:ascii="宋体" w:hAnsi="宋体" w:eastAsia="宋体" w:cs="宋体"/>
          <w:b/>
          <w:bCs/>
          <w:color w:val="auto"/>
          <w:highlight w:val="none"/>
          <w:u w:val="single"/>
          <w:lang w:eastAsia="zh-CN"/>
        </w:rPr>
        <w:t>财政资金  100%</w:t>
      </w:r>
      <w:r>
        <w:rPr>
          <w:rFonts w:hint="eastAsia" w:ascii="宋体" w:hAnsi="宋体" w:eastAsia="宋体" w:cs="宋体"/>
          <w:color w:val="auto"/>
          <w:highlight w:val="none"/>
        </w:rPr>
        <w:t>，招标人为</w:t>
      </w:r>
      <w:r>
        <w:rPr>
          <w:rFonts w:hint="eastAsia" w:ascii="宋体" w:hAnsi="宋体" w:eastAsia="宋体" w:cs="宋体"/>
          <w:b/>
          <w:bCs/>
          <w:color w:val="auto"/>
          <w:highlight w:val="none"/>
          <w:u w:val="single"/>
          <w:lang w:eastAsia="zh-CN"/>
        </w:rPr>
        <w:t>绍兴</w:t>
      </w:r>
      <w:r>
        <w:rPr>
          <w:rFonts w:hint="eastAsia" w:ascii="宋体" w:hAnsi="宋体" w:eastAsia="宋体" w:cs="宋体"/>
          <w:b/>
          <w:bCs/>
          <w:color w:val="auto"/>
          <w:highlight w:val="none"/>
          <w:u w:val="single"/>
          <w:lang w:val="en-US" w:eastAsia="zh-CN"/>
        </w:rPr>
        <w:t>大学</w:t>
      </w:r>
      <w:r>
        <w:rPr>
          <w:rFonts w:hint="eastAsia" w:ascii="宋体" w:hAnsi="宋体" w:eastAsia="宋体" w:cs="宋体"/>
          <w:b/>
          <w:bCs/>
          <w:color w:val="auto"/>
          <w:highlight w:val="none"/>
          <w:u w:val="single"/>
          <w:lang w:eastAsia="zh-CN"/>
        </w:rPr>
        <w:t>附属医院</w:t>
      </w:r>
      <w:r>
        <w:rPr>
          <w:rFonts w:hint="eastAsia" w:ascii="宋体" w:hAnsi="宋体" w:eastAsia="宋体" w:cs="宋体"/>
          <w:color w:val="auto"/>
          <w:highlight w:val="none"/>
        </w:rPr>
        <w:t>。项目已具备招标条件，现对该项目的</w:t>
      </w:r>
      <w:r>
        <w:rPr>
          <w:rFonts w:hint="eastAsia" w:ascii="宋体" w:hAnsi="宋体" w:eastAsia="宋体" w:cs="宋体"/>
          <w:b/>
          <w:bCs/>
          <w:color w:val="auto"/>
          <w:highlight w:val="none"/>
          <w:u w:val="single"/>
          <w:lang w:eastAsia="zh-CN"/>
        </w:rPr>
        <w:t>绍兴文理学院附属医院(绍兴市立医院)二期A地块建设工程物流传输系统项目</w:t>
      </w:r>
      <w:r>
        <w:rPr>
          <w:rFonts w:hint="eastAsia" w:ascii="宋体" w:hAnsi="宋体" w:eastAsia="宋体" w:cs="宋体"/>
          <w:color w:val="auto"/>
          <w:highlight w:val="none"/>
        </w:rPr>
        <w:t>货物进行公开招标</w:t>
      </w:r>
    </w:p>
    <w:p w14:paraId="51483FCE">
      <w:pPr>
        <w:spacing w:line="312" w:lineRule="auto"/>
        <w:ind w:left="493"/>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一、本次招标内容</w:t>
      </w:r>
    </w:p>
    <w:p w14:paraId="11A00B7B">
      <w:pPr>
        <w:tabs>
          <w:tab w:val="left" w:pos="3725"/>
        </w:tabs>
        <w:spacing w:line="312" w:lineRule="auto"/>
        <w:ind w:left="1" w:firstLine="420" w:firstLineChars="200"/>
        <w:jc w:val="both"/>
        <w:rPr>
          <w:rFonts w:hint="eastAsia" w:ascii="宋体" w:hAnsi="宋体" w:eastAsia="宋体" w:cs="宋体"/>
          <w:b/>
          <w:bCs/>
          <w:color w:val="auto"/>
          <w:highlight w:val="none"/>
          <w:u w:val="single"/>
          <w:lang w:eastAsia="zh-CN"/>
        </w:rPr>
      </w:pPr>
      <w:r>
        <w:rPr>
          <w:rFonts w:hint="eastAsia" w:ascii="宋体" w:hAnsi="宋体" w:eastAsia="宋体" w:cs="宋体"/>
          <w:color w:val="auto"/>
          <w:highlight w:val="none"/>
        </w:rPr>
        <w:t>1.1</w:t>
      </w:r>
      <w:r>
        <w:rPr>
          <w:rFonts w:hint="eastAsia" w:ascii="宋体" w:hAnsi="宋体" w:eastAsia="宋体" w:cs="宋体"/>
          <w:b/>
          <w:bCs/>
          <w:color w:val="auto"/>
          <w:highlight w:val="none"/>
          <w:u w:val="single"/>
          <w:lang w:val="en-US" w:eastAsia="zh-CN"/>
        </w:rPr>
        <w:t>项目概算投资122842.99万元，其中工程费用96559.69万元，其中建安工程造价约80000万元，建设规模：项目总用地面积约37720.24平方米，总建筑面积约131544平方米，其中：地上建筑面积约105309平方米，地下建筑面积约26235平方米。本次主要建设内容为医用智能中型箱式物流传输系统:中型箱式物流输送系统是以周转箱为载体，通过水平传输系统和提升系统智能物联网技术组合实现物品自动化传输的新型智能化物流传输系统。智能箱式物流接驳机器人:可以和箱式物流对接。具体详见招标人提供的本项目施工图纸范围及招标货物清单等内容，有关的技术要求详见招标文件。</w:t>
      </w:r>
    </w:p>
    <w:p w14:paraId="33B66F33">
      <w:pPr>
        <w:tabs>
          <w:tab w:val="left" w:pos="3725"/>
        </w:tabs>
        <w:spacing w:line="312" w:lineRule="auto"/>
        <w:ind w:left="1" w:firstLine="422" w:firstLineChars="200"/>
        <w:jc w:val="both"/>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rPr>
        <w:t>项目服务期：</w:t>
      </w:r>
      <w:r>
        <w:rPr>
          <w:rFonts w:hint="eastAsia" w:ascii="宋体" w:hAnsi="宋体" w:eastAsia="宋体" w:cs="宋体"/>
          <w:b/>
          <w:bCs/>
          <w:color w:val="auto"/>
          <w:highlight w:val="none"/>
          <w:u w:val="single"/>
          <w:lang w:val="en-US" w:eastAsia="zh-CN"/>
        </w:rPr>
        <w:t>130日历天，并不得影响总包总进度计划（以招标人发出的开工指令为准，具体应与工程施工总进度计划同步，服从总包管理）。</w:t>
      </w:r>
    </w:p>
    <w:p w14:paraId="7C447AC3">
      <w:pPr>
        <w:tabs>
          <w:tab w:val="left" w:pos="3725"/>
        </w:tabs>
        <w:spacing w:line="312" w:lineRule="auto"/>
        <w:ind w:left="1"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本次招标范围内的工程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估算(或</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概算)造价</w:t>
      </w:r>
      <w:r>
        <w:rPr>
          <w:rFonts w:hint="eastAsia" w:ascii="宋体" w:hAnsi="宋体" w:eastAsia="宋体" w:cs="宋体"/>
          <w:color w:val="auto"/>
          <w:highlight w:val="none"/>
          <w:lang w:val="en-US" w:eastAsia="zh-CN"/>
        </w:rPr>
        <w:t>约</w:t>
      </w:r>
      <w:r>
        <w:rPr>
          <w:rFonts w:hint="eastAsia" w:ascii="宋体" w:hAnsi="宋体" w:eastAsia="宋体" w:cs="宋体"/>
          <w:color w:val="auto"/>
          <w:highlight w:val="none"/>
          <w:u w:val="none"/>
          <w:lang w:val="en-US" w:eastAsia="zh-CN"/>
        </w:rPr>
        <w:t>为</w:t>
      </w:r>
      <w:r>
        <w:rPr>
          <w:rFonts w:hint="eastAsia" w:ascii="宋体" w:hAnsi="宋体" w:eastAsia="宋体" w:cs="宋体"/>
          <w:color w:val="auto"/>
          <w:highlight w:val="none"/>
          <w:u w:val="single"/>
          <w:lang w:val="en-US" w:eastAsia="zh-CN"/>
        </w:rPr>
        <w:t>955</w:t>
      </w:r>
      <w:r>
        <w:rPr>
          <w:rFonts w:hint="eastAsia" w:ascii="宋体" w:hAnsi="宋体" w:eastAsia="宋体" w:cs="宋体"/>
          <w:color w:val="auto"/>
          <w:highlight w:val="none"/>
          <w:u w:val="none"/>
          <w:lang w:val="en-US" w:eastAsia="zh-CN"/>
        </w:rPr>
        <w:t>万元</w:t>
      </w:r>
      <w:r>
        <w:rPr>
          <w:rFonts w:hint="eastAsia" w:ascii="宋体" w:hAnsi="宋体" w:eastAsia="宋体" w:cs="宋体"/>
          <w:color w:val="auto"/>
          <w:highlight w:val="none"/>
        </w:rPr>
        <w:t>，采用投标资格后审方式招标。</w:t>
      </w:r>
    </w:p>
    <w:p w14:paraId="230D8FD4">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1.2是否属于政府采购工程</w:t>
      </w:r>
      <w:r>
        <w:rPr>
          <w:rFonts w:hint="eastAsia" w:ascii="宋体" w:hAnsi="宋体" w:eastAsia="宋体" w:cs="宋体"/>
          <w:color w:val="auto"/>
          <w:highlight w:val="none"/>
        </w:rPr>
        <w:tab/>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是</w:t>
      </w:r>
      <w:r>
        <w:rPr>
          <w:rFonts w:hint="eastAsia" w:ascii="宋体" w:hAnsi="宋体" w:eastAsia="宋体" w:cs="宋体"/>
          <w:color w:val="auto"/>
          <w:highlight w:val="none"/>
        </w:rPr>
        <w:tab/>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否</w:t>
      </w:r>
    </w:p>
    <w:p w14:paraId="10235DE4">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1.3是否专门面向中小企业预留</w:t>
      </w:r>
    </w:p>
    <w:p w14:paraId="4C1FEAF7">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□是</w:t>
      </w:r>
    </w:p>
    <w:p w14:paraId="7D5AEEFF">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☑否。</w:t>
      </w:r>
    </w:p>
    <w:p w14:paraId="6DF95DB2">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1.4专门面向中小企业预留的实施方式</w:t>
      </w:r>
    </w:p>
    <w:p w14:paraId="5FB702FB">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，或者提供</w:t>
      </w:r>
    </w:p>
    <w:p w14:paraId="73D48EAB">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□1.4.1本标段整体面向中小企业；</w:t>
      </w:r>
    </w:p>
    <w:p w14:paraId="41FDA443">
      <w:pPr>
        <w:tabs>
          <w:tab w:val="left" w:pos="3725"/>
        </w:tabs>
        <w:spacing w:line="312" w:lineRule="auto"/>
        <w:ind w:left="1"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□1.4.2本标段联合体形式面向中小企业，以联合体形式参加本次投标的，联合体中中小企业承担的合同份额需达到（不低于40%）以上。</w:t>
      </w:r>
    </w:p>
    <w:p w14:paraId="53DE1B33">
      <w:pPr>
        <w:spacing w:line="312" w:lineRule="auto"/>
        <w:ind w:left="493"/>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二、投标资格条件、要求</w:t>
      </w:r>
    </w:p>
    <w:p w14:paraId="00C8F340">
      <w:pPr>
        <w:spacing w:line="312" w:lineRule="auto"/>
        <w:ind w:left="10" w:right="65" w:firstLine="497"/>
        <w:jc w:val="both"/>
        <w:rPr>
          <w:rFonts w:hint="eastAsia" w:ascii="宋体" w:hAnsi="宋体" w:eastAsia="宋体" w:cs="宋体"/>
          <w:color w:val="auto"/>
          <w:highlight w:val="none"/>
        </w:rPr>
      </w:pPr>
      <w:r>
        <w:rPr>
          <w:rFonts w:hint="eastAsia" w:ascii="宋体" w:hAnsi="宋体" w:eastAsia="宋体" w:cs="宋体"/>
          <w:color w:val="auto"/>
          <w:highlight w:val="none"/>
        </w:rPr>
        <w:t>1.投标人及其拟派项目负责人自</w:t>
      </w:r>
      <w:r>
        <w:rPr>
          <w:rFonts w:hint="eastAsia" w:ascii="宋体" w:hAnsi="宋体" w:eastAsia="宋体" w:cs="宋体"/>
          <w:b/>
          <w:bCs/>
          <w:color w:val="auto"/>
          <w:highlight w:val="none"/>
          <w:u w:val="single"/>
        </w:rPr>
        <w:t>202</w:t>
      </w:r>
      <w:r>
        <w:rPr>
          <w:rFonts w:hint="eastAsia" w:ascii="宋体" w:hAnsi="宋体" w:eastAsia="宋体" w:cs="宋体"/>
          <w:b/>
          <w:bCs/>
          <w:color w:val="auto"/>
          <w:highlight w:val="none"/>
          <w:u w:val="single"/>
          <w:lang w:val="en-US" w:eastAsia="zh-CN"/>
        </w:rPr>
        <w:t>3</w:t>
      </w:r>
      <w:r>
        <w:rPr>
          <w:rFonts w:hint="eastAsia" w:ascii="宋体" w:hAnsi="宋体" w:eastAsia="宋体" w:cs="宋体"/>
          <w:b/>
          <w:bCs/>
          <w:color w:val="auto"/>
          <w:highlight w:val="none"/>
          <w:u w:val="single"/>
        </w:rPr>
        <w:t>年</w:t>
      </w:r>
      <w:r>
        <w:rPr>
          <w:rFonts w:hint="eastAsia" w:ascii="宋体" w:hAnsi="宋体" w:eastAsia="宋体" w:cs="宋体"/>
          <w:b/>
          <w:bCs/>
          <w:color w:val="auto"/>
          <w:highlight w:val="none"/>
          <w:u w:val="single"/>
          <w:lang w:val="en-US" w:eastAsia="zh-CN"/>
        </w:rPr>
        <w:t>1</w:t>
      </w:r>
      <w:r>
        <w:rPr>
          <w:rFonts w:hint="eastAsia" w:ascii="宋体" w:hAnsi="宋体" w:eastAsia="宋体" w:cs="宋体"/>
          <w:b/>
          <w:bCs/>
          <w:color w:val="auto"/>
          <w:highlight w:val="none"/>
          <w:u w:val="single"/>
        </w:rPr>
        <w:t>月1日</w:t>
      </w:r>
      <w:r>
        <w:rPr>
          <w:rFonts w:hint="eastAsia" w:ascii="宋体" w:hAnsi="宋体" w:eastAsia="宋体" w:cs="宋体"/>
          <w:color w:val="auto"/>
          <w:highlight w:val="none"/>
        </w:rPr>
        <w:t>起至投标截止日止无行贿犯罪记录；</w:t>
      </w:r>
    </w:p>
    <w:p w14:paraId="51C2A003">
      <w:pPr>
        <w:spacing w:line="312" w:lineRule="auto"/>
        <w:ind w:left="15" w:right="154" w:firstLine="498"/>
        <w:jc w:val="both"/>
        <w:rPr>
          <w:rFonts w:hint="eastAsia" w:ascii="宋体" w:hAnsi="宋体" w:eastAsia="宋体" w:cs="宋体"/>
          <w:color w:val="auto"/>
          <w:highlight w:val="none"/>
        </w:rPr>
      </w:pPr>
      <w:r>
        <w:rPr>
          <w:rFonts w:hint="eastAsia" w:ascii="宋体" w:hAnsi="宋体" w:eastAsia="宋体" w:cs="宋体"/>
          <w:color w:val="auto"/>
          <w:highlight w:val="none"/>
        </w:rPr>
        <w:t>☑2.投标人及其拟派项目负责人未被列入建筑市场严重失信名单（以全国建筑市场监管公共服务平台黑名单记录、失信联合惩戒记录和浙江省建筑市场监管公共服务系统严重失信名单的信息为准）；</w:t>
      </w:r>
    </w:p>
    <w:p w14:paraId="7C29D507">
      <w:pPr>
        <w:spacing w:line="312" w:lineRule="auto"/>
        <w:ind w:left="14" w:right="63" w:firstLine="474"/>
        <w:rPr>
          <w:rFonts w:hint="eastAsia" w:ascii="宋体" w:hAnsi="宋体" w:eastAsia="宋体" w:cs="宋体"/>
          <w:b/>
          <w:bCs/>
          <w:color w:val="auto"/>
          <w:highlight w:val="none"/>
          <w:u w:val="single"/>
        </w:rPr>
      </w:pPr>
      <w:r>
        <w:rPr>
          <w:rFonts w:hint="eastAsia" w:ascii="宋体" w:hAnsi="宋体" w:eastAsia="宋体" w:cs="宋体"/>
          <w:color w:val="auto"/>
          <w:highlight w:val="none"/>
        </w:rPr>
        <w:t>3.本次招标(□接受☑不接受)联合体投标，联合体投标的，应满足下列要求：</w:t>
      </w:r>
      <w:r>
        <w:rPr>
          <w:rFonts w:hint="eastAsia" w:ascii="宋体" w:hAnsi="宋体" w:eastAsia="宋体" w:cs="宋体"/>
          <w:b/>
          <w:bCs/>
          <w:color w:val="auto"/>
          <w:highlight w:val="none"/>
          <w:u w:val="single"/>
        </w:rPr>
        <w:t>/</w:t>
      </w:r>
    </w:p>
    <w:p w14:paraId="4C650F71">
      <w:pPr>
        <w:spacing w:line="312" w:lineRule="auto"/>
        <w:ind w:firstLine="420" w:firstLineChars="200"/>
        <w:rPr>
          <w:rFonts w:hint="eastAsia" w:ascii="宋体" w:hAnsi="宋体" w:eastAsia="宋体" w:cs="宋体"/>
          <w:strike/>
          <w:color w:val="auto"/>
          <w:highlight w:val="none"/>
        </w:rPr>
      </w:pPr>
      <w:r>
        <w:rPr>
          <w:rFonts w:hint="eastAsia" w:ascii="宋体" w:hAnsi="宋体" w:eastAsia="宋体" w:cs="宋体"/>
          <w:color w:val="auto"/>
          <w:highlight w:val="none"/>
        </w:rPr>
        <w:t>□4.面向中小企业招标的，投标人（或联合体中的中小企业）须为中小企业，并提供《中小企业声明函》。</w:t>
      </w:r>
    </w:p>
    <w:p w14:paraId="6DDE0964">
      <w:pPr>
        <w:spacing w:line="312" w:lineRule="auto"/>
        <w:ind w:left="490"/>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5.(招标人认为需要增加的符合法律法规规定的其他要求)</w:t>
      </w:r>
    </w:p>
    <w:p w14:paraId="51A83D6A">
      <w:pPr>
        <w:spacing w:line="312" w:lineRule="auto"/>
        <w:ind w:firstLine="422" w:firstLineChars="200"/>
        <w:rPr>
          <w:rFonts w:hint="eastAsia" w:ascii="宋体" w:hAnsi="宋体" w:eastAsia="宋体" w:cs="宋体"/>
          <w:color w:val="auto"/>
          <w:highlight w:val="none"/>
          <w:u w:val="single"/>
          <w:lang w:val="en-US" w:eastAsia="zh-CN"/>
        </w:rPr>
      </w:pPr>
      <w:r>
        <w:rPr>
          <w:rFonts w:hint="eastAsia" w:ascii="宋体" w:hAnsi="宋体" w:eastAsia="宋体" w:cs="宋体"/>
          <w:b/>
          <w:bCs/>
          <w:color w:val="auto"/>
          <w:highlight w:val="none"/>
          <w:u w:val="single"/>
        </w:rPr>
        <w:t>5.1</w:t>
      </w:r>
      <w:bookmarkStart w:id="2" w:name="_Hlk215866549"/>
      <w:r>
        <w:rPr>
          <w:rFonts w:hint="eastAsia" w:ascii="宋体" w:hAnsi="宋体" w:eastAsia="宋体" w:cs="宋体"/>
          <w:color w:val="auto"/>
          <w:highlight w:val="none"/>
          <w:u w:val="single"/>
          <w:lang w:val="en-US" w:eastAsia="zh-CN"/>
        </w:rPr>
        <w:t>自2021年1月1日以来（以验收证明时间为准），完成过单项合同金额570万元及以上的国内箱式物流系统业绩。</w:t>
      </w:r>
    </w:p>
    <w:p w14:paraId="23C4FFD5">
      <w:pPr>
        <w:spacing w:line="312" w:lineRule="auto"/>
        <w:ind w:firstLine="420" w:firstLineChars="200"/>
        <w:rPr>
          <w:rFonts w:hint="default" w:ascii="宋体" w:hAnsi="宋体" w:eastAsia="宋体" w:cs="宋体"/>
          <w:b/>
          <w:bCs/>
          <w:color w:val="auto"/>
          <w:highlight w:val="none"/>
          <w:u w:val="single"/>
          <w:lang w:val="en-US" w:eastAsia="zh-CN"/>
        </w:rPr>
      </w:pPr>
      <w:r>
        <w:rPr>
          <w:rFonts w:hint="eastAsia" w:ascii="宋体" w:hAnsi="宋体" w:eastAsia="宋体" w:cs="宋体"/>
          <w:color w:val="auto"/>
          <w:highlight w:val="none"/>
          <w:u w:val="single"/>
          <w:lang w:val="en-US" w:eastAsia="zh-CN"/>
        </w:rPr>
        <w:t>备注：业绩证明资料须同时提供：合同、竣工验收资料（竣工验收证书或竣工验收报告或竣工验收备案表）、单独消防验收合格证明或整体工程消防验收合格证或物流系统符合消防验收的甲方或业主证明资料。</w:t>
      </w:r>
    </w:p>
    <w:bookmarkEnd w:id="2"/>
    <w:p w14:paraId="696D55BC">
      <w:pPr>
        <w:spacing w:line="312" w:lineRule="auto"/>
        <w:ind w:firstLine="422" w:firstLineChars="200"/>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rPr>
        <w:t>上述材料缺一不可，否则资格审查不予通过。</w:t>
      </w:r>
    </w:p>
    <w:p w14:paraId="72EA2125">
      <w:pPr>
        <w:spacing w:line="312" w:lineRule="auto"/>
        <w:ind w:left="49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三、招标文件的获取</w:t>
      </w:r>
    </w:p>
    <w:p w14:paraId="6BEADDF8">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1.本项目招标文件（含图纸）和补充（答疑、澄清）、修改文件以网上下载方式发放</w:t>
      </w:r>
      <w:r>
        <w:rPr>
          <w:rFonts w:hint="eastAsia" w:ascii="宋体" w:hAnsi="宋体" w:eastAsia="宋体" w:cs="宋体"/>
          <w:color w:val="auto"/>
          <w:highlight w:val="none"/>
          <w:u w:val="single"/>
        </w:rPr>
        <w:t>绍兴市公共资源交易中心电子招投标交易平台（http://220.187.225.202:8088/TPBidder-ztk/memberlogin）</w:t>
      </w:r>
      <w:r>
        <w:rPr>
          <w:rFonts w:hint="eastAsia" w:ascii="宋体" w:hAnsi="宋体" w:eastAsia="宋体" w:cs="宋体"/>
          <w:color w:val="auto"/>
          <w:highlight w:val="none"/>
        </w:rPr>
        <w:t>，请各潜在投标人使用CA锁登录绍兴市公共资源交易中心电子招投标交易平台（http://220.187.225.202:8088/TPBidder-ztk/memberlogin）获取,未使用CA锁登录并获取招标文件的投标将被拒收。</w:t>
      </w:r>
    </w:p>
    <w:p w14:paraId="7BF97F2A">
      <w:pPr>
        <w:spacing w:line="312" w:lineRule="auto"/>
        <w:ind w:left="19" w:firstLine="478" w:firstLineChars="228"/>
        <w:jc w:val="both"/>
        <w:rPr>
          <w:rFonts w:hint="eastAsia" w:ascii="宋体" w:hAnsi="宋体" w:eastAsia="宋体" w:cs="宋体"/>
          <w:snapToGrid/>
          <w:color w:val="auto"/>
          <w:highlight w:val="none"/>
        </w:rPr>
      </w:pPr>
      <w:r>
        <w:rPr>
          <w:rFonts w:hint="eastAsia" w:ascii="宋体" w:hAnsi="宋体" w:eastAsia="宋体" w:cs="宋体"/>
          <w:color w:val="auto"/>
          <w:highlight w:val="none"/>
        </w:rPr>
        <w:t>2.招标文件获取下载网址：潜在投标人登录绍兴市公共资源交易中心电子招投标交易平台（http://220.187.225.202:8088/TPBidder-ztk/memberlogin），自行获取下载招标文件。</w:t>
      </w:r>
    </w:p>
    <w:p w14:paraId="16A869D5">
      <w:pPr>
        <w:spacing w:line="312" w:lineRule="auto"/>
        <w:ind w:left="499"/>
        <w:jc w:val="both"/>
        <w:rPr>
          <w:rFonts w:hint="eastAsia" w:ascii="宋体" w:hAnsi="宋体" w:eastAsia="宋体" w:cs="宋体"/>
          <w:snapToGrid/>
          <w:color w:val="auto"/>
          <w:highlight w:val="none"/>
        </w:rPr>
      </w:pPr>
      <w:r>
        <w:rPr>
          <w:rFonts w:hint="eastAsia" w:ascii="宋体" w:hAnsi="宋体" w:eastAsia="宋体" w:cs="宋体"/>
          <w:snapToGrid/>
          <w:color w:val="auto"/>
          <w:highlight w:val="none"/>
        </w:rPr>
        <w:t>3.招标文件网上下载时间：（公告发布之日起至投标文件递交截止时间）。</w:t>
      </w:r>
    </w:p>
    <w:p w14:paraId="63A096AF">
      <w:pPr>
        <w:spacing w:line="312" w:lineRule="auto"/>
        <w:ind w:left="501"/>
        <w:jc w:val="both"/>
        <w:rPr>
          <w:rFonts w:hint="eastAsia" w:ascii="宋体" w:hAnsi="宋体" w:eastAsia="宋体" w:cs="宋体"/>
          <w:color w:val="auto"/>
          <w:highlight w:val="none"/>
        </w:rPr>
      </w:pPr>
      <w:r>
        <w:rPr>
          <w:rFonts w:hint="eastAsia" w:ascii="宋体" w:hAnsi="宋体" w:eastAsia="宋体" w:cs="宋体"/>
          <w:color w:val="auto"/>
          <w:highlight w:val="none"/>
        </w:rPr>
        <w:t>四、投标保证金</w:t>
      </w:r>
    </w:p>
    <w:p w14:paraId="66C611BF">
      <w:pPr>
        <w:widowControl w:val="0"/>
        <w:kinsoku/>
        <w:autoSpaceDE/>
        <w:autoSpaceDN/>
        <w:adjustRightInd/>
        <w:spacing w:line="312" w:lineRule="auto"/>
        <w:ind w:firstLine="369" w:firstLineChars="176"/>
        <w:jc w:val="both"/>
        <w:textAlignment w:val="auto"/>
        <w:rPr>
          <w:rFonts w:hint="eastAsia" w:ascii="宋体" w:hAnsi="宋体" w:eastAsia="宋体" w:cs="宋体"/>
          <w:b/>
          <w:bCs/>
          <w:snapToGrid/>
          <w:color w:val="auto"/>
          <w:kern w:val="2"/>
          <w:highlight w:val="none"/>
        </w:rPr>
      </w:pPr>
      <w:r>
        <w:rPr>
          <w:rFonts w:hint="eastAsia" w:ascii="宋体" w:hAnsi="宋体" w:eastAsia="宋体" w:cs="宋体"/>
          <w:snapToGrid/>
          <w:color w:val="auto"/>
          <w:kern w:val="2"/>
          <w:highlight w:val="none"/>
        </w:rPr>
        <w:t>1.金额：</w:t>
      </w:r>
    </w:p>
    <w:p w14:paraId="3024C2B0">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□本项目不缴纳投标保证金。</w:t>
      </w:r>
    </w:p>
    <w:p w14:paraId="7B776E76">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highlight w:val="none"/>
        </w:rPr>
        <w:t>☑</w:t>
      </w:r>
      <w:r>
        <w:rPr>
          <w:rFonts w:hint="eastAsia" w:ascii="宋体" w:hAnsi="宋体" w:eastAsia="宋体" w:cs="宋体"/>
          <w:snapToGrid/>
          <w:color w:val="auto"/>
          <w:kern w:val="2"/>
          <w:highlight w:val="none"/>
        </w:rPr>
        <w:t>本项目需缴纳投标保证金</w:t>
      </w:r>
      <w:r>
        <w:rPr>
          <w:rFonts w:hint="eastAsia" w:ascii="宋体" w:hAnsi="宋体" w:eastAsia="宋体" w:cs="宋体"/>
          <w:b/>
          <w:bCs/>
          <w:snapToGrid/>
          <w:color w:val="auto"/>
          <w:kern w:val="2"/>
          <w:highlight w:val="none"/>
          <w:u w:val="single"/>
          <w:lang w:val="en-US" w:eastAsia="zh-CN"/>
        </w:rPr>
        <w:t>19</w:t>
      </w:r>
      <w:r>
        <w:rPr>
          <w:rFonts w:hint="eastAsia" w:ascii="宋体" w:hAnsi="宋体" w:eastAsia="宋体" w:cs="宋体"/>
          <w:snapToGrid/>
          <w:color w:val="auto"/>
          <w:kern w:val="2"/>
          <w:highlight w:val="none"/>
        </w:rPr>
        <w:t>万元，投标保证金在投标人自行获取招标文件后，在</w:t>
      </w:r>
      <w:r>
        <w:rPr>
          <w:rFonts w:hint="eastAsia" w:ascii="宋体" w:hAnsi="宋体" w:eastAsia="宋体" w:cs="宋体"/>
          <w:b/>
          <w:bCs/>
          <w:snapToGrid/>
          <w:color w:val="auto"/>
          <w:kern w:val="2"/>
          <w:highlight w:val="none"/>
        </w:rPr>
        <w:t>投标文件递交截止时间</w:t>
      </w:r>
      <w:r>
        <w:rPr>
          <w:rFonts w:hint="eastAsia" w:ascii="宋体" w:hAnsi="宋体" w:eastAsia="宋体" w:cs="宋体"/>
          <w:snapToGrid/>
          <w:color w:val="auto"/>
          <w:kern w:val="2"/>
          <w:highlight w:val="none"/>
        </w:rPr>
        <w:t>前缴纳。</w:t>
      </w:r>
    </w:p>
    <w:p w14:paraId="5156E5EF">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2.缴纳方式：投标人基本账户银行转出的保函/保证保险/担保公司担保/转账/数字保函等(不包括现金）。</w:t>
      </w:r>
    </w:p>
    <w:p w14:paraId="3F6458C1">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2.1缴纳要求（转账）：</w:t>
      </w:r>
    </w:p>
    <w:p w14:paraId="38AF0B4F">
      <w:pPr>
        <w:spacing w:line="312" w:lineRule="auto"/>
        <w:ind w:firstLine="420" w:firstLineChars="200"/>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账户一：开户单位名称：</w:t>
      </w:r>
      <w:r>
        <w:rPr>
          <w:rFonts w:hint="eastAsia" w:ascii="宋体" w:hAnsi="宋体" w:eastAsia="宋体" w:cs="宋体"/>
          <w:color w:val="auto"/>
          <w:highlight w:val="none"/>
          <w:u w:val="single"/>
        </w:rPr>
        <w:t>绍兴市公共资源交易中心保证金专户，开户行:绍兴银行股份有限公司营业部</w:t>
      </w:r>
      <w:r>
        <w:rPr>
          <w:rFonts w:hint="eastAsia" w:ascii="宋体" w:hAnsi="宋体" w:eastAsia="宋体" w:cs="宋体"/>
          <w:snapToGrid/>
          <w:color w:val="auto"/>
          <w:kern w:val="2"/>
          <w:highlight w:val="none"/>
        </w:rPr>
        <w:t>；账号</w:t>
      </w:r>
      <w:r>
        <w:rPr>
          <w:rFonts w:hint="eastAsia" w:ascii="宋体" w:hAnsi="宋体" w:eastAsia="宋体" w:cs="宋体"/>
          <w:snapToGrid/>
          <w:color w:val="auto"/>
          <w:kern w:val="2"/>
          <w:highlight w:val="none"/>
          <w:u w:val="single"/>
          <w:lang w:val="en-US" w:eastAsia="zh-CN"/>
        </w:rPr>
        <w:t xml:space="preserve">                     </w:t>
      </w:r>
      <w:r>
        <w:rPr>
          <w:rFonts w:hint="eastAsia" w:ascii="宋体" w:hAnsi="宋体" w:eastAsia="宋体" w:cs="宋体"/>
          <w:snapToGrid/>
          <w:color w:val="auto"/>
          <w:kern w:val="2"/>
          <w:highlight w:val="none"/>
        </w:rPr>
        <w:t xml:space="preserve"> ；</w:t>
      </w:r>
    </w:p>
    <w:p w14:paraId="34D6F269">
      <w:pPr>
        <w:widowControl w:val="0"/>
        <w:kinsoku/>
        <w:autoSpaceDE/>
        <w:autoSpaceDN/>
        <w:adjustRightInd/>
        <w:spacing w:line="312" w:lineRule="auto"/>
        <w:ind w:firstLine="420" w:firstLineChars="200"/>
        <w:jc w:val="both"/>
        <w:textAlignment w:val="auto"/>
        <w:rPr>
          <w:rFonts w:hint="eastAsia" w:ascii="宋体" w:hAnsi="宋体" w:eastAsia="宋体" w:cs="宋体"/>
          <w:strike/>
          <w:snapToGrid/>
          <w:color w:val="auto"/>
          <w:kern w:val="2"/>
          <w:highlight w:val="none"/>
        </w:rPr>
      </w:pPr>
      <w:r>
        <w:rPr>
          <w:rFonts w:hint="eastAsia" w:ascii="宋体" w:hAnsi="宋体" w:eastAsia="宋体" w:cs="宋体"/>
          <w:strike/>
          <w:snapToGrid/>
          <w:color w:val="auto"/>
          <w:kern w:val="2"/>
          <w:highlight w:val="none"/>
        </w:rPr>
        <w:t>账户二：开户单位名称：</w:t>
      </w:r>
      <w:r>
        <w:rPr>
          <w:rFonts w:hint="eastAsia" w:ascii="宋体" w:hAnsi="宋体" w:eastAsia="宋体" w:cs="宋体"/>
          <w:strike/>
          <w:snapToGrid/>
          <w:color w:val="auto"/>
          <w:kern w:val="2"/>
          <w:highlight w:val="none"/>
          <w:u w:val="single"/>
        </w:rPr>
        <w:t>绍兴市公共资源交易中心保证金专户，开户行:中信银行绍兴袍江支行</w:t>
      </w:r>
      <w:r>
        <w:rPr>
          <w:rFonts w:hint="eastAsia" w:ascii="宋体" w:hAnsi="宋体" w:eastAsia="宋体" w:cs="宋体"/>
          <w:strike/>
          <w:snapToGrid/>
          <w:color w:val="auto"/>
          <w:kern w:val="2"/>
          <w:highlight w:val="none"/>
        </w:rPr>
        <w:t>；账号</w:t>
      </w:r>
      <w:r>
        <w:rPr>
          <w:rFonts w:hint="eastAsia" w:ascii="宋体" w:hAnsi="宋体" w:eastAsia="宋体" w:cs="宋体"/>
          <w:strike/>
          <w:snapToGrid/>
          <w:color w:val="auto"/>
          <w:kern w:val="2"/>
          <w:highlight w:val="none"/>
          <w:u w:val="single"/>
        </w:rPr>
        <w:t xml:space="preserve">                          </w:t>
      </w:r>
      <w:r>
        <w:rPr>
          <w:rFonts w:hint="eastAsia" w:ascii="宋体" w:hAnsi="宋体" w:eastAsia="宋体" w:cs="宋体"/>
          <w:strike/>
          <w:snapToGrid/>
          <w:color w:val="auto"/>
          <w:kern w:val="2"/>
          <w:highlight w:val="none"/>
        </w:rPr>
        <w:t xml:space="preserve"> ；</w:t>
      </w:r>
    </w:p>
    <w:p w14:paraId="18F7BB0C">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投标人可自主选择以上账户之一缴纳投标保证金。</w:t>
      </w:r>
    </w:p>
    <w:p w14:paraId="09233ABF">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2.2缴纳要求（银行保函/保证保险/担保公司担保/数字保函）：招标人接受投标保证金银行保函、电子保险保单、担保保函。投标人自行在电子招投标交易平台（http://220.187.225.202:8088/TPBidder-ztk/memberlogin）中自主选择办理。</w:t>
      </w:r>
    </w:p>
    <w:p w14:paraId="05820F4B">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保函费用必须从投标人企业基本账户转出，并在投标保证金缴纳截止时间前办妥保函手续。</w:t>
      </w:r>
    </w:p>
    <w:p w14:paraId="270254C3">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□2.3本项目对</w:t>
      </w:r>
      <w:r>
        <w:rPr>
          <w:rFonts w:hint="eastAsia" w:ascii="宋体" w:hAnsi="宋体" w:eastAsia="宋体" w:cs="宋体"/>
          <w:snapToGrid/>
          <w:color w:val="auto"/>
          <w:kern w:val="2"/>
          <w:highlight w:val="none"/>
          <w:u w:val="single"/>
        </w:rPr>
        <w:t xml:space="preserve">      /     </w:t>
      </w:r>
      <w:r>
        <w:rPr>
          <w:rFonts w:hint="eastAsia" w:ascii="宋体" w:hAnsi="宋体" w:eastAsia="宋体" w:cs="宋体"/>
          <w:snapToGrid/>
          <w:color w:val="auto"/>
          <w:kern w:val="2"/>
          <w:highlight w:val="none"/>
        </w:rPr>
        <w:t>行业信用评价结果最高等级的投标人免收投标保证金，须具备</w:t>
      </w:r>
      <w:r>
        <w:rPr>
          <w:rFonts w:hint="eastAsia" w:ascii="宋体" w:hAnsi="宋体" w:eastAsia="宋体" w:cs="宋体"/>
          <w:snapToGrid/>
          <w:color w:val="auto"/>
          <w:kern w:val="2"/>
          <w:highlight w:val="none"/>
          <w:u w:val="single"/>
        </w:rPr>
        <w:t xml:space="preserve">    /   </w:t>
      </w:r>
      <w:r>
        <w:rPr>
          <w:rFonts w:hint="eastAsia" w:ascii="宋体" w:hAnsi="宋体" w:eastAsia="宋体" w:cs="宋体"/>
          <w:snapToGrid/>
          <w:color w:val="auto"/>
          <w:kern w:val="2"/>
          <w:highlight w:val="none"/>
        </w:rPr>
        <w:t>条件。</w:t>
      </w:r>
    </w:p>
    <w:p w14:paraId="689A0E1F">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注：1.请各投标人在缴纳投标保证金前自行核对统一主体库内填写的基本账户信息，避免出现保证金缴纳后无法匹配的现象。</w:t>
      </w:r>
    </w:p>
    <w:p w14:paraId="32C5B7CD">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2.重新招标项目，参与投标的投标人仍需按上述规定要求重新递交投标保证金。如联合体投标的，其投标保证金由牵头人递交。</w:t>
      </w:r>
    </w:p>
    <w:p w14:paraId="293F49AB">
      <w:pPr>
        <w:spacing w:line="312" w:lineRule="auto"/>
        <w:ind w:left="501"/>
        <w:jc w:val="both"/>
        <w:rPr>
          <w:rFonts w:hint="eastAsia" w:ascii="宋体" w:hAnsi="宋体" w:eastAsia="宋体" w:cs="宋体"/>
          <w:color w:val="auto"/>
          <w:highlight w:val="none"/>
        </w:rPr>
      </w:pPr>
      <w:r>
        <w:rPr>
          <w:rFonts w:hint="eastAsia" w:ascii="宋体" w:hAnsi="宋体" w:eastAsia="宋体" w:cs="宋体"/>
          <w:color w:val="auto"/>
          <w:highlight w:val="none"/>
        </w:rPr>
        <w:t>五、投标文件递交</w:t>
      </w:r>
    </w:p>
    <w:p w14:paraId="60B22F55">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1.投标文件递交截止时间</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 xml:space="preserve"> 202</w:t>
      </w:r>
      <w:r>
        <w:rPr>
          <w:rFonts w:hint="eastAsia" w:ascii="宋体" w:hAnsi="宋体" w:eastAsia="宋体" w:cs="宋体"/>
          <w:b/>
          <w:bCs/>
          <w:color w:val="auto"/>
          <w:highlight w:val="none"/>
          <w:u w:val="single"/>
          <w:lang w:val="en-US" w:eastAsia="zh-CN"/>
        </w:rPr>
        <w:t>6</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分；</w:t>
      </w:r>
    </w:p>
    <w:p w14:paraId="776998DC">
      <w:pPr>
        <w:pStyle w:val="3"/>
        <w:snapToGrid w:val="0"/>
        <w:spacing w:after="0" w:line="312" w:lineRule="auto"/>
        <w:ind w:left="0" w:firstLine="424" w:firstLineChars="202"/>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2.投标文件递交方式：</w:t>
      </w:r>
    </w:p>
    <w:p w14:paraId="1CED0EB0">
      <w:pPr>
        <w:pStyle w:val="3"/>
        <w:snapToGrid w:val="0"/>
        <w:spacing w:after="0" w:line="312" w:lineRule="auto"/>
        <w:ind w:left="0" w:firstLine="424" w:firstLineChars="202"/>
        <w:rPr>
          <w:rFonts w:hint="eastAsia" w:ascii="宋体" w:hAnsi="宋体" w:cs="宋体"/>
          <w:color w:val="auto"/>
          <w:sz w:val="21"/>
          <w:szCs w:val="21"/>
          <w:highlight w:val="none"/>
        </w:rPr>
      </w:pPr>
      <w:r>
        <w:rPr>
          <w:rFonts w:hint="eastAsia" w:ascii="宋体" w:hAnsi="宋体" w:cs="宋体"/>
          <w:color w:val="auto"/>
          <w:sz w:val="21"/>
          <w:szCs w:val="21"/>
          <w:highlight w:val="none"/>
        </w:rPr>
        <w:t>☑2.1电子招标投标交易平台：</w:t>
      </w:r>
      <w:r>
        <w:rPr>
          <w:rFonts w:hint="eastAsia" w:ascii="宋体" w:hAnsi="宋体" w:cs="宋体"/>
          <w:color w:val="auto"/>
          <w:sz w:val="21"/>
          <w:szCs w:val="21"/>
          <w:highlight w:val="none"/>
          <w:u w:val="single"/>
        </w:rPr>
        <w:t xml:space="preserve">  </w:t>
      </w:r>
      <w:r>
        <w:rPr>
          <w:rFonts w:hint="eastAsia" w:ascii="宋体" w:hAnsi="宋体" w:cs="宋体"/>
          <w:b/>
          <w:bCs/>
          <w:color w:val="auto"/>
          <w:sz w:val="21"/>
          <w:szCs w:val="21"/>
          <w:highlight w:val="none"/>
          <w:u w:val="single"/>
        </w:rPr>
        <w:t>绍兴市公共资源交易中心电子招投标交易平台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0F72F2A0">
      <w:pPr>
        <w:pStyle w:val="3"/>
        <w:snapToGrid w:val="0"/>
        <w:spacing w:after="0" w:line="312" w:lineRule="auto"/>
        <w:ind w:left="0" w:firstLine="424" w:firstLineChars="202"/>
        <w:rPr>
          <w:rFonts w:hint="eastAsia" w:ascii="宋体" w:hAnsi="宋体" w:cs="宋体"/>
          <w:color w:val="auto"/>
          <w:sz w:val="21"/>
          <w:szCs w:val="21"/>
          <w:highlight w:val="none"/>
        </w:rPr>
      </w:pPr>
      <w:r>
        <w:rPr>
          <w:rFonts w:hint="eastAsia" w:ascii="宋体" w:hAnsi="宋体" w:cs="宋体"/>
          <w:color w:val="auto"/>
          <w:sz w:val="21"/>
          <w:szCs w:val="21"/>
          <w:highlight w:val="none"/>
        </w:rPr>
        <w:t>□2.2纸质标书递交，地点为：绍兴市公共资源交易中心二楼指定的开标室（</w:t>
      </w:r>
      <w:r>
        <w:rPr>
          <w:rFonts w:hint="eastAsia" w:ascii="宋体" w:hAnsi="宋体" w:cs="宋体"/>
          <w:b/>
          <w:bCs/>
          <w:color w:val="auto"/>
          <w:sz w:val="21"/>
          <w:szCs w:val="21"/>
          <w:highlight w:val="none"/>
        </w:rPr>
        <w:t>绍兴市越城区洋江西路 699 号梅山春晓 2 楼</w:t>
      </w:r>
      <w:r>
        <w:rPr>
          <w:rFonts w:hint="eastAsia" w:ascii="宋体" w:hAnsi="宋体" w:cs="宋体"/>
          <w:color w:val="auto"/>
          <w:sz w:val="21"/>
          <w:szCs w:val="21"/>
          <w:highlight w:val="none"/>
        </w:rPr>
        <w:t>）。</w:t>
      </w:r>
    </w:p>
    <w:p w14:paraId="13F0FE25">
      <w:pPr>
        <w:spacing w:line="312" w:lineRule="auto"/>
        <w:ind w:firstLine="485"/>
        <w:jc w:val="both"/>
        <w:rPr>
          <w:rFonts w:hint="eastAsia" w:ascii="宋体" w:hAnsi="宋体" w:eastAsia="宋体" w:cs="宋体"/>
          <w:color w:val="auto"/>
          <w:highlight w:val="none"/>
        </w:rPr>
      </w:pPr>
      <w:r>
        <w:rPr>
          <w:rFonts w:hint="eastAsia" w:ascii="宋体" w:hAnsi="宋体" w:eastAsia="宋体" w:cs="宋体"/>
          <w:color w:val="auto"/>
          <w:highlight w:val="none"/>
        </w:rPr>
        <w:t>3.□招标文件要求递交的</w:t>
      </w:r>
      <w:r>
        <w:rPr>
          <w:rFonts w:hint="eastAsia" w:ascii="宋体" w:hAnsi="宋体" w:eastAsia="宋体" w:cs="宋体"/>
          <w:b/>
          <w:bCs/>
          <w:color w:val="auto"/>
          <w:highlight w:val="none"/>
          <w:u w:val="single"/>
        </w:rPr>
        <w:t>U盘</w:t>
      </w:r>
      <w:r>
        <w:rPr>
          <w:rFonts w:hint="eastAsia" w:ascii="宋体" w:hAnsi="宋体" w:eastAsia="宋体" w:cs="宋体"/>
          <w:color w:val="auto"/>
          <w:highlight w:val="none"/>
        </w:rPr>
        <w:t>、光盘、样品等材料，投标人应在投标截止时间前递交至</w:t>
      </w:r>
      <w:r>
        <w:rPr>
          <w:rFonts w:hint="eastAsia" w:ascii="宋体" w:hAnsi="宋体" w:eastAsia="宋体" w:cs="宋体"/>
          <w:b/>
          <w:bCs/>
          <w:color w:val="auto"/>
          <w:highlight w:val="none"/>
          <w:u w:val="single"/>
        </w:rPr>
        <w:t>绍兴市公共资源交易中心二楼指定的开标室（绍兴市越城区洋江西路 699 号梅山春晓 2 楼）</w:t>
      </w:r>
      <w:r>
        <w:rPr>
          <w:rFonts w:hint="eastAsia" w:ascii="宋体" w:hAnsi="宋体" w:eastAsia="宋体" w:cs="宋体"/>
          <w:color w:val="auto"/>
          <w:highlight w:val="none"/>
        </w:rPr>
        <w:t>。递交</w:t>
      </w:r>
      <w:r>
        <w:rPr>
          <w:rFonts w:hint="eastAsia" w:ascii="宋体" w:hAnsi="宋体" w:eastAsia="宋体" w:cs="宋体"/>
          <w:b/>
          <w:bCs/>
          <w:color w:val="auto"/>
          <w:highlight w:val="none"/>
          <w:u w:val="single"/>
        </w:rPr>
        <w:t>U盘、</w:t>
      </w:r>
      <w:r>
        <w:rPr>
          <w:rFonts w:hint="eastAsia" w:ascii="宋体" w:hAnsi="宋体" w:eastAsia="宋体" w:cs="宋体"/>
          <w:color w:val="auto"/>
          <w:highlight w:val="none"/>
        </w:rPr>
        <w:t>光盘、样品等材料时应同时携带递交人法定代表人授权委托书及身份证原件(法定代表人递交的仅需提供身份证原件)。</w:t>
      </w:r>
    </w:p>
    <w:p w14:paraId="4B7857BE">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六、发布公告的媒介</w:t>
      </w:r>
    </w:p>
    <w:p w14:paraId="32670147">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本次招标公告同时在</w:t>
      </w:r>
      <w:r>
        <w:rPr>
          <w:rFonts w:hint="eastAsia" w:ascii="宋体" w:hAnsi="宋体" w:eastAsia="宋体" w:cs="宋体"/>
          <w:color w:val="auto"/>
          <w:highlight w:val="none"/>
          <w:u w:val="single"/>
        </w:rPr>
        <w:t xml:space="preserve"> 绍兴市公共资源交易网</w:t>
      </w:r>
      <w:r>
        <w:rPr>
          <w:rFonts w:hint="eastAsia" w:ascii="宋体" w:hAnsi="宋体" w:eastAsia="宋体" w:cs="宋体"/>
          <w:color w:val="auto"/>
          <w:highlight w:val="none"/>
          <w:u w:val="none"/>
        </w:rPr>
        <w:t>和</w:t>
      </w:r>
      <w:r>
        <w:rPr>
          <w:rFonts w:hint="eastAsia" w:ascii="宋体" w:hAnsi="宋体" w:eastAsia="宋体" w:cs="宋体"/>
          <w:color w:val="auto"/>
          <w:highlight w:val="none"/>
          <w:u w:val="single"/>
        </w:rPr>
        <w:t>浙江省公共资源交易服务平台</w:t>
      </w:r>
      <w:r>
        <w:rPr>
          <w:rFonts w:hint="eastAsia" w:ascii="宋体" w:hAnsi="宋体" w:eastAsia="宋体" w:cs="宋体"/>
          <w:color w:val="auto"/>
          <w:highlight w:val="none"/>
        </w:rPr>
        <w:t>上发布。</w:t>
      </w:r>
    </w:p>
    <w:p w14:paraId="09F6926B">
      <w:pPr>
        <w:spacing w:line="312" w:lineRule="auto"/>
        <w:ind w:firstLine="420" w:firstLineChars="20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七、监管机构：</w:t>
      </w:r>
      <w:r>
        <w:rPr>
          <w:rFonts w:hint="eastAsia" w:ascii="宋体" w:hAnsi="宋体" w:eastAsia="宋体" w:cs="宋体"/>
          <w:b/>
          <w:bCs/>
          <w:color w:val="auto"/>
          <w:highlight w:val="none"/>
          <w:lang w:eastAsia="zh-CN"/>
        </w:rPr>
        <w:t>绍兴市住房和城乡建设局</w:t>
      </w:r>
    </w:p>
    <w:p w14:paraId="6DBD6D01">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八、联系方式</w:t>
      </w:r>
    </w:p>
    <w:p w14:paraId="7E31D198">
      <w:pPr>
        <w:spacing w:before="75" w:line="353" w:lineRule="auto"/>
        <w:ind w:left="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r>
        <w:rPr>
          <w:rFonts w:hint="eastAsia" w:ascii="宋体" w:hAnsi="宋体" w:eastAsia="宋体" w:cs="宋体"/>
          <w:color w:val="auto"/>
          <w:sz w:val="21"/>
          <w:szCs w:val="21"/>
          <w:highlight w:val="none"/>
          <w:u w:val="single"/>
          <w:lang w:eastAsia="zh-CN"/>
        </w:rPr>
        <w:t>绍兴</w:t>
      </w:r>
      <w:r>
        <w:rPr>
          <w:rFonts w:hint="eastAsia" w:ascii="宋体" w:hAnsi="宋体" w:eastAsia="宋体" w:cs="宋体"/>
          <w:color w:val="auto"/>
          <w:sz w:val="21"/>
          <w:szCs w:val="21"/>
          <w:highlight w:val="none"/>
          <w:u w:val="single"/>
          <w:lang w:val="en-US" w:eastAsia="zh-CN"/>
        </w:rPr>
        <w:t>大学</w:t>
      </w:r>
      <w:r>
        <w:rPr>
          <w:rFonts w:hint="eastAsia" w:ascii="宋体" w:hAnsi="宋体" w:eastAsia="宋体" w:cs="宋体"/>
          <w:color w:val="auto"/>
          <w:sz w:val="21"/>
          <w:szCs w:val="21"/>
          <w:highlight w:val="none"/>
          <w:u w:val="single"/>
          <w:lang w:eastAsia="zh-CN"/>
        </w:rPr>
        <w:t>附属医院</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招标代理机构：</w:t>
      </w:r>
      <w:bookmarkStart w:id="3" w:name="OLE_LINK16"/>
      <w:r>
        <w:rPr>
          <w:rFonts w:hint="eastAsia" w:ascii="宋体" w:hAnsi="宋体" w:eastAsia="宋体" w:cs="宋体"/>
          <w:color w:val="auto"/>
          <w:sz w:val="21"/>
          <w:szCs w:val="21"/>
          <w:highlight w:val="none"/>
          <w:u w:val="single"/>
        </w:rPr>
        <w:t>浙江益诚工程咨询有限公司</w:t>
      </w:r>
      <w:bookmarkEnd w:id="3"/>
      <w:r>
        <w:rPr>
          <w:rFonts w:hint="eastAsia" w:ascii="宋体" w:hAnsi="宋体" w:eastAsia="宋体" w:cs="宋体"/>
          <w:color w:val="auto"/>
          <w:sz w:val="21"/>
          <w:szCs w:val="21"/>
          <w:highlight w:val="none"/>
          <w:u w:val="single"/>
        </w:rPr>
        <w:t xml:space="preserve"> </w:t>
      </w:r>
    </w:p>
    <w:p w14:paraId="2D031B23">
      <w:pPr>
        <w:spacing w:line="230" w:lineRule="auto"/>
        <w:ind w:left="484"/>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联系</w:t>
      </w:r>
      <w:r>
        <w:rPr>
          <w:rFonts w:hint="eastAsia" w:ascii="宋体" w:hAnsi="宋体" w:eastAsia="宋体" w:cs="宋体"/>
          <w:b w:val="0"/>
          <w:bCs w:val="0"/>
          <w:color w:val="auto"/>
          <w:sz w:val="21"/>
          <w:szCs w:val="21"/>
          <w:highlight w:val="none"/>
        </w:rPr>
        <w:t>人：</w:t>
      </w:r>
      <w:r>
        <w:rPr>
          <w:rFonts w:hint="eastAsia" w:ascii="宋体" w:hAnsi="宋体" w:eastAsia="宋体" w:cs="宋体"/>
          <w:b w:val="0"/>
          <w:bCs w:val="0"/>
          <w:color w:val="auto"/>
          <w:sz w:val="21"/>
          <w:szCs w:val="21"/>
          <w:highlight w:val="none"/>
          <w:u w:val="single"/>
          <w:lang w:eastAsia="zh-CN"/>
        </w:rPr>
        <w:t xml:space="preserve">  </w:t>
      </w:r>
      <w:r>
        <w:rPr>
          <w:rFonts w:hint="eastAsia" w:ascii="宋体" w:hAnsi="宋体" w:eastAsia="宋体" w:cs="宋体"/>
          <w:b w:val="0"/>
          <w:bCs w:val="0"/>
          <w:color w:val="auto"/>
          <w:sz w:val="21"/>
          <w:szCs w:val="21"/>
          <w:highlight w:val="none"/>
          <w:u w:val="single"/>
          <w:lang w:val="en-US" w:eastAsia="zh-CN"/>
        </w:rPr>
        <w:t>章工</w:t>
      </w:r>
      <w:r>
        <w:rPr>
          <w:rFonts w:hint="eastAsia" w:ascii="宋体" w:hAnsi="宋体" w:eastAsia="宋体" w:cs="宋体"/>
          <w:b w:val="0"/>
          <w:bCs w:val="0"/>
          <w:color w:val="auto"/>
          <w:sz w:val="21"/>
          <w:szCs w:val="21"/>
          <w:highlight w:val="none"/>
          <w:u w:val="single"/>
          <w:lang w:eastAsia="zh-CN"/>
        </w:rPr>
        <w:t xml:space="preserve"> </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none"/>
        </w:rPr>
        <w:t xml:space="preserve">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联系人：</w:t>
      </w:r>
      <w:r>
        <w:rPr>
          <w:rFonts w:hint="eastAsia" w:ascii="宋体" w:hAnsi="宋体" w:eastAsia="宋体" w:cs="宋体"/>
          <w:b w:val="0"/>
          <w:bCs w:val="0"/>
          <w:color w:val="auto"/>
          <w:sz w:val="21"/>
          <w:szCs w:val="21"/>
          <w:highlight w:val="none"/>
          <w:u w:val="single"/>
          <w:lang w:val="en-US" w:eastAsia="zh-CN"/>
        </w:rPr>
        <w:t>秦金霞</w:t>
      </w:r>
      <w:r>
        <w:rPr>
          <w:rFonts w:hint="eastAsia" w:ascii="宋体" w:hAnsi="宋体" w:eastAsia="宋体" w:cs="宋体"/>
          <w:b w:val="0"/>
          <w:bCs w:val="0"/>
          <w:color w:val="auto"/>
          <w:sz w:val="21"/>
          <w:szCs w:val="21"/>
          <w:highlight w:val="none"/>
          <w:u w:val="single"/>
        </w:rPr>
        <w:t>/陈飞</w:t>
      </w:r>
    </w:p>
    <w:p w14:paraId="7DD92860">
      <w:pPr>
        <w:spacing w:before="155" w:line="230" w:lineRule="auto"/>
        <w:ind w:left="5103" w:leftChars="230" w:hanging="4620" w:hangingChars="2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联系电话：</w:t>
      </w:r>
      <w:r>
        <w:rPr>
          <w:rFonts w:hint="eastAsia" w:ascii="宋体" w:hAnsi="宋体" w:eastAsia="宋体" w:cs="宋体"/>
          <w:b w:val="0"/>
          <w:bCs w:val="0"/>
          <w:color w:val="auto"/>
          <w:sz w:val="21"/>
          <w:szCs w:val="21"/>
          <w:highlight w:val="none"/>
          <w:u w:val="single"/>
          <w:lang w:eastAsia="zh-CN"/>
        </w:rPr>
        <w:t xml:space="preserve"> </w:t>
      </w:r>
      <w:r>
        <w:rPr>
          <w:rFonts w:hint="eastAsia" w:ascii="宋体" w:hAnsi="宋体" w:eastAsia="宋体" w:cs="宋体"/>
          <w:b w:val="0"/>
          <w:bCs w:val="0"/>
          <w:color w:val="auto"/>
          <w:sz w:val="21"/>
          <w:szCs w:val="21"/>
          <w:highlight w:val="none"/>
          <w:u w:val="single"/>
        </w:rPr>
        <w:t>0575-85223817</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联系电话：</w:t>
      </w:r>
      <w:r>
        <w:rPr>
          <w:rFonts w:hint="eastAsia" w:ascii="宋体" w:hAnsi="宋体" w:eastAsia="宋体" w:cs="宋体"/>
          <w:b w:val="0"/>
          <w:bCs w:val="0"/>
          <w:color w:val="auto"/>
          <w:sz w:val="21"/>
          <w:szCs w:val="21"/>
          <w:highlight w:val="none"/>
          <w:u w:val="single"/>
        </w:rPr>
        <w:t>17815918197/0575-88246997</w:t>
      </w:r>
    </w:p>
    <w:p w14:paraId="478363A2">
      <w:pPr>
        <w:spacing w:before="153" w:line="237" w:lineRule="auto"/>
        <w:ind w:left="5521" w:leftChars="229" w:hanging="5040" w:hangingChars="24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地址：</w:t>
      </w:r>
      <w:r>
        <w:rPr>
          <w:rFonts w:hint="eastAsia" w:ascii="宋体" w:hAnsi="宋体" w:eastAsia="宋体" w:cs="宋体"/>
          <w:b w:val="0"/>
          <w:bCs w:val="0"/>
          <w:color w:val="auto"/>
          <w:sz w:val="21"/>
          <w:szCs w:val="21"/>
          <w:highlight w:val="none"/>
          <w:u w:val="single"/>
        </w:rPr>
        <w:t>绍兴市越城区中兴南路999号</w:t>
      </w:r>
      <w:r>
        <w:rPr>
          <w:rFonts w:hint="eastAsia" w:ascii="宋体" w:hAnsi="宋体" w:eastAsia="宋体" w:cs="宋体"/>
          <w:b w:val="0"/>
          <w:bCs w:val="0"/>
          <w:color w:val="auto"/>
          <w:sz w:val="21"/>
          <w:szCs w:val="21"/>
          <w:highlight w:val="none"/>
          <w:u w:val="none"/>
        </w:rPr>
        <w:t xml:space="preserve"> </w:t>
      </w: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sz w:val="21"/>
          <w:szCs w:val="21"/>
          <w:highlight w:val="none"/>
        </w:rPr>
        <w:t>地址：</w:t>
      </w:r>
      <w:r>
        <w:rPr>
          <w:rFonts w:hint="eastAsia" w:ascii="宋体" w:hAnsi="宋体" w:eastAsia="宋体" w:cs="宋体"/>
          <w:b w:val="0"/>
          <w:bCs w:val="0"/>
          <w:strike w:val="0"/>
          <w:dstrike w:val="0"/>
          <w:color w:val="auto"/>
          <w:spacing w:val="-11"/>
          <w:sz w:val="21"/>
          <w:szCs w:val="21"/>
          <w:highlight w:val="none"/>
          <w:u w:val="none"/>
        </w:rPr>
        <w:t>绍兴市越城区朝皇路正大综合楼5楼</w:t>
      </w:r>
    </w:p>
    <w:p w14:paraId="09A31962">
      <w:pPr>
        <w:spacing w:line="312" w:lineRule="auto"/>
        <w:ind w:left="483"/>
        <w:jc w:val="both"/>
        <w:rPr>
          <w:rFonts w:hint="eastAsia" w:ascii="宋体" w:hAnsi="宋体" w:eastAsia="宋体" w:cs="宋体"/>
          <w:color w:val="auto"/>
          <w:highlight w:val="none"/>
        </w:rPr>
      </w:pPr>
    </w:p>
    <w:p w14:paraId="4FED9A75">
      <w:pPr>
        <w:spacing w:line="312" w:lineRule="auto"/>
        <w:ind w:left="483"/>
        <w:jc w:val="both"/>
        <w:rPr>
          <w:rFonts w:hint="eastAsia" w:ascii="宋体" w:hAnsi="宋体" w:eastAsia="宋体" w:cs="宋体"/>
          <w:color w:val="auto"/>
          <w:highlight w:val="none"/>
        </w:rPr>
      </w:pPr>
    </w:p>
    <w:p w14:paraId="5BA5AFD2">
      <w:pPr>
        <w:tabs>
          <w:tab w:val="left" w:pos="6089"/>
        </w:tabs>
        <w:spacing w:line="312" w:lineRule="auto"/>
        <w:ind w:left="5597"/>
        <w:jc w:val="both"/>
        <w:rPr>
          <w:rFonts w:hint="eastAsia" w:ascii="宋体" w:hAnsi="宋体" w:eastAsia="宋体" w:cs="宋体"/>
          <w:color w:val="auto"/>
          <w:highlight w:val="none"/>
        </w:rPr>
      </w:pPr>
      <w:r>
        <w:rPr>
          <w:rFonts w:hint="eastAsia" w:ascii="宋体" w:hAnsi="宋体" w:eastAsia="宋体" w:cs="宋体"/>
          <w:color w:val="auto"/>
          <w:highlight w:val="none"/>
          <w:u w:val="single"/>
        </w:rPr>
        <w:t>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05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14E85AA">
      <w:pPr>
        <w:spacing w:line="312" w:lineRule="auto"/>
        <w:jc w:val="both"/>
        <w:rPr>
          <w:rFonts w:hint="eastAsia" w:ascii="宋体" w:hAnsi="宋体" w:eastAsia="宋体" w:cs="宋体"/>
          <w:color w:val="auto"/>
          <w:highlight w:val="none"/>
        </w:rPr>
      </w:pPr>
    </w:p>
    <w:p w14:paraId="72E05930">
      <w:pPr>
        <w:spacing w:line="265" w:lineRule="auto"/>
        <w:jc w:val="both"/>
        <w:rPr>
          <w:rFonts w:hint="eastAsia" w:ascii="宋体" w:hAnsi="宋体" w:eastAsia="宋体" w:cs="宋体"/>
          <w:color w:val="auto"/>
          <w:sz w:val="24"/>
          <w:szCs w:val="24"/>
          <w:highlight w:val="none"/>
        </w:rPr>
      </w:pPr>
    </w:p>
    <w:p w14:paraId="61B7739C">
      <w:pPr>
        <w:jc w:val="both"/>
        <w:rPr>
          <w:rFonts w:hint="eastAsia" w:ascii="宋体" w:hAnsi="宋体" w:eastAsia="宋体" w:cs="宋体"/>
          <w:color w:val="auto"/>
          <w:sz w:val="24"/>
          <w:szCs w:val="24"/>
          <w:highlight w:val="none"/>
        </w:rPr>
        <w:sectPr>
          <w:footerReference r:id="rId6" w:type="default"/>
          <w:pgSz w:w="11906" w:h="16839"/>
          <w:pgMar w:top="1418" w:right="1559" w:bottom="1418" w:left="1474" w:header="0" w:footer="1032" w:gutter="0"/>
          <w:pgNumType w:start="1"/>
          <w:cols w:space="720" w:num="1"/>
        </w:sectPr>
      </w:pPr>
    </w:p>
    <w:p w14:paraId="1070D51D">
      <w:pPr>
        <w:spacing w:before="318" w:line="225" w:lineRule="auto"/>
        <w:ind w:left="3604"/>
        <w:jc w:val="both"/>
        <w:outlineLvl w:val="0"/>
        <w:rPr>
          <w:rFonts w:hint="eastAsia" w:ascii="宋体" w:hAnsi="宋体" w:eastAsia="宋体" w:cs="宋体"/>
          <w:color w:val="auto"/>
          <w:sz w:val="31"/>
          <w:szCs w:val="31"/>
          <w:highlight w:val="none"/>
        </w:rPr>
      </w:pPr>
      <w:bookmarkStart w:id="4" w:name="_bookmark2"/>
      <w:bookmarkEnd w:id="4"/>
      <w:r>
        <w:rPr>
          <w:rFonts w:hint="eastAsia" w:ascii="宋体" w:hAnsi="宋体" w:eastAsia="宋体" w:cs="宋体"/>
          <w:color w:val="auto"/>
          <w:sz w:val="31"/>
          <w:szCs w:val="31"/>
          <w:highlight w:val="none"/>
        </w:rPr>
        <w:t>第二章投标人须知</w:t>
      </w:r>
    </w:p>
    <w:p w14:paraId="5E993848">
      <w:pPr>
        <w:spacing w:before="236" w:line="220" w:lineRule="auto"/>
        <w:ind w:left="3329"/>
        <w:jc w:val="both"/>
        <w:outlineLvl w:val="1"/>
        <w:rPr>
          <w:rFonts w:hint="eastAsia" w:ascii="宋体" w:hAnsi="宋体" w:eastAsia="宋体" w:cs="宋体"/>
          <w:color w:val="auto"/>
          <w:sz w:val="28"/>
          <w:szCs w:val="28"/>
          <w:highlight w:val="none"/>
        </w:rPr>
      </w:pPr>
      <w:bookmarkStart w:id="5" w:name="_bookmark3"/>
      <w:bookmarkEnd w:id="5"/>
      <w:r>
        <w:rPr>
          <w:rFonts w:hint="eastAsia" w:ascii="宋体" w:hAnsi="宋体" w:eastAsia="宋体" w:cs="宋体"/>
          <w:color w:val="auto"/>
          <w:sz w:val="28"/>
          <w:szCs w:val="28"/>
          <w:highlight w:val="none"/>
        </w:rPr>
        <w:t>第一节投标人须知前附表</w:t>
      </w:r>
    </w:p>
    <w:p w14:paraId="5FE77312">
      <w:pPr>
        <w:spacing w:line="170" w:lineRule="exact"/>
        <w:jc w:val="both"/>
        <w:rPr>
          <w:rFonts w:hint="eastAsia" w:ascii="宋体" w:hAnsi="宋体" w:eastAsia="宋体" w:cs="宋体"/>
          <w:color w:val="auto"/>
          <w:highlight w:val="none"/>
        </w:rPr>
      </w:pPr>
    </w:p>
    <w:tbl>
      <w:tblPr>
        <w:tblStyle w:val="48"/>
        <w:tblW w:w="91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21"/>
        <w:gridCol w:w="2050"/>
        <w:gridCol w:w="5596"/>
      </w:tblGrid>
      <w:tr w14:paraId="5D37A5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72B94D4">
            <w:pPr>
              <w:kinsoku/>
              <w:overflowPunct w:val="0"/>
              <w:topLinePunct/>
              <w:spacing w:line="336"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条款号</w:t>
            </w:r>
          </w:p>
        </w:tc>
        <w:tc>
          <w:tcPr>
            <w:tcW w:w="2050" w:type="dxa"/>
            <w:vAlign w:val="center"/>
          </w:tcPr>
          <w:p w14:paraId="191D6CA3">
            <w:pPr>
              <w:tabs>
                <w:tab w:val="left" w:pos="1480"/>
              </w:tabs>
              <w:kinsoku/>
              <w:overflowPunct w:val="0"/>
              <w:topLinePunct/>
              <w:spacing w:line="336"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条款名称</w:t>
            </w:r>
          </w:p>
        </w:tc>
        <w:tc>
          <w:tcPr>
            <w:tcW w:w="5596" w:type="dxa"/>
            <w:vAlign w:val="center"/>
          </w:tcPr>
          <w:p w14:paraId="547653C7">
            <w:pPr>
              <w:tabs>
                <w:tab w:val="left" w:pos="5680"/>
              </w:tabs>
              <w:kinsoku/>
              <w:overflowPunct w:val="0"/>
              <w:topLinePunct/>
              <w:spacing w:line="336"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编列内容</w:t>
            </w:r>
          </w:p>
        </w:tc>
      </w:tr>
      <w:tr w14:paraId="58C3D8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20F04C5">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050" w:type="dxa"/>
            <w:vAlign w:val="center"/>
          </w:tcPr>
          <w:p w14:paraId="0D903D1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w:t>
            </w:r>
          </w:p>
        </w:tc>
        <w:tc>
          <w:tcPr>
            <w:tcW w:w="5596" w:type="dxa"/>
            <w:vAlign w:val="center"/>
          </w:tcPr>
          <w:p w14:paraId="1C7295F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名称：</w:t>
            </w:r>
            <w:r>
              <w:rPr>
                <w:rFonts w:hint="eastAsia" w:ascii="宋体" w:hAnsi="宋体" w:eastAsia="宋体" w:cs="宋体"/>
                <w:color w:val="auto"/>
                <w:highlight w:val="none"/>
                <w:lang w:eastAsia="zh-CN"/>
              </w:rPr>
              <w:t>绍兴大学附属医院</w:t>
            </w:r>
          </w:p>
          <w:p w14:paraId="2FB7B7D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地址：绍兴市越城区中兴南路999号</w:t>
            </w:r>
          </w:p>
          <w:p w14:paraId="64898E12">
            <w:pPr>
              <w:tabs>
                <w:tab w:val="left" w:pos="5680"/>
              </w:tabs>
              <w:kinsoku/>
              <w:overflowPunct w:val="0"/>
              <w:topLinePunct/>
              <w:spacing w:line="336" w:lineRule="auto"/>
              <w:ind w:left="105" w:leftChars="50" w:right="105" w:rightChars="5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章工</w:t>
            </w:r>
          </w:p>
          <w:p w14:paraId="7B416AF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联系电话：0575-85223817</w:t>
            </w:r>
          </w:p>
          <w:p w14:paraId="751E175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电子邮箱：/</w:t>
            </w:r>
          </w:p>
        </w:tc>
      </w:tr>
      <w:tr w14:paraId="2ED9A2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CCC01D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1.1.3</w:t>
            </w:r>
          </w:p>
        </w:tc>
        <w:tc>
          <w:tcPr>
            <w:tcW w:w="2050" w:type="dxa"/>
            <w:vAlign w:val="center"/>
          </w:tcPr>
          <w:p w14:paraId="047F232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招标代理机构</w:t>
            </w:r>
          </w:p>
        </w:tc>
        <w:tc>
          <w:tcPr>
            <w:tcW w:w="5596" w:type="dxa"/>
            <w:vAlign w:val="center"/>
          </w:tcPr>
          <w:p w14:paraId="03061C9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名称：</w:t>
            </w:r>
            <w:r>
              <w:rPr>
                <w:rFonts w:hint="eastAsia" w:ascii="宋体" w:hAnsi="宋体" w:eastAsia="宋体" w:cs="宋体"/>
                <w:color w:val="auto"/>
                <w:highlight w:val="none"/>
                <w:lang w:eastAsia="zh-CN"/>
              </w:rPr>
              <w:t>浙江益诚工程咨询有限公司</w:t>
            </w:r>
          </w:p>
          <w:p w14:paraId="62246FB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地址：</w:t>
            </w:r>
            <w:r>
              <w:rPr>
                <w:rFonts w:hint="eastAsia" w:ascii="宋体" w:hAnsi="宋体" w:eastAsia="宋体" w:cs="宋体"/>
                <w:color w:val="auto"/>
                <w:highlight w:val="none"/>
                <w:lang w:eastAsia="zh-CN"/>
              </w:rPr>
              <w:t>绍兴市越城区朝皇路正大综合楼5楼</w:t>
            </w:r>
          </w:p>
          <w:p w14:paraId="1107377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秦金霞</w:t>
            </w:r>
            <w:r>
              <w:rPr>
                <w:rFonts w:hint="eastAsia" w:ascii="宋体" w:hAnsi="宋体" w:eastAsia="宋体" w:cs="宋体"/>
                <w:color w:val="auto"/>
                <w:highlight w:val="none"/>
              </w:rPr>
              <w:t>/陈飞</w:t>
            </w:r>
          </w:p>
          <w:p w14:paraId="21D65C6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联系电话：17815918197/0575-88246997</w:t>
            </w:r>
          </w:p>
          <w:p w14:paraId="118DACA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电子邮箱：</w:t>
            </w:r>
            <w:r>
              <w:rPr>
                <w:rFonts w:hint="eastAsia" w:ascii="宋体" w:hAnsi="宋体" w:eastAsia="宋体" w:cs="宋体"/>
                <w:color w:val="auto"/>
                <w:highlight w:val="none"/>
                <w:lang w:eastAsia="zh-CN"/>
              </w:rPr>
              <w:t>1316929110@qq.com</w:t>
            </w:r>
          </w:p>
        </w:tc>
      </w:tr>
      <w:tr w14:paraId="789291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4C986CE">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1.1.4</w:t>
            </w:r>
          </w:p>
        </w:tc>
        <w:tc>
          <w:tcPr>
            <w:tcW w:w="2050" w:type="dxa"/>
            <w:vAlign w:val="center"/>
          </w:tcPr>
          <w:p w14:paraId="40793B5F">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5596" w:type="dxa"/>
            <w:vAlign w:val="center"/>
          </w:tcPr>
          <w:p w14:paraId="117C0404">
            <w:pPr>
              <w:tabs>
                <w:tab w:val="left" w:pos="1480"/>
              </w:tabs>
              <w:kinsoku/>
              <w:overflowPunct w:val="0"/>
              <w:topLinePunct/>
              <w:spacing w:line="336" w:lineRule="auto"/>
              <w:ind w:left="105" w:leftChars="50" w:right="105" w:rightChars="50"/>
              <w:jc w:val="left"/>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绍兴文理学院附属医院(绍兴市立医院)二期A地块建设工程物流传输系统项目</w:t>
            </w:r>
          </w:p>
        </w:tc>
      </w:tr>
      <w:tr w14:paraId="5CC42D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2CECB3A">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1.1.5</w:t>
            </w:r>
          </w:p>
        </w:tc>
        <w:tc>
          <w:tcPr>
            <w:tcW w:w="2050" w:type="dxa"/>
            <w:vAlign w:val="center"/>
          </w:tcPr>
          <w:p w14:paraId="5F711EA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建设地点</w:t>
            </w:r>
          </w:p>
        </w:tc>
        <w:tc>
          <w:tcPr>
            <w:tcW w:w="5596" w:type="dxa"/>
            <w:vAlign w:val="center"/>
          </w:tcPr>
          <w:p w14:paraId="0826C3C1">
            <w:pPr>
              <w:tabs>
                <w:tab w:val="left" w:pos="1480"/>
              </w:tabs>
              <w:kinsoku/>
              <w:overflowPunct w:val="0"/>
              <w:topLinePunct/>
              <w:spacing w:line="336"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浙江省绍兴市</w:t>
            </w:r>
          </w:p>
        </w:tc>
      </w:tr>
      <w:tr w14:paraId="6FE4E9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055872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1.2.1</w:t>
            </w:r>
          </w:p>
        </w:tc>
        <w:tc>
          <w:tcPr>
            <w:tcW w:w="2050" w:type="dxa"/>
            <w:vAlign w:val="center"/>
          </w:tcPr>
          <w:p w14:paraId="78A27FF6">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资金来源及比例</w:t>
            </w:r>
          </w:p>
        </w:tc>
        <w:tc>
          <w:tcPr>
            <w:tcW w:w="5596" w:type="dxa"/>
            <w:vAlign w:val="center"/>
          </w:tcPr>
          <w:p w14:paraId="1CAAE26E">
            <w:pPr>
              <w:tabs>
                <w:tab w:val="left" w:pos="1480"/>
              </w:tabs>
              <w:kinsoku/>
              <w:overflowPunct w:val="0"/>
              <w:topLinePunct/>
              <w:spacing w:line="336" w:lineRule="auto"/>
              <w:ind w:left="105" w:leftChars="50" w:right="105" w:rightChars="50"/>
              <w:jc w:val="both"/>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财政资金  100%</w:t>
            </w:r>
          </w:p>
        </w:tc>
      </w:tr>
      <w:tr w14:paraId="239054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D377EF6">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1.2.2</w:t>
            </w:r>
          </w:p>
        </w:tc>
        <w:tc>
          <w:tcPr>
            <w:tcW w:w="2050" w:type="dxa"/>
            <w:vAlign w:val="center"/>
          </w:tcPr>
          <w:p w14:paraId="07AD45F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资金落实情况</w:t>
            </w:r>
          </w:p>
        </w:tc>
        <w:tc>
          <w:tcPr>
            <w:tcW w:w="5596" w:type="dxa"/>
            <w:vAlign w:val="center"/>
          </w:tcPr>
          <w:p w14:paraId="7824AF0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已落实</w:t>
            </w:r>
          </w:p>
        </w:tc>
      </w:tr>
      <w:tr w14:paraId="6AF7D2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5DCF1D7">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1.3.1</w:t>
            </w:r>
          </w:p>
        </w:tc>
        <w:tc>
          <w:tcPr>
            <w:tcW w:w="2050" w:type="dxa"/>
            <w:vAlign w:val="center"/>
          </w:tcPr>
          <w:p w14:paraId="7B61D38A">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招标范围</w:t>
            </w:r>
          </w:p>
        </w:tc>
        <w:tc>
          <w:tcPr>
            <w:tcW w:w="5596" w:type="dxa"/>
            <w:vAlign w:val="center"/>
          </w:tcPr>
          <w:p w14:paraId="60740B0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见招标公告内容</w:t>
            </w:r>
          </w:p>
        </w:tc>
      </w:tr>
      <w:tr w14:paraId="056A95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039399A">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1.3.2</w:t>
            </w:r>
          </w:p>
        </w:tc>
        <w:tc>
          <w:tcPr>
            <w:tcW w:w="2050" w:type="dxa"/>
            <w:vAlign w:val="center"/>
          </w:tcPr>
          <w:p w14:paraId="16D3FC39">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交货期</w:t>
            </w:r>
          </w:p>
        </w:tc>
        <w:tc>
          <w:tcPr>
            <w:tcW w:w="5596" w:type="dxa"/>
            <w:vAlign w:val="center"/>
          </w:tcPr>
          <w:p w14:paraId="2F25CDAF">
            <w:pPr>
              <w:keepNext w:val="0"/>
              <w:keepLines w:val="0"/>
              <w:pageBreakBefore w:val="0"/>
              <w:widowControl w:val="0"/>
              <w:kinsoku/>
              <w:wordWrap/>
              <w:overflowPunct/>
              <w:topLinePunct w:val="0"/>
              <w:autoSpaceDE/>
              <w:autoSpaceDN/>
              <w:bidi w:val="0"/>
              <w:adjustRightInd/>
              <w:snapToGrid w:val="0"/>
              <w:spacing w:line="312"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130日历天，并不得影响总包总进度计划（以招标人发出的开工指令为准，具体应与工程施工总进度计划同步，服从总包管理）。</w:t>
            </w:r>
          </w:p>
        </w:tc>
      </w:tr>
      <w:tr w14:paraId="5308D6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DB0D8D7">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1.3.3</w:t>
            </w:r>
          </w:p>
        </w:tc>
        <w:tc>
          <w:tcPr>
            <w:tcW w:w="2050" w:type="dxa"/>
            <w:vAlign w:val="center"/>
          </w:tcPr>
          <w:p w14:paraId="0333247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质量保证期</w:t>
            </w:r>
          </w:p>
        </w:tc>
        <w:tc>
          <w:tcPr>
            <w:tcW w:w="5596" w:type="dxa"/>
            <w:vAlign w:val="center"/>
          </w:tcPr>
          <w:p w14:paraId="6D98786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不少于</w:t>
            </w:r>
            <w:r>
              <w:rPr>
                <w:rFonts w:hint="eastAsia" w:ascii="宋体" w:hAnsi="宋体" w:eastAsia="宋体" w:cs="宋体"/>
                <w:color w:val="auto"/>
                <w:highlight w:val="none"/>
                <w:u w:val="single"/>
                <w:lang w:val="en-US" w:eastAsia="zh-CN"/>
              </w:rPr>
              <w:t>36</w:t>
            </w:r>
            <w:r>
              <w:rPr>
                <w:rFonts w:hint="eastAsia" w:ascii="宋体" w:hAnsi="宋体" w:eastAsia="宋体" w:cs="宋体"/>
                <w:color w:val="auto"/>
                <w:highlight w:val="none"/>
              </w:rPr>
              <w:t>个月，时间从</w:t>
            </w:r>
            <w:r>
              <w:rPr>
                <w:rFonts w:hint="eastAsia" w:ascii="宋体" w:hAnsi="宋体" w:eastAsia="宋体" w:cs="宋体"/>
                <w:color w:val="auto"/>
                <w:highlight w:val="none"/>
                <w:lang w:val="en-US" w:eastAsia="zh-CN"/>
              </w:rPr>
              <w:t>项目验收合格之日</w:t>
            </w:r>
            <w:r>
              <w:rPr>
                <w:rFonts w:hint="eastAsia" w:ascii="宋体" w:hAnsi="宋体" w:eastAsia="宋体" w:cs="宋体"/>
                <w:color w:val="auto"/>
                <w:highlight w:val="none"/>
              </w:rPr>
              <w:t>起算。</w:t>
            </w:r>
          </w:p>
        </w:tc>
      </w:tr>
      <w:tr w14:paraId="3F4CDF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4095E87">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1.4.1</w:t>
            </w:r>
          </w:p>
        </w:tc>
        <w:tc>
          <w:tcPr>
            <w:tcW w:w="2050" w:type="dxa"/>
            <w:vAlign w:val="center"/>
          </w:tcPr>
          <w:p w14:paraId="72D6C383">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投标人资格条件、要求</w:t>
            </w:r>
          </w:p>
        </w:tc>
        <w:tc>
          <w:tcPr>
            <w:tcW w:w="5596" w:type="dxa"/>
            <w:vAlign w:val="center"/>
          </w:tcPr>
          <w:p w14:paraId="7A6E062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见招标公告内容</w:t>
            </w:r>
          </w:p>
        </w:tc>
      </w:tr>
      <w:tr w14:paraId="4E2E1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166C3E6">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1.4.2</w:t>
            </w:r>
          </w:p>
        </w:tc>
        <w:tc>
          <w:tcPr>
            <w:tcW w:w="2050" w:type="dxa"/>
            <w:vAlign w:val="center"/>
          </w:tcPr>
          <w:p w14:paraId="6A8C734C">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是否接受联合体投标</w:t>
            </w:r>
          </w:p>
        </w:tc>
        <w:tc>
          <w:tcPr>
            <w:tcW w:w="5596" w:type="dxa"/>
            <w:vAlign w:val="center"/>
          </w:tcPr>
          <w:p w14:paraId="1004EC3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☑不接受</w:t>
            </w:r>
          </w:p>
          <w:p w14:paraId="7BE84B1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□接受，应满足下列要求：</w:t>
            </w:r>
            <w:r>
              <w:rPr>
                <w:rFonts w:hint="eastAsia" w:ascii="宋体" w:hAnsi="宋体" w:eastAsia="宋体" w:cs="宋体"/>
                <w:color w:val="auto"/>
                <w:highlight w:val="none"/>
                <w:u w:val="single"/>
              </w:rPr>
              <w:t>/。</w:t>
            </w:r>
          </w:p>
        </w:tc>
      </w:tr>
      <w:tr w14:paraId="106FE7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6893F44">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1.9.1</w:t>
            </w:r>
          </w:p>
        </w:tc>
        <w:tc>
          <w:tcPr>
            <w:tcW w:w="2050" w:type="dxa"/>
            <w:vAlign w:val="center"/>
          </w:tcPr>
          <w:p w14:paraId="43F66D49">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踏勘现场</w:t>
            </w:r>
          </w:p>
        </w:tc>
        <w:tc>
          <w:tcPr>
            <w:tcW w:w="5596" w:type="dxa"/>
            <w:vAlign w:val="center"/>
          </w:tcPr>
          <w:p w14:paraId="3C2405D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☑不组织。</w:t>
            </w:r>
          </w:p>
          <w:p w14:paraId="2F994F2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□组织。联系人：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踏勘时间：</w:t>
            </w:r>
            <w:r>
              <w:rPr>
                <w:rFonts w:hint="eastAsia" w:ascii="宋体" w:hAnsi="宋体" w:eastAsia="宋体" w:cs="宋体"/>
                <w:color w:val="auto"/>
                <w:highlight w:val="none"/>
                <w:u w:val="single"/>
              </w:rPr>
              <w:t xml:space="preserve">                  </w:t>
            </w:r>
          </w:p>
          <w:p w14:paraId="0CF722A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踏勘集中地点：</w:t>
            </w:r>
            <w:r>
              <w:rPr>
                <w:rFonts w:hint="eastAsia" w:ascii="宋体" w:hAnsi="宋体" w:eastAsia="宋体" w:cs="宋体"/>
                <w:color w:val="auto"/>
                <w:highlight w:val="none"/>
                <w:u w:val="single"/>
              </w:rPr>
              <w:t xml:space="preserve">                  </w:t>
            </w:r>
          </w:p>
        </w:tc>
      </w:tr>
      <w:tr w14:paraId="350C5A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51F5ED7">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1.10.1</w:t>
            </w:r>
          </w:p>
        </w:tc>
        <w:tc>
          <w:tcPr>
            <w:tcW w:w="2050" w:type="dxa"/>
            <w:vAlign w:val="center"/>
          </w:tcPr>
          <w:p w14:paraId="73705E9F">
            <w:pPr>
              <w:widowControl w:val="0"/>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投标预备会</w:t>
            </w:r>
          </w:p>
        </w:tc>
        <w:tc>
          <w:tcPr>
            <w:tcW w:w="5596" w:type="dxa"/>
            <w:vAlign w:val="center"/>
          </w:tcPr>
          <w:p w14:paraId="60362057">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☑不召开。</w:t>
            </w:r>
          </w:p>
          <w:p w14:paraId="7BBBFFC9">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□召开。召开时间：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召开地点：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tc>
      </w:tr>
      <w:tr w14:paraId="23FDB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F5046F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1.10.2</w:t>
            </w:r>
          </w:p>
        </w:tc>
        <w:tc>
          <w:tcPr>
            <w:tcW w:w="2050" w:type="dxa"/>
            <w:vAlign w:val="center"/>
          </w:tcPr>
          <w:p w14:paraId="66C93B3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投标人提出问题的截止时间、上传疑问方式</w:t>
            </w:r>
          </w:p>
        </w:tc>
        <w:tc>
          <w:tcPr>
            <w:tcW w:w="5596" w:type="dxa"/>
            <w:vAlign w:val="center"/>
          </w:tcPr>
          <w:p w14:paraId="01FC1C37">
            <w:pPr>
              <w:kinsoku/>
              <w:overflowPunct w:val="0"/>
              <w:topLinePunct/>
              <w:spacing w:line="336" w:lineRule="auto"/>
              <w:ind w:left="218" w:leftChars="104"/>
              <w:jc w:val="both"/>
              <w:rPr>
                <w:rFonts w:hint="eastAsia" w:ascii="宋体" w:hAnsi="宋体" w:eastAsia="宋体" w:cs="宋体"/>
                <w:color w:val="auto"/>
                <w:highlight w:val="none"/>
                <w:u w:val="single"/>
              </w:rPr>
            </w:pPr>
            <w:r>
              <w:rPr>
                <w:rFonts w:hint="eastAsia" w:ascii="宋体" w:hAnsi="宋体" w:eastAsia="宋体" w:cs="宋体"/>
                <w:color w:val="auto"/>
                <w:highlight w:val="none"/>
              </w:rPr>
              <w:t>提问截止时间：</w:t>
            </w:r>
            <w:r>
              <w:rPr>
                <w:rFonts w:hint="eastAsia" w:ascii="宋体" w:hAnsi="宋体" w:eastAsia="宋体" w:cs="宋体"/>
                <w:color w:val="auto"/>
                <w:highlight w:val="none"/>
                <w:u w:val="single"/>
              </w:rPr>
              <w:t xml:space="preserve"> 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分。（投标人在截止时间以后提出的澄清招标文件的要求，招标人可以拒绝受理），提交方式: </w:t>
            </w:r>
            <w:r>
              <w:rPr>
                <w:rFonts w:hint="eastAsia" w:ascii="宋体" w:hAnsi="宋体" w:eastAsia="宋体" w:cs="宋体"/>
                <w:i/>
                <w:color w:val="auto"/>
                <w:highlight w:val="none"/>
                <w:u w:val="single"/>
              </w:rPr>
              <w:t xml:space="preserve">请在上述时间截止前将加盖公章的PDF电子格式的投标提问书发送至 </w:t>
            </w:r>
            <w:r>
              <w:rPr>
                <w:rFonts w:hint="eastAsia" w:ascii="宋体" w:hAnsi="宋体" w:eastAsia="宋体" w:cs="宋体"/>
                <w:b/>
                <w:bCs/>
                <w:i/>
                <w:color w:val="auto"/>
                <w:highlight w:val="none"/>
                <w:u w:val="single"/>
                <w:lang w:eastAsia="zh-CN"/>
              </w:rPr>
              <w:t>1316929110@qq.com</w:t>
            </w:r>
            <w:r>
              <w:rPr>
                <w:rFonts w:hint="eastAsia" w:ascii="宋体" w:hAnsi="宋体" w:eastAsia="宋体" w:cs="宋体"/>
                <w:b/>
                <w:bCs/>
                <w:i/>
                <w:color w:val="auto"/>
                <w:highlight w:val="none"/>
                <w:u w:val="single"/>
              </w:rPr>
              <w:t xml:space="preserve"> 。</w:t>
            </w:r>
          </w:p>
          <w:p w14:paraId="0F7EF4DD">
            <w:pPr>
              <w:kinsoku/>
              <w:overflowPunct w:val="0"/>
              <w:topLinePunct/>
              <w:spacing w:line="336" w:lineRule="auto"/>
              <w:ind w:left="218" w:leftChars="104"/>
              <w:jc w:val="both"/>
              <w:rPr>
                <w:rFonts w:hint="eastAsia"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eastAsia="宋体" w:cs="宋体"/>
                <w:i/>
                <w:color w:val="auto"/>
                <w:highlight w:val="none"/>
                <w:u w:val="single"/>
              </w:rPr>
              <w:t xml:space="preserve">  </w:t>
            </w:r>
            <w:r>
              <w:rPr>
                <w:rFonts w:hint="eastAsia" w:ascii="宋体" w:hAnsi="宋体" w:eastAsia="宋体" w:cs="宋体"/>
                <w:b/>
                <w:bCs/>
                <w:iCs/>
                <w:color w:val="auto"/>
                <w:highlight w:val="none"/>
                <w:u w:val="single"/>
                <w:lang w:eastAsia="zh-CN"/>
              </w:rPr>
              <w:t>17815918197</w:t>
            </w:r>
            <w:r>
              <w:rPr>
                <w:rFonts w:hint="eastAsia" w:ascii="宋体" w:hAnsi="宋体" w:eastAsia="宋体" w:cs="宋体"/>
                <w:b/>
                <w:bCs/>
                <w:iCs/>
                <w:color w:val="auto"/>
                <w:highlight w:val="none"/>
                <w:u w:val="single"/>
              </w:rPr>
              <w:t xml:space="preserve"> </w:t>
            </w:r>
            <w:r>
              <w:rPr>
                <w:rFonts w:hint="eastAsia" w:ascii="宋体" w:hAnsi="宋体" w:eastAsia="宋体" w:cs="宋体"/>
                <w:i/>
                <w:color w:val="auto"/>
                <w:highlight w:val="none"/>
                <w:u w:val="single"/>
              </w:rPr>
              <w:t xml:space="preserve"> </w:t>
            </w:r>
            <w:r>
              <w:rPr>
                <w:rFonts w:hint="eastAsia" w:ascii="宋体" w:hAnsi="宋体" w:eastAsia="宋体" w:cs="宋体"/>
                <w:color w:val="auto"/>
                <w:highlight w:val="none"/>
              </w:rPr>
              <w:t>联系人：</w:t>
            </w:r>
            <w:r>
              <w:rPr>
                <w:rFonts w:hint="eastAsia" w:ascii="宋体" w:hAnsi="宋体" w:eastAsia="宋体" w:cs="宋体"/>
                <w:i/>
                <w:color w:val="auto"/>
                <w:highlight w:val="none"/>
                <w:u w:val="single"/>
              </w:rPr>
              <w:t xml:space="preserve"> </w:t>
            </w:r>
            <w:r>
              <w:rPr>
                <w:rFonts w:hint="eastAsia" w:ascii="宋体" w:hAnsi="宋体" w:eastAsia="宋体" w:cs="宋体"/>
                <w:b/>
                <w:bCs/>
                <w:iCs/>
                <w:color w:val="auto"/>
                <w:highlight w:val="none"/>
                <w:u w:val="single"/>
                <w:lang w:eastAsia="zh-CN"/>
              </w:rPr>
              <w:t>秦金霞</w:t>
            </w:r>
            <w:r>
              <w:rPr>
                <w:rFonts w:hint="eastAsia" w:ascii="宋体" w:hAnsi="宋体" w:eastAsia="宋体" w:cs="宋体"/>
                <w:i/>
                <w:color w:val="auto"/>
                <w:highlight w:val="none"/>
                <w:u w:val="single"/>
              </w:rPr>
              <w:t>。</w:t>
            </w:r>
          </w:p>
        </w:tc>
      </w:tr>
      <w:tr w14:paraId="491C40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AD8C8C4">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1.10.3</w:t>
            </w:r>
          </w:p>
        </w:tc>
        <w:tc>
          <w:tcPr>
            <w:tcW w:w="2050" w:type="dxa"/>
            <w:vAlign w:val="center"/>
          </w:tcPr>
          <w:p w14:paraId="762E318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招标文件的澄清、补充、修改的时间，澄清、修改、补充文件的下载网址</w:t>
            </w:r>
          </w:p>
        </w:tc>
        <w:tc>
          <w:tcPr>
            <w:tcW w:w="5596" w:type="dxa"/>
            <w:vAlign w:val="center"/>
          </w:tcPr>
          <w:p w14:paraId="60AC23B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14:paraId="5462215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澄清、补充、修改的内容不影响投标文件编制的，将在投标文件递交截止时间</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天前，以上款相同的形式发布。</w:t>
            </w:r>
          </w:p>
          <w:p w14:paraId="148AC99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潜在投标人应自行关注绍兴公共资源交易网，招标人不再逐一通知。投标人因自身贻误行为导致投标失败的，责任自负。</w:t>
            </w:r>
          </w:p>
          <w:p w14:paraId="70B1E581">
            <w:pPr>
              <w:tabs>
                <w:tab w:val="left" w:pos="5680"/>
              </w:tabs>
              <w:kinsoku/>
              <w:overflowPunct w:val="0"/>
              <w:topLinePunct/>
              <w:spacing w:line="336"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公布、下载网址：绍兴市公共资源交易中心电子招投标交易平台(http://220.187.225.202:8088/TPBidder-ztk/memberlogin)</w:t>
            </w:r>
          </w:p>
        </w:tc>
      </w:tr>
      <w:tr w14:paraId="436AB0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6EE505D">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1.11</w:t>
            </w:r>
          </w:p>
        </w:tc>
        <w:tc>
          <w:tcPr>
            <w:tcW w:w="2050" w:type="dxa"/>
            <w:vAlign w:val="center"/>
          </w:tcPr>
          <w:p w14:paraId="3616BFDD">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分包</w:t>
            </w:r>
          </w:p>
        </w:tc>
        <w:tc>
          <w:tcPr>
            <w:tcW w:w="5596" w:type="dxa"/>
            <w:vAlign w:val="center"/>
          </w:tcPr>
          <w:p w14:paraId="2511592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tc>
      </w:tr>
      <w:tr w14:paraId="60A5E0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DAEF3B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050" w:type="dxa"/>
            <w:vAlign w:val="center"/>
          </w:tcPr>
          <w:p w14:paraId="1B9FB8CC">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偏离</w:t>
            </w:r>
          </w:p>
        </w:tc>
        <w:tc>
          <w:tcPr>
            <w:tcW w:w="5596" w:type="dxa"/>
            <w:vAlign w:val="center"/>
          </w:tcPr>
          <w:p w14:paraId="56F97ED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p w14:paraId="050A906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☑允许。允许偏离的内容、偏离范围和幅度：</w:t>
            </w:r>
            <w:r>
              <w:rPr>
                <w:rFonts w:hint="eastAsia" w:ascii="宋体" w:hAnsi="宋体" w:eastAsia="宋体" w:cs="宋体"/>
                <w:b/>
                <w:bCs/>
                <w:color w:val="auto"/>
                <w:highlight w:val="none"/>
                <w:u w:val="single"/>
              </w:rPr>
              <w:t>实质性要求允许正偏离。</w:t>
            </w:r>
          </w:p>
        </w:tc>
      </w:tr>
      <w:tr w14:paraId="7B992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C6BAB04">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2050" w:type="dxa"/>
            <w:vAlign w:val="center"/>
          </w:tcPr>
          <w:p w14:paraId="59DBA13B">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构成招标文件的其他材料</w:t>
            </w:r>
          </w:p>
        </w:tc>
        <w:tc>
          <w:tcPr>
            <w:tcW w:w="5596" w:type="dxa"/>
            <w:vAlign w:val="center"/>
          </w:tcPr>
          <w:p w14:paraId="4A66183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6F19BA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503F540">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2.2.1</w:t>
            </w:r>
          </w:p>
        </w:tc>
        <w:tc>
          <w:tcPr>
            <w:tcW w:w="2050" w:type="dxa"/>
            <w:vAlign w:val="center"/>
          </w:tcPr>
          <w:p w14:paraId="7AF7979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投标人要求澄清招标文件的截止时间</w:t>
            </w:r>
          </w:p>
        </w:tc>
        <w:tc>
          <w:tcPr>
            <w:tcW w:w="5596" w:type="dxa"/>
            <w:vAlign w:val="center"/>
          </w:tcPr>
          <w:p w14:paraId="48E1923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同投标人须知前附表第1.10.2项</w:t>
            </w:r>
          </w:p>
        </w:tc>
      </w:tr>
      <w:tr w14:paraId="52418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FC77D7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2.2.2</w:t>
            </w:r>
          </w:p>
        </w:tc>
        <w:tc>
          <w:tcPr>
            <w:tcW w:w="2050" w:type="dxa"/>
            <w:vAlign w:val="center"/>
          </w:tcPr>
          <w:p w14:paraId="117D893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投标截止时间</w:t>
            </w:r>
          </w:p>
        </w:tc>
        <w:tc>
          <w:tcPr>
            <w:tcW w:w="5596" w:type="dxa"/>
            <w:vAlign w:val="center"/>
          </w:tcPr>
          <w:p w14:paraId="1BA2EF5F">
            <w:pPr>
              <w:tabs>
                <w:tab w:val="left" w:pos="558"/>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详见招标公告</w:t>
            </w:r>
          </w:p>
        </w:tc>
      </w:tr>
      <w:tr w14:paraId="7D8CD7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2604CF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2.2.3</w:t>
            </w:r>
          </w:p>
        </w:tc>
        <w:tc>
          <w:tcPr>
            <w:tcW w:w="2050" w:type="dxa"/>
            <w:vAlign w:val="center"/>
          </w:tcPr>
          <w:p w14:paraId="139C30CB">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投标人确认收到招标文件澄清的时间</w:t>
            </w:r>
          </w:p>
        </w:tc>
        <w:tc>
          <w:tcPr>
            <w:tcW w:w="5596" w:type="dxa"/>
            <w:vAlign w:val="center"/>
          </w:tcPr>
          <w:p w14:paraId="4AFAF09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潜在投标人应自行关注绍兴公共资源交易网(http://ggb.sx.gov.cn/)和绍兴市公共资源交易中心电子招投标交易平台</w:t>
            </w:r>
          </w:p>
          <w:p w14:paraId="5D326B3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(http://220.187.225.202:8088/TPBidder-ztk/memberlogin)，招标人不再一一通知。投标人因自身贻误行为导致投标失败的，责任自负。</w:t>
            </w:r>
          </w:p>
        </w:tc>
      </w:tr>
      <w:tr w14:paraId="785647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E4E9BB5">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3.1</w:t>
            </w:r>
          </w:p>
        </w:tc>
        <w:tc>
          <w:tcPr>
            <w:tcW w:w="2050" w:type="dxa"/>
            <w:vAlign w:val="center"/>
          </w:tcPr>
          <w:p w14:paraId="2356F82B">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构成投标文件</w:t>
            </w:r>
          </w:p>
          <w:p w14:paraId="3354BC1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其他材料</w:t>
            </w:r>
          </w:p>
        </w:tc>
        <w:tc>
          <w:tcPr>
            <w:tcW w:w="5596" w:type="dxa"/>
            <w:vAlign w:val="center"/>
          </w:tcPr>
          <w:p w14:paraId="0042AEC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70CB53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B6A5BA0">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3.2.3</w:t>
            </w:r>
          </w:p>
        </w:tc>
        <w:tc>
          <w:tcPr>
            <w:tcW w:w="2050" w:type="dxa"/>
            <w:vAlign w:val="center"/>
          </w:tcPr>
          <w:p w14:paraId="1CCA866B">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最高投标限价</w:t>
            </w:r>
          </w:p>
        </w:tc>
        <w:tc>
          <w:tcPr>
            <w:tcW w:w="5596" w:type="dxa"/>
            <w:vAlign w:val="center"/>
          </w:tcPr>
          <w:p w14:paraId="028210D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☑本次招标最高投标限价为：</w:t>
            </w:r>
            <w:r>
              <w:rPr>
                <w:rFonts w:hint="eastAsia" w:ascii="宋体" w:hAnsi="宋体" w:eastAsia="宋体" w:cs="宋体"/>
                <w:color w:val="auto"/>
                <w:highlight w:val="none"/>
                <w:u w:val="single"/>
                <w:lang w:val="en-US" w:eastAsia="zh-CN"/>
              </w:rPr>
              <w:t xml:space="preserve"> 955</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万元（根据审定金额）</w:t>
            </w:r>
          </w:p>
          <w:p w14:paraId="62DCF1E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□在投标截止时间15个日历天前以补充文件的形式公布</w:t>
            </w:r>
          </w:p>
          <w:p w14:paraId="12A428C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□本次招标最高投标限价的计算方法：。</w:t>
            </w:r>
          </w:p>
        </w:tc>
      </w:tr>
      <w:tr w14:paraId="03CB31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DC7304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3.2.4</w:t>
            </w:r>
          </w:p>
        </w:tc>
        <w:tc>
          <w:tcPr>
            <w:tcW w:w="2050" w:type="dxa"/>
            <w:vAlign w:val="center"/>
          </w:tcPr>
          <w:p w14:paraId="085AB603">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投标报价的</w:t>
            </w:r>
          </w:p>
          <w:p w14:paraId="0AE9478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其他要求</w:t>
            </w:r>
          </w:p>
        </w:tc>
        <w:tc>
          <w:tcPr>
            <w:tcW w:w="5596" w:type="dxa"/>
            <w:vAlign w:val="center"/>
          </w:tcPr>
          <w:p w14:paraId="585BD55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66535D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6674A9D">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3.3.1</w:t>
            </w:r>
          </w:p>
        </w:tc>
        <w:tc>
          <w:tcPr>
            <w:tcW w:w="2050" w:type="dxa"/>
            <w:vAlign w:val="center"/>
          </w:tcPr>
          <w:p w14:paraId="2D2CD69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投标有效期</w:t>
            </w:r>
          </w:p>
        </w:tc>
        <w:tc>
          <w:tcPr>
            <w:tcW w:w="5596" w:type="dxa"/>
            <w:vAlign w:val="center"/>
          </w:tcPr>
          <w:p w14:paraId="75F5233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不少于</w:t>
            </w:r>
            <w:r>
              <w:rPr>
                <w:rFonts w:hint="eastAsia" w:ascii="宋体" w:hAnsi="宋体" w:eastAsia="宋体" w:cs="宋体"/>
                <w:b/>
                <w:bCs/>
                <w:color w:val="auto"/>
                <w:highlight w:val="none"/>
                <w:u w:val="single"/>
              </w:rPr>
              <w:t xml:space="preserve"> 90 </w:t>
            </w:r>
            <w:r>
              <w:rPr>
                <w:rFonts w:hint="eastAsia" w:ascii="宋体" w:hAnsi="宋体" w:eastAsia="宋体" w:cs="宋体"/>
                <w:color w:val="auto"/>
                <w:highlight w:val="none"/>
              </w:rPr>
              <w:t>个日历天(从投标截止之日起算)。</w:t>
            </w:r>
          </w:p>
        </w:tc>
      </w:tr>
      <w:tr w14:paraId="62FB3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D262AA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3.4</w:t>
            </w:r>
          </w:p>
        </w:tc>
        <w:tc>
          <w:tcPr>
            <w:tcW w:w="2050" w:type="dxa"/>
            <w:vAlign w:val="center"/>
          </w:tcPr>
          <w:p w14:paraId="43314EF5">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投标保证金数额</w:t>
            </w:r>
          </w:p>
        </w:tc>
        <w:tc>
          <w:tcPr>
            <w:tcW w:w="5596" w:type="dxa"/>
            <w:vAlign w:val="center"/>
          </w:tcPr>
          <w:p w14:paraId="06146ED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投标保证金的金额与形式：见公告。</w:t>
            </w:r>
          </w:p>
        </w:tc>
      </w:tr>
      <w:tr w14:paraId="004B68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5D576D0">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3.5.2</w:t>
            </w:r>
          </w:p>
        </w:tc>
        <w:tc>
          <w:tcPr>
            <w:tcW w:w="2050" w:type="dxa"/>
            <w:vAlign w:val="center"/>
          </w:tcPr>
          <w:p w14:paraId="3060813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近年财务状况的年份要求</w:t>
            </w:r>
          </w:p>
        </w:tc>
        <w:tc>
          <w:tcPr>
            <w:tcW w:w="5596" w:type="dxa"/>
            <w:vAlign w:val="center"/>
          </w:tcPr>
          <w:p w14:paraId="3E279AB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27F45E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A569727">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3.5.3</w:t>
            </w:r>
          </w:p>
        </w:tc>
        <w:tc>
          <w:tcPr>
            <w:tcW w:w="2050" w:type="dxa"/>
            <w:vAlign w:val="center"/>
          </w:tcPr>
          <w:p w14:paraId="29E9BD29">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近年完成的类似项目的年份要求</w:t>
            </w:r>
          </w:p>
        </w:tc>
        <w:tc>
          <w:tcPr>
            <w:tcW w:w="5596" w:type="dxa"/>
            <w:vAlign w:val="center"/>
          </w:tcPr>
          <w:p w14:paraId="7D13285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1FE9CA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197338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3.5.5</w:t>
            </w:r>
          </w:p>
        </w:tc>
        <w:tc>
          <w:tcPr>
            <w:tcW w:w="2050" w:type="dxa"/>
            <w:vAlign w:val="center"/>
          </w:tcPr>
          <w:p w14:paraId="29945C3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近年发生的重大诉讼及仲裁情况的年份要求</w:t>
            </w:r>
          </w:p>
        </w:tc>
        <w:tc>
          <w:tcPr>
            <w:tcW w:w="5596" w:type="dxa"/>
            <w:vAlign w:val="center"/>
          </w:tcPr>
          <w:p w14:paraId="2ED3767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623F37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C5E0A0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3.5.7</w:t>
            </w:r>
          </w:p>
        </w:tc>
        <w:tc>
          <w:tcPr>
            <w:tcW w:w="2050" w:type="dxa"/>
            <w:vAlign w:val="center"/>
          </w:tcPr>
          <w:p w14:paraId="7C2FFFE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实质性响应招标文件及评审打分资料</w:t>
            </w:r>
          </w:p>
        </w:tc>
        <w:tc>
          <w:tcPr>
            <w:tcW w:w="5596" w:type="dxa"/>
            <w:vAlign w:val="center"/>
          </w:tcPr>
          <w:p w14:paraId="4B040AA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一、实质性响应招标文件资料</w:t>
            </w:r>
          </w:p>
          <w:p w14:paraId="4FF86E0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1.企业法人营业执照；</w:t>
            </w:r>
          </w:p>
          <w:p w14:paraId="4477C0D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2.法定代表人授权委托书(投标文件委托代理人签字的提供)；</w:t>
            </w:r>
          </w:p>
          <w:p w14:paraId="1DB50FE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□3.联合体各方签订的共同投标协议(联合体投标的提供)；</w:t>
            </w:r>
          </w:p>
          <w:p w14:paraId="61D8013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4.投标保证金缴纳证明资料；</w:t>
            </w:r>
          </w:p>
          <w:p w14:paraId="2CF9A8F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5.中小企业声明函；</w:t>
            </w:r>
          </w:p>
          <w:p w14:paraId="5246159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6.投标承诺书；</w:t>
            </w:r>
          </w:p>
          <w:p w14:paraId="28B32F89">
            <w:pPr>
              <w:tabs>
                <w:tab w:val="left" w:pos="5680"/>
              </w:tabs>
              <w:kinsoku/>
              <w:overflowPunct w:val="0"/>
              <w:topLinePunct/>
              <w:spacing w:line="336" w:lineRule="auto"/>
              <w:ind w:left="105" w:leftChars="50" w:right="105" w:rightChars="50"/>
              <w:jc w:val="both"/>
              <w:rPr>
                <w:rFonts w:hint="eastAsia" w:ascii="宋体" w:hAnsi="宋体" w:eastAsia="宋体" w:cs="宋体"/>
                <w:strike/>
                <w:color w:val="auto"/>
                <w:highlight w:val="none"/>
              </w:rPr>
            </w:pPr>
            <w:r>
              <w:rPr>
                <w:rFonts w:hint="eastAsia" w:ascii="宋体" w:hAnsi="宋体" w:eastAsia="宋体" w:cs="宋体"/>
                <w:color w:val="auto"/>
                <w:highlight w:val="none"/>
              </w:rPr>
              <w:t>☑7.(招标人认为需要增加的符合法律法规规定的其他实质性响应的资料)。</w:t>
            </w:r>
          </w:p>
          <w:p w14:paraId="5DC5714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二、评审打分资料</w:t>
            </w:r>
          </w:p>
          <w:p w14:paraId="50571BD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1.招标文件对提供的资料有打分内容的填写。</w:t>
            </w:r>
          </w:p>
          <w:p w14:paraId="3E24949A">
            <w:pPr>
              <w:tabs>
                <w:tab w:val="left" w:pos="5680"/>
              </w:tabs>
              <w:kinsoku/>
              <w:overflowPunct w:val="0"/>
              <w:topLinePunct/>
              <w:spacing w:line="336" w:lineRule="auto"/>
              <w:ind w:left="105" w:leftChars="50" w:right="105" w:rightChars="50"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以上一、二条涉及证书、资料应在投标文件中附复制件，并加盖投标人公章。上述证书、资料均应在有效期内，已在有效期外尚在办理延期过程中的视为无效。评标专家评标时，可要求投标人在规定时间内澄清，但提供的资料不得超出投标文件的范围或改变投标文件实质性内容。</w:t>
            </w:r>
          </w:p>
        </w:tc>
      </w:tr>
      <w:tr w14:paraId="79059A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16D670D">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3.6</w:t>
            </w:r>
          </w:p>
        </w:tc>
        <w:tc>
          <w:tcPr>
            <w:tcW w:w="2050" w:type="dxa"/>
            <w:vAlign w:val="center"/>
          </w:tcPr>
          <w:p w14:paraId="39744EC3">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2"/>
                <w:highlight w:val="none"/>
              </w:rPr>
              <w:t>是否允许递交</w:t>
            </w:r>
          </w:p>
          <w:p w14:paraId="1CFB0A8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备选投标方案</w:t>
            </w:r>
          </w:p>
        </w:tc>
        <w:tc>
          <w:tcPr>
            <w:tcW w:w="5596" w:type="dxa"/>
            <w:vAlign w:val="center"/>
          </w:tcPr>
          <w:p w14:paraId="4FF47F4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p w14:paraId="1112FC8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□允许。</w:t>
            </w:r>
          </w:p>
        </w:tc>
      </w:tr>
      <w:tr w14:paraId="60D83E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195A2C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3.7.3（1）</w:t>
            </w:r>
          </w:p>
        </w:tc>
        <w:tc>
          <w:tcPr>
            <w:tcW w:w="2050" w:type="dxa"/>
            <w:vAlign w:val="center"/>
          </w:tcPr>
          <w:p w14:paraId="669AE341">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□纸质投标文件签字或盖章要求</w:t>
            </w:r>
          </w:p>
        </w:tc>
        <w:tc>
          <w:tcPr>
            <w:tcW w:w="5596" w:type="dxa"/>
            <w:vAlign w:val="center"/>
          </w:tcPr>
          <w:p w14:paraId="6FB28E0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按招标文件要求盖单位公章、法定代表人签字或盖章。委托代理人签字的，投标文件应附法定代表人签署的授权委托书。</w:t>
            </w:r>
          </w:p>
        </w:tc>
      </w:tr>
      <w:tr w14:paraId="218D00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vAlign w:val="center"/>
          </w:tcPr>
          <w:p w14:paraId="1B8B4B9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3.7.3（2）</w:t>
            </w:r>
          </w:p>
        </w:tc>
        <w:tc>
          <w:tcPr>
            <w:tcW w:w="2050" w:type="dxa"/>
            <w:vAlign w:val="center"/>
          </w:tcPr>
          <w:p w14:paraId="629BCA77">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电子投标文件盖章要求</w:t>
            </w:r>
          </w:p>
        </w:tc>
        <w:tc>
          <w:tcPr>
            <w:tcW w:w="5596" w:type="dxa"/>
            <w:vAlign w:val="center"/>
          </w:tcPr>
          <w:p w14:paraId="53C3730F">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14:paraId="6B1C32D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投标文件所附证书证件、业绩证明文件、投标保证金等证明材料用原件扫描件并加盖投标单位电子印章；</w:t>
            </w:r>
          </w:p>
        </w:tc>
      </w:tr>
      <w:tr w14:paraId="6B17DD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37A4D374">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Align w:val="center"/>
          </w:tcPr>
          <w:p w14:paraId="7578ED67">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电子投标文件加密章要求</w:t>
            </w:r>
          </w:p>
        </w:tc>
        <w:tc>
          <w:tcPr>
            <w:tcW w:w="5596" w:type="dxa"/>
            <w:vAlign w:val="center"/>
          </w:tcPr>
          <w:p w14:paraId="0ED2937F">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电子投标的项目，在投标截止时间前，将由投标工具软件制作生成的加密投标文件上传至绍兴市公共资源交易中心电子招投标交易平台。</w:t>
            </w:r>
          </w:p>
          <w:p w14:paraId="45AA270C">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其他：/。</w:t>
            </w:r>
          </w:p>
        </w:tc>
      </w:tr>
      <w:tr w14:paraId="1FCF35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B93CE95">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3.7.4</w:t>
            </w:r>
          </w:p>
        </w:tc>
        <w:tc>
          <w:tcPr>
            <w:tcW w:w="2050" w:type="dxa"/>
            <w:vAlign w:val="center"/>
          </w:tcPr>
          <w:p w14:paraId="65AB749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投标文件份数</w:t>
            </w:r>
          </w:p>
        </w:tc>
        <w:tc>
          <w:tcPr>
            <w:tcW w:w="5596" w:type="dxa"/>
            <w:vAlign w:val="center"/>
          </w:tcPr>
          <w:p w14:paraId="2E13F9F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6DDEBE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CCD9DFB">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4.1</w:t>
            </w:r>
          </w:p>
        </w:tc>
        <w:tc>
          <w:tcPr>
            <w:tcW w:w="2050" w:type="dxa"/>
            <w:vAlign w:val="center"/>
          </w:tcPr>
          <w:p w14:paraId="3A02C651">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光盘、样品等材料的包装和标记</w:t>
            </w:r>
          </w:p>
        </w:tc>
        <w:tc>
          <w:tcPr>
            <w:tcW w:w="5596" w:type="dxa"/>
            <w:vAlign w:val="center"/>
          </w:tcPr>
          <w:p w14:paraId="6AF5EB2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strike/>
                <w:color w:val="auto"/>
                <w:highlight w:val="none"/>
              </w:rPr>
              <w:t>演示视频U盘形式密封包装，并在包封外标明“项目名称”、“投标人名称”、“演示视频U盘”等字样，并加盖投标人公章。</w:t>
            </w:r>
          </w:p>
        </w:tc>
      </w:tr>
      <w:tr w14:paraId="1C4912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BDBE53B">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4.2</w:t>
            </w:r>
          </w:p>
        </w:tc>
        <w:tc>
          <w:tcPr>
            <w:tcW w:w="2050" w:type="dxa"/>
            <w:vAlign w:val="center"/>
          </w:tcPr>
          <w:p w14:paraId="2F3BD31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电子投标文件加密要求</w:t>
            </w:r>
          </w:p>
        </w:tc>
        <w:tc>
          <w:tcPr>
            <w:tcW w:w="5596" w:type="dxa"/>
            <w:vAlign w:val="center"/>
          </w:tcPr>
          <w:p w14:paraId="12B784B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使用投标工具软件编制生成的电子投标文件。</w:t>
            </w:r>
          </w:p>
        </w:tc>
      </w:tr>
      <w:tr w14:paraId="215467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vAlign w:val="center"/>
          </w:tcPr>
          <w:p w14:paraId="584DA080">
            <w:pPr>
              <w:kinsoku/>
              <w:overflowPunct w:val="0"/>
              <w:topLinePunct/>
              <w:spacing w:line="336" w:lineRule="auto"/>
              <w:ind w:right="105" w:rightChars="50" w:firstLine="21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4.2.2</w:t>
            </w:r>
          </w:p>
        </w:tc>
        <w:tc>
          <w:tcPr>
            <w:tcW w:w="2050" w:type="dxa"/>
            <w:vMerge w:val="restart"/>
            <w:vAlign w:val="center"/>
          </w:tcPr>
          <w:p w14:paraId="535B2453">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递交投标文件方式和地点</w:t>
            </w:r>
          </w:p>
        </w:tc>
        <w:tc>
          <w:tcPr>
            <w:tcW w:w="5596" w:type="dxa"/>
            <w:vAlign w:val="center"/>
          </w:tcPr>
          <w:p w14:paraId="5C94A0F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截止时间：详见招标公告</w:t>
            </w:r>
          </w:p>
        </w:tc>
      </w:tr>
      <w:tr w14:paraId="2A3E2D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695E7F11">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Merge w:val="continue"/>
            <w:vAlign w:val="center"/>
          </w:tcPr>
          <w:p w14:paraId="0925AD8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5596" w:type="dxa"/>
            <w:vAlign w:val="center"/>
          </w:tcPr>
          <w:p w14:paraId="1C1CF9A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本项目投标文件投标人采用□现场递交/☑电子投标文件上传平台。</w:t>
            </w:r>
          </w:p>
          <w:p w14:paraId="331AFB4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□现场递交：投标人将密封的投标文件在开标当日09:00时至09:30时递交至绍兴市公共资源交易中心二楼指定开标室，投标文件递交后即交即走。投标文件递交地址：</w:t>
            </w:r>
            <w:r>
              <w:rPr>
                <w:rFonts w:hint="eastAsia" w:ascii="宋体" w:hAnsi="宋体" w:eastAsia="宋体" w:cs="宋体"/>
                <w:b/>
                <w:bCs/>
                <w:color w:val="auto"/>
                <w:highlight w:val="none"/>
              </w:rPr>
              <w:t>绍兴市越城区洋江西路 699 号梅山春晓 2 楼 开标室</w:t>
            </w:r>
            <w:r>
              <w:rPr>
                <w:rFonts w:hint="eastAsia" w:ascii="宋体" w:hAnsi="宋体" w:eastAsia="宋体" w:cs="宋体"/>
                <w:color w:val="auto"/>
                <w:highlight w:val="none"/>
              </w:rPr>
              <w:t>（绍兴市公共资源交易中心）。</w:t>
            </w:r>
          </w:p>
        </w:tc>
      </w:tr>
      <w:tr w14:paraId="67614B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3CED6690">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Merge w:val="continue"/>
            <w:vAlign w:val="center"/>
          </w:tcPr>
          <w:p w14:paraId="33FE7F65">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5596" w:type="dxa"/>
            <w:vAlign w:val="center"/>
          </w:tcPr>
          <w:p w14:paraId="73A08A69">
            <w:pPr>
              <w:tabs>
                <w:tab w:val="left" w:pos="5680"/>
              </w:tabs>
              <w:kinsoku/>
              <w:overflowPunct w:val="0"/>
              <w:topLinePunct/>
              <w:spacing w:line="336"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☑使用专用密钥上传至 绍兴市公共资源交易中心电子招投标交易平台（http://220.187.225.202:8088/TPBidder-ztk/memberlogin）</w:t>
            </w:r>
          </w:p>
        </w:tc>
      </w:tr>
      <w:tr w14:paraId="2B13EC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0F2964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4.2.3</w:t>
            </w:r>
          </w:p>
        </w:tc>
        <w:tc>
          <w:tcPr>
            <w:tcW w:w="2050" w:type="dxa"/>
            <w:vAlign w:val="center"/>
          </w:tcPr>
          <w:p w14:paraId="6567D10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是否退还投标文件</w:t>
            </w:r>
          </w:p>
        </w:tc>
        <w:tc>
          <w:tcPr>
            <w:tcW w:w="5596" w:type="dxa"/>
            <w:vAlign w:val="center"/>
          </w:tcPr>
          <w:p w14:paraId="3BDE5E5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☑否</w:t>
            </w:r>
          </w:p>
          <w:p w14:paraId="352C7F6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□是。未中标的投标文件将予以退还。</w:t>
            </w:r>
          </w:p>
        </w:tc>
      </w:tr>
      <w:tr w14:paraId="0E6876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vAlign w:val="center"/>
          </w:tcPr>
          <w:p w14:paraId="4E40B64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4.4</w:t>
            </w:r>
          </w:p>
        </w:tc>
        <w:tc>
          <w:tcPr>
            <w:tcW w:w="2050" w:type="dxa"/>
            <w:vAlign w:val="center"/>
          </w:tcPr>
          <w:p w14:paraId="225A258C">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□投标文件的拒收情形</w:t>
            </w:r>
          </w:p>
        </w:tc>
        <w:tc>
          <w:tcPr>
            <w:tcW w:w="5596" w:type="dxa"/>
            <w:vAlign w:val="center"/>
          </w:tcPr>
          <w:p w14:paraId="73027293">
            <w:pPr>
              <w:tabs>
                <w:tab w:val="left" w:pos="5680"/>
              </w:tabs>
              <w:kinsoku/>
              <w:overflowPunct w:val="0"/>
              <w:topLinePunct/>
              <w:spacing w:line="336" w:lineRule="auto"/>
              <w:ind w:left="105" w:leftChars="50" w:right="105" w:rightChars="50"/>
              <w:jc w:val="both"/>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一、投标人未按规定密封或封套外信息与所投标段内容不符的投标文件。</w:t>
            </w:r>
          </w:p>
          <w:p w14:paraId="78454B20">
            <w:pPr>
              <w:tabs>
                <w:tab w:val="left" w:pos="5680"/>
              </w:tabs>
              <w:kinsoku/>
              <w:overflowPunct w:val="0"/>
              <w:topLinePunct/>
              <w:spacing w:line="336" w:lineRule="auto"/>
              <w:ind w:left="105" w:leftChars="50" w:right="105" w:rightChars="50"/>
              <w:jc w:val="both"/>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二、未在投标截止时间前递交的投标文件。</w:t>
            </w:r>
          </w:p>
        </w:tc>
      </w:tr>
      <w:tr w14:paraId="199882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1C8C734A">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Align w:val="center"/>
          </w:tcPr>
          <w:p w14:paraId="390EE3B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☑电子投标文件的拒收情形</w:t>
            </w:r>
          </w:p>
        </w:tc>
        <w:tc>
          <w:tcPr>
            <w:tcW w:w="5596" w:type="dxa"/>
            <w:vAlign w:val="center"/>
          </w:tcPr>
          <w:p w14:paraId="5FFD30B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1.投标截止时间后送达（上传）的投标文件、未按招标文件要求上传的；</w:t>
            </w:r>
          </w:p>
          <w:p w14:paraId="5B95B2C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2.投标人未按规定加密的投标文件，应当拒收并提示。</w:t>
            </w:r>
            <w:r>
              <w:rPr>
                <w:rFonts w:hint="eastAsia" w:ascii="宋体" w:hAnsi="宋体" w:eastAsia="宋体" w:cs="宋体"/>
                <w:color w:val="auto"/>
                <w:highlight w:val="none"/>
              </w:rPr>
              <w:br w:type="textWrapping"/>
            </w:r>
            <w:r>
              <w:rPr>
                <w:rFonts w:hint="eastAsia" w:ascii="宋体" w:hAnsi="宋体" w:eastAsia="宋体" w:cs="宋体"/>
                <w:color w:val="auto"/>
                <w:highlight w:val="none"/>
              </w:rPr>
              <w:t>3.存在下列情况之一的，视为拒收：</w:t>
            </w:r>
          </w:p>
          <w:p w14:paraId="4507AAD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（1）电子投标文件无法解密的；</w:t>
            </w:r>
          </w:p>
          <w:p w14:paraId="499096B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（2）电子投标文件解密后无法正确读取的；</w:t>
            </w:r>
          </w:p>
          <w:p w14:paraId="65E6652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（3）电子投标文件无法导入成功的；</w:t>
            </w:r>
          </w:p>
          <w:p w14:paraId="360B6E6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4.□未被邀请的申请人提交的投标文件</w:t>
            </w:r>
          </w:p>
          <w:p w14:paraId="5C7A977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5.其他:  法律、法规所规定的其他情形   。</w:t>
            </w:r>
          </w:p>
        </w:tc>
      </w:tr>
      <w:tr w14:paraId="160160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0558736">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5.1</w:t>
            </w:r>
          </w:p>
        </w:tc>
        <w:tc>
          <w:tcPr>
            <w:tcW w:w="2050" w:type="dxa"/>
            <w:vAlign w:val="center"/>
          </w:tcPr>
          <w:p w14:paraId="036801CF">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开标时间和地点、参加开标会议的要求</w:t>
            </w:r>
          </w:p>
        </w:tc>
        <w:tc>
          <w:tcPr>
            <w:tcW w:w="5596" w:type="dxa"/>
            <w:vAlign w:val="center"/>
          </w:tcPr>
          <w:p w14:paraId="1B454E3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一、开标时间：同投标截止时间。</w:t>
            </w:r>
          </w:p>
          <w:p w14:paraId="2D61BD4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二、开标地点：绍兴市公共资源交易中心二楼指定开标室</w:t>
            </w:r>
            <w:r>
              <w:rPr>
                <w:rFonts w:hint="eastAsia" w:ascii="宋体" w:hAnsi="宋体" w:eastAsia="宋体" w:cs="宋体"/>
                <w:b/>
                <w:bCs/>
                <w:color w:val="auto"/>
                <w:highlight w:val="none"/>
              </w:rPr>
              <w:t>（绍兴市越城区洋江西路 699 号梅山春晓 2 楼 ）。</w:t>
            </w:r>
          </w:p>
          <w:p w14:paraId="52D3131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☑三、开标平台:绍兴市公共资源交易中心电子招投标交易平台</w:t>
            </w:r>
          </w:p>
          <w:p w14:paraId="3880294E">
            <w:pPr>
              <w:numPr>
                <w:ilvl w:val="0"/>
                <w:numId w:val="4"/>
              </w:numPr>
              <w:tabs>
                <w:tab w:val="left" w:pos="5680"/>
              </w:tabs>
              <w:kinsoku/>
              <w:overflowPunct w:val="0"/>
              <w:topLinePunct/>
              <w:spacing w:line="336" w:lineRule="auto"/>
              <w:ind w:left="105" w:leftChars="50" w:right="105" w:rightChars="50"/>
              <w:jc w:val="both"/>
              <w:rPr>
                <w:rFonts w:hint="eastAsia" w:ascii="宋体" w:hAnsi="宋体" w:eastAsia="宋体" w:cs="宋体"/>
                <w:color w:val="auto"/>
                <w:position w:val="1"/>
                <w:highlight w:val="none"/>
              </w:rPr>
            </w:pPr>
            <w:r>
              <w:rPr>
                <w:rFonts w:hint="eastAsia" w:ascii="宋体" w:hAnsi="宋体" w:eastAsia="宋体" w:cs="宋体"/>
                <w:color w:val="auto"/>
                <w:position w:val="1"/>
                <w:highlight w:val="none"/>
              </w:rPr>
              <w:t>参加开标会议的要求</w:t>
            </w:r>
          </w:p>
          <w:p w14:paraId="4FBB669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14:paraId="5142E58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2、开标过程中要求投标人进行澄清、说明或者补正的，须通过指定的电子邮箱</w:t>
            </w:r>
            <w:r>
              <w:rPr>
                <w:rFonts w:hint="eastAsia" w:ascii="宋体" w:hAnsi="宋体" w:eastAsia="宋体" w:cs="宋体"/>
                <w:b/>
                <w:bCs/>
                <w:iCs/>
                <w:color w:val="auto"/>
                <w:highlight w:val="none"/>
                <w:u w:val="single"/>
                <w:lang w:eastAsia="zh-CN"/>
              </w:rPr>
              <w:t>1316929110@qq.com</w:t>
            </w:r>
            <w:r>
              <w:rPr>
                <w:rFonts w:hint="eastAsia" w:ascii="宋体" w:hAnsi="宋体" w:eastAsia="宋体" w:cs="宋体"/>
                <w:b/>
                <w:bCs/>
                <w:i/>
                <w:color w:val="auto"/>
                <w:highlight w:val="none"/>
                <w:u w:val="single"/>
              </w:rPr>
              <w:t xml:space="preserve"> </w:t>
            </w:r>
            <w:r>
              <w:rPr>
                <w:rFonts w:hint="eastAsia" w:ascii="宋体" w:hAnsi="宋体" w:eastAsia="宋体" w:cs="宋体"/>
                <w:color w:val="auto"/>
                <w:highlight w:val="none"/>
              </w:rPr>
              <w:t>作出澄清、说明或者补正，提交澄清、说明或补正的时间为接到工作人员电话通知后半小时内。请投标单位期间电话保持畅通，如未及时接听电话，视为放弃澄清、说明或补正的权利；</w:t>
            </w:r>
          </w:p>
          <w:p w14:paraId="0A7E631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3、取消投标人法定代表人或授权委托人到场签字要求，取消开标记录表签字要求；</w:t>
            </w:r>
          </w:p>
          <w:p w14:paraId="6E4EF466">
            <w:pPr>
              <w:tabs>
                <w:tab w:val="left" w:pos="5680"/>
              </w:tabs>
              <w:kinsoku/>
              <w:overflowPunct w:val="0"/>
              <w:topLinePunct/>
              <w:spacing w:line="336" w:lineRule="auto"/>
              <w:ind w:left="105" w:leftChars="50" w:right="105" w:rightChars="50"/>
              <w:jc w:val="both"/>
              <w:rPr>
                <w:rFonts w:hint="eastAsia" w:ascii="宋体" w:hAnsi="宋体" w:eastAsia="宋体" w:cs="宋体"/>
                <w:i/>
                <w:color w:val="auto"/>
                <w:highlight w:val="none"/>
              </w:rPr>
            </w:pPr>
            <w:r>
              <w:rPr>
                <w:rFonts w:hint="eastAsia" w:ascii="宋体" w:hAnsi="宋体" w:eastAsia="宋体" w:cs="宋体"/>
                <w:color w:val="auto"/>
                <w:highlight w:val="none"/>
              </w:rPr>
              <w:t>4、由代理机构工作人员现场在监督部门、公证处监督下</w:t>
            </w:r>
            <w:r>
              <w:rPr>
                <w:rFonts w:hint="eastAsia" w:ascii="宋体" w:hAnsi="宋体" w:eastAsia="宋体" w:cs="宋体"/>
                <w:strike/>
                <w:color w:val="auto"/>
                <w:highlight w:val="none"/>
              </w:rPr>
              <w:t>核验投标文件密封性并开启投标文件，</w:t>
            </w:r>
            <w:r>
              <w:rPr>
                <w:rFonts w:hint="eastAsia" w:ascii="宋体" w:hAnsi="宋体" w:eastAsia="宋体" w:cs="宋体"/>
                <w:color w:val="auto"/>
                <w:highlight w:val="none"/>
              </w:rPr>
              <w:t>组织评审，并对开评标活动进行全程录音录像。</w:t>
            </w:r>
          </w:p>
        </w:tc>
      </w:tr>
      <w:tr w14:paraId="4A191F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1ABC664">
            <w:pPr>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5.2</w:t>
            </w:r>
          </w:p>
        </w:tc>
        <w:tc>
          <w:tcPr>
            <w:tcW w:w="2050" w:type="dxa"/>
            <w:vAlign w:val="center"/>
          </w:tcPr>
          <w:p w14:paraId="7EF23395">
            <w:pPr>
              <w:tabs>
                <w:tab w:val="left" w:pos="14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开标程序</w:t>
            </w:r>
          </w:p>
        </w:tc>
        <w:tc>
          <w:tcPr>
            <w:tcW w:w="5596" w:type="dxa"/>
          </w:tcPr>
          <w:p w14:paraId="74E2352A">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（一）宣布开标</w:t>
            </w:r>
          </w:p>
          <w:p w14:paraId="799FD63B">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（二）公布投标人数量</w:t>
            </w:r>
          </w:p>
          <w:p w14:paraId="05E9C339">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（三）投标人解密（投标文件解密在 60 分钟内完成，具体以电子招投标交易平台系统时间为准）</w:t>
            </w:r>
          </w:p>
          <w:p w14:paraId="29D86DE7">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（四）参数录入。</w:t>
            </w:r>
          </w:p>
          <w:p w14:paraId="456A8BED">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（五）公布开标结果</w:t>
            </w:r>
          </w:p>
          <w:p w14:paraId="588BC07B">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（六）开标结束</w:t>
            </w:r>
          </w:p>
        </w:tc>
      </w:tr>
      <w:tr w14:paraId="20A0D4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27493B8">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5.4</w:t>
            </w:r>
          </w:p>
        </w:tc>
        <w:tc>
          <w:tcPr>
            <w:tcW w:w="2050" w:type="dxa"/>
            <w:vAlign w:val="center"/>
          </w:tcPr>
          <w:p w14:paraId="3C9446D1">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特殊情况处置</w:t>
            </w:r>
          </w:p>
        </w:tc>
        <w:tc>
          <w:tcPr>
            <w:tcW w:w="5596" w:type="dxa"/>
            <w:vAlign w:val="center"/>
          </w:tcPr>
          <w:p w14:paraId="20F20FC2">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1.因网络、系统、电力等不可抗力因素延期开标的，需更新制作投标文件并按招标文件要求重新递交。</w:t>
            </w:r>
          </w:p>
          <w:p w14:paraId="065546DC">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14:paraId="1AD22EB5">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（2）投标人必须使用生成电子投标文件的CA数字证书加密电子投标文件，未加密的视为撤销其投标文件。</w:t>
            </w:r>
          </w:p>
          <w:p w14:paraId="513C4990">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3.其他：电子投标项目开标的其他相关程序按照我市相关规定《绍兴市区工程建设项目电子招标投标管理暂行办法》执行 。</w:t>
            </w:r>
          </w:p>
        </w:tc>
      </w:tr>
      <w:tr w14:paraId="7A5886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3" w:hRule="atLeast"/>
        </w:trPr>
        <w:tc>
          <w:tcPr>
            <w:tcW w:w="1521" w:type="dxa"/>
            <w:vAlign w:val="center"/>
          </w:tcPr>
          <w:p w14:paraId="08EF997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6.1.1</w:t>
            </w:r>
          </w:p>
        </w:tc>
        <w:tc>
          <w:tcPr>
            <w:tcW w:w="2050" w:type="dxa"/>
            <w:vAlign w:val="center"/>
          </w:tcPr>
          <w:p w14:paraId="0E8E671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评标委员会的组建</w:t>
            </w:r>
          </w:p>
        </w:tc>
        <w:tc>
          <w:tcPr>
            <w:tcW w:w="5596" w:type="dxa"/>
            <w:vAlign w:val="center"/>
          </w:tcPr>
          <w:p w14:paraId="259DD003">
            <w:pPr>
              <w:kinsoku/>
              <w:overflowPunct w:val="0"/>
              <w:topLinePunct/>
              <w:spacing w:line="336" w:lineRule="auto"/>
              <w:ind w:left="525" w:hanging="525" w:hangingChars="2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评标委员会共</w:t>
            </w:r>
            <w:r>
              <w:rPr>
                <w:rFonts w:hint="eastAsia" w:ascii="宋体" w:hAnsi="宋体" w:eastAsia="宋体" w:cs="宋体"/>
                <w:color w:val="auto"/>
                <w:highlight w:val="none"/>
                <w:u w:val="single"/>
              </w:rPr>
              <w:t xml:space="preserve"> </w:t>
            </w:r>
            <w:r>
              <w:rPr>
                <w:rFonts w:hint="eastAsia" w:ascii="宋体" w:hAnsi="宋体" w:eastAsia="宋体" w:cs="宋体"/>
                <w:b/>
                <w:bCs/>
                <w:iCs/>
                <w:color w:val="auto"/>
                <w:highlight w:val="none"/>
                <w:u w:val="single"/>
              </w:rPr>
              <w:t xml:space="preserve">7  </w:t>
            </w:r>
            <w:r>
              <w:rPr>
                <w:rFonts w:hint="eastAsia" w:ascii="宋体" w:hAnsi="宋体" w:eastAsia="宋体" w:cs="宋体"/>
                <w:color w:val="auto"/>
                <w:highlight w:val="none"/>
              </w:rPr>
              <w:t>人。</w:t>
            </w:r>
          </w:p>
          <w:p w14:paraId="092E1DD6">
            <w:pPr>
              <w:kinsoku/>
              <w:overflowPunct w:val="0"/>
              <w:topLinePunct/>
              <w:spacing w:line="336" w:lineRule="auto"/>
              <w:ind w:left="525" w:hanging="525" w:hangingChars="250"/>
              <w:jc w:val="both"/>
              <w:rPr>
                <w:rFonts w:hint="eastAsia" w:ascii="宋体" w:hAnsi="宋体" w:eastAsia="宋体" w:cs="宋体"/>
                <w:color w:val="auto"/>
                <w:highlight w:val="none"/>
              </w:rPr>
            </w:pPr>
            <w:r>
              <w:rPr>
                <w:rFonts w:hint="eastAsia" w:ascii="宋体" w:hAnsi="宋体" w:eastAsia="宋体" w:cs="宋体"/>
                <w:color w:val="auto"/>
                <w:highlight w:val="none"/>
              </w:rPr>
              <w:t>其中招标人代表</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2</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w:t>
            </w:r>
            <w:r>
              <w:rPr>
                <w:rFonts w:hint="eastAsia" w:ascii="宋体" w:hAnsi="宋体" w:eastAsia="宋体" w:cs="宋体"/>
                <w:b/>
                <w:bCs/>
                <w:iCs/>
                <w:color w:val="auto"/>
                <w:highlight w:val="none"/>
                <w:u w:val="single"/>
                <w:lang w:val="en-US" w:eastAsia="zh-CN"/>
              </w:rPr>
              <w:t>省库</w:t>
            </w:r>
            <w:r>
              <w:rPr>
                <w:rFonts w:hint="eastAsia" w:ascii="宋体" w:hAnsi="宋体" w:eastAsia="宋体" w:cs="宋体"/>
                <w:color w:val="auto"/>
                <w:highlight w:val="none"/>
              </w:rPr>
              <w:t>专家</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 xml:space="preserve"> 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w:t>
            </w:r>
          </w:p>
        </w:tc>
      </w:tr>
      <w:tr w14:paraId="673AB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32D770D">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6.3</w:t>
            </w:r>
          </w:p>
        </w:tc>
        <w:tc>
          <w:tcPr>
            <w:tcW w:w="2050" w:type="dxa"/>
            <w:vAlign w:val="center"/>
          </w:tcPr>
          <w:p w14:paraId="65F9673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评标方法</w:t>
            </w:r>
          </w:p>
        </w:tc>
        <w:tc>
          <w:tcPr>
            <w:tcW w:w="5596" w:type="dxa"/>
            <w:vAlign w:val="center"/>
          </w:tcPr>
          <w:p w14:paraId="111FDFC3">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w:t>
            </w:r>
            <w:r>
              <w:rPr>
                <w:color w:val="auto"/>
                <w:highlight w:val="none"/>
              </w:rPr>
              <w:fldChar w:fldCharType="begin"/>
            </w:r>
            <w:r>
              <w:rPr>
                <w:color w:val="auto"/>
                <w:highlight w:val="none"/>
              </w:rPr>
              <w:instrText xml:space="preserve"> HYPERLINK "http://218.108.28.22/zjgcjy/infodetail/?infoid=25b0d8ef-782f-44f1-a7c2-cdfa059b2aa2&amp;siteid=1&amp;categoryNum=032003" </w:instrText>
            </w:r>
            <w:r>
              <w:rPr>
                <w:color w:val="auto"/>
                <w:highlight w:val="none"/>
              </w:rPr>
              <w:fldChar w:fldCharType="separate"/>
            </w:r>
            <w:r>
              <w:rPr>
                <w:rFonts w:hint="eastAsia" w:ascii="宋体" w:hAnsi="宋体" w:eastAsia="宋体" w:cs="宋体"/>
                <w:color w:val="auto"/>
                <w:position w:val="3"/>
                <w:highlight w:val="none"/>
              </w:rPr>
              <w:t>经评审的最低投标价法</w:t>
            </w:r>
            <w:r>
              <w:rPr>
                <w:rFonts w:hint="eastAsia" w:ascii="宋体" w:hAnsi="宋体" w:eastAsia="宋体" w:cs="宋体"/>
                <w:color w:val="auto"/>
                <w:position w:val="3"/>
                <w:highlight w:val="none"/>
              </w:rPr>
              <w:fldChar w:fldCharType="end"/>
            </w:r>
            <w:r>
              <w:rPr>
                <w:rFonts w:hint="eastAsia" w:ascii="宋体" w:hAnsi="宋体" w:eastAsia="宋体" w:cs="宋体"/>
                <w:color w:val="auto"/>
                <w:position w:val="3"/>
                <w:highlight w:val="none"/>
              </w:rPr>
              <w:t>。</w:t>
            </w:r>
          </w:p>
          <w:p w14:paraId="67B91186">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4"/>
                <w:highlight w:val="none"/>
              </w:rPr>
              <w:t>☑</w:t>
            </w:r>
            <w:r>
              <w:rPr>
                <w:color w:val="auto"/>
                <w:highlight w:val="none"/>
              </w:rPr>
              <w:fldChar w:fldCharType="begin"/>
            </w:r>
            <w:r>
              <w:rPr>
                <w:color w:val="auto"/>
                <w:highlight w:val="none"/>
              </w:rPr>
              <w:instrText xml:space="preserve"> HYPERLINK "http://218.108.28.22/zjgcjy/infodetail/?infoid=3561d4c5-1965-4914-8d10-bfd371957ee6&amp;siteid=1&amp;categoryNum=032003" </w:instrText>
            </w:r>
            <w:r>
              <w:rPr>
                <w:color w:val="auto"/>
                <w:highlight w:val="none"/>
              </w:rPr>
              <w:fldChar w:fldCharType="separate"/>
            </w:r>
            <w:r>
              <w:rPr>
                <w:rFonts w:hint="eastAsia" w:ascii="宋体" w:hAnsi="宋体" w:eastAsia="宋体" w:cs="宋体"/>
                <w:color w:val="auto"/>
                <w:position w:val="4"/>
                <w:highlight w:val="none"/>
              </w:rPr>
              <w:t>综合评估法</w:t>
            </w:r>
            <w:r>
              <w:rPr>
                <w:rFonts w:hint="eastAsia" w:ascii="宋体" w:hAnsi="宋体" w:eastAsia="宋体" w:cs="宋体"/>
                <w:color w:val="auto"/>
                <w:position w:val="4"/>
                <w:highlight w:val="none"/>
              </w:rPr>
              <w:fldChar w:fldCharType="end"/>
            </w:r>
            <w:r>
              <w:rPr>
                <w:rFonts w:hint="eastAsia" w:ascii="宋体" w:hAnsi="宋体" w:eastAsia="宋体" w:cs="宋体"/>
                <w:color w:val="auto"/>
                <w:position w:val="4"/>
                <w:highlight w:val="none"/>
              </w:rPr>
              <w:t>。</w:t>
            </w:r>
            <w:r>
              <w:rPr>
                <w:color w:val="auto"/>
                <w:highlight w:val="none"/>
              </w:rPr>
              <w:fldChar w:fldCharType="begin"/>
            </w:r>
            <w:r>
              <w:rPr>
                <w:color w:val="auto"/>
                <w:highlight w:val="none"/>
              </w:rPr>
              <w:instrText xml:space="preserve"> HYPERLINK "http://218.108.28.22/zjgcjy/infodetail/?infoid=3561d4c5-1965-4914-8d10-bfd371957ee6&amp;siteid=1&amp;categoryNum=032003" </w:instrText>
            </w:r>
            <w:r>
              <w:rPr>
                <w:color w:val="auto"/>
                <w:highlight w:val="none"/>
              </w:rPr>
              <w:fldChar w:fldCharType="separate"/>
            </w:r>
            <w:r>
              <w:rPr>
                <w:color w:val="auto"/>
                <w:highlight w:val="none"/>
              </w:rPr>
              <w:fldChar w:fldCharType="end"/>
            </w:r>
          </w:p>
        </w:tc>
      </w:tr>
      <w:tr w14:paraId="23A160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6DADFDA">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6.4.2</w:t>
            </w:r>
          </w:p>
        </w:tc>
        <w:tc>
          <w:tcPr>
            <w:tcW w:w="2050" w:type="dxa"/>
            <w:vAlign w:val="center"/>
          </w:tcPr>
          <w:p w14:paraId="3CEFA06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评标委员会推荐</w:t>
            </w:r>
          </w:p>
          <w:p w14:paraId="6CD0AC05">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w:t>
            </w:r>
          </w:p>
        </w:tc>
        <w:tc>
          <w:tcPr>
            <w:tcW w:w="5596" w:type="dxa"/>
            <w:vAlign w:val="center"/>
          </w:tcPr>
          <w:p w14:paraId="03E87B8A">
            <w:pPr>
              <w:pStyle w:val="20"/>
              <w:tabs>
                <w:tab w:val="left" w:pos="5680"/>
              </w:tabs>
              <w:overflowPunct w:val="0"/>
              <w:topLinePunct/>
              <w:snapToGrid w:val="0"/>
              <w:spacing w:after="0" w:line="336" w:lineRule="auto"/>
              <w:ind w:left="105" w:leftChars="50" w:right="105" w:rightChars="5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☑推荐的中标候选人数量：</w:t>
            </w:r>
            <w:r>
              <w:rPr>
                <w:rFonts w:hint="eastAsia" w:ascii="宋体" w:hAnsi="宋体" w:cs="宋体"/>
                <w:color w:val="auto"/>
                <w:sz w:val="21"/>
                <w:szCs w:val="21"/>
                <w:highlight w:val="none"/>
                <w:u w:val="single"/>
              </w:rPr>
              <w:t>1</w:t>
            </w:r>
            <w:r>
              <w:rPr>
                <w:rFonts w:hint="eastAsia" w:ascii="宋体" w:hAnsi="宋体" w:cs="宋体"/>
                <w:color w:val="auto"/>
                <w:sz w:val="21"/>
                <w:szCs w:val="21"/>
                <w:highlight w:val="none"/>
              </w:rPr>
              <w:t>家。</w:t>
            </w:r>
          </w:p>
          <w:p w14:paraId="521C864C">
            <w:pPr>
              <w:pStyle w:val="20"/>
              <w:tabs>
                <w:tab w:val="left" w:pos="5680"/>
              </w:tabs>
              <w:overflowPunct w:val="0"/>
              <w:topLinePunct/>
              <w:snapToGrid w:val="0"/>
              <w:spacing w:after="0" w:line="336" w:lineRule="auto"/>
              <w:ind w:left="105" w:leftChars="50" w:right="105" w:rightChars="5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□推荐入围定标的中标候选人：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人。（适用于“评定分离”。注：原则上推荐3名中标候选人，最多不超过5个。推荐名单的中标候选人不排名次。）</w:t>
            </w:r>
          </w:p>
        </w:tc>
      </w:tr>
      <w:tr w14:paraId="52E5F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8DAE2E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7.1</w:t>
            </w:r>
          </w:p>
        </w:tc>
        <w:tc>
          <w:tcPr>
            <w:tcW w:w="2050" w:type="dxa"/>
            <w:vAlign w:val="center"/>
          </w:tcPr>
          <w:p w14:paraId="28A3867C">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确定中标人</w:t>
            </w:r>
          </w:p>
        </w:tc>
        <w:tc>
          <w:tcPr>
            <w:tcW w:w="5596" w:type="dxa"/>
            <w:vAlign w:val="center"/>
          </w:tcPr>
          <w:p w14:paraId="3FE00E55">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□授权评标委员会确定中标人。</w:t>
            </w:r>
          </w:p>
          <w:p w14:paraId="2420DBF9">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☑根据评标委员会推荐，由招标人确定中标人。</w:t>
            </w:r>
          </w:p>
          <w:p w14:paraId="3F3BD98C">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□评定分离，根据评标委员会推荐，另行组织定标会议，由定标委员会确定中标人。</w:t>
            </w:r>
          </w:p>
          <w:p w14:paraId="21A292F6">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□其他：              。</w:t>
            </w:r>
          </w:p>
        </w:tc>
      </w:tr>
      <w:tr w14:paraId="21E39F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9652160">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7.1.4</w:t>
            </w:r>
          </w:p>
        </w:tc>
        <w:tc>
          <w:tcPr>
            <w:tcW w:w="2050" w:type="dxa"/>
            <w:vAlign w:val="center"/>
          </w:tcPr>
          <w:p w14:paraId="03BFF126">
            <w:pPr>
              <w:pStyle w:val="51"/>
              <w:kinsoku/>
              <w:overflowPunct w:val="0"/>
              <w:topLinePunct/>
              <w:spacing w:line="336" w:lineRule="auto"/>
              <w:ind w:firstLine="0" w:firstLineChars="0"/>
              <w:jc w:val="both"/>
              <w:rPr>
                <w:rFonts w:hint="eastAsia" w:ascii="宋体" w:hAnsi="宋体" w:eastAsia="宋体" w:cs="宋体"/>
                <w:color w:val="auto"/>
                <w:highlight w:val="none"/>
              </w:rPr>
            </w:pPr>
            <w:r>
              <w:rPr>
                <w:rFonts w:hint="eastAsia" w:ascii="宋体" w:hAnsi="宋体" w:eastAsia="宋体" w:cs="宋体"/>
                <w:snapToGrid/>
                <w:color w:val="auto"/>
                <w:highlight w:val="none"/>
              </w:rPr>
              <w:t>☑中</w:t>
            </w:r>
            <w:r>
              <w:rPr>
                <w:rFonts w:hint="eastAsia" w:ascii="宋体" w:hAnsi="宋体" w:eastAsia="宋体" w:cs="宋体"/>
                <w:color w:val="auto"/>
                <w:highlight w:val="none"/>
              </w:rPr>
              <w:t>标公告媒介及期限</w:t>
            </w:r>
          </w:p>
        </w:tc>
        <w:tc>
          <w:tcPr>
            <w:tcW w:w="5596" w:type="dxa"/>
            <w:vAlign w:val="center"/>
          </w:tcPr>
          <w:p w14:paraId="2A4BB58A">
            <w:pPr>
              <w:kinsoku/>
              <w:overflowPunct w:val="0"/>
              <w:topLinePunct/>
              <w:spacing w:line="336" w:lineRule="auto"/>
              <w:rPr>
                <w:rFonts w:hint="eastAsia" w:ascii="宋体" w:hAnsi="宋体" w:eastAsia="宋体" w:cs="宋体"/>
                <w:b/>
                <w:bCs/>
                <w:iCs/>
                <w:color w:val="auto"/>
                <w:highlight w:val="none"/>
                <w:u w:val="single"/>
              </w:rPr>
            </w:pPr>
            <w:r>
              <w:rPr>
                <w:rFonts w:hint="eastAsia" w:ascii="宋体" w:hAnsi="宋体" w:eastAsia="宋体" w:cs="宋体"/>
                <w:color w:val="auto"/>
                <w:highlight w:val="none"/>
              </w:rPr>
              <w:t>公</w:t>
            </w:r>
            <w:r>
              <w:rPr>
                <w:rFonts w:hint="eastAsia" w:ascii="宋体" w:hAnsi="宋体" w:eastAsia="宋体" w:cs="宋体"/>
                <w:color w:val="auto"/>
                <w:spacing w:val="-2"/>
                <w:highlight w:val="none"/>
              </w:rPr>
              <w:t>告</w:t>
            </w:r>
            <w:r>
              <w:rPr>
                <w:rFonts w:hint="eastAsia" w:ascii="宋体" w:hAnsi="宋体" w:eastAsia="宋体" w:cs="宋体"/>
                <w:color w:val="auto"/>
                <w:highlight w:val="none"/>
              </w:rPr>
              <w:t>媒介：</w:t>
            </w:r>
            <w:r>
              <w:rPr>
                <w:rFonts w:hint="eastAsia" w:ascii="宋体" w:hAnsi="宋体" w:eastAsia="宋体" w:cs="宋体"/>
                <w:b/>
                <w:bCs/>
                <w:iCs/>
                <w:color w:val="auto"/>
                <w:highlight w:val="none"/>
                <w:u w:val="single"/>
              </w:rPr>
              <w:t>绍兴公共资源交易网（https://ggb.sx.gov.cn/）</w:t>
            </w:r>
          </w:p>
          <w:p w14:paraId="48A05C21">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spacing w:val="-2"/>
                <w:highlight w:val="none"/>
              </w:rPr>
              <w:t>公告期限：不少于3日。如遇国家法定休假日，应顺延至法定休假日后第一个工作日。</w:t>
            </w:r>
          </w:p>
        </w:tc>
      </w:tr>
      <w:tr w14:paraId="2CC9B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B94A004">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7.2.1</w:t>
            </w:r>
          </w:p>
        </w:tc>
        <w:tc>
          <w:tcPr>
            <w:tcW w:w="2050" w:type="dxa"/>
            <w:vAlign w:val="center"/>
          </w:tcPr>
          <w:p w14:paraId="326DECB3">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中标候选人公示</w:t>
            </w:r>
          </w:p>
        </w:tc>
        <w:tc>
          <w:tcPr>
            <w:tcW w:w="5596" w:type="dxa"/>
            <w:vAlign w:val="center"/>
          </w:tcPr>
          <w:p w14:paraId="1C4EA583">
            <w:pPr>
              <w:tabs>
                <w:tab w:val="left" w:pos="2150"/>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14:paraId="5C4DD5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EA150D6">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7.4.1</w:t>
            </w:r>
          </w:p>
        </w:tc>
        <w:tc>
          <w:tcPr>
            <w:tcW w:w="2050" w:type="dxa"/>
            <w:vAlign w:val="center"/>
          </w:tcPr>
          <w:p w14:paraId="43D814D6">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w:t>
            </w:r>
          </w:p>
        </w:tc>
        <w:tc>
          <w:tcPr>
            <w:tcW w:w="5596" w:type="dxa"/>
            <w:vAlign w:val="center"/>
          </w:tcPr>
          <w:p w14:paraId="6E0D19A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履约保证金的形式：</w:t>
            </w:r>
            <w:bookmarkStart w:id="6" w:name="EB729f8822ed244be9b6cbf8c77e802a6c"/>
            <w:r>
              <w:rPr>
                <w:rFonts w:hint="eastAsia" w:ascii="宋体" w:hAnsi="宋体" w:eastAsia="宋体" w:cs="宋体"/>
                <w:color w:val="auto"/>
                <w:highlight w:val="none"/>
              </w:rPr>
              <w:t>现金、支票、汇票、转账、银行保函、融资担保公司保函或者保险机构保证、保险、保单。</w:t>
            </w:r>
            <w:bookmarkEnd w:id="6"/>
          </w:p>
          <w:p w14:paraId="577B606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履约保证金的金额：合同总价的</w:t>
            </w:r>
            <w:r>
              <w:rPr>
                <w:rFonts w:hint="eastAsia" w:ascii="宋体" w:hAnsi="宋体" w:eastAsia="宋体" w:cs="宋体"/>
                <w:b/>
                <w:bCs/>
                <w:color w:val="auto"/>
                <w:highlight w:val="none"/>
                <w:u w:val="single"/>
              </w:rPr>
              <w:t xml:space="preserve"> 2 </w:t>
            </w:r>
            <w:r>
              <w:rPr>
                <w:rFonts w:hint="eastAsia" w:ascii="宋体" w:hAnsi="宋体" w:eastAsia="宋体" w:cs="宋体"/>
                <w:color w:val="auto"/>
                <w:highlight w:val="none"/>
              </w:rPr>
              <w:t>%(不得超过2%)。</w:t>
            </w:r>
          </w:p>
        </w:tc>
      </w:tr>
      <w:tr w14:paraId="773CC7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4925F8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8.2</w:t>
            </w:r>
          </w:p>
        </w:tc>
        <w:tc>
          <w:tcPr>
            <w:tcW w:w="2050" w:type="dxa"/>
            <w:vAlign w:val="center"/>
          </w:tcPr>
          <w:p w14:paraId="428BD266">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不再招标的情形</w:t>
            </w:r>
          </w:p>
        </w:tc>
        <w:tc>
          <w:tcPr>
            <w:tcW w:w="5596" w:type="dxa"/>
            <w:vAlign w:val="center"/>
          </w:tcPr>
          <w:p w14:paraId="5A56292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重新招标后投标人仍少于3个，属于必须审批、核准的工程建设项目，经报相关部门批准后，可以不再进行招标。</w:t>
            </w:r>
          </w:p>
        </w:tc>
      </w:tr>
      <w:tr w14:paraId="6B77E6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CD655B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9.5</w:t>
            </w:r>
          </w:p>
        </w:tc>
        <w:tc>
          <w:tcPr>
            <w:tcW w:w="2050" w:type="dxa"/>
            <w:vAlign w:val="center"/>
          </w:tcPr>
          <w:p w14:paraId="5B0AC91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异议和投诉</w:t>
            </w:r>
          </w:p>
        </w:tc>
        <w:tc>
          <w:tcPr>
            <w:tcW w:w="5596" w:type="dxa"/>
            <w:vAlign w:val="center"/>
          </w:tcPr>
          <w:p w14:paraId="2E0A6CDE">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9.5.1异议</w:t>
            </w:r>
          </w:p>
          <w:p w14:paraId="6501EDA7">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437CBF2B">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（2）投标人认为开标不符合有关规定的，应当在开标时提出异议。招标人将当场对异议给予处理或者告知处理的办法。异议和答复应记入开标记录或者制作专门记录以存档备查。</w:t>
            </w:r>
          </w:p>
          <w:p w14:paraId="56AFFE86">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6C131162">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9.5.2投诉</w:t>
            </w:r>
          </w:p>
          <w:p w14:paraId="533B49AC">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35DC721C">
            <w:pPr>
              <w:kinsoku/>
              <w:overflowPunct w:val="0"/>
              <w:topLinePunct/>
              <w:spacing w:line="336" w:lineRule="auto"/>
              <w:ind w:firstLine="420" w:firstLineChars="200"/>
              <w:jc w:val="both"/>
              <w:rPr>
                <w:rFonts w:hint="eastAsia" w:ascii="宋体" w:hAnsi="宋体" w:eastAsia="宋体" w:cs="宋体"/>
                <w:b/>
                <w:color w:val="auto"/>
                <w:highlight w:val="none"/>
              </w:rPr>
            </w:pPr>
            <w:r>
              <w:rPr>
                <w:rFonts w:hint="eastAsia" w:ascii="宋体" w:hAnsi="宋体" w:eastAsia="宋体" w:cs="宋体"/>
                <w:color w:val="auto"/>
                <w:highlight w:val="none"/>
              </w:rPr>
              <w:t>上述时限最后一日如遇国家法定休假日的，顺延至法定休假日后的第一个工作日。</w:t>
            </w:r>
          </w:p>
        </w:tc>
      </w:tr>
      <w:tr w14:paraId="7B608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AC24761">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2050" w:type="dxa"/>
            <w:vAlign w:val="center"/>
          </w:tcPr>
          <w:p w14:paraId="6C04FC18">
            <w:pPr>
              <w:pStyle w:val="51"/>
              <w:kinsoku/>
              <w:overflowPunct w:val="0"/>
              <w:topLinePunct/>
              <w:spacing w:line="336" w:lineRule="auto"/>
              <w:ind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需要补充的其他内容</w:t>
            </w:r>
          </w:p>
        </w:tc>
        <w:tc>
          <w:tcPr>
            <w:tcW w:w="5596" w:type="dxa"/>
            <w:vAlign w:val="center"/>
          </w:tcPr>
          <w:p w14:paraId="695874CC">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投诉受理的具体部门及电话</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lang w:eastAsia="zh-CN"/>
              </w:rPr>
              <w:t xml:space="preserve">绍兴市住房和城乡建设局，0575-85115633 </w:t>
            </w:r>
            <w:r>
              <w:rPr>
                <w:rFonts w:hint="eastAsia" w:ascii="宋体" w:hAnsi="宋体" w:eastAsia="宋体" w:cs="宋体"/>
                <w:b/>
                <w:bCs/>
                <w:color w:val="auto"/>
                <w:highlight w:val="none"/>
              </w:rPr>
              <w:t>。</w:t>
            </w:r>
          </w:p>
        </w:tc>
      </w:tr>
      <w:tr w14:paraId="3BD621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FE8E5A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10.1</w:t>
            </w:r>
          </w:p>
        </w:tc>
        <w:tc>
          <w:tcPr>
            <w:tcW w:w="2050" w:type="dxa"/>
            <w:vAlign w:val="center"/>
          </w:tcPr>
          <w:p w14:paraId="4DE31379">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否决投标的情形</w:t>
            </w:r>
          </w:p>
        </w:tc>
        <w:tc>
          <w:tcPr>
            <w:tcW w:w="5596" w:type="dxa"/>
            <w:vAlign w:val="center"/>
          </w:tcPr>
          <w:p w14:paraId="72A3284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14:paraId="03D660C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二、投标文件存在以下情形之一的，由评标委员会审核并经过询标程序，其投标文件将被否决：</w:t>
            </w:r>
          </w:p>
          <w:p w14:paraId="4DB3E58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(一)符合性内容</w:t>
            </w:r>
          </w:p>
          <w:p w14:paraId="093ACCC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1.投标人的资质、业绩、人员、设备(材料)等条件未满足招标文件实质性响应要求的(以投标人须知前附表3.5.7中“一、实质性响应招标文件资料”内容为准)；</w:t>
            </w:r>
          </w:p>
          <w:p w14:paraId="6F65E2C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2.投标文件未按招标文件的要求(以投标人须知前附表第3.7.3项规定为准)签字或盖章的；</w:t>
            </w:r>
          </w:p>
          <w:p w14:paraId="0C1819B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☑3.委托代理人无有效的</w:t>
            </w:r>
            <w:r>
              <w:rPr>
                <w:rFonts w:hint="eastAsia" w:ascii="宋体" w:hAnsi="宋体" w:eastAsia="宋体" w:cs="宋体"/>
                <w:color w:val="auto"/>
                <w:highlight w:val="none"/>
              </w:rPr>
              <w:t>法定代表人</w:t>
            </w:r>
            <w:r>
              <w:rPr>
                <w:rFonts w:hint="eastAsia" w:ascii="宋体" w:hAnsi="宋体" w:eastAsia="宋体" w:cs="宋体"/>
                <w:color w:val="auto"/>
                <w:position w:val="1"/>
                <w:highlight w:val="none"/>
              </w:rPr>
              <w:t>授权委托书的；</w:t>
            </w:r>
          </w:p>
          <w:p w14:paraId="2BBDF5B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4.投标人存在投标人须知第1.4.3项和投标人须知前附表第10.3款第五点规定情形的。</w:t>
            </w:r>
          </w:p>
          <w:p w14:paraId="7CAE33A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5.投标函载明的交货期不响应招标文件要求的；</w:t>
            </w:r>
          </w:p>
          <w:p w14:paraId="41D9BE5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6.投标人不以自己的名义或未按招标文件要求提供投标保证金，或提供的投标保证金有缺陷而不能接受的；</w:t>
            </w:r>
          </w:p>
          <w:p w14:paraId="4983ECE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7.投标报价高于招标文件设定的最高投标限价的；</w:t>
            </w:r>
          </w:p>
          <w:p w14:paraId="67154D6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8.改变招标人提供的设备(材料)清单内容的(货物名称、单位、数量)；</w:t>
            </w:r>
          </w:p>
          <w:p w14:paraId="60ABE8F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9.投标人及其拟派项目负责人被列入建筑市场严重失信名单（以全国建筑市场监管公共服务平台黑名单记录、失信联合惩戒记录和浙江省建筑市场监管公共服务系统严重失信名单的信息为准）；</w:t>
            </w:r>
          </w:p>
          <w:p w14:paraId="454C8B9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10.投标人为非中小企业的，投标人未提供《中小企业声明函》或未按照招标文件所附的《中小企业声明函》格式提供的；</w:t>
            </w:r>
          </w:p>
          <w:p w14:paraId="576D82B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11.投标人存在行贿犯罪记录的；</w:t>
            </w:r>
          </w:p>
          <w:p w14:paraId="0DA88E12">
            <w:pPr>
              <w:tabs>
                <w:tab w:val="left" w:pos="5680"/>
              </w:tabs>
              <w:kinsoku/>
              <w:overflowPunct w:val="0"/>
              <w:topLinePunct/>
              <w:spacing w:line="336"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12.不同投标人的投标文件制作机器码、文件创建标识码一致的；（具体说明：</w:t>
            </w:r>
            <w:r>
              <w:rPr>
                <w:rFonts w:hint="eastAsia" w:ascii="宋体" w:hAnsi="宋体" w:eastAsia="宋体" w:cs="宋体"/>
                <w:b/>
                <w:bCs/>
                <w:color w:val="auto"/>
                <w:highlight w:val="none"/>
                <w:u w:val="single"/>
              </w:rPr>
              <w:t>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w:t>
            </w:r>
            <w:r>
              <w:rPr>
                <w:rFonts w:hint="eastAsia" w:ascii="宋体" w:hAnsi="宋体" w:eastAsia="宋体" w:cs="宋体"/>
                <w:color w:val="auto"/>
                <w:highlight w:val="none"/>
              </w:rPr>
              <w:t>）</w:t>
            </w:r>
          </w:p>
          <w:p w14:paraId="5EDD29BD">
            <w:pPr>
              <w:pStyle w:val="50"/>
              <w:tabs>
                <w:tab w:val="left" w:pos="3376"/>
                <w:tab w:val="left" w:pos="5680"/>
              </w:tabs>
              <w:kinsoku/>
              <w:overflowPunct w:val="0"/>
              <w:topLinePunct/>
              <w:spacing w:line="336" w:lineRule="auto"/>
              <w:ind w:left="105" w:leftChars="50" w:right="105" w:rightChars="50" w:firstLine="0" w:firstLineChars="0"/>
              <w:jc w:val="both"/>
              <w:rPr>
                <w:rFonts w:hint="eastAsia" w:eastAsia="宋体"/>
                <w:color w:val="auto"/>
                <w:highlight w:val="none"/>
              </w:rPr>
            </w:pPr>
            <w:r>
              <w:rPr>
                <w:rFonts w:hint="eastAsia" w:eastAsia="宋体"/>
                <w:color w:val="auto"/>
                <w:highlight w:val="none"/>
              </w:rPr>
              <w:t>□13.投标人提供的纸质投标文件水印码与电子投标文件不一致的；</w:t>
            </w:r>
          </w:p>
          <w:p w14:paraId="51945CBC">
            <w:pPr>
              <w:pStyle w:val="50"/>
              <w:tabs>
                <w:tab w:val="left" w:pos="3376"/>
                <w:tab w:val="left" w:pos="5680"/>
              </w:tabs>
              <w:kinsoku/>
              <w:overflowPunct w:val="0"/>
              <w:topLinePunct/>
              <w:spacing w:line="336" w:lineRule="auto"/>
              <w:ind w:left="105" w:leftChars="50" w:right="105" w:rightChars="50" w:firstLine="0" w:firstLineChars="0"/>
              <w:jc w:val="both"/>
              <w:rPr>
                <w:rFonts w:hint="eastAsia" w:eastAsia="宋体"/>
                <w:color w:val="auto"/>
                <w:highlight w:val="none"/>
              </w:rPr>
            </w:pPr>
            <w:r>
              <w:rPr>
                <w:rFonts w:hint="eastAsia" w:eastAsia="宋体"/>
                <w:color w:val="auto"/>
                <w:highlight w:val="none"/>
              </w:rPr>
              <w:t>□14. 经招标人核实，投标人不符合“免缴投标保证金的”的条件，视同为未缴纳投标保证金；</w:t>
            </w:r>
          </w:p>
          <w:p w14:paraId="3F7FABE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15.存在法律、法规、规章规定的其它无效投标情况的。</w:t>
            </w:r>
          </w:p>
          <w:p w14:paraId="508F997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(二)技术标内容</w:t>
            </w:r>
          </w:p>
          <w:p w14:paraId="2FCB60D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1.采用的验收标准和方法、主要技术指标达不到国家强制性标准或要求的；</w:t>
            </w:r>
          </w:p>
          <w:p w14:paraId="33ABC896">
            <w:pPr>
              <w:tabs>
                <w:tab w:val="left" w:pos="5680"/>
              </w:tabs>
              <w:kinsoku/>
              <w:overflowPunct w:val="0"/>
              <w:topLinePunct/>
              <w:spacing w:line="336" w:lineRule="auto"/>
              <w:ind w:left="105" w:leftChars="50" w:right="105" w:rightChars="50"/>
              <w:jc w:val="both"/>
              <w:rPr>
                <w:rFonts w:hint="eastAsia" w:ascii="宋体" w:hAnsi="宋体" w:eastAsia="宋体" w:cs="宋体"/>
                <w:strike/>
                <w:color w:val="auto"/>
                <w:highlight w:val="none"/>
                <w:u w:val="single"/>
              </w:rPr>
            </w:pPr>
            <w:r>
              <w:rPr>
                <w:rFonts w:hint="eastAsia" w:ascii="宋体" w:hAnsi="宋体" w:eastAsia="宋体" w:cs="宋体"/>
                <w:strike/>
                <w:color w:val="auto"/>
                <w:highlight w:val="none"/>
              </w:rPr>
              <w:t>2.不符合以下技术规格、标准或性能指标的(招标人认为需要增加的，无则删除本条)：</w:t>
            </w:r>
          </w:p>
          <w:p w14:paraId="32CF709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strike/>
                <w:color w:val="auto"/>
                <w:highlight w:val="none"/>
              </w:rPr>
              <w:t>.投标文件载明的货物包装方式、检验标准和方法等不符合以下要求的(招标人需要增加的其他内容，无则删除本条)：</w:t>
            </w:r>
          </w:p>
          <w:p w14:paraId="31B5B46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4.存在评标办法规定的否决投标情况的；</w:t>
            </w:r>
          </w:p>
          <w:p w14:paraId="31610383">
            <w:pPr>
              <w:tabs>
                <w:tab w:val="left" w:pos="5680"/>
              </w:tabs>
              <w:kinsoku/>
              <w:overflowPunct w:val="0"/>
              <w:topLinePunct/>
              <w:spacing w:line="336" w:lineRule="auto"/>
              <w:ind w:left="105" w:leftChars="50" w:right="105" w:rightChars="50"/>
              <w:jc w:val="both"/>
              <w:rPr>
                <w:rFonts w:hint="eastAsia" w:ascii="宋体" w:hAnsi="宋体" w:eastAsia="宋体" w:cs="宋体"/>
                <w:strike/>
                <w:color w:val="auto"/>
                <w:highlight w:val="none"/>
              </w:rPr>
            </w:pPr>
            <w:r>
              <w:rPr>
                <w:rFonts w:hint="eastAsia" w:ascii="宋体" w:hAnsi="宋体" w:eastAsia="宋体" w:cs="宋体"/>
                <w:strike/>
                <w:color w:val="auto"/>
                <w:highlight w:val="none"/>
              </w:rPr>
              <w:t>5.(招标人需要增加的符合法律法规规定的其他内容，无则删除本条)。</w:t>
            </w:r>
          </w:p>
          <w:p w14:paraId="2E6B1B7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(三)商务标内容</w:t>
            </w:r>
          </w:p>
          <w:p w14:paraId="321FDB6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1.同一投标人提交两个以上不同的投标文件或者投标报价的(招标文件要求提交备选投标的除外)；</w:t>
            </w:r>
          </w:p>
          <w:p w14:paraId="26110A7C">
            <w:pPr>
              <w:tabs>
                <w:tab w:val="left" w:pos="5680"/>
              </w:tabs>
              <w:kinsoku/>
              <w:overflowPunct w:val="0"/>
              <w:topLinePunct/>
              <w:spacing w:line="336" w:lineRule="auto"/>
              <w:ind w:left="105" w:leftChars="50" w:right="105" w:rightChars="50"/>
              <w:jc w:val="both"/>
              <w:rPr>
                <w:rFonts w:hint="eastAsia" w:ascii="宋体" w:hAnsi="宋体" w:eastAsia="宋体" w:cs="宋体"/>
                <w:b/>
                <w:bCs/>
                <w:color w:val="auto"/>
                <w:highlight w:val="none"/>
                <w:u w:val="single"/>
              </w:rPr>
            </w:pPr>
            <w:r>
              <w:rPr>
                <w:rFonts w:hint="eastAsia" w:ascii="宋体" w:hAnsi="宋体" w:eastAsia="宋体" w:cs="宋体"/>
                <w:color w:val="auto"/>
                <w:position w:val="1"/>
                <w:highlight w:val="none"/>
              </w:rPr>
              <w:t>2.报价评审时，投标人拒绝按以下条款修正的：</w:t>
            </w:r>
            <w:r>
              <w:rPr>
                <w:rFonts w:hint="eastAsia" w:ascii="宋体" w:hAnsi="宋体" w:eastAsia="宋体" w:cs="宋体"/>
                <w:b/>
                <w:bCs/>
                <w:color w:val="auto"/>
                <w:highlight w:val="none"/>
                <w:u w:val="single"/>
              </w:rPr>
              <w:t>ⅰ如果数字表示的金额和用文字表示的金额不一致时，将以文字表示的金额为准；ⅱ当合价与投标总价不一致时，以投标总价为准，调整相关合价；ⅲ当单价与数量的乘积与合价不一致时，以合价为准，并调整单价；</w:t>
            </w:r>
          </w:p>
          <w:p w14:paraId="1CD873C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3.投标函载明的投标报价或其它关键内容不全或有瑕疵的；</w:t>
            </w:r>
          </w:p>
          <w:p w14:paraId="43A24DD1">
            <w:pPr>
              <w:tabs>
                <w:tab w:val="left" w:pos="5680"/>
              </w:tabs>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4.未按以下要求进行报价的(招标人认为需要增加的，无则删除本条)：</w:t>
            </w:r>
            <w:r>
              <w:rPr>
                <w:rFonts w:hint="eastAsia" w:ascii="宋体" w:hAnsi="宋体" w:eastAsia="宋体" w:cs="宋体"/>
                <w:b/>
                <w:bCs/>
                <w:color w:val="auto"/>
                <w:highlight w:val="none"/>
                <w:u w:val="single"/>
              </w:rPr>
              <w:t>ⅰ投标人所报的投标综合单价（如有修正，按修正后的单价）在合同执行过程中是固定不变的（税率调整除外），不得以任何理由予以变更；ⅱ招标人不接受任何折扣优惠报价，不接受任何赠送和选择性报价；ⅲ投标人递交的投标函及投标报价表中的投标总价必须一致；</w:t>
            </w:r>
          </w:p>
          <w:p w14:paraId="4982ACA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strike/>
                <w:color w:val="auto"/>
                <w:highlight w:val="none"/>
              </w:rPr>
              <w:t>5.(招标人需要增加的其他商务标内容，无则删除本条)。</w:t>
            </w:r>
          </w:p>
        </w:tc>
      </w:tr>
      <w:tr w14:paraId="5B143A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AB761C0">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10.2</w:t>
            </w:r>
          </w:p>
        </w:tc>
        <w:tc>
          <w:tcPr>
            <w:tcW w:w="2050" w:type="dxa"/>
            <w:vAlign w:val="center"/>
          </w:tcPr>
          <w:p w14:paraId="1662D135">
            <w:pPr>
              <w:kinsoku/>
              <w:wordWrap w:val="0"/>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定标（适用于“评定分离”）</w:t>
            </w:r>
          </w:p>
        </w:tc>
        <w:tc>
          <w:tcPr>
            <w:tcW w:w="5596" w:type="dxa"/>
            <w:vAlign w:val="center"/>
          </w:tcPr>
          <w:p w14:paraId="54E743AB">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1.定标委员会：定标委员会由招标人负责组建，成员数量为5人及以上单数。定标委员会成员与中标候选人有利害关系的应主动说明并申请回避。</w:t>
            </w:r>
          </w:p>
          <w:p w14:paraId="3623AF90">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2.定标会议地点和时间：</w:t>
            </w:r>
          </w:p>
          <w:p w14:paraId="78721E2A">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2.1定标时间：                 。</w:t>
            </w:r>
          </w:p>
          <w:p w14:paraId="32F4C807">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2.2定标地点：                 。</w:t>
            </w:r>
          </w:p>
          <w:p w14:paraId="6EFE70B7">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2.3招标人根据相关规定在评标结果公示结束后10日内召开定标会议。</w:t>
            </w:r>
          </w:p>
          <w:p w14:paraId="5B26AC10">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3.考察、质询</w:t>
            </w:r>
          </w:p>
          <w:p w14:paraId="03504DBC">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3.1在定标会议前（考察、质询应给予中标候选人合理的准备时间。）对所有中标候选人进行考察、质询。</w:t>
            </w:r>
          </w:p>
          <w:p w14:paraId="2426F7CC">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3.2考察、质询小组由</w:t>
            </w:r>
            <w:r>
              <w:rPr>
                <w:rFonts w:hint="eastAsia" w:ascii="宋体" w:hAnsi="宋体" w:eastAsia="宋体" w:cs="宋体"/>
                <w:i/>
                <w:iCs/>
                <w:strike/>
                <w:dstrike w:val="0"/>
                <w:color w:val="auto"/>
                <w:highlight w:val="none"/>
                <w:u w:val="single"/>
              </w:rPr>
              <w:t>（3人及以上单数）</w:t>
            </w:r>
            <w:r>
              <w:rPr>
                <w:rFonts w:hint="eastAsia" w:ascii="宋体" w:hAnsi="宋体" w:eastAsia="宋体" w:cs="宋体"/>
                <w:strike/>
                <w:dstrike w:val="0"/>
                <w:color w:val="auto"/>
                <w:highlight w:val="none"/>
              </w:rPr>
              <w:t>组成。</w:t>
            </w:r>
          </w:p>
          <w:p w14:paraId="3C61E7CB">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4.现场面试</w:t>
            </w:r>
          </w:p>
          <w:p w14:paraId="051F8D7F">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4.1面试时间：             ；</w:t>
            </w:r>
          </w:p>
          <w:p w14:paraId="3E9EAB2F">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4.2面试内容：            ；</w:t>
            </w:r>
          </w:p>
          <w:p w14:paraId="1FF6B074">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4.3面试方式：</w:t>
            </w:r>
          </w:p>
          <w:p w14:paraId="741CDFBF">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4.3.1对中标候选人（联合体投标的，为联合体牵头人）持有安全生产考核合格证书的企业主要负责人（法定代表人、企业经理、企业分管安全生产的副经理、企业技术负责人）中任一一人和拟派项目负责人开展现场面试。</w:t>
            </w:r>
          </w:p>
          <w:p w14:paraId="5F7D623B">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4.3.2其他方式：                   。</w:t>
            </w:r>
          </w:p>
          <w:p w14:paraId="2345A349">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5.定标要素及具体内容</w:t>
            </w:r>
          </w:p>
          <w:p w14:paraId="6E70DD77">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5.1评标报告； </w:t>
            </w:r>
          </w:p>
          <w:p w14:paraId="0432AA16">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5.2考察或质询情况；</w:t>
            </w:r>
          </w:p>
          <w:p w14:paraId="73E13A10">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5.3现场面试情况；</w:t>
            </w:r>
          </w:p>
          <w:p w14:paraId="0D7239B8">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5.4价格因素； </w:t>
            </w:r>
          </w:p>
          <w:p w14:paraId="0B206BD5">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5.5企业实力；</w:t>
            </w:r>
          </w:p>
          <w:p w14:paraId="394A00C9">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5.6企业信誉； </w:t>
            </w:r>
          </w:p>
          <w:p w14:paraId="220AE0FB">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5.7投标方案； </w:t>
            </w:r>
          </w:p>
          <w:p w14:paraId="54398E53">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5.8拟派团队能力与水平； </w:t>
            </w:r>
          </w:p>
          <w:p w14:paraId="37A000CB">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5.9联合体投标的，联合体组成情况； </w:t>
            </w:r>
          </w:p>
          <w:p w14:paraId="7B67001B">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F0A3"/>
            </w:r>
            <w:r>
              <w:rPr>
                <w:rFonts w:hint="eastAsia" w:ascii="宋体" w:hAnsi="宋体" w:eastAsia="宋体" w:cs="宋体"/>
                <w:strike/>
                <w:dstrike w:val="0"/>
                <w:color w:val="auto"/>
                <w:highlight w:val="none"/>
              </w:rPr>
              <w:t>5.10招标人认为需要考量的其他因素。</w:t>
            </w:r>
          </w:p>
          <w:p w14:paraId="73AD9031">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6.定标方式</w:t>
            </w:r>
          </w:p>
          <w:p w14:paraId="49D42AFC">
            <w:pPr>
              <w:kinsoku/>
              <w:wordWrap w:val="0"/>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0EC475BD">
            <w:pPr>
              <w:kinsoku/>
              <w:wordWrap w:val="0"/>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6.1票决法：由定标委员会以直接票决或者逐轮票决的方式确定中标人。</w:t>
            </w:r>
          </w:p>
          <w:p w14:paraId="4D116B3E">
            <w:pPr>
              <w:kinsoku/>
              <w:wordWrap w:val="0"/>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6.2集体议事法：由定标委员会进行集体商议，定标委员会成员各自发表意见，由定标委员会组长最终确定中标人。所有参加会议的定标委员会成员的意见应当作书面记录，并由定标委员会成员签字确认。</w:t>
            </w:r>
          </w:p>
          <w:p w14:paraId="41B679F8">
            <w:pPr>
              <w:pStyle w:val="51"/>
              <w:kinsoku/>
              <w:overflowPunct w:val="0"/>
              <w:topLinePunct/>
              <w:spacing w:line="336" w:lineRule="auto"/>
              <w:ind w:firstLine="0" w:firstLineChars="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6.3其他定标办法：                  。</w:t>
            </w:r>
          </w:p>
          <w:p w14:paraId="3F9BC248">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7.中标人公告媒介及期限</w:t>
            </w:r>
          </w:p>
          <w:p w14:paraId="369D6476">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招标人应当将中标结果情况在投标须知前附表规定的媒介上公告不少于3日。</w:t>
            </w:r>
          </w:p>
          <w:p w14:paraId="1757D2AE">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7.1定标后有下列情形之一的，招标人可以组织原定标委员会从其他中标候选人中按原定标方法确定中标人：</w:t>
            </w:r>
          </w:p>
          <w:p w14:paraId="161B096B">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（1）中标人放弃中标资格或者拒不签订合同的； </w:t>
            </w:r>
          </w:p>
          <w:p w14:paraId="61CFFDF2">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（2）中标人被查实存在违法行为影响中标结果的； </w:t>
            </w:r>
          </w:p>
          <w:p w14:paraId="402E075F">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（3）投标须知前附表规定的其他情形。 </w:t>
            </w:r>
          </w:p>
          <w:p w14:paraId="19EE54E4">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7.2定标后有下列情形之一的，应重新定标： </w:t>
            </w:r>
          </w:p>
          <w:p w14:paraId="74228BCC">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（1）查实定标委员会未按定标办法公正履职的； </w:t>
            </w:r>
          </w:p>
          <w:p w14:paraId="4ADDE378">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（2）有定标委员会成员与中标候选人有利害关系且未申请回避的； </w:t>
            </w:r>
          </w:p>
          <w:p w14:paraId="1D2B4389">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（3）投标须知前附表规定的其他情形。</w:t>
            </w:r>
          </w:p>
        </w:tc>
      </w:tr>
      <w:tr w14:paraId="5E876F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30F2F46">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10.3</w:t>
            </w:r>
          </w:p>
        </w:tc>
        <w:tc>
          <w:tcPr>
            <w:tcW w:w="2050" w:type="dxa"/>
            <w:vAlign w:val="center"/>
          </w:tcPr>
          <w:p w14:paraId="4DFDE179">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特别说明</w:t>
            </w:r>
          </w:p>
        </w:tc>
        <w:tc>
          <w:tcPr>
            <w:tcW w:w="5596" w:type="dxa"/>
            <w:vAlign w:val="center"/>
          </w:tcPr>
          <w:p w14:paraId="4DDC19FE">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一、本招标文件斜体字部分是根据本次招标内容的具体情况进行的相应填写。</w:t>
            </w:r>
          </w:p>
          <w:p w14:paraId="228ECDD3">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二、投标人须知具体内容如与本前附表不一致的，以本前附表为准。</w:t>
            </w:r>
          </w:p>
          <w:p w14:paraId="7F342F29">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三、投标人投标函与投标报价表不一致的，以投标人投标函为准。</w:t>
            </w:r>
          </w:p>
          <w:p w14:paraId="0ECD1D53">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四、除招标文件另有规定外，投标函的投标报价与清单汇总报价不一致时，以投标函报价为准。</w:t>
            </w:r>
          </w:p>
          <w:p w14:paraId="2CB8903D">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五、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14:paraId="4360623E">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1.不同投标人的投标文件由同一单位或者个人编制；</w:t>
            </w:r>
          </w:p>
          <w:p w14:paraId="57CC6252">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2.不同投标人委托同一单位或者个人办理投标事宜；</w:t>
            </w:r>
          </w:p>
          <w:p w14:paraId="51900562">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3.不同投标人的投标文件载明的项目管理成员为同一人；</w:t>
            </w:r>
          </w:p>
          <w:p w14:paraId="04EF56D6">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4.不同投标人的投标文件异常一致或者投标报价呈规律性差异；</w:t>
            </w:r>
          </w:p>
          <w:p w14:paraId="49BEF1C1">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5.不同投标人的投标文件相互混装；</w:t>
            </w:r>
          </w:p>
          <w:p w14:paraId="0B981CB4">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6.不同投标人的投标保证金从同一单位或者个人的账户转出或者通过同一单位或者个人的账户购买电子保函；</w:t>
            </w:r>
          </w:p>
          <w:p w14:paraId="667C5E7D">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7.投标人之间协商投标报价等投标文件的实质性内容；</w:t>
            </w:r>
          </w:p>
          <w:p w14:paraId="100678EB">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8.投标人之间约定中标人；</w:t>
            </w:r>
          </w:p>
          <w:p w14:paraId="6642E592">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9.投标人之间约定部分投标人放弃投标或者中标；</w:t>
            </w:r>
          </w:p>
          <w:p w14:paraId="3627233C">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10.属于同一集团、协会、商会等组织成员的投标人按照该组织要求协同投标；</w:t>
            </w:r>
          </w:p>
          <w:p w14:paraId="0A2D529F">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11.投标人之间为谋取中标或者排斥特定投标人而采取的其他联合行动。</w:t>
            </w:r>
          </w:p>
          <w:p w14:paraId="70BC95A7">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12.本招标文件由招标人负责解释。</w:t>
            </w:r>
          </w:p>
        </w:tc>
      </w:tr>
      <w:tr w14:paraId="02AA78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521" w:type="dxa"/>
            <w:vAlign w:val="center"/>
          </w:tcPr>
          <w:p w14:paraId="05449E89">
            <w:pPr>
              <w:spacing w:line="312" w:lineRule="auto"/>
              <w:ind w:left="105" w:leftChars="50" w:right="105" w:rightChars="50"/>
              <w:rPr>
                <w:rFonts w:hint="eastAsia" w:ascii="宋体" w:hAnsi="宋体" w:eastAsia="宋体" w:cs="宋体"/>
                <w:color w:val="auto"/>
                <w:highlight w:val="none"/>
              </w:rPr>
            </w:pPr>
            <w:r>
              <w:rPr>
                <w:rFonts w:hint="eastAsia" w:ascii="宋体" w:hAnsi="宋体" w:eastAsia="宋体" w:cs="宋体"/>
                <w:b/>
                <w:bCs/>
                <w:color w:val="auto"/>
                <w:highlight w:val="none"/>
              </w:rPr>
              <w:t>10.5</w:t>
            </w:r>
          </w:p>
        </w:tc>
        <w:tc>
          <w:tcPr>
            <w:tcW w:w="2050" w:type="dxa"/>
            <w:vAlign w:val="center"/>
          </w:tcPr>
          <w:p w14:paraId="2C9E0654">
            <w:pPr>
              <w:rPr>
                <w:rFonts w:hint="eastAsia" w:ascii="宋体" w:hAnsi="宋体" w:eastAsia="宋体" w:cs="宋体"/>
                <w:color w:val="auto"/>
                <w:highlight w:val="none"/>
              </w:rPr>
            </w:pPr>
            <w:r>
              <w:rPr>
                <w:rFonts w:hint="eastAsia" w:ascii="宋体" w:hAnsi="宋体" w:eastAsia="宋体" w:cs="宋体"/>
                <w:b/>
                <w:bCs/>
                <w:color w:val="auto"/>
                <w:highlight w:val="none"/>
              </w:rPr>
              <w:t>特别提醒</w:t>
            </w:r>
          </w:p>
        </w:tc>
        <w:tc>
          <w:tcPr>
            <w:tcW w:w="5596" w:type="dxa"/>
          </w:tcPr>
          <w:p w14:paraId="57B502FD">
            <w:pPr>
              <w:tabs>
                <w:tab w:val="left" w:pos="5680"/>
              </w:tabs>
              <w:rPr>
                <w:rFonts w:hint="eastAsia" w:ascii="宋体" w:hAnsi="宋体" w:eastAsia="宋体" w:cs="宋体"/>
                <w:color w:val="auto"/>
                <w:highlight w:val="none"/>
              </w:rPr>
            </w:pPr>
            <w:r>
              <w:rPr>
                <w:rFonts w:hint="eastAsia" w:ascii="宋体" w:hAnsi="宋体" w:eastAsia="宋体" w:cs="宋体"/>
                <w:b/>
                <w:bCs/>
                <w:color w:val="auto"/>
                <w:highlight w:val="none"/>
              </w:rPr>
              <w:t>请投标人仔细阅读第一章招标公告中“三、招标文件的获取和四、投标保证金的要求”。</w:t>
            </w:r>
          </w:p>
        </w:tc>
      </w:tr>
      <w:tr w14:paraId="6080CD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D6AE298">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050" w:type="dxa"/>
            <w:vAlign w:val="center"/>
          </w:tcPr>
          <w:p w14:paraId="68211DED">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5596" w:type="dxa"/>
            <w:vAlign w:val="center"/>
          </w:tcPr>
          <w:p w14:paraId="406E78EF">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bl>
    <w:p w14:paraId="37736683">
      <w:pPr>
        <w:jc w:val="both"/>
        <w:rPr>
          <w:rFonts w:hint="eastAsia" w:ascii="宋体" w:hAnsi="宋体" w:eastAsia="宋体" w:cs="宋体"/>
          <w:color w:val="auto"/>
          <w:highlight w:val="none"/>
        </w:rPr>
      </w:pPr>
    </w:p>
    <w:p w14:paraId="3BFA03F5">
      <w:pPr>
        <w:jc w:val="both"/>
        <w:rPr>
          <w:rFonts w:hint="eastAsia" w:ascii="宋体" w:hAnsi="宋体" w:eastAsia="宋体" w:cs="宋体"/>
          <w:color w:val="auto"/>
          <w:highlight w:val="none"/>
        </w:rPr>
        <w:sectPr>
          <w:footerReference r:id="rId7" w:type="default"/>
          <w:pgSz w:w="11906" w:h="16839"/>
          <w:pgMar w:top="1418" w:right="1559" w:bottom="1418" w:left="1474" w:header="0" w:footer="1035" w:gutter="0"/>
          <w:cols w:space="720" w:num="1"/>
        </w:sectPr>
      </w:pPr>
    </w:p>
    <w:p w14:paraId="12D034E5">
      <w:pPr>
        <w:spacing w:line="287" w:lineRule="auto"/>
        <w:jc w:val="both"/>
        <w:rPr>
          <w:rFonts w:hint="eastAsia" w:ascii="宋体" w:hAnsi="宋体" w:eastAsia="宋体" w:cs="宋体"/>
          <w:color w:val="auto"/>
          <w:highlight w:val="none"/>
        </w:rPr>
      </w:pPr>
    </w:p>
    <w:p w14:paraId="16190745">
      <w:pPr>
        <w:spacing w:before="91" w:line="221" w:lineRule="auto"/>
        <w:ind w:left="3171"/>
        <w:jc w:val="both"/>
        <w:rPr>
          <w:rFonts w:hint="eastAsia" w:ascii="宋体" w:hAnsi="宋体" w:eastAsia="宋体" w:cs="宋体"/>
          <w:color w:val="auto"/>
          <w:sz w:val="28"/>
          <w:szCs w:val="28"/>
          <w:highlight w:val="none"/>
        </w:rPr>
      </w:pPr>
      <w:bookmarkStart w:id="7" w:name="_bookmark4"/>
      <w:bookmarkEnd w:id="7"/>
      <w:r>
        <w:rPr>
          <w:rFonts w:hint="eastAsia" w:ascii="宋体" w:hAnsi="宋体" w:eastAsia="宋体" w:cs="宋体"/>
          <w:color w:val="auto"/>
          <w:sz w:val="28"/>
          <w:szCs w:val="28"/>
          <w:highlight w:val="none"/>
        </w:rPr>
        <w:t>第二节投标人须知</w:t>
      </w:r>
    </w:p>
    <w:p w14:paraId="438D6D51">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color w:val="auto"/>
          <w:sz w:val="24"/>
          <w:szCs w:val="24"/>
          <w:highlight w:val="none"/>
        </w:rPr>
        <w:t>总则</w:t>
      </w:r>
    </w:p>
    <w:p w14:paraId="5299DBFE">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w:t>
      </w:r>
      <w:r>
        <w:rPr>
          <w:rFonts w:hint="eastAsia" w:ascii="宋体" w:hAnsi="宋体" w:eastAsia="宋体" w:cs="宋体"/>
          <w:color w:val="auto"/>
          <w:sz w:val="24"/>
          <w:szCs w:val="24"/>
          <w:highlight w:val="none"/>
        </w:rPr>
        <w:t>项目概况</w:t>
      </w:r>
    </w:p>
    <w:p w14:paraId="64F2E3AE">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1.1.1根据《中华人民共和国招标投标法》、《中华人民共和国招标投标法实施条例》、《评标委员会和评标办法暂行规定》等有关法律、法规和规章的规定，本项目已具备招标条件，现对本货物采购标段进行招标。</w:t>
      </w:r>
    </w:p>
    <w:p w14:paraId="08598F7D">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1.1.2本招标项目招标人：见投标人须知前附表。</w:t>
      </w:r>
    </w:p>
    <w:p w14:paraId="2026034C">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1.1.3本招标项目招标代理机构：见投标人须知前附表。</w:t>
      </w:r>
    </w:p>
    <w:p w14:paraId="6D15044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1.1.4本招标项目名称：见投标人须知前附表。</w:t>
      </w:r>
    </w:p>
    <w:p w14:paraId="20194A18">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1.1.5本招标项目建设地点：见投标人须知前附表。</w:t>
      </w:r>
    </w:p>
    <w:p w14:paraId="2EC8347F">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1.2</w:t>
      </w:r>
      <w:r>
        <w:rPr>
          <w:rFonts w:hint="eastAsia" w:ascii="宋体" w:hAnsi="宋体" w:eastAsia="宋体" w:cs="宋体"/>
          <w:color w:val="auto"/>
          <w:sz w:val="24"/>
          <w:szCs w:val="24"/>
          <w:highlight w:val="none"/>
        </w:rPr>
        <w:t>资金来源和落实情况</w:t>
      </w:r>
    </w:p>
    <w:p w14:paraId="16AA56F1">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1.2.1本招标项目的资金来源及出资比例：见投标人须知前附表。</w:t>
      </w:r>
    </w:p>
    <w:p w14:paraId="25B177CD">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1.2.2本招标项目的资金落实情况：见投标人须知前附表。</w:t>
      </w:r>
    </w:p>
    <w:p w14:paraId="690E77A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1.3</w:t>
      </w:r>
      <w:r>
        <w:rPr>
          <w:rFonts w:hint="eastAsia" w:ascii="宋体" w:hAnsi="宋体" w:eastAsia="宋体" w:cs="宋体"/>
          <w:color w:val="auto"/>
          <w:sz w:val="24"/>
          <w:szCs w:val="24"/>
          <w:highlight w:val="none"/>
        </w:rPr>
        <w:t>招标范围及计划服务期</w:t>
      </w:r>
    </w:p>
    <w:p w14:paraId="2C2B3A33">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1.3.1本次招标范围：见投标人须知前附表。</w:t>
      </w:r>
    </w:p>
    <w:p w14:paraId="154F4582">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1.3.2本招标项目交货期：见投标人须知前附表。</w:t>
      </w:r>
    </w:p>
    <w:p w14:paraId="23F30DC5">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1.3.3本招标项目质量保质期：见投标人须知前附表。</w:t>
      </w:r>
    </w:p>
    <w:p w14:paraId="283A6DA5">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1.4</w:t>
      </w:r>
      <w:r>
        <w:rPr>
          <w:rFonts w:hint="eastAsia" w:ascii="宋体" w:hAnsi="宋体" w:eastAsia="宋体" w:cs="宋体"/>
          <w:color w:val="auto"/>
          <w:sz w:val="24"/>
          <w:szCs w:val="24"/>
          <w:highlight w:val="none"/>
        </w:rPr>
        <w:t>投标人资格要求</w:t>
      </w:r>
    </w:p>
    <w:p w14:paraId="50FD433F">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1.4.1投标人应具备承担本标段服务的资格条件、要求。</w:t>
      </w:r>
    </w:p>
    <w:p w14:paraId="37F54FA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(1)资质条件：见投标人须知前附表；</w:t>
      </w:r>
    </w:p>
    <w:p w14:paraId="07E25655">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(2)业绩要求：见投标人须知前附表；</w:t>
      </w:r>
    </w:p>
    <w:p w14:paraId="322DBDAA">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(3)信誉要求：见投标人须知前附表；</w:t>
      </w:r>
    </w:p>
    <w:p w14:paraId="7D81C5C4">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(4)其他要求：见投标人须知前附表。</w:t>
      </w:r>
    </w:p>
    <w:p w14:paraId="01C00749">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1.4.2投标人须知前附表规定接受联合体投标的，除应符合本章第1.4.1项和投标人须知前附表的要求外，还应遵守以下规定：</w:t>
      </w:r>
    </w:p>
    <w:p w14:paraId="5383ADBC">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(1)联合体各方应按招标文件提供的格式签订联合体协议书，明确联合体牵头人和各方权利义务；</w:t>
      </w:r>
    </w:p>
    <w:p w14:paraId="722A84E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(2)由同一专业的单位组成的联合体，按照资质等级较低的单位确定资质等级；</w:t>
      </w:r>
    </w:p>
    <w:p w14:paraId="755961AF">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(3)联合体各方不得再以自己名义单独或参加其他联合体在同一标段中投标。</w:t>
      </w:r>
    </w:p>
    <w:p w14:paraId="5F3D332F">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1.4.3投标人(投标人是联合体的，指联合体各方)不得存在下列情形之一：</w:t>
      </w:r>
    </w:p>
    <w:p w14:paraId="5A41F1E5">
      <w:pPr>
        <w:spacing w:line="312" w:lineRule="auto"/>
        <w:ind w:firstLine="465" w:firstLineChars="194"/>
        <w:jc w:val="both"/>
        <w:rPr>
          <w:rFonts w:hint="eastAsia" w:ascii="宋体" w:hAnsi="宋体" w:eastAsia="宋体" w:cs="宋体"/>
          <w:color w:val="auto"/>
          <w:position w:val="1"/>
          <w:sz w:val="24"/>
          <w:szCs w:val="24"/>
          <w:highlight w:val="none"/>
        </w:rPr>
        <w:sectPr>
          <w:footerReference r:id="rId8" w:type="default"/>
          <w:pgSz w:w="11906" w:h="16839"/>
          <w:pgMar w:top="1418" w:right="1559" w:bottom="1418" w:left="1474" w:header="0" w:footer="1035" w:gutter="0"/>
          <w:cols w:space="720" w:num="1"/>
        </w:sectPr>
      </w:pPr>
    </w:p>
    <w:p w14:paraId="4BA59CF7">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(1)为招标人不具有独立法人资格的附属机构(单位)；</w:t>
      </w:r>
    </w:p>
    <w:p w14:paraId="65B141A3">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(2)为本标段的代建人；</w:t>
      </w:r>
    </w:p>
    <w:p w14:paraId="3784657C">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(3)为本标段提供招标代理服务的；</w:t>
      </w:r>
    </w:p>
    <w:p w14:paraId="77884E31">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(4)单位负责人为同一人或者存在控股、管理关系的不同单位，同时参加本标段投标的；</w:t>
      </w:r>
    </w:p>
    <w:p w14:paraId="09C0DC2F">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(5)投标人及其法定代表人控股的其他公司，同时参加本标段投标的；</w:t>
      </w:r>
    </w:p>
    <w:p w14:paraId="76402A67">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(6)与招标人存在利害关系可能影响招标公正性的法人、其他组织或者个人参加投标的；</w:t>
      </w:r>
    </w:p>
    <w:p w14:paraId="3F98E47C">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(7)被责令停业的；</w:t>
      </w:r>
    </w:p>
    <w:p w14:paraId="53FFDA88">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(8)被暂停或取消投标资格的；</w:t>
      </w:r>
    </w:p>
    <w:p w14:paraId="1AAE4BB7">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(9)财产被接管或冻结的。</w:t>
      </w:r>
    </w:p>
    <w:p w14:paraId="3D796677">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color w:val="auto"/>
          <w:sz w:val="24"/>
          <w:szCs w:val="24"/>
          <w:highlight w:val="none"/>
        </w:rPr>
        <w:t>费用承担</w:t>
      </w:r>
    </w:p>
    <w:p w14:paraId="3D4FBFE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投标人准备和参加投标活动发生的费用自理。</w:t>
      </w:r>
    </w:p>
    <w:p w14:paraId="7A20EF68">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1.6</w:t>
      </w:r>
      <w:r>
        <w:rPr>
          <w:rFonts w:hint="eastAsia" w:ascii="宋体" w:hAnsi="宋体" w:eastAsia="宋体" w:cs="宋体"/>
          <w:color w:val="auto"/>
          <w:sz w:val="24"/>
          <w:szCs w:val="24"/>
          <w:highlight w:val="none"/>
        </w:rPr>
        <w:t>保密</w:t>
      </w:r>
    </w:p>
    <w:p w14:paraId="53FC9336">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参与招标投标活动的各方应对招标文件和投标文件中的商业和技术等秘密保密，违者应对由此造成的后果承担法律责任。</w:t>
      </w:r>
    </w:p>
    <w:p w14:paraId="7F59A4DA">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1.7</w:t>
      </w:r>
      <w:r>
        <w:rPr>
          <w:rFonts w:hint="eastAsia" w:ascii="宋体" w:hAnsi="宋体" w:eastAsia="宋体" w:cs="宋体"/>
          <w:color w:val="auto"/>
          <w:sz w:val="24"/>
          <w:szCs w:val="24"/>
          <w:highlight w:val="none"/>
        </w:rPr>
        <w:t>语言文字</w:t>
      </w:r>
    </w:p>
    <w:p w14:paraId="07C92CD6">
      <w:pPr>
        <w:spacing w:line="312" w:lineRule="auto"/>
        <w:ind w:firstLine="492"/>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除专用术语外，与招标投标有关的语言均使用中文。必要时专用术语应附有中文注释</w:t>
      </w:r>
      <w:r>
        <w:rPr>
          <w:rFonts w:hint="eastAsia" w:ascii="宋体" w:hAnsi="宋体" w:eastAsia="宋体" w:cs="宋体"/>
          <w:color w:val="auto"/>
          <w:sz w:val="24"/>
          <w:szCs w:val="24"/>
          <w:highlight w:val="none"/>
        </w:rPr>
        <w:t>。</w:t>
      </w:r>
    </w:p>
    <w:p w14:paraId="63DACBDE">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1.8</w:t>
      </w:r>
      <w:r>
        <w:rPr>
          <w:rFonts w:hint="eastAsia" w:ascii="宋体" w:hAnsi="宋体" w:eastAsia="宋体" w:cs="宋体"/>
          <w:color w:val="auto"/>
          <w:sz w:val="24"/>
          <w:szCs w:val="24"/>
          <w:highlight w:val="none"/>
        </w:rPr>
        <w:t>计量单位</w:t>
      </w:r>
    </w:p>
    <w:p w14:paraId="39824CBF">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所有计量均采用中华人民共和国法定计量单位。</w:t>
      </w:r>
    </w:p>
    <w:p w14:paraId="05A2D794">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1.9</w:t>
      </w:r>
      <w:r>
        <w:rPr>
          <w:rFonts w:hint="eastAsia" w:ascii="宋体" w:hAnsi="宋体" w:eastAsia="宋体" w:cs="宋体"/>
          <w:color w:val="auto"/>
          <w:sz w:val="24"/>
          <w:szCs w:val="24"/>
          <w:highlight w:val="none"/>
        </w:rPr>
        <w:t>踏勘现场</w:t>
      </w:r>
    </w:p>
    <w:p w14:paraId="4C16F4D6">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1.9.1投标人须知前附表规定组织踏勘现场的，招标人按投标人须知前附表规定的时间、地点组织投标人踏勘项目现场。</w:t>
      </w:r>
    </w:p>
    <w:p w14:paraId="07C98FF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1.9.2投标人踏勘现场发生的费用自理。</w:t>
      </w:r>
    </w:p>
    <w:p w14:paraId="58CE84A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1.9.3除招标人的原因外，投标人自行负责在踏勘现场中所发生的人员伤亡和财产损失。</w:t>
      </w:r>
    </w:p>
    <w:p w14:paraId="25A609C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1.9.4招标人在踏勘现场中介绍的工程场地和相关的周边环境情况，供投标人在编制投标文件时参考，招标人不对投标人据此作出的判断和决策负责。</w:t>
      </w:r>
    </w:p>
    <w:p w14:paraId="27AA0DD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1.9.5招标人提供的本工程的相关参考资料，并不构成合同文件的组成部分，</w:t>
      </w:r>
    </w:p>
    <w:p w14:paraId="7F1DDB4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投标人应对上述资料的解释、推论和应用负责，招标人不对投标人据此作出的判断和决策承担任何责任。</w:t>
      </w:r>
    </w:p>
    <w:p w14:paraId="3F872265">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1.10</w:t>
      </w:r>
      <w:r>
        <w:rPr>
          <w:rFonts w:hint="eastAsia" w:ascii="宋体" w:hAnsi="宋体" w:eastAsia="宋体" w:cs="宋体"/>
          <w:color w:val="auto"/>
          <w:sz w:val="24"/>
          <w:szCs w:val="24"/>
          <w:highlight w:val="none"/>
        </w:rPr>
        <w:t>投标预备会</w:t>
      </w:r>
    </w:p>
    <w:p w14:paraId="3CDDA89F">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1.10.1投标人须知前附表规定召开投标预备会的，招标人按投标人须知前附表规定的时间和地点召开投标预备会，澄清投标人提出的问题。</w:t>
      </w:r>
    </w:p>
    <w:p w14:paraId="024527B6">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1.10.2投标人提出问题的截止时间、上传疑问方式：见投标人须知前附表。</w:t>
      </w:r>
    </w:p>
    <w:p w14:paraId="021B23F8">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1.10.3招标文件的澄清、补充、修改的时间及下载网址：见投标人须知前附表。</w:t>
      </w:r>
    </w:p>
    <w:p w14:paraId="1D46F9AF">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1.11</w:t>
      </w:r>
      <w:r>
        <w:rPr>
          <w:rFonts w:hint="eastAsia" w:ascii="宋体" w:hAnsi="宋体" w:eastAsia="宋体" w:cs="宋体"/>
          <w:color w:val="auto"/>
          <w:sz w:val="24"/>
          <w:szCs w:val="24"/>
          <w:highlight w:val="none"/>
        </w:rPr>
        <w:t>分包</w:t>
      </w:r>
    </w:p>
    <w:p w14:paraId="5D8341F6">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本招标项目不允许分包。</w:t>
      </w:r>
    </w:p>
    <w:p w14:paraId="1F810459">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1.12</w:t>
      </w:r>
      <w:r>
        <w:rPr>
          <w:rFonts w:hint="eastAsia" w:ascii="宋体" w:hAnsi="宋体" w:eastAsia="宋体" w:cs="宋体"/>
          <w:color w:val="auto"/>
          <w:sz w:val="24"/>
          <w:szCs w:val="24"/>
          <w:highlight w:val="none"/>
        </w:rPr>
        <w:t>偏离</w:t>
      </w:r>
    </w:p>
    <w:p w14:paraId="55A399C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投标人须知前附表允许投标文件偏离招标文件某些要求的，偏离应当符合招标文件规定的偏离范围和幅度。</w:t>
      </w:r>
    </w:p>
    <w:p w14:paraId="293FB80E">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color w:val="auto"/>
          <w:sz w:val="24"/>
          <w:szCs w:val="24"/>
          <w:highlight w:val="none"/>
        </w:rPr>
        <w:t>招标文件</w:t>
      </w:r>
    </w:p>
    <w:p w14:paraId="7A9B30FF">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2.1</w:t>
      </w:r>
      <w:r>
        <w:rPr>
          <w:rFonts w:hint="eastAsia" w:ascii="宋体" w:hAnsi="宋体" w:eastAsia="宋体" w:cs="宋体"/>
          <w:color w:val="auto"/>
          <w:sz w:val="24"/>
          <w:szCs w:val="24"/>
          <w:highlight w:val="none"/>
        </w:rPr>
        <w:t>招标文件的组成</w:t>
      </w:r>
    </w:p>
    <w:p w14:paraId="556594C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本招标文件包括：</w:t>
      </w:r>
    </w:p>
    <w:p w14:paraId="3D90F10F">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(1)招标公告；</w:t>
      </w:r>
    </w:p>
    <w:p w14:paraId="0EC6DC80">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(2)投标人须知；</w:t>
      </w:r>
    </w:p>
    <w:p w14:paraId="6C3C44CC">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(3)评标定标办法；</w:t>
      </w:r>
    </w:p>
    <w:p w14:paraId="2AECD40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(4)合同条款及格式；</w:t>
      </w:r>
    </w:p>
    <w:p w14:paraId="56E50B10">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(5)招标内容和技术要求；</w:t>
      </w:r>
    </w:p>
    <w:p w14:paraId="4EEADF2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(6)投标文件格式；</w:t>
      </w:r>
    </w:p>
    <w:p w14:paraId="106499A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(7)投标人须知前附表规定的其他材料。</w:t>
      </w:r>
    </w:p>
    <w:p w14:paraId="23FC82E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14:paraId="7C228933">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2.2招标文件的澄清和修改</w:t>
      </w:r>
    </w:p>
    <w:p w14:paraId="52DF229A">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2.2.1投标人应仔细阅读和检查招标文件的全部内容。如发现缺页或附件不全，应及时向招标人提出，以便补齐。如有疑问，应在投标人须知前附表第1.10.2项规定的时间前通过电子邮件的方式向招标人提出，要求招标人对招标文件予以澄清。</w:t>
      </w:r>
    </w:p>
    <w:p w14:paraId="39205DF8">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2.2.2招标文件的澄清、修改可能影响投标文件编制的，招标人将在投标人须知前附表规定的投标截止时间15个日历天前通过绍兴公共资源交易网、绍兴市公共资源交易中心进行发布，但不指明澄清问题的来源。如果澄清发出的时间距投标截止时间不足15天，相应延长投标截止时间。</w:t>
      </w:r>
    </w:p>
    <w:p w14:paraId="14BE7AD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2.2.3投标人确认收到招标文件澄清和修改内容的时间：见投标人须知前附表。</w:t>
      </w:r>
    </w:p>
    <w:p w14:paraId="4238778D">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color w:val="auto"/>
          <w:sz w:val="24"/>
          <w:szCs w:val="24"/>
          <w:highlight w:val="none"/>
        </w:rPr>
        <w:t>投标文件</w:t>
      </w:r>
    </w:p>
    <w:p w14:paraId="3100D6DA">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3.1</w:t>
      </w:r>
      <w:r>
        <w:rPr>
          <w:rFonts w:hint="eastAsia" w:ascii="宋体" w:hAnsi="宋体" w:eastAsia="宋体" w:cs="宋体"/>
          <w:color w:val="auto"/>
          <w:sz w:val="24"/>
          <w:szCs w:val="24"/>
          <w:highlight w:val="none"/>
        </w:rPr>
        <w:t>投标文件的组成</w:t>
      </w:r>
    </w:p>
    <w:p w14:paraId="2303A6E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3.1.1商务标部分</w:t>
      </w:r>
    </w:p>
    <w:p w14:paraId="55CFD43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(1)投标函(格式</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lang w:val="en-US" w:eastAsia="zh-CN"/>
        </w:rPr>
        <w:t>放入系统格式中</w:t>
      </w:r>
      <w:r>
        <w:rPr>
          <w:rFonts w:hint="eastAsia" w:ascii="宋体" w:hAnsi="宋体" w:eastAsia="宋体" w:cs="宋体"/>
          <w:color w:val="auto"/>
          <w:position w:val="1"/>
          <w:sz w:val="24"/>
          <w:szCs w:val="24"/>
          <w:highlight w:val="none"/>
        </w:rPr>
        <w:t>)；</w:t>
      </w:r>
    </w:p>
    <w:p w14:paraId="5878544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(2)投标报价表(格式</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lang w:val="en-US" w:eastAsia="zh-CN"/>
        </w:rPr>
        <w:t>放入系统格式中</w:t>
      </w:r>
      <w:r>
        <w:rPr>
          <w:rFonts w:hint="eastAsia" w:ascii="宋体" w:hAnsi="宋体" w:eastAsia="宋体" w:cs="宋体"/>
          <w:color w:val="auto"/>
          <w:position w:val="1"/>
          <w:sz w:val="24"/>
          <w:szCs w:val="24"/>
          <w:highlight w:val="none"/>
        </w:rPr>
        <w:t>)；</w:t>
      </w:r>
    </w:p>
    <w:p w14:paraId="7B334FA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□(3)投标分项报价表；</w:t>
      </w:r>
    </w:p>
    <w:p w14:paraId="200422B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(4)商务条款偏离表；</w:t>
      </w:r>
    </w:p>
    <w:p w14:paraId="121ED81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☑(5)随机备品备件一览表；</w:t>
      </w:r>
    </w:p>
    <w:p w14:paraId="246250D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□(6)供招标人选购的备品备件一览表；</w:t>
      </w:r>
    </w:p>
    <w:p w14:paraId="3E2FB57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□(7)专用检测设备及专用维修工具一览表；</w:t>
      </w:r>
    </w:p>
    <w:p w14:paraId="0B8521D8">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0" distR="0" simplePos="0" relativeHeight="251660288" behindDoc="0" locked="0" layoutInCell="1" allowOverlap="1">
                <wp:simplePos x="0" y="0"/>
                <wp:positionH relativeFrom="column">
                  <wp:posOffset>379730</wp:posOffset>
                </wp:positionH>
                <wp:positionV relativeFrom="paragraph">
                  <wp:posOffset>242570</wp:posOffset>
                </wp:positionV>
                <wp:extent cx="3365500" cy="7620"/>
                <wp:effectExtent l="0" t="0" r="0" b="0"/>
                <wp:wrapNone/>
                <wp:docPr id="1026" name="矩形 5"/>
                <wp:cNvGraphicFramePr/>
                <a:graphic xmlns:a="http://schemas.openxmlformats.org/drawingml/2006/main">
                  <a:graphicData uri="http://schemas.microsoft.com/office/word/2010/wordprocessingShape">
                    <wps:wsp>
                      <wps:cNvSpPr/>
                      <wps:spPr>
                        <a:xfrm>
                          <a:off x="0" y="0"/>
                          <a:ext cx="3365500" cy="7620"/>
                        </a:xfrm>
                        <a:prstGeom prst="rect">
                          <a:avLst/>
                        </a:prstGeom>
                        <a:solidFill>
                          <a:srgbClr val="000000"/>
                        </a:solidFill>
                        <a:ln>
                          <a:noFill/>
                        </a:ln>
                      </wps:spPr>
                      <wps:bodyPr/>
                    </wps:wsp>
                  </a:graphicData>
                </a:graphic>
              </wp:anchor>
            </w:drawing>
          </mc:Choice>
          <mc:Fallback>
            <w:pict>
              <v:rect id="矩形 5" o:spid="_x0000_s1026" o:spt="1" style="position:absolute;left:0pt;margin-left:29.9pt;margin-top:19.1pt;height:0.6pt;width:265pt;z-index:251660288;mso-width-relative:page;mso-height-relative:page;" fillcolor="#000000" filled="t" stroked="f" coordsize="21600,21600" o:gfxdata="UEsDBAoAAAAAAIdO4kAAAAAAAAAAAAAAAAAEAAAAZHJzL1BLAwQUAAAACACHTuJAKaLgFtcAAAAI&#10;AQAADwAAAGRycy9kb3ducmV2LnhtbE2PzU7DMBCE75V4B2uRuFG7oUFJiFOpSByRaOFAb068JFHj&#10;dYjdH3h6tid6nJnVzLfl6uwGccQp9J40LOYKBFLjbU+tho/3l/sMRIiGrBk8oYYfDLCqbmalKaw/&#10;0QaP29gKLqFQGA1djGMhZWg6dCbM/YjE2ZefnIksp1bayZy43A0yUepROtMTL3RmxOcOm/324DSs&#10;82z9/bak199NvcPdZ71Pk0lpfXe7UE8gIp7j/zFc8BkdKmaq/YFsEIOGNGfyqOEhS0BwnmYXo2Yj&#10;X4KsSnn9QPUHUEsDBBQAAAAIAIdO4kAhZdVxqwEAAFQDAAAOAAAAZHJzL2Uyb0RvYy54bWytU81u&#10;2zAMvg/YOwi6L3JTJBuMOD0saC/FVqDbAyiyFAvQH0g1Tp5mwG57iD3OsNcYJWfp2l56mA82SZEf&#10;+X2UV1cH79heA9oYOn4xazjTQcXehl3Hv365fveBM8wy9NLFoDt+1Miv1m/frMbU6nkcous1MAIJ&#10;2I6p40POqRUC1aC9xFlMOtChieBlJhd2ogc5Erp3Yt40SzFG6BNEpREpupkO+QkRXgMYjbFKb6J6&#10;8DrkCRW0k5ko4WAT8nWd1hit8mdjUGfmOk5Mc31TE7K35S3WK9nuQKbBqtMI8jUjPOPkpQ3U9Ay1&#10;kVmyB7AvoLxVEDGaPFPRi4lIVYRYXDTPtLkfZNKVC0mN6Sw6/j9Y9Wl/B8z2dBOa+ZKzID3t/Pe3&#10;H79+fmeLIs+YsKWs+3QHJw/JLFwPBnz5Egt2qJIez5LqQ2aKgpeXy8WiIbUVnb1fzqvi4rE2AeYb&#10;HT0rRseBFlZ1lPtbzNSPUv+mlFYYne2vrXPVgd32owO2l2W59SkDU8mTNBdKcoilbDouEVF4TUyK&#10;tY39sRKscRK74pwuRtnmv36tfvwZ1n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KaLgFtcAAAAI&#10;AQAADwAAAAAAAAABACAAAAAiAAAAZHJzL2Rvd25yZXYueG1sUEsBAhQAFAAAAAgAh07iQCFl1XGr&#10;AQAAVAMAAA4AAAAAAAAAAQAgAAAAJgEAAGRycy9lMm9Eb2MueG1sUEsFBgAAAAAGAAYAWQEAAEMF&#10;AA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(招标人需要增加的其他商务内容)。</w:t>
      </w:r>
    </w:p>
    <w:p w14:paraId="56CEE41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3.1.2技术标部分</w:t>
      </w:r>
    </w:p>
    <w:p w14:paraId="00F9AF1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☑(1)货物说明一览表；</w:t>
      </w:r>
    </w:p>
    <w:p w14:paraId="324305C8">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☑(2)技术响应表；</w:t>
      </w:r>
    </w:p>
    <w:p w14:paraId="323E8F4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☑(3)主要配置说明一览表；</w:t>
      </w:r>
    </w:p>
    <w:p w14:paraId="60C14B0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☑(4)技术规格偏离表；</w:t>
      </w:r>
    </w:p>
    <w:p w14:paraId="4385AFF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□(5)投标方案图纸、产品详细技术规格书及所投产品的样本及本招标文件中规定的其它必须提供的文件及资料；</w:t>
      </w:r>
    </w:p>
    <w:p w14:paraId="7C85E3B6">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□(6)产品的主要技术、结构、性能、特点和质量水平的详细描述；</w:t>
      </w:r>
    </w:p>
    <w:p w14:paraId="7102FB30">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□(7)产品制造、安装、验收标准；</w:t>
      </w:r>
    </w:p>
    <w:p w14:paraId="0E46311A">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□(8)主要工艺装备和主要检测设施的拥有情况和现状；</w:t>
      </w:r>
    </w:p>
    <w:p w14:paraId="7093AC7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☑(9)质量手册或关于质量管理、质量体系、质量控制、质量保证的详细介绍；</w:t>
      </w:r>
    </w:p>
    <w:p w14:paraId="572730A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☑(10)产品的技术服务和售后服务的内容和措施；</w:t>
      </w:r>
    </w:p>
    <w:p w14:paraId="016AC0F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0" distR="0" simplePos="0" relativeHeight="251660288" behindDoc="0" locked="0" layoutInCell="1" allowOverlap="1">
                <wp:simplePos x="0" y="0"/>
                <wp:positionH relativeFrom="column">
                  <wp:posOffset>303530</wp:posOffset>
                </wp:positionH>
                <wp:positionV relativeFrom="paragraph">
                  <wp:posOffset>242570</wp:posOffset>
                </wp:positionV>
                <wp:extent cx="3510280" cy="7620"/>
                <wp:effectExtent l="0" t="0" r="0" b="0"/>
                <wp:wrapNone/>
                <wp:docPr id="1027" name="矩形 6"/>
                <wp:cNvGraphicFramePr/>
                <a:graphic xmlns:a="http://schemas.openxmlformats.org/drawingml/2006/main">
                  <a:graphicData uri="http://schemas.microsoft.com/office/word/2010/wordprocessingShape">
                    <wps:wsp>
                      <wps:cNvSpPr/>
                      <wps:spPr>
                        <a:xfrm>
                          <a:off x="0" y="0"/>
                          <a:ext cx="3510280" cy="7620"/>
                        </a:xfrm>
                        <a:prstGeom prst="rect">
                          <a:avLst/>
                        </a:prstGeom>
                        <a:solidFill>
                          <a:srgbClr val="000000"/>
                        </a:solidFill>
                        <a:ln>
                          <a:noFill/>
                        </a:ln>
                      </wps:spPr>
                      <wps:bodyPr/>
                    </wps:wsp>
                  </a:graphicData>
                </a:graphic>
              </wp:anchor>
            </w:drawing>
          </mc:Choice>
          <mc:Fallback>
            <w:pict>
              <v:rect id="矩形 6" o:spid="_x0000_s1026" o:spt="1" style="position:absolute;left:0pt;margin-left:23.9pt;margin-top:19.1pt;height:0.6pt;width:276.4pt;z-index:251660288;mso-width-relative:page;mso-height-relative:page;" fillcolor="#000000" filled="t" stroked="f" coordsize="21600,21600" o:gfxdata="UEsDBAoAAAAAAIdO4kAAAAAAAAAAAAAAAAAEAAAAZHJzL1BLAwQUAAAACACHTuJANevlktcAAAAI&#10;AQAADwAAAGRycy9kb3ducmV2LnhtbE2PzU7DMBCE70i8g7VI3KjdEEoa4lQqEkckWjjQmxMvSdR4&#10;HWz3B56e5QTH2VnNfFOtzm4URwxx8KRhPlMgkFpvB+o0vL0+3RQgYjJkzegJNXxhhFV9eVGZ0voT&#10;bfC4TZ3gEIql0dCnNJVSxrZHZ+LMT0jsffjgTGIZOmmDOXG4G2Wm1EI6MxA39GbCxx7b/fbgNKyX&#10;xfrzJafn702zw917s7/LgtL6+mquHkAkPKe/Z/jFZ3SomanxB7JRjBryeyZPGm6LDAT7C24D0fBh&#10;mYOsK/l/QP0DUEsDBBQAAAAIAIdO4kAAamdCqgEAAFQDAAAOAAAAZHJzL2Uyb0RvYy54bWytU81u&#10;2zAMvg/oOwi6L3IzLC2MOD00aC9DV6DbAyiyFAvQH0g1Tp6mwG57iD3OsNcYJWfp1l16qA82SZEf&#10;+X2Ul1d779hOA9oYOn4+azjTQcXehm3Hv365eX/JGWYZeuli0B0/aORXq7N3yzG1eh6H6HoNjEAC&#10;tmPq+JBzaoVANWgvcRaTDnRoIniZyYWt6EGOhO6dmDfNQowR+gRRaUSKrqdDfkSE1wBGY6zS66ge&#10;vQ55QgXtZCZKONiEfFWnNUar/NkY1Jm5jhPTXN/UhOxNeYvVUrZbkGmw6jiCfM0ILzh5aQM1PUGt&#10;ZZbsEex/UN4qiBhNnqnoxUSkKkIszpsX2jwMMunKhaTGdBId3w5W3e3ugdmebkIzv+AsSE87//X0&#10;/eePb2xR5BkTtpT1kO7h6CGZhevegC9fYsH2VdLDSVK9z0xR8MNHwr0ktRWdXSzmVXHxXJsA862O&#10;nhWj40ALqzrK3SfM1I9S/6SUVhid7W+sc9WB7ebaAdvJstz6lIGp5J80F0pyiKVsOi4RUXhNTIq1&#10;if2hEqxxErviHC9G2ebffq1+/hlW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A16+WS1wAAAAgB&#10;AAAPAAAAAAAAAAEAIAAAACIAAABkcnMvZG93bnJldi54bWxQSwECFAAUAAAACACHTuJAAGpnQqoB&#10;AABUAwAADgAAAAAAAAABACAAAAAmAQAAZHJzL2Uyb0RvYy54bWxQSwUGAAAAAAYABgBZAQAAQgUA&#10;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(招标人需要增加的其他技术内容)。</w:t>
      </w:r>
    </w:p>
    <w:p w14:paraId="110124E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3.1.3资格审查资料</w:t>
      </w:r>
    </w:p>
    <w:p w14:paraId="78E3CD4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（1）“投标人基本情况表”应附投标人营业执照和组织机构代码证的复制件（按照“三证合一”或“五证合一”登记制度进行登记的，可仅提供营业执照复制件）等材料的复制件；</w:t>
      </w:r>
    </w:p>
    <w:p w14:paraId="7E333A76">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（2）法定代表人身份证明（格式见后）；</w:t>
      </w:r>
    </w:p>
    <w:p w14:paraId="218396C2">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（3）联合体协议书(如以联合体形式投标的需提供)；</w:t>
      </w:r>
    </w:p>
    <w:p w14:paraId="03C23E69">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（4）法定代表人授权委托书（若有）；</w:t>
      </w:r>
    </w:p>
    <w:p w14:paraId="1C713879">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（5）投标承诺书（格式见后）；</w:t>
      </w:r>
    </w:p>
    <w:p w14:paraId="291A6F58">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（6）投标保证金缴纳证明资料；</w:t>
      </w:r>
    </w:p>
    <w:p w14:paraId="24C73A0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sym w:font="Wingdings 2" w:char="00A3"/>
      </w:r>
      <w:r>
        <w:rPr>
          <w:rFonts w:hint="eastAsia" w:ascii="宋体" w:hAnsi="宋体" w:eastAsia="宋体" w:cs="宋体"/>
          <w:color w:val="auto"/>
          <w:position w:val="1"/>
          <w:sz w:val="24"/>
          <w:szCs w:val="24"/>
          <w:highlight w:val="none"/>
        </w:rPr>
        <w:t>（7）中小企业声明函。</w:t>
      </w:r>
    </w:p>
    <w:p w14:paraId="468197D6">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（8）其他资料：格式自拟（招标人认为需要增加的符合法律法规规定的其他实质性响应的资料）。</w:t>
      </w:r>
    </w:p>
    <w:p w14:paraId="585D89E1">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3.2</w:t>
      </w:r>
      <w:r>
        <w:rPr>
          <w:rFonts w:hint="eastAsia" w:ascii="宋体" w:hAnsi="宋体" w:eastAsia="宋体" w:cs="宋体"/>
          <w:color w:val="auto"/>
          <w:sz w:val="24"/>
          <w:szCs w:val="24"/>
          <w:highlight w:val="none"/>
        </w:rPr>
        <w:t>投标报价</w:t>
      </w:r>
    </w:p>
    <w:p w14:paraId="0B6740A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3.2.1投标人应按本招标文件中“投标文件格式”的要求填写相应表格。</w:t>
      </w:r>
    </w:p>
    <w:p w14:paraId="56E02BC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3.2.2投标人在投标截止时间前修改投标函中的投标总报价，应同时修改本招标文件中“投标文件格式”中的相应报价。此修改须符合本章第4.3款的有关要求。</w:t>
      </w:r>
    </w:p>
    <w:p w14:paraId="67E9DB66">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3.2.3招标人设有最高投标限价的，投标人的投标报价不得超过最高投标限价，最高投标限价详见投标人须知前附表。</w:t>
      </w:r>
    </w:p>
    <w:p w14:paraId="0EACD0EC">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3.2.4投标报价的其他要求详见投标人须知前附表。</w:t>
      </w:r>
    </w:p>
    <w:p w14:paraId="3703303E">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3.3</w:t>
      </w:r>
      <w:r>
        <w:rPr>
          <w:rFonts w:hint="eastAsia" w:ascii="宋体" w:hAnsi="宋体" w:eastAsia="宋体" w:cs="宋体"/>
          <w:color w:val="auto"/>
          <w:sz w:val="24"/>
          <w:szCs w:val="24"/>
          <w:highlight w:val="none"/>
        </w:rPr>
        <w:t>投标有效期</w:t>
      </w:r>
    </w:p>
    <w:p w14:paraId="0772616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3.3.1在投标人须知前附表规定的投标有效期内，投标人不得撤销其投标文件。</w:t>
      </w:r>
    </w:p>
    <w:p w14:paraId="1FD07DD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6BFA719D">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3.4</w:t>
      </w:r>
      <w:r>
        <w:rPr>
          <w:rFonts w:hint="eastAsia" w:ascii="宋体" w:hAnsi="宋体" w:eastAsia="宋体" w:cs="宋体"/>
          <w:color w:val="auto"/>
          <w:sz w:val="24"/>
          <w:szCs w:val="24"/>
          <w:highlight w:val="none"/>
        </w:rPr>
        <w:t>投标保证金</w:t>
      </w:r>
    </w:p>
    <w:p w14:paraId="38C4D4FB">
      <w:pPr>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3.4.1投标人应按投标人须知前附表规定的金额、时间及形式递交投标保证金，并作为其投标文件的组成部分。</w:t>
      </w:r>
    </w:p>
    <w:p w14:paraId="6E0A9B4E">
      <w:pPr>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提交投标保证金的，投标保证金须从投标人基本账户中转出；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14:paraId="5D9F1500">
      <w:pPr>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提交投标保险、保函、担保的，保险、保函、担保中的被担保人与投标人必须一致；联合体投标的，被担保人或投保人与联合体牵头人必须一致。保险、保函、担保中所担保的范围、金额、责任条件及有效期或保单中被保险人、保险金额、保险期限必须符合招标文件要求，否则招标人或指定机构不予接受。</w:t>
      </w:r>
    </w:p>
    <w:p w14:paraId="56B7EB50">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3.4.2投标人应按本章第3.4.1项要求提交投标保证金。</w:t>
      </w:r>
    </w:p>
    <w:p w14:paraId="3115E130">
      <w:pPr>
        <w:spacing w:line="312" w:lineRule="auto"/>
        <w:ind w:firstLine="480" w:firstLineChars="200"/>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3.4.3投标保证金的退还：</w:t>
      </w:r>
    </w:p>
    <w:p w14:paraId="5A1AD6D9">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3.4.3.1 中标人的投标保证金将在本招标项目的合同签订后5日内予以退还。</w:t>
      </w:r>
    </w:p>
    <w:p w14:paraId="1EB9CA05">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3.4.3.2未中标人的投标保证金将在本招标项目中标通知书发出后5日内予以退还。</w:t>
      </w:r>
    </w:p>
    <w:p w14:paraId="31A3B1D7">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3.4.3.3 退还的投标保证金，其利息计算执行中国人民银行规定的现行活期存款利率标准。</w:t>
      </w:r>
    </w:p>
    <w:p w14:paraId="3E523D2D">
      <w:pPr>
        <w:spacing w:line="312"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3.4.4 </w:t>
      </w:r>
      <w:r>
        <w:rPr>
          <w:rFonts w:hint="eastAsia" w:ascii="宋体" w:hAnsi="宋体" w:eastAsia="宋体" w:cs="宋体"/>
          <w:b/>
          <w:color w:val="auto"/>
          <w:sz w:val="24"/>
          <w:szCs w:val="24"/>
          <w:highlight w:val="none"/>
        </w:rPr>
        <w:t xml:space="preserve">投标人有下列情况之一时，将不予退还投标保证金： </w:t>
      </w:r>
    </w:p>
    <w:p w14:paraId="08A5D909">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3.4.4.1经查实，投标人在投标过程中存在串通投标或弄虚作假的；</w:t>
      </w:r>
    </w:p>
    <w:p w14:paraId="287999DB">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3.4.4.2在提交投标文件截止时间后到招标文件规定的投标有效期终止之前，投标人撤销其投标文件的；</w:t>
      </w:r>
    </w:p>
    <w:p w14:paraId="51B4CACA">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3.4.4.3中标人在收到中标通知书后，无正当理由不与招标人订立合同，在签订合同时向招标人提出附加条件，或者不按照招标文件要求提交履约保证金；</w:t>
      </w:r>
    </w:p>
    <w:p w14:paraId="59C84062">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3.4.4.4 以现金转账形式，转账现金不予退还；</w:t>
      </w:r>
    </w:p>
    <w:p w14:paraId="5BC303F1">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3.4.4.5 以银行保函形式，招标人作为受益人向银行提起索赔；</w:t>
      </w:r>
    </w:p>
    <w:p w14:paraId="113C8FDD">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3.4.4.6 以保证保险形式，招标人作为被保险人（受益人）向保险人提起索赔；</w:t>
      </w:r>
    </w:p>
    <w:p w14:paraId="31E48013">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3.4.4.7 以担保公司担保形式，招标人作为受益人向担保人提起索赔。</w:t>
      </w:r>
    </w:p>
    <w:p w14:paraId="394EF631">
      <w:pPr>
        <w:spacing w:line="312" w:lineRule="auto"/>
        <w:ind w:firstLine="482" w:firstLineChars="200"/>
        <w:rPr>
          <w:rFonts w:hint="eastAsia" w:ascii="宋体" w:hAnsi="宋体" w:eastAsia="宋体" w:cs="宋体"/>
          <w:strike/>
          <w:color w:val="auto"/>
          <w:position w:val="1"/>
          <w:sz w:val="24"/>
          <w:szCs w:val="24"/>
          <w:highlight w:val="none"/>
        </w:rPr>
      </w:pPr>
      <w:r>
        <w:rPr>
          <w:rFonts w:hint="eastAsia" w:ascii="宋体" w:hAnsi="宋体" w:eastAsia="宋体" w:cs="宋体"/>
          <w:b/>
          <w:strike/>
          <w:color w:val="auto"/>
          <w:sz w:val="24"/>
          <w:szCs w:val="24"/>
          <w:highlight w:val="none"/>
        </w:rPr>
        <w:t>免缴投标保证金的投标人如出现上述不予退还投标保证金的情形时，应在承诺时限内补缴全额投标保证金。</w:t>
      </w:r>
    </w:p>
    <w:p w14:paraId="3090262F">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3.5</w:t>
      </w:r>
      <w:r>
        <w:rPr>
          <w:rFonts w:hint="eastAsia" w:ascii="宋体" w:hAnsi="宋体" w:eastAsia="宋体" w:cs="宋体"/>
          <w:color w:val="auto"/>
          <w:sz w:val="24"/>
          <w:szCs w:val="24"/>
          <w:highlight w:val="none"/>
        </w:rPr>
        <w:t>资格审查资料</w:t>
      </w:r>
    </w:p>
    <w:p w14:paraId="2234A0DC">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3.5.1“投标人基本情况表”应附投标人营业执照副本等材料的复制件。</w:t>
      </w:r>
    </w:p>
    <w:p w14:paraId="1DF8E50C">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3.5.2“近年财务状况表”应附经会计师事务所审计出具的财务会计报告，包括资产负债表、现金流量表、利润表和财务情况说明书的复制件，具体年份要求见投标人须知前附表。格式自拟。</w:t>
      </w:r>
    </w:p>
    <w:p w14:paraId="1E0C4D0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3.5.3“近年完成的类似项目情况表”应附中标通知书、委托合同的复制件，具体年份要求见投标人须知前附表。每张表格只填写一个项目，并标明序号。格式自拟。</w:t>
      </w:r>
    </w:p>
    <w:p w14:paraId="44ACB6B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3.5.4“正在进行的项目和新承接的项目情况表”应附中标通知书和合同协议书复制件。每张表格只填写一个项目，并标明序号。格式自拟。</w:t>
      </w:r>
    </w:p>
    <w:p w14:paraId="01B2A190">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3.5.5“近年发生的诉讼及仲裁情况”应说明相关情况，并附法院或仲裁机构作出的判决、裁决等有关法律文书复制件，具体年份要求见投标人须知前附表。格式自拟。</w:t>
      </w:r>
    </w:p>
    <w:p w14:paraId="516791A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3.5.6投标单位应本着诚实信用的原则，提供真实可信的资格审查资料。若投标单位提供虚假资料，一经查实，除按否决投标处理外，其投标保证金不予退还。</w:t>
      </w:r>
    </w:p>
    <w:p w14:paraId="1CEACC3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3.5.7实质性响应招标文件及评审打分资料详见投标人须知前附表。</w:t>
      </w:r>
    </w:p>
    <w:p w14:paraId="74AD71C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3.6</w:t>
      </w:r>
      <w:r>
        <w:rPr>
          <w:rFonts w:hint="eastAsia" w:ascii="宋体" w:hAnsi="宋体" w:eastAsia="宋体" w:cs="宋体"/>
          <w:color w:val="auto"/>
          <w:sz w:val="24"/>
          <w:szCs w:val="24"/>
          <w:highlight w:val="none"/>
        </w:rPr>
        <w:t>备选投标方案</w:t>
      </w:r>
    </w:p>
    <w:p w14:paraId="503A352C">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14:paraId="73C9ABF9">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3.7</w:t>
      </w:r>
      <w:r>
        <w:rPr>
          <w:rFonts w:hint="eastAsia" w:ascii="宋体" w:hAnsi="宋体" w:eastAsia="宋体" w:cs="宋体"/>
          <w:color w:val="auto"/>
          <w:sz w:val="24"/>
          <w:szCs w:val="24"/>
          <w:highlight w:val="none"/>
        </w:rPr>
        <w:t>投标文件的编制</w:t>
      </w:r>
    </w:p>
    <w:p w14:paraId="2E5BE3B3">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14:paraId="0A2F61EE">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3.7.2投标文件应当对招标文件有关工期、投标有效期、质量要求、技术标准和要求、招标范围等实质性内容作出响应。</w:t>
      </w:r>
    </w:p>
    <w:p w14:paraId="2763EE5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3.7.3投标文件签字或盖章的具体要求见投标人须知前附表。</w:t>
      </w:r>
    </w:p>
    <w:p w14:paraId="14C325F3">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3.7.4投标文件份数的具体要求见投标人须知前附表。</w:t>
      </w:r>
    </w:p>
    <w:p w14:paraId="473601D1">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3.7.5电子投标的要求</w:t>
      </w:r>
    </w:p>
    <w:p w14:paraId="50341DD3">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（1）电子投标文件签字或盖章的具体要求见投标人须知前附表。</w:t>
      </w:r>
    </w:p>
    <w:p w14:paraId="1A743173">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（2）电子投标文件制作或加密要求见投标人须知前附表。</w:t>
      </w:r>
    </w:p>
    <w:p w14:paraId="0DC4241B">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（3）电子投标文件所附证书证件及业绩证明文件要求见投标人须知前附表规定。</w:t>
      </w:r>
    </w:p>
    <w:p w14:paraId="25407D47">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color w:val="auto"/>
          <w:sz w:val="24"/>
          <w:szCs w:val="24"/>
          <w:highlight w:val="none"/>
        </w:rPr>
        <w:t>投标</w:t>
      </w:r>
    </w:p>
    <w:p w14:paraId="40377A15">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4.1</w:t>
      </w:r>
      <w:r>
        <w:rPr>
          <w:rFonts w:hint="eastAsia" w:ascii="宋体" w:hAnsi="宋体" w:eastAsia="宋体" w:cs="宋体"/>
          <w:color w:val="auto"/>
          <w:sz w:val="24"/>
          <w:szCs w:val="24"/>
          <w:highlight w:val="none"/>
        </w:rPr>
        <w:t>光盘、样品等材料的包装和标记</w:t>
      </w:r>
    </w:p>
    <w:p w14:paraId="5D9835DA">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光盘、样品等材料的外包装和要求见投标人须知前附表。</w:t>
      </w:r>
    </w:p>
    <w:p w14:paraId="06D85DC4">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4.2</w:t>
      </w:r>
      <w:r>
        <w:rPr>
          <w:rFonts w:hint="eastAsia" w:ascii="宋体" w:hAnsi="宋体" w:eastAsia="宋体" w:cs="宋体"/>
          <w:color w:val="auto"/>
          <w:sz w:val="24"/>
          <w:szCs w:val="24"/>
          <w:highlight w:val="none"/>
        </w:rPr>
        <w:t>投标文件的递交</w:t>
      </w:r>
    </w:p>
    <w:p w14:paraId="68BDB171">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4.2.1投标人应在前附表第2.2.2项规定的投标截止时间前递交投标文件。</w:t>
      </w:r>
    </w:p>
    <w:p w14:paraId="6E3648F2">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4.2.2投标人递交投标文件的方式：见投标人须知前附表。</w:t>
      </w:r>
    </w:p>
    <w:p w14:paraId="724C809B">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4.2.3除投标人须知前附表另有规定外，投标人所递交的投标文件不予退还。</w:t>
      </w:r>
    </w:p>
    <w:p w14:paraId="0677676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4.2.4电子投标文件递交要求：见投标须知前附表。</w:t>
      </w:r>
    </w:p>
    <w:p w14:paraId="03D1ED57">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4.2.5电子投标文件的拒收情形：见投标须知前附表。</w:t>
      </w:r>
    </w:p>
    <w:p w14:paraId="0470301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4.3</w:t>
      </w:r>
      <w:r>
        <w:rPr>
          <w:rFonts w:hint="eastAsia" w:ascii="宋体" w:hAnsi="宋体" w:eastAsia="宋体" w:cs="宋体"/>
          <w:color w:val="auto"/>
          <w:sz w:val="24"/>
          <w:szCs w:val="24"/>
          <w:highlight w:val="none"/>
        </w:rPr>
        <w:t>投标文件的修改与撤回</w:t>
      </w:r>
    </w:p>
    <w:p w14:paraId="1D21E943">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4.3.1在前附表第2.2.2项规定的投标截止时间前，投标人可以修改或撤回已递交的投标文件，在投标截止时间以后，不能更改投标文件。</w:t>
      </w:r>
    </w:p>
    <w:p w14:paraId="0B9A17AA">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4.3.2修改的内容为投标文件的组成部分。投标人的补充修改，应按规定编制、密封、标志和递交，并在包封上标明“修改”字样。</w:t>
      </w:r>
    </w:p>
    <w:p w14:paraId="5749E20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14:paraId="4E200503">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4.4</w:t>
      </w:r>
      <w:r>
        <w:rPr>
          <w:rFonts w:hint="eastAsia" w:ascii="宋体" w:hAnsi="宋体" w:eastAsia="宋体" w:cs="宋体"/>
          <w:color w:val="auto"/>
          <w:sz w:val="24"/>
          <w:szCs w:val="24"/>
          <w:highlight w:val="none"/>
        </w:rPr>
        <w:t>投标文件的拒收情形</w:t>
      </w:r>
    </w:p>
    <w:p w14:paraId="0E54D27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详见投标人须知前附表。</w:t>
      </w:r>
    </w:p>
    <w:p w14:paraId="339603DA">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color w:val="auto"/>
          <w:sz w:val="24"/>
          <w:szCs w:val="24"/>
          <w:highlight w:val="none"/>
        </w:rPr>
        <w:t>开标程序</w:t>
      </w:r>
    </w:p>
    <w:p w14:paraId="2893E143">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5.1</w:t>
      </w:r>
      <w:r>
        <w:rPr>
          <w:rFonts w:hint="eastAsia" w:ascii="宋体" w:hAnsi="宋体" w:eastAsia="宋体" w:cs="宋体"/>
          <w:color w:val="auto"/>
          <w:sz w:val="24"/>
          <w:szCs w:val="24"/>
          <w:highlight w:val="none"/>
        </w:rPr>
        <w:t>开标时间和地点、参加开标会议的要求</w:t>
      </w:r>
    </w:p>
    <w:p w14:paraId="4A3F6EEB">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招标人在投标人须知前附表第2.2.2项规定的投标截止时间(开标时间)和投标人须知前附表规定的地点公开开标，参加开标会议的要求见投标人须知前附表。</w:t>
      </w:r>
    </w:p>
    <w:p w14:paraId="4669F893">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5.2</w:t>
      </w:r>
      <w:r>
        <w:rPr>
          <w:rFonts w:hint="eastAsia" w:ascii="宋体" w:hAnsi="宋体" w:eastAsia="宋体" w:cs="宋体"/>
          <w:color w:val="auto"/>
          <w:sz w:val="24"/>
          <w:szCs w:val="24"/>
          <w:highlight w:val="none"/>
        </w:rPr>
        <w:t>开标</w:t>
      </w:r>
    </w:p>
    <w:p w14:paraId="52CE07CF">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主持人按下列程序进行开标：</w:t>
      </w:r>
    </w:p>
    <w:p w14:paraId="6C884551">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5.2.1宣布开标开始，介绍到会单位及人员；</w:t>
      </w:r>
    </w:p>
    <w:p w14:paraId="05CDB57E">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5.2.2招标人公布投标人数量及保证金缴纳情况。若递交投标文件的单位数量少于3家，招标人公布已递交投标文件单位名称，宣布本次招标失败；</w:t>
      </w:r>
    </w:p>
    <w:p w14:paraId="07FFA11E">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5.2.3递交投标文件的投标人数量大于等于3家，进入投标文件启封或投标人解密环节。若成功解密的投标人少于3家，招标人宣布本次招标失败；</w:t>
      </w:r>
    </w:p>
    <w:p w14:paraId="5B493F74">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5.2.4评标委员会对投标人进行资格审查（资格后审）；</w:t>
      </w:r>
    </w:p>
    <w:p w14:paraId="2EABCFD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5.2.5启封技术标，评标委员会对投标人的技术标进行综合评议并打分；</w:t>
      </w:r>
    </w:p>
    <w:p w14:paraId="01031449">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5.2.6宣布各投标人技术标得分；</w:t>
      </w:r>
    </w:p>
    <w:p w14:paraId="01CCA10A">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5.2.7启封商务标，评标委员会对商务标进行评议并计算得分，宣布商务标得分；</w:t>
      </w:r>
    </w:p>
    <w:p w14:paraId="3AE6B454">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5.2.8宣布各投标人总得分；</w:t>
      </w:r>
    </w:p>
    <w:p w14:paraId="71C62F28">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5.2.9宣布中标候选人；</w:t>
      </w:r>
    </w:p>
    <w:p w14:paraId="6991EDD6">
      <w:pPr>
        <w:spacing w:line="312" w:lineRule="auto"/>
        <w:jc w:val="both"/>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5.3不见面开标软硬件要求</w:t>
      </w:r>
    </w:p>
    <w:p w14:paraId="3F8D27FC">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（一）建议电脑配置：4G以上内存，MicrosoftWindows7以上操作系统，正版office软件，及相应的配套硬件设备（摄像头、耳机、麦克风等）。</w:t>
      </w:r>
    </w:p>
    <w:p w14:paraId="688E96CC">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 50M 以上网络带宽连接。</w:t>
      </w:r>
    </w:p>
    <w:p w14:paraId="568346D2">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（三）安装浙江省公共资源交易CA签章互认驱动及开标大厅直播播放器。相关软件可在绍兴公共资源交易网（按各平台情况填写）下载专区页面下载。</w:t>
      </w:r>
    </w:p>
    <w:p w14:paraId="77EFBB73">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（四）使用MicrosoftInternetExplorer11（IE 11）及以上浏览器，加入可信任站点，添加兼容性视图设置修改 Activex控件和插件设置，关闭弹出窗口拦截。</w:t>
      </w:r>
    </w:p>
    <w:p w14:paraId="07F82E43">
      <w:pP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5.4特殊情况的处置</w:t>
      </w:r>
    </w:p>
    <w:p w14:paraId="779F1563">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5.4.1特殊情况的处置</w:t>
      </w:r>
    </w:p>
    <w:p w14:paraId="17B9A49F">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（一）因网络、系统、电力等不可抗力因素延期开标的，需更新制作投标文件并按招标文件要求重新递交。</w:t>
      </w:r>
    </w:p>
    <w:p w14:paraId="6FCEBB3E">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14:paraId="0FD436E7">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（三）投标人电脑终端的硬件设备和软件系统配置必须符合不见面开标技术要求并运行正常，否则投标人自行承担不利后果。</w:t>
      </w:r>
    </w:p>
    <w:p w14:paraId="68FAE5D3">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5.4.2开标特别说明</w:t>
      </w:r>
    </w:p>
    <w:p w14:paraId="3694C1CF">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（一）开标解密使用投标人上传的加密电子投标文件。</w:t>
      </w:r>
    </w:p>
    <w:p w14:paraId="76EF4A60">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3AB711C3">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（三）部分投标人的电子文件无法解密的，其他投标文件的开标可以继续进行。</w:t>
      </w:r>
    </w:p>
    <w:p w14:paraId="6F27C715">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03152F87">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（五）投标人应实时关注不见面开标系统页面，观看开标全过程，并根据需要，使用不见面</w:t>
      </w:r>
    </w:p>
    <w:p w14:paraId="18388911">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14:paraId="7BF618D1">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未及时登录不见面开标系统参与在线开标，投标人将无法及时获取解密指令、废标、澄清、唱标、评审结果等实时情况。投标人应自行承担由此引起的相关风险。</w:t>
      </w:r>
    </w:p>
    <w:p w14:paraId="069A90DA">
      <w:pPr>
        <w:spacing w:line="312"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5.4.3其他:见投标人须知前附表。</w:t>
      </w:r>
    </w:p>
    <w:p w14:paraId="68D0D2B6">
      <w:pPr>
        <w:widowControl w:val="0"/>
        <w:kinsoku/>
        <w:autoSpaceDE/>
        <w:autoSpaceDN/>
        <w:adjustRightInd/>
        <w:spacing w:line="312" w:lineRule="auto"/>
        <w:jc w:val="both"/>
        <w:textAlignment w:val="auto"/>
        <w:outlineLvl w:val="1"/>
        <w:rPr>
          <w:rFonts w:hint="eastAsia" w:ascii="宋体" w:hAnsi="宋体" w:eastAsia="宋体" w:cs="宋体"/>
          <w:b/>
          <w:bCs/>
          <w:snapToGrid/>
          <w:color w:val="auto"/>
          <w:kern w:val="2"/>
          <w:sz w:val="24"/>
          <w:szCs w:val="24"/>
          <w:highlight w:val="none"/>
        </w:rPr>
      </w:pPr>
      <w:bookmarkStart w:id="8" w:name="_Toc16092"/>
      <w:bookmarkStart w:id="9" w:name="_Toc24695"/>
      <w:bookmarkStart w:id="10" w:name="_Toc22922"/>
      <w:bookmarkStart w:id="11" w:name="_Toc27905"/>
      <w:bookmarkStart w:id="12" w:name="_Toc24644"/>
      <w:bookmarkStart w:id="13" w:name="_Toc25932"/>
      <w:bookmarkStart w:id="14" w:name="_Toc24156"/>
      <w:bookmarkStart w:id="15" w:name="_Toc22455"/>
      <w:bookmarkStart w:id="16" w:name="_Toc31702"/>
      <w:bookmarkStart w:id="17" w:name="_Toc462184031"/>
      <w:bookmarkStart w:id="18" w:name="_Toc9230"/>
      <w:bookmarkStart w:id="19" w:name="_Toc153981473"/>
      <w:bookmarkStart w:id="20" w:name="_Toc15636"/>
      <w:r>
        <w:rPr>
          <w:rFonts w:hint="eastAsia" w:ascii="宋体" w:hAnsi="宋体" w:eastAsia="宋体" w:cs="宋体"/>
          <w:b/>
          <w:bCs/>
          <w:snapToGrid/>
          <w:color w:val="auto"/>
          <w:kern w:val="2"/>
          <w:sz w:val="24"/>
          <w:szCs w:val="24"/>
          <w:highlight w:val="none"/>
        </w:rPr>
        <w:t>6. 评标</w:t>
      </w:r>
      <w:bookmarkEnd w:id="8"/>
      <w:bookmarkEnd w:id="9"/>
      <w:bookmarkEnd w:id="10"/>
      <w:bookmarkEnd w:id="11"/>
      <w:bookmarkEnd w:id="12"/>
      <w:bookmarkEnd w:id="13"/>
      <w:bookmarkEnd w:id="14"/>
      <w:bookmarkEnd w:id="15"/>
      <w:bookmarkEnd w:id="16"/>
      <w:bookmarkEnd w:id="17"/>
      <w:bookmarkEnd w:id="18"/>
      <w:bookmarkEnd w:id="19"/>
      <w:bookmarkEnd w:id="20"/>
    </w:p>
    <w:p w14:paraId="07C6C2BA">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21" w:name="_Toc193449944"/>
      <w:r>
        <w:rPr>
          <w:rFonts w:hint="eastAsia" w:ascii="宋体" w:hAnsi="宋体" w:eastAsia="宋体" w:cs="宋体"/>
          <w:b/>
          <w:snapToGrid/>
          <w:color w:val="auto"/>
          <w:kern w:val="2"/>
          <w:sz w:val="24"/>
          <w:szCs w:val="24"/>
          <w:highlight w:val="none"/>
        </w:rPr>
        <w:t>6.1 评标委员会</w:t>
      </w:r>
      <w:bookmarkEnd w:id="21"/>
    </w:p>
    <w:p w14:paraId="0A165B8B">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14:paraId="2AEB14B5">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 评标委员会成员有下列情形之一的，应当回避：</w:t>
      </w:r>
    </w:p>
    <w:p w14:paraId="7ECFABA6">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6.1.2.1 投标人或投标人的主要负责人及其拟派项目负责人的近亲属；</w:t>
      </w:r>
    </w:p>
    <w:p w14:paraId="6C95D573">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6.1.2.2 项目主管部门或者行政监督部门的人员：</w:t>
      </w:r>
    </w:p>
    <w:p w14:paraId="6D90A7A5">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6.1.2.3 与投标人有经济利益关系，可能影响对投标公正评审的；</w:t>
      </w:r>
    </w:p>
    <w:p w14:paraId="7DDBF11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6.1.2.4 曾因在招标、评标以及其他与招标投标有关活动中有过不良行为或从事违法行为而受过行政处罚或刑事处罚的。</w:t>
      </w:r>
    </w:p>
    <w:p w14:paraId="2B8D98DA">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22" w:name="_Toc193449945"/>
      <w:r>
        <w:rPr>
          <w:rFonts w:hint="eastAsia" w:ascii="宋体" w:hAnsi="宋体" w:eastAsia="宋体" w:cs="宋体"/>
          <w:b/>
          <w:snapToGrid/>
          <w:color w:val="auto"/>
          <w:kern w:val="2"/>
          <w:sz w:val="24"/>
          <w:szCs w:val="24"/>
          <w:highlight w:val="none"/>
        </w:rPr>
        <w:t xml:space="preserve">6.2 评标原则 </w:t>
      </w:r>
    </w:p>
    <w:p w14:paraId="20896189">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评标活动遵循公平、公正、科学、择优的原则。</w:t>
      </w:r>
    </w:p>
    <w:p w14:paraId="17C66313">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6.3 评标过程的保密</w:t>
      </w:r>
      <w:bookmarkEnd w:id="22"/>
    </w:p>
    <w:p w14:paraId="7050D9E3">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6.3.1 开标后，直至授予中标人合同为止，凡属于对投标文件的审查、澄清、评价和比较的有关资料，以及与评标有关的其他任何情况均应严格保密。</w:t>
      </w:r>
    </w:p>
    <w:p w14:paraId="6B58CD4A">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6.3.2 在投标文件的评审和比较、中标候选人推荐以及授予合同的过程中，投标人向招标人和评标委员会施加影响的任何行为，都将会导致其投标被拒绝。</w:t>
      </w:r>
    </w:p>
    <w:p w14:paraId="74BA302A">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6.3.3 中标人确定后，招标人不对未中标人就评标过程以及未能中标原因作出任何解释。</w:t>
      </w:r>
    </w:p>
    <w:p w14:paraId="026882FB">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23" w:name="_Toc193449946"/>
      <w:r>
        <w:rPr>
          <w:rFonts w:hint="eastAsia" w:ascii="宋体" w:hAnsi="宋体" w:eastAsia="宋体" w:cs="宋体"/>
          <w:b/>
          <w:snapToGrid/>
          <w:color w:val="auto"/>
          <w:kern w:val="2"/>
          <w:sz w:val="24"/>
          <w:szCs w:val="24"/>
          <w:highlight w:val="none"/>
        </w:rPr>
        <w:t>6.4 评标</w:t>
      </w:r>
      <w:bookmarkEnd w:id="23"/>
    </w:p>
    <w:p w14:paraId="67E74C80">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14:paraId="18916E75">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6.4.2评标完成后，评标委员会应当向招标人提交书面评标报告和中标候选人名单。评标委员会推荐中标候选人的人数见投标人须知前附表。</w:t>
      </w:r>
    </w:p>
    <w:p w14:paraId="25753F50">
      <w:pPr>
        <w:keepNext/>
        <w:keepLines/>
        <w:widowControl w:val="0"/>
        <w:kinsoku/>
        <w:autoSpaceDE/>
        <w:autoSpaceDN/>
        <w:adjustRightInd/>
        <w:spacing w:line="312" w:lineRule="auto"/>
        <w:jc w:val="both"/>
        <w:textAlignment w:val="auto"/>
        <w:outlineLvl w:val="1"/>
        <w:rPr>
          <w:rFonts w:hint="eastAsia" w:ascii="宋体" w:hAnsi="宋体" w:eastAsia="宋体" w:cs="宋体"/>
          <w:b/>
          <w:bCs/>
          <w:snapToGrid/>
          <w:color w:val="auto"/>
          <w:kern w:val="2"/>
          <w:sz w:val="24"/>
          <w:szCs w:val="24"/>
          <w:highlight w:val="none"/>
        </w:rPr>
      </w:pPr>
      <w:bookmarkStart w:id="24" w:name="_Toc462184032"/>
      <w:bookmarkStart w:id="25" w:name="_Toc11303"/>
      <w:bookmarkStart w:id="26" w:name="_Toc13493"/>
      <w:bookmarkStart w:id="27" w:name="_Toc17051"/>
      <w:bookmarkStart w:id="28" w:name="_Toc18956"/>
      <w:bookmarkStart w:id="29" w:name="_Toc28153"/>
      <w:bookmarkStart w:id="30" w:name="_Toc21714"/>
      <w:bookmarkStart w:id="31" w:name="_Toc29415"/>
      <w:bookmarkStart w:id="32" w:name="_Toc153981474"/>
      <w:bookmarkStart w:id="33" w:name="_Toc12652"/>
      <w:bookmarkStart w:id="34" w:name="_Toc8865"/>
      <w:bookmarkStart w:id="35" w:name="_Toc28621"/>
      <w:bookmarkStart w:id="36" w:name="_Toc7704"/>
      <w:r>
        <w:rPr>
          <w:rFonts w:hint="eastAsia" w:ascii="宋体" w:hAnsi="宋体" w:eastAsia="宋体" w:cs="宋体"/>
          <w:b/>
          <w:bCs/>
          <w:snapToGrid/>
          <w:color w:val="auto"/>
          <w:kern w:val="2"/>
          <w:sz w:val="24"/>
          <w:szCs w:val="24"/>
          <w:highlight w:val="none"/>
        </w:rPr>
        <w:t>7. 合同授予</w:t>
      </w:r>
      <w:bookmarkEnd w:id="24"/>
      <w:bookmarkEnd w:id="25"/>
      <w:bookmarkEnd w:id="26"/>
      <w:bookmarkEnd w:id="27"/>
      <w:bookmarkEnd w:id="28"/>
      <w:bookmarkEnd w:id="29"/>
      <w:bookmarkEnd w:id="30"/>
      <w:bookmarkEnd w:id="31"/>
      <w:bookmarkEnd w:id="32"/>
      <w:bookmarkEnd w:id="33"/>
      <w:bookmarkEnd w:id="34"/>
      <w:bookmarkEnd w:id="35"/>
      <w:bookmarkEnd w:id="36"/>
      <w:bookmarkStart w:id="37" w:name="_Toc193449947"/>
    </w:p>
    <w:p w14:paraId="53A218D2">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 定标方式</w:t>
      </w:r>
    </w:p>
    <w:p w14:paraId="0FC1E3AB">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4A4C9C49">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7.1.1中标候选人公示</w:t>
      </w:r>
    </w:p>
    <w:p w14:paraId="5B0739AA">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14:paraId="77A65102">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w:t>
      </w:r>
      <w:r>
        <w:rPr>
          <w:rFonts w:hint="eastAsia" w:ascii="宋体" w:hAnsi="宋体" w:eastAsia="宋体" w:cs="宋体"/>
          <w:snapToGrid/>
          <w:color w:val="auto"/>
          <w:kern w:val="2"/>
          <w:sz w:val="24"/>
          <w:szCs w:val="24"/>
          <w:highlight w:val="none"/>
          <w:lang w:val="en-US" w:eastAsia="zh-CN"/>
        </w:rPr>
        <w:t>2</w:t>
      </w:r>
      <w:r>
        <w:rPr>
          <w:rFonts w:hint="eastAsia" w:ascii="宋体" w:hAnsi="宋体" w:eastAsia="宋体" w:cs="宋体"/>
          <w:snapToGrid/>
          <w:color w:val="auto"/>
          <w:kern w:val="2"/>
          <w:sz w:val="24"/>
          <w:szCs w:val="24"/>
          <w:highlight w:val="none"/>
        </w:rPr>
        <w:t>中标人公告媒介及期限</w:t>
      </w:r>
    </w:p>
    <w:p w14:paraId="70EBF6AF">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招标人应当将中标结果情况在投标须知前附表规定的媒介上公告不少于3日。</w:t>
      </w:r>
    </w:p>
    <w:p w14:paraId="75847757">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授权评标委员会推荐中标候选人的见投标人须知前附表。</w:t>
      </w:r>
    </w:p>
    <w:p w14:paraId="435D4743">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7.2 合同授予</w:t>
      </w:r>
      <w:bookmarkEnd w:id="37"/>
    </w:p>
    <w:p w14:paraId="1EF8DDE4">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7.2.1中标候选人公示媒介及期限见投标人须知前附表。</w:t>
      </w:r>
    </w:p>
    <w:p w14:paraId="7DD6F3E3">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7.2.2本招标项目的设计合同将授予按本章第7.1条款所确定的中标人。</w:t>
      </w:r>
    </w:p>
    <w:p w14:paraId="718F13C9">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38" w:name="_Toc193449949"/>
      <w:r>
        <w:rPr>
          <w:rFonts w:hint="eastAsia" w:ascii="宋体" w:hAnsi="宋体" w:eastAsia="宋体" w:cs="宋体"/>
          <w:b/>
          <w:snapToGrid/>
          <w:color w:val="auto"/>
          <w:kern w:val="2"/>
          <w:sz w:val="24"/>
          <w:szCs w:val="24"/>
          <w:highlight w:val="none"/>
        </w:rPr>
        <w:t>7.3 中标通知书</w:t>
      </w:r>
      <w:bookmarkEnd w:id="38"/>
    </w:p>
    <w:p w14:paraId="429FD956">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7.3.1招标人将于中标人确定后15日内向中标人发出中标通知书并向招投标监管机构提交招标情况书面报告。</w:t>
      </w:r>
    </w:p>
    <w:p w14:paraId="3687824E">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7.3.2 中标通知书为合同的组成部分。</w:t>
      </w:r>
    </w:p>
    <w:p w14:paraId="1A180483">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7.4</w:t>
      </w:r>
      <w:bookmarkStart w:id="39" w:name="_Toc193449950"/>
      <w:r>
        <w:rPr>
          <w:rFonts w:hint="eastAsia" w:ascii="宋体" w:hAnsi="宋体" w:eastAsia="宋体" w:cs="宋体"/>
          <w:b/>
          <w:snapToGrid/>
          <w:color w:val="auto"/>
          <w:kern w:val="2"/>
          <w:sz w:val="24"/>
          <w:szCs w:val="24"/>
          <w:highlight w:val="none"/>
        </w:rPr>
        <w:t xml:space="preserve"> 履约</w:t>
      </w:r>
      <w:bookmarkEnd w:id="39"/>
      <w:r>
        <w:rPr>
          <w:rFonts w:hint="eastAsia" w:ascii="宋体" w:hAnsi="宋体" w:eastAsia="宋体" w:cs="宋体"/>
          <w:b/>
          <w:snapToGrid/>
          <w:color w:val="auto"/>
          <w:kern w:val="2"/>
          <w:sz w:val="24"/>
          <w:szCs w:val="24"/>
          <w:highlight w:val="none"/>
        </w:rPr>
        <w:t>保证金</w:t>
      </w:r>
    </w:p>
    <w:p w14:paraId="7F589481">
      <w:pPr>
        <w:widowControl w:val="0"/>
        <w:tabs>
          <w:tab w:val="left" w:pos="540"/>
        </w:tabs>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7.4.1 在签订合同前，中标人应按投标人须知前附表规定的金额、担保形式向招标人提交履约保证金。联合体中标的，其履约保证金以联合体牵头人名义提交。如采用履约保函形式提交担保，则中标人应提交在中国境内注册并经招标人认可的担保机构出具的银行保函 。否则，招标人将不予接受。</w:t>
      </w:r>
    </w:p>
    <w:p w14:paraId="0610BAE1">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7.4.2 若中标人不能按本章第7.4.1条款规定提交履约保证金,招标人将有充分理由废除授标，投标保证金不予退还，给招标人造成的损失超过投标保证金金额的，还应当对超过部分予以赔偿，同时依法承担相应法律责任。</w:t>
      </w:r>
    </w:p>
    <w:p w14:paraId="3D501F36">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40" w:name="_Toc193449952"/>
      <w:r>
        <w:rPr>
          <w:rFonts w:hint="eastAsia" w:ascii="宋体" w:hAnsi="宋体" w:eastAsia="宋体" w:cs="宋体"/>
          <w:b/>
          <w:snapToGrid/>
          <w:color w:val="auto"/>
          <w:kern w:val="2"/>
          <w:sz w:val="24"/>
          <w:szCs w:val="24"/>
          <w:highlight w:val="none"/>
        </w:rPr>
        <w:t xml:space="preserve">7.5 </w:t>
      </w:r>
      <w:bookmarkEnd w:id="40"/>
      <w:r>
        <w:rPr>
          <w:rFonts w:hint="eastAsia" w:ascii="宋体" w:hAnsi="宋体" w:eastAsia="宋体" w:cs="宋体"/>
          <w:b/>
          <w:snapToGrid/>
          <w:color w:val="auto"/>
          <w:kern w:val="2"/>
          <w:sz w:val="24"/>
          <w:szCs w:val="24"/>
          <w:highlight w:val="none"/>
        </w:rPr>
        <w:t>签订合同</w:t>
      </w:r>
    </w:p>
    <w:p w14:paraId="380B8156">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7.5.1 招标人与中标人将于中标通知书发出之日起30日内，根据招标文件和中标人的投标文件签订书面设计合同，招标人和中标人不得另行订立背离合同实质性内容的其他协议。</w:t>
      </w:r>
    </w:p>
    <w:p w14:paraId="607980B1">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7.5.2 招标人如无正当理由不按本章第7.5.1条款规定与中标人订立合同，或招标人迫使中标人订立背离合同实质性内容的协议，招标人将依法承担相应法律责任。</w:t>
      </w:r>
    </w:p>
    <w:p w14:paraId="672D7F4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7.5.3 中标人如无正当理由不按本章第7.5.1条款规定与招标人订立合同，招标人将废除授标，投标保证金不予退还，给招标人造成的损失超过投标保证金金额的，还应当对超过部分予以赔偿，同时依法承担相应法律责任。</w:t>
      </w:r>
    </w:p>
    <w:p w14:paraId="4A82AF06">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7.5.4 中标人应当按照合同约定履行义务，完成中标项目的设计工作，不得将中标项目的设计工作转委托给他人。 </w:t>
      </w:r>
    </w:p>
    <w:p w14:paraId="5BF47406">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w:t>
      </w:r>
      <w:r>
        <w:rPr>
          <w:rFonts w:hint="eastAsia" w:ascii="宋体" w:hAnsi="宋体" w:eastAsia="宋体" w:cs="宋体"/>
          <w:color w:val="auto"/>
          <w:sz w:val="24"/>
          <w:szCs w:val="24"/>
          <w:highlight w:val="none"/>
        </w:rPr>
        <w:t>重新招标和不再招标</w:t>
      </w:r>
    </w:p>
    <w:p w14:paraId="729C95F8">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8.1</w:t>
      </w:r>
      <w:r>
        <w:rPr>
          <w:rFonts w:hint="eastAsia" w:ascii="宋体" w:hAnsi="宋体" w:eastAsia="宋体" w:cs="宋体"/>
          <w:color w:val="auto"/>
          <w:sz w:val="24"/>
          <w:szCs w:val="24"/>
          <w:highlight w:val="none"/>
        </w:rPr>
        <w:t>重新招标</w:t>
      </w:r>
    </w:p>
    <w:p w14:paraId="3CA1E368">
      <w:pPr>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有下列情形之一的，招标人将重新招标：</w:t>
      </w:r>
    </w:p>
    <w:p w14:paraId="54059835">
      <w:pPr>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(1)投标截止时间止，投标人少于3个的；</w:t>
      </w:r>
    </w:p>
    <w:p w14:paraId="3D2D9C83">
      <w:pPr>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(2)经评标委员会评审后否决所有投标的；</w:t>
      </w:r>
    </w:p>
    <w:p w14:paraId="3A2189C7">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8.2</w:t>
      </w:r>
      <w:r>
        <w:rPr>
          <w:rFonts w:hint="eastAsia" w:ascii="宋体" w:hAnsi="宋体" w:eastAsia="宋体" w:cs="宋体"/>
          <w:color w:val="auto"/>
          <w:sz w:val="24"/>
          <w:szCs w:val="24"/>
          <w:highlight w:val="none"/>
        </w:rPr>
        <w:t>不再招标</w:t>
      </w:r>
    </w:p>
    <w:p w14:paraId="0C64FC39">
      <w:pPr>
        <w:spacing w:line="312" w:lineRule="auto"/>
        <w:ind w:firstLine="360" w:firstLineChars="15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重新招标后投标人仍少于3个的，经原审批或核准部门批准后不再进行招标。</w:t>
      </w:r>
    </w:p>
    <w:p w14:paraId="0329F11E">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w:t>
      </w:r>
      <w:r>
        <w:rPr>
          <w:rFonts w:hint="eastAsia" w:ascii="宋体" w:hAnsi="宋体" w:eastAsia="宋体" w:cs="宋体"/>
          <w:color w:val="auto"/>
          <w:sz w:val="24"/>
          <w:szCs w:val="24"/>
          <w:highlight w:val="none"/>
        </w:rPr>
        <w:t>纪律和监督</w:t>
      </w:r>
    </w:p>
    <w:p w14:paraId="7D111130">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9.1</w:t>
      </w:r>
      <w:r>
        <w:rPr>
          <w:rFonts w:hint="eastAsia" w:ascii="宋体" w:hAnsi="宋体" w:eastAsia="宋体" w:cs="宋体"/>
          <w:color w:val="auto"/>
          <w:sz w:val="24"/>
          <w:szCs w:val="24"/>
          <w:highlight w:val="none"/>
        </w:rPr>
        <w:t>对招标人的纪律要求</w:t>
      </w:r>
    </w:p>
    <w:p w14:paraId="0217E166">
      <w:pPr>
        <w:spacing w:line="312" w:lineRule="auto"/>
        <w:ind w:firstLine="476"/>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招标人不得泄漏招标投标活动中应当保密的情况和资料，不得与投标人串通损害国家利益、社会公共利益或者他人合法权益</w:t>
      </w:r>
      <w:r>
        <w:rPr>
          <w:rFonts w:hint="eastAsia" w:ascii="宋体" w:hAnsi="宋体" w:eastAsia="宋体" w:cs="宋体"/>
          <w:color w:val="auto"/>
          <w:sz w:val="24"/>
          <w:szCs w:val="24"/>
          <w:highlight w:val="none"/>
        </w:rPr>
        <w:t>。</w:t>
      </w:r>
    </w:p>
    <w:p w14:paraId="3B784566">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9.2</w:t>
      </w:r>
      <w:r>
        <w:rPr>
          <w:rFonts w:hint="eastAsia" w:ascii="宋体" w:hAnsi="宋体" w:eastAsia="宋体" w:cs="宋体"/>
          <w:color w:val="auto"/>
          <w:sz w:val="24"/>
          <w:szCs w:val="24"/>
          <w:highlight w:val="none"/>
        </w:rPr>
        <w:t>对投标人的纪律要求</w:t>
      </w:r>
    </w:p>
    <w:p w14:paraId="28554668">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03F3E07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9.3</w:t>
      </w:r>
      <w:r>
        <w:rPr>
          <w:rFonts w:hint="eastAsia" w:ascii="宋体" w:hAnsi="宋体" w:eastAsia="宋体" w:cs="宋体"/>
          <w:color w:val="auto"/>
          <w:sz w:val="24"/>
          <w:szCs w:val="24"/>
          <w:highlight w:val="none"/>
        </w:rPr>
        <w:t>对评标委员会成员的纪律要求</w:t>
      </w:r>
    </w:p>
    <w:p w14:paraId="15D679DB">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14:paraId="43E7E7B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9.4</w:t>
      </w:r>
      <w:r>
        <w:rPr>
          <w:rFonts w:hint="eastAsia" w:ascii="宋体" w:hAnsi="宋体" w:eastAsia="宋体" w:cs="宋体"/>
          <w:color w:val="auto"/>
          <w:sz w:val="24"/>
          <w:szCs w:val="24"/>
          <w:highlight w:val="none"/>
        </w:rPr>
        <w:t>对与评标活动有关的工作人员的纪律要求</w:t>
      </w:r>
    </w:p>
    <w:p w14:paraId="6C03558C">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2CBA8BAA">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9.5</w:t>
      </w:r>
      <w:r>
        <w:rPr>
          <w:rFonts w:hint="eastAsia" w:ascii="宋体" w:hAnsi="宋体" w:eastAsia="宋体" w:cs="宋体"/>
          <w:color w:val="auto"/>
          <w:sz w:val="24"/>
          <w:szCs w:val="24"/>
          <w:highlight w:val="none"/>
        </w:rPr>
        <w:t>异议与投诉</w:t>
      </w:r>
    </w:p>
    <w:p w14:paraId="7C03E261">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投标人及其他利害关系人有提出异议与投诉的权利，但应遵守国家相关法律法规，具体要求见投标人须知前附表。</w:t>
      </w:r>
    </w:p>
    <w:p w14:paraId="74684AE0">
      <w:pPr>
        <w:spacing w:line="312" w:lineRule="auto"/>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10.</w:t>
      </w:r>
      <w:r>
        <w:rPr>
          <w:rFonts w:hint="eastAsia" w:ascii="宋体" w:hAnsi="宋体" w:eastAsia="宋体" w:cs="宋体"/>
          <w:color w:val="auto"/>
          <w:sz w:val="24"/>
          <w:szCs w:val="24"/>
          <w:highlight w:val="none"/>
        </w:rPr>
        <w:t>需要补充的其他内容</w:t>
      </w:r>
    </w:p>
    <w:p w14:paraId="0955135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需要补充的其他内容：见投标人须知前附表。</w:t>
      </w:r>
    </w:p>
    <w:p w14:paraId="78BAC76C">
      <w:pPr>
        <w:spacing w:line="312" w:lineRule="auto"/>
        <w:jc w:val="both"/>
        <w:rPr>
          <w:rFonts w:hint="eastAsia" w:ascii="宋体" w:hAnsi="宋体" w:eastAsia="宋体" w:cs="宋体"/>
          <w:color w:val="auto"/>
          <w:position w:val="1"/>
          <w:sz w:val="24"/>
          <w:szCs w:val="24"/>
          <w:highlight w:val="none"/>
        </w:rPr>
      </w:pPr>
    </w:p>
    <w:p w14:paraId="388D8489">
      <w:pPr>
        <w:spacing w:line="312" w:lineRule="auto"/>
        <w:jc w:val="both"/>
        <w:rPr>
          <w:rFonts w:hint="eastAsia" w:ascii="宋体" w:hAnsi="宋体" w:eastAsia="宋体" w:cs="宋体"/>
          <w:color w:val="auto"/>
          <w:position w:val="1"/>
          <w:sz w:val="24"/>
          <w:szCs w:val="24"/>
          <w:highlight w:val="none"/>
        </w:rPr>
      </w:pPr>
    </w:p>
    <w:p w14:paraId="0081515E">
      <w:pPr>
        <w:spacing w:line="312" w:lineRule="auto"/>
        <w:jc w:val="both"/>
        <w:rPr>
          <w:rFonts w:hint="eastAsia" w:ascii="宋体" w:hAnsi="宋体" w:eastAsia="宋体" w:cs="宋体"/>
          <w:color w:val="auto"/>
          <w:position w:val="1"/>
          <w:sz w:val="24"/>
          <w:szCs w:val="24"/>
          <w:highlight w:val="none"/>
        </w:rPr>
      </w:pPr>
    </w:p>
    <w:p w14:paraId="783DDD13">
      <w:pPr>
        <w:spacing w:line="347" w:lineRule="auto"/>
        <w:jc w:val="both"/>
        <w:rPr>
          <w:rFonts w:hint="eastAsia" w:ascii="宋体" w:hAnsi="宋体" w:eastAsia="宋体" w:cs="宋体"/>
          <w:color w:val="auto"/>
          <w:position w:val="1"/>
          <w:sz w:val="24"/>
          <w:szCs w:val="24"/>
          <w:highlight w:val="none"/>
        </w:rPr>
      </w:pPr>
    </w:p>
    <w:p w14:paraId="19F32938">
      <w:pPr>
        <w:spacing w:line="347" w:lineRule="auto"/>
        <w:jc w:val="both"/>
        <w:rPr>
          <w:rFonts w:hint="eastAsia" w:ascii="宋体" w:hAnsi="宋体" w:eastAsia="宋体" w:cs="宋体"/>
          <w:color w:val="auto"/>
          <w:position w:val="1"/>
          <w:sz w:val="24"/>
          <w:szCs w:val="24"/>
          <w:highlight w:val="none"/>
        </w:rPr>
      </w:pPr>
    </w:p>
    <w:p w14:paraId="1AB5ACD3">
      <w:pPr>
        <w:spacing w:line="347" w:lineRule="auto"/>
        <w:jc w:val="both"/>
        <w:rPr>
          <w:rFonts w:hint="eastAsia" w:ascii="宋体" w:hAnsi="宋体" w:eastAsia="宋体" w:cs="宋体"/>
          <w:color w:val="auto"/>
          <w:highlight w:val="none"/>
        </w:rPr>
      </w:pPr>
    </w:p>
    <w:p w14:paraId="26329EB2">
      <w:pPr>
        <w:pageBreakBefore/>
        <w:widowControl w:val="0"/>
        <w:spacing w:before="91" w:line="221" w:lineRule="auto"/>
        <w:ind w:left="130"/>
        <w:jc w:val="both"/>
        <w:outlineLvl w:val="1"/>
        <w:rPr>
          <w:rFonts w:hint="eastAsia" w:ascii="宋体" w:hAnsi="宋体" w:eastAsia="宋体" w:cs="宋体"/>
          <w:color w:val="auto"/>
          <w:sz w:val="28"/>
          <w:szCs w:val="28"/>
          <w:highlight w:val="none"/>
        </w:rPr>
      </w:pPr>
      <w:bookmarkStart w:id="41" w:name="_bookmark5"/>
      <w:bookmarkEnd w:id="41"/>
      <w:r>
        <w:rPr>
          <w:rFonts w:hint="eastAsia" w:ascii="宋体" w:hAnsi="宋体" w:eastAsia="宋体" w:cs="宋体"/>
          <w:color w:val="auto"/>
          <w:sz w:val="28"/>
          <w:szCs w:val="28"/>
          <w:highlight w:val="none"/>
        </w:rPr>
        <w:t>附表一：开标记录表</w:t>
      </w:r>
    </w:p>
    <w:p w14:paraId="71B14B0C">
      <w:pPr>
        <w:tabs>
          <w:tab w:val="left" w:pos="3317"/>
        </w:tabs>
        <w:spacing w:before="234" w:line="229" w:lineRule="auto"/>
        <w:ind w:left="126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(项目名称)标段开标记录表</w:t>
      </w:r>
    </w:p>
    <w:p w14:paraId="3ECB087B">
      <w:pPr>
        <w:spacing w:line="286" w:lineRule="auto"/>
        <w:jc w:val="both"/>
        <w:rPr>
          <w:rFonts w:hint="eastAsia" w:ascii="宋体" w:hAnsi="宋体" w:eastAsia="宋体" w:cs="宋体"/>
          <w:color w:val="auto"/>
          <w:highlight w:val="none"/>
        </w:rPr>
      </w:pPr>
    </w:p>
    <w:p w14:paraId="3D43165D">
      <w:pPr>
        <w:spacing w:line="286" w:lineRule="auto"/>
        <w:jc w:val="both"/>
        <w:rPr>
          <w:rFonts w:hint="eastAsia" w:ascii="宋体" w:hAnsi="宋体" w:eastAsia="宋体" w:cs="宋体"/>
          <w:color w:val="auto"/>
          <w:highlight w:val="none"/>
        </w:rPr>
      </w:pPr>
    </w:p>
    <w:p w14:paraId="5969B545">
      <w:pPr>
        <w:spacing w:before="75" w:line="229"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开标地点：</w:t>
      </w:r>
    </w:p>
    <w:p w14:paraId="508C8035">
      <w:pPr>
        <w:spacing w:before="183" w:line="228"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开标时间：  年   月  日   时   分</w:t>
      </w:r>
    </w:p>
    <w:p w14:paraId="3DA80A7F">
      <w:pPr>
        <w:jc w:val="both"/>
        <w:rPr>
          <w:rFonts w:hint="eastAsia" w:ascii="宋体" w:hAnsi="宋体" w:eastAsia="宋体" w:cs="宋体"/>
          <w:color w:val="auto"/>
          <w:highlight w:val="none"/>
        </w:rPr>
      </w:pPr>
    </w:p>
    <w:p w14:paraId="4C9002EA">
      <w:pPr>
        <w:jc w:val="both"/>
        <w:rPr>
          <w:rFonts w:hint="eastAsia" w:ascii="宋体" w:hAnsi="宋体" w:eastAsia="宋体" w:cs="宋体"/>
          <w:color w:val="auto"/>
          <w:highlight w:val="none"/>
        </w:rPr>
      </w:pPr>
    </w:p>
    <w:p w14:paraId="2FDFB7E9">
      <w:pPr>
        <w:spacing w:line="54" w:lineRule="exact"/>
        <w:jc w:val="both"/>
        <w:rPr>
          <w:rFonts w:hint="eastAsia" w:ascii="宋体" w:hAnsi="宋体" w:eastAsia="宋体" w:cs="宋体"/>
          <w:color w:val="auto"/>
          <w:highlight w:val="none"/>
        </w:rPr>
      </w:pPr>
    </w:p>
    <w:tbl>
      <w:tblPr>
        <w:tblStyle w:val="48"/>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1345"/>
        <w:gridCol w:w="1045"/>
        <w:gridCol w:w="1045"/>
        <w:gridCol w:w="1952"/>
        <w:gridCol w:w="850"/>
      </w:tblGrid>
      <w:tr w14:paraId="1AC8C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413" w:hRule="atLeast"/>
        </w:trPr>
        <w:tc>
          <w:tcPr>
            <w:tcW w:w="710" w:type="dxa"/>
          </w:tcPr>
          <w:p w14:paraId="611C8A7C">
            <w:pPr>
              <w:spacing w:line="253" w:lineRule="auto"/>
              <w:jc w:val="both"/>
              <w:rPr>
                <w:rFonts w:hint="eastAsia" w:ascii="宋体" w:hAnsi="宋体" w:eastAsia="宋体" w:cs="宋体"/>
                <w:color w:val="auto"/>
                <w:highlight w:val="none"/>
              </w:rPr>
            </w:pPr>
          </w:p>
          <w:p w14:paraId="7EC70AF0">
            <w:pPr>
              <w:spacing w:line="253" w:lineRule="auto"/>
              <w:jc w:val="both"/>
              <w:rPr>
                <w:rFonts w:hint="eastAsia" w:ascii="宋体" w:hAnsi="宋体" w:eastAsia="宋体" w:cs="宋体"/>
                <w:color w:val="auto"/>
                <w:highlight w:val="none"/>
              </w:rPr>
            </w:pPr>
          </w:p>
          <w:p w14:paraId="657F152A">
            <w:pPr>
              <w:spacing w:before="75" w:line="230"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992" w:type="dxa"/>
          </w:tcPr>
          <w:p w14:paraId="62446086">
            <w:pPr>
              <w:spacing w:line="253" w:lineRule="auto"/>
              <w:jc w:val="both"/>
              <w:rPr>
                <w:rFonts w:hint="eastAsia" w:ascii="宋体" w:hAnsi="宋体" w:eastAsia="宋体" w:cs="宋体"/>
                <w:color w:val="auto"/>
                <w:highlight w:val="none"/>
              </w:rPr>
            </w:pPr>
          </w:p>
          <w:p w14:paraId="43370C4E">
            <w:pPr>
              <w:spacing w:line="255" w:lineRule="auto"/>
              <w:jc w:val="both"/>
              <w:rPr>
                <w:rFonts w:hint="eastAsia" w:ascii="宋体" w:hAnsi="宋体" w:eastAsia="宋体" w:cs="宋体"/>
                <w:color w:val="auto"/>
                <w:highlight w:val="none"/>
              </w:rPr>
            </w:pPr>
          </w:p>
          <w:p w14:paraId="09B9EE80">
            <w:pPr>
              <w:spacing w:before="74" w:line="229"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p>
        </w:tc>
        <w:tc>
          <w:tcPr>
            <w:tcW w:w="1134" w:type="dxa"/>
          </w:tcPr>
          <w:p w14:paraId="078E3292">
            <w:pPr>
              <w:spacing w:line="278" w:lineRule="auto"/>
              <w:jc w:val="both"/>
              <w:rPr>
                <w:rFonts w:hint="eastAsia" w:ascii="宋体" w:hAnsi="宋体" w:eastAsia="宋体" w:cs="宋体"/>
                <w:color w:val="auto"/>
                <w:highlight w:val="none"/>
              </w:rPr>
            </w:pPr>
          </w:p>
          <w:p w14:paraId="5C266FA3">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投标报价</w:t>
            </w:r>
          </w:p>
          <w:p w14:paraId="348B5EFB">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(元)</w:t>
            </w:r>
          </w:p>
        </w:tc>
        <w:tc>
          <w:tcPr>
            <w:tcW w:w="1345" w:type="dxa"/>
          </w:tcPr>
          <w:p w14:paraId="7FC22717">
            <w:pPr>
              <w:spacing w:line="277" w:lineRule="auto"/>
              <w:jc w:val="both"/>
              <w:rPr>
                <w:rFonts w:hint="eastAsia" w:ascii="宋体" w:hAnsi="宋体" w:eastAsia="宋体" w:cs="宋体"/>
                <w:color w:val="auto"/>
                <w:highlight w:val="none"/>
              </w:rPr>
            </w:pPr>
          </w:p>
          <w:p w14:paraId="0A35133C">
            <w:pPr>
              <w:spacing w:before="75" w:line="384" w:lineRule="auto"/>
              <w:ind w:left="410" w:right="-77" w:hanging="2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投标品牌</w:t>
            </w:r>
          </w:p>
        </w:tc>
        <w:tc>
          <w:tcPr>
            <w:tcW w:w="1045" w:type="dxa"/>
          </w:tcPr>
          <w:p w14:paraId="2607F679">
            <w:pPr>
              <w:spacing w:line="255" w:lineRule="auto"/>
              <w:jc w:val="both"/>
              <w:rPr>
                <w:rFonts w:hint="eastAsia" w:ascii="宋体" w:hAnsi="宋体" w:eastAsia="宋体" w:cs="宋体"/>
                <w:color w:val="auto"/>
                <w:highlight w:val="none"/>
              </w:rPr>
            </w:pPr>
          </w:p>
          <w:p w14:paraId="35F02E67">
            <w:pPr>
              <w:spacing w:before="75" w:line="227" w:lineRule="auto"/>
              <w:ind w:left="1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交货期</w:t>
            </w:r>
          </w:p>
        </w:tc>
        <w:tc>
          <w:tcPr>
            <w:tcW w:w="1045" w:type="dxa"/>
          </w:tcPr>
          <w:p w14:paraId="2B823337">
            <w:pPr>
              <w:spacing w:before="118" w:line="376" w:lineRule="auto"/>
              <w:ind w:left="168" w:right="160" w:firstLine="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投标保证金缴</w:t>
            </w:r>
          </w:p>
          <w:p w14:paraId="436D869E">
            <w:pPr>
              <w:spacing w:before="1" w:line="228"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纳情况</w:t>
            </w:r>
          </w:p>
        </w:tc>
        <w:tc>
          <w:tcPr>
            <w:tcW w:w="1952" w:type="dxa"/>
          </w:tcPr>
          <w:p w14:paraId="30EEFAC5">
            <w:pPr>
              <w:spacing w:line="278" w:lineRule="auto"/>
              <w:jc w:val="both"/>
              <w:rPr>
                <w:rFonts w:hint="eastAsia" w:ascii="宋体" w:hAnsi="宋体" w:eastAsia="宋体" w:cs="宋体"/>
                <w:color w:val="auto"/>
                <w:highlight w:val="none"/>
              </w:rPr>
            </w:pPr>
          </w:p>
          <w:p w14:paraId="58D30026">
            <w:pPr>
              <w:spacing w:before="75" w:line="384" w:lineRule="auto"/>
              <w:ind w:left="290" w:right="158" w:hanging="11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投标人确认</w:t>
            </w:r>
          </w:p>
        </w:tc>
        <w:tc>
          <w:tcPr>
            <w:tcW w:w="850" w:type="dxa"/>
          </w:tcPr>
          <w:p w14:paraId="445F6901">
            <w:pPr>
              <w:spacing w:line="253" w:lineRule="auto"/>
              <w:jc w:val="both"/>
              <w:rPr>
                <w:rFonts w:hint="eastAsia" w:ascii="宋体" w:hAnsi="宋体" w:eastAsia="宋体" w:cs="宋体"/>
                <w:color w:val="auto"/>
                <w:highlight w:val="none"/>
              </w:rPr>
            </w:pPr>
          </w:p>
          <w:p w14:paraId="7F507358">
            <w:pPr>
              <w:spacing w:line="253" w:lineRule="auto"/>
              <w:jc w:val="both"/>
              <w:rPr>
                <w:rFonts w:hint="eastAsia" w:ascii="宋体" w:hAnsi="宋体" w:eastAsia="宋体" w:cs="宋体"/>
                <w:color w:val="auto"/>
                <w:highlight w:val="none"/>
              </w:rPr>
            </w:pPr>
          </w:p>
          <w:p w14:paraId="7D7AE5C0">
            <w:pPr>
              <w:spacing w:before="75" w:line="230" w:lineRule="auto"/>
              <w:ind w:left="2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32AA95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14:paraId="4A746BEA">
            <w:pPr>
              <w:jc w:val="both"/>
              <w:rPr>
                <w:rFonts w:hint="eastAsia" w:ascii="宋体" w:hAnsi="宋体" w:eastAsia="宋体" w:cs="宋体"/>
                <w:color w:val="auto"/>
                <w:highlight w:val="none"/>
              </w:rPr>
            </w:pPr>
          </w:p>
        </w:tc>
        <w:tc>
          <w:tcPr>
            <w:tcW w:w="992" w:type="dxa"/>
          </w:tcPr>
          <w:p w14:paraId="1327DB95">
            <w:pPr>
              <w:jc w:val="both"/>
              <w:rPr>
                <w:rFonts w:hint="eastAsia" w:ascii="宋体" w:hAnsi="宋体" w:eastAsia="宋体" w:cs="宋体"/>
                <w:color w:val="auto"/>
                <w:highlight w:val="none"/>
              </w:rPr>
            </w:pPr>
          </w:p>
        </w:tc>
        <w:tc>
          <w:tcPr>
            <w:tcW w:w="1134" w:type="dxa"/>
          </w:tcPr>
          <w:p w14:paraId="6CA9DD3E">
            <w:pPr>
              <w:jc w:val="both"/>
              <w:rPr>
                <w:rFonts w:hint="eastAsia" w:ascii="宋体" w:hAnsi="宋体" w:eastAsia="宋体" w:cs="宋体"/>
                <w:color w:val="auto"/>
                <w:highlight w:val="none"/>
              </w:rPr>
            </w:pPr>
          </w:p>
        </w:tc>
        <w:tc>
          <w:tcPr>
            <w:tcW w:w="1345" w:type="dxa"/>
          </w:tcPr>
          <w:p w14:paraId="48AAE051">
            <w:pPr>
              <w:jc w:val="both"/>
              <w:rPr>
                <w:rFonts w:hint="eastAsia" w:ascii="宋体" w:hAnsi="宋体" w:eastAsia="宋体" w:cs="宋体"/>
                <w:color w:val="auto"/>
                <w:highlight w:val="none"/>
              </w:rPr>
            </w:pPr>
          </w:p>
        </w:tc>
        <w:tc>
          <w:tcPr>
            <w:tcW w:w="1045" w:type="dxa"/>
          </w:tcPr>
          <w:p w14:paraId="3ADFFD63">
            <w:pPr>
              <w:jc w:val="both"/>
              <w:rPr>
                <w:rFonts w:hint="eastAsia" w:ascii="宋体" w:hAnsi="宋体" w:eastAsia="宋体" w:cs="宋体"/>
                <w:color w:val="auto"/>
                <w:highlight w:val="none"/>
              </w:rPr>
            </w:pPr>
          </w:p>
        </w:tc>
        <w:tc>
          <w:tcPr>
            <w:tcW w:w="1045" w:type="dxa"/>
          </w:tcPr>
          <w:p w14:paraId="4D457DE9">
            <w:pPr>
              <w:jc w:val="both"/>
              <w:rPr>
                <w:rFonts w:hint="eastAsia" w:ascii="宋体" w:hAnsi="宋体" w:eastAsia="宋体" w:cs="宋体"/>
                <w:color w:val="auto"/>
                <w:highlight w:val="none"/>
              </w:rPr>
            </w:pPr>
          </w:p>
        </w:tc>
        <w:tc>
          <w:tcPr>
            <w:tcW w:w="1952" w:type="dxa"/>
          </w:tcPr>
          <w:p w14:paraId="1FE2809A">
            <w:pPr>
              <w:jc w:val="both"/>
              <w:rPr>
                <w:rFonts w:hint="eastAsia" w:ascii="宋体" w:hAnsi="宋体" w:eastAsia="宋体" w:cs="宋体"/>
                <w:color w:val="auto"/>
                <w:highlight w:val="none"/>
              </w:rPr>
            </w:pPr>
          </w:p>
        </w:tc>
        <w:tc>
          <w:tcPr>
            <w:tcW w:w="850" w:type="dxa"/>
          </w:tcPr>
          <w:p w14:paraId="0DD6FB2A">
            <w:pPr>
              <w:jc w:val="both"/>
              <w:rPr>
                <w:rFonts w:hint="eastAsia" w:ascii="宋体" w:hAnsi="宋体" w:eastAsia="宋体" w:cs="宋体"/>
                <w:color w:val="auto"/>
                <w:highlight w:val="none"/>
              </w:rPr>
            </w:pPr>
          </w:p>
        </w:tc>
      </w:tr>
      <w:tr w14:paraId="2C11BA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Pr>
          <w:p w14:paraId="31FE3DFC">
            <w:pPr>
              <w:jc w:val="both"/>
              <w:rPr>
                <w:rFonts w:hint="eastAsia" w:ascii="宋体" w:hAnsi="宋体" w:eastAsia="宋体" w:cs="宋体"/>
                <w:color w:val="auto"/>
                <w:highlight w:val="none"/>
              </w:rPr>
            </w:pPr>
          </w:p>
        </w:tc>
        <w:tc>
          <w:tcPr>
            <w:tcW w:w="992" w:type="dxa"/>
          </w:tcPr>
          <w:p w14:paraId="574EA2F0">
            <w:pPr>
              <w:jc w:val="both"/>
              <w:rPr>
                <w:rFonts w:hint="eastAsia" w:ascii="宋体" w:hAnsi="宋体" w:eastAsia="宋体" w:cs="宋体"/>
                <w:color w:val="auto"/>
                <w:highlight w:val="none"/>
              </w:rPr>
            </w:pPr>
          </w:p>
        </w:tc>
        <w:tc>
          <w:tcPr>
            <w:tcW w:w="1134" w:type="dxa"/>
          </w:tcPr>
          <w:p w14:paraId="2D930626">
            <w:pPr>
              <w:jc w:val="both"/>
              <w:rPr>
                <w:rFonts w:hint="eastAsia" w:ascii="宋体" w:hAnsi="宋体" w:eastAsia="宋体" w:cs="宋体"/>
                <w:color w:val="auto"/>
                <w:highlight w:val="none"/>
              </w:rPr>
            </w:pPr>
          </w:p>
        </w:tc>
        <w:tc>
          <w:tcPr>
            <w:tcW w:w="1345" w:type="dxa"/>
          </w:tcPr>
          <w:p w14:paraId="1A30CA43">
            <w:pPr>
              <w:jc w:val="both"/>
              <w:rPr>
                <w:rFonts w:hint="eastAsia" w:ascii="宋体" w:hAnsi="宋体" w:eastAsia="宋体" w:cs="宋体"/>
                <w:color w:val="auto"/>
                <w:highlight w:val="none"/>
              </w:rPr>
            </w:pPr>
          </w:p>
        </w:tc>
        <w:tc>
          <w:tcPr>
            <w:tcW w:w="1045" w:type="dxa"/>
          </w:tcPr>
          <w:p w14:paraId="308A500A">
            <w:pPr>
              <w:jc w:val="both"/>
              <w:rPr>
                <w:rFonts w:hint="eastAsia" w:ascii="宋体" w:hAnsi="宋体" w:eastAsia="宋体" w:cs="宋体"/>
                <w:color w:val="auto"/>
                <w:highlight w:val="none"/>
              </w:rPr>
            </w:pPr>
          </w:p>
        </w:tc>
        <w:tc>
          <w:tcPr>
            <w:tcW w:w="1045" w:type="dxa"/>
          </w:tcPr>
          <w:p w14:paraId="660DD751">
            <w:pPr>
              <w:jc w:val="both"/>
              <w:rPr>
                <w:rFonts w:hint="eastAsia" w:ascii="宋体" w:hAnsi="宋体" w:eastAsia="宋体" w:cs="宋体"/>
                <w:color w:val="auto"/>
                <w:highlight w:val="none"/>
              </w:rPr>
            </w:pPr>
          </w:p>
        </w:tc>
        <w:tc>
          <w:tcPr>
            <w:tcW w:w="1952" w:type="dxa"/>
          </w:tcPr>
          <w:p w14:paraId="0D74CAAA">
            <w:pPr>
              <w:jc w:val="both"/>
              <w:rPr>
                <w:rFonts w:hint="eastAsia" w:ascii="宋体" w:hAnsi="宋体" w:eastAsia="宋体" w:cs="宋体"/>
                <w:color w:val="auto"/>
                <w:highlight w:val="none"/>
              </w:rPr>
            </w:pPr>
          </w:p>
        </w:tc>
        <w:tc>
          <w:tcPr>
            <w:tcW w:w="850" w:type="dxa"/>
          </w:tcPr>
          <w:p w14:paraId="4D859FCE">
            <w:pPr>
              <w:jc w:val="both"/>
              <w:rPr>
                <w:rFonts w:hint="eastAsia" w:ascii="宋体" w:hAnsi="宋体" w:eastAsia="宋体" w:cs="宋体"/>
                <w:color w:val="auto"/>
                <w:highlight w:val="none"/>
              </w:rPr>
            </w:pPr>
          </w:p>
        </w:tc>
      </w:tr>
      <w:tr w14:paraId="26C92E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tcPr>
          <w:p w14:paraId="6A2A84E2">
            <w:pPr>
              <w:jc w:val="both"/>
              <w:rPr>
                <w:rFonts w:hint="eastAsia" w:ascii="宋体" w:hAnsi="宋体" w:eastAsia="宋体" w:cs="宋体"/>
                <w:color w:val="auto"/>
                <w:highlight w:val="none"/>
              </w:rPr>
            </w:pPr>
          </w:p>
        </w:tc>
        <w:tc>
          <w:tcPr>
            <w:tcW w:w="992" w:type="dxa"/>
          </w:tcPr>
          <w:p w14:paraId="5D2A2603">
            <w:pPr>
              <w:jc w:val="both"/>
              <w:rPr>
                <w:rFonts w:hint="eastAsia" w:ascii="宋体" w:hAnsi="宋体" w:eastAsia="宋体" w:cs="宋体"/>
                <w:color w:val="auto"/>
                <w:highlight w:val="none"/>
              </w:rPr>
            </w:pPr>
          </w:p>
        </w:tc>
        <w:tc>
          <w:tcPr>
            <w:tcW w:w="1134" w:type="dxa"/>
          </w:tcPr>
          <w:p w14:paraId="51B89E04">
            <w:pPr>
              <w:jc w:val="both"/>
              <w:rPr>
                <w:rFonts w:hint="eastAsia" w:ascii="宋体" w:hAnsi="宋体" w:eastAsia="宋体" w:cs="宋体"/>
                <w:color w:val="auto"/>
                <w:highlight w:val="none"/>
              </w:rPr>
            </w:pPr>
          </w:p>
        </w:tc>
        <w:tc>
          <w:tcPr>
            <w:tcW w:w="1345" w:type="dxa"/>
          </w:tcPr>
          <w:p w14:paraId="5B325BA4">
            <w:pPr>
              <w:jc w:val="both"/>
              <w:rPr>
                <w:rFonts w:hint="eastAsia" w:ascii="宋体" w:hAnsi="宋体" w:eastAsia="宋体" w:cs="宋体"/>
                <w:color w:val="auto"/>
                <w:highlight w:val="none"/>
              </w:rPr>
            </w:pPr>
          </w:p>
        </w:tc>
        <w:tc>
          <w:tcPr>
            <w:tcW w:w="1045" w:type="dxa"/>
          </w:tcPr>
          <w:p w14:paraId="6CB1F7EB">
            <w:pPr>
              <w:jc w:val="both"/>
              <w:rPr>
                <w:rFonts w:hint="eastAsia" w:ascii="宋体" w:hAnsi="宋体" w:eastAsia="宋体" w:cs="宋体"/>
                <w:color w:val="auto"/>
                <w:highlight w:val="none"/>
              </w:rPr>
            </w:pPr>
          </w:p>
        </w:tc>
        <w:tc>
          <w:tcPr>
            <w:tcW w:w="1045" w:type="dxa"/>
          </w:tcPr>
          <w:p w14:paraId="47392E70">
            <w:pPr>
              <w:jc w:val="both"/>
              <w:rPr>
                <w:rFonts w:hint="eastAsia" w:ascii="宋体" w:hAnsi="宋体" w:eastAsia="宋体" w:cs="宋体"/>
                <w:color w:val="auto"/>
                <w:highlight w:val="none"/>
              </w:rPr>
            </w:pPr>
          </w:p>
        </w:tc>
        <w:tc>
          <w:tcPr>
            <w:tcW w:w="1952" w:type="dxa"/>
          </w:tcPr>
          <w:p w14:paraId="57192B78">
            <w:pPr>
              <w:jc w:val="both"/>
              <w:rPr>
                <w:rFonts w:hint="eastAsia" w:ascii="宋体" w:hAnsi="宋体" w:eastAsia="宋体" w:cs="宋体"/>
                <w:color w:val="auto"/>
                <w:highlight w:val="none"/>
              </w:rPr>
            </w:pPr>
          </w:p>
        </w:tc>
        <w:tc>
          <w:tcPr>
            <w:tcW w:w="850" w:type="dxa"/>
          </w:tcPr>
          <w:p w14:paraId="6E8053E2">
            <w:pPr>
              <w:jc w:val="both"/>
              <w:rPr>
                <w:rFonts w:hint="eastAsia" w:ascii="宋体" w:hAnsi="宋体" w:eastAsia="宋体" w:cs="宋体"/>
                <w:color w:val="auto"/>
                <w:highlight w:val="none"/>
              </w:rPr>
            </w:pPr>
          </w:p>
        </w:tc>
      </w:tr>
      <w:tr w14:paraId="66B9FD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Pr>
          <w:p w14:paraId="561D75C3">
            <w:pPr>
              <w:jc w:val="both"/>
              <w:rPr>
                <w:rFonts w:hint="eastAsia" w:ascii="宋体" w:hAnsi="宋体" w:eastAsia="宋体" w:cs="宋体"/>
                <w:color w:val="auto"/>
                <w:highlight w:val="none"/>
              </w:rPr>
            </w:pPr>
          </w:p>
        </w:tc>
        <w:tc>
          <w:tcPr>
            <w:tcW w:w="992" w:type="dxa"/>
          </w:tcPr>
          <w:p w14:paraId="41671CF1">
            <w:pPr>
              <w:jc w:val="both"/>
              <w:rPr>
                <w:rFonts w:hint="eastAsia" w:ascii="宋体" w:hAnsi="宋体" w:eastAsia="宋体" w:cs="宋体"/>
                <w:color w:val="auto"/>
                <w:highlight w:val="none"/>
              </w:rPr>
            </w:pPr>
          </w:p>
        </w:tc>
        <w:tc>
          <w:tcPr>
            <w:tcW w:w="1134" w:type="dxa"/>
          </w:tcPr>
          <w:p w14:paraId="44C96A67">
            <w:pPr>
              <w:jc w:val="both"/>
              <w:rPr>
                <w:rFonts w:hint="eastAsia" w:ascii="宋体" w:hAnsi="宋体" w:eastAsia="宋体" w:cs="宋体"/>
                <w:color w:val="auto"/>
                <w:highlight w:val="none"/>
              </w:rPr>
            </w:pPr>
          </w:p>
        </w:tc>
        <w:tc>
          <w:tcPr>
            <w:tcW w:w="1345" w:type="dxa"/>
          </w:tcPr>
          <w:p w14:paraId="04BBD57D">
            <w:pPr>
              <w:jc w:val="both"/>
              <w:rPr>
                <w:rFonts w:hint="eastAsia" w:ascii="宋体" w:hAnsi="宋体" w:eastAsia="宋体" w:cs="宋体"/>
                <w:color w:val="auto"/>
                <w:highlight w:val="none"/>
              </w:rPr>
            </w:pPr>
          </w:p>
        </w:tc>
        <w:tc>
          <w:tcPr>
            <w:tcW w:w="1045" w:type="dxa"/>
          </w:tcPr>
          <w:p w14:paraId="17EA8B51">
            <w:pPr>
              <w:jc w:val="both"/>
              <w:rPr>
                <w:rFonts w:hint="eastAsia" w:ascii="宋体" w:hAnsi="宋体" w:eastAsia="宋体" w:cs="宋体"/>
                <w:color w:val="auto"/>
                <w:highlight w:val="none"/>
              </w:rPr>
            </w:pPr>
          </w:p>
        </w:tc>
        <w:tc>
          <w:tcPr>
            <w:tcW w:w="1045" w:type="dxa"/>
          </w:tcPr>
          <w:p w14:paraId="6DDF2AA5">
            <w:pPr>
              <w:jc w:val="both"/>
              <w:rPr>
                <w:rFonts w:hint="eastAsia" w:ascii="宋体" w:hAnsi="宋体" w:eastAsia="宋体" w:cs="宋体"/>
                <w:color w:val="auto"/>
                <w:highlight w:val="none"/>
              </w:rPr>
            </w:pPr>
          </w:p>
        </w:tc>
        <w:tc>
          <w:tcPr>
            <w:tcW w:w="1952" w:type="dxa"/>
          </w:tcPr>
          <w:p w14:paraId="5C276457">
            <w:pPr>
              <w:jc w:val="both"/>
              <w:rPr>
                <w:rFonts w:hint="eastAsia" w:ascii="宋体" w:hAnsi="宋体" w:eastAsia="宋体" w:cs="宋体"/>
                <w:color w:val="auto"/>
                <w:highlight w:val="none"/>
              </w:rPr>
            </w:pPr>
          </w:p>
        </w:tc>
        <w:tc>
          <w:tcPr>
            <w:tcW w:w="850" w:type="dxa"/>
          </w:tcPr>
          <w:p w14:paraId="25D56520">
            <w:pPr>
              <w:jc w:val="both"/>
              <w:rPr>
                <w:rFonts w:hint="eastAsia" w:ascii="宋体" w:hAnsi="宋体" w:eastAsia="宋体" w:cs="宋体"/>
                <w:color w:val="auto"/>
                <w:highlight w:val="none"/>
              </w:rPr>
            </w:pPr>
          </w:p>
        </w:tc>
      </w:tr>
      <w:tr w14:paraId="0EE0AA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Pr>
          <w:p w14:paraId="7C9183AC">
            <w:pPr>
              <w:jc w:val="both"/>
              <w:rPr>
                <w:rFonts w:hint="eastAsia" w:ascii="宋体" w:hAnsi="宋体" w:eastAsia="宋体" w:cs="宋体"/>
                <w:color w:val="auto"/>
                <w:highlight w:val="none"/>
              </w:rPr>
            </w:pPr>
          </w:p>
        </w:tc>
        <w:tc>
          <w:tcPr>
            <w:tcW w:w="992" w:type="dxa"/>
          </w:tcPr>
          <w:p w14:paraId="1413282D">
            <w:pPr>
              <w:jc w:val="both"/>
              <w:rPr>
                <w:rFonts w:hint="eastAsia" w:ascii="宋体" w:hAnsi="宋体" w:eastAsia="宋体" w:cs="宋体"/>
                <w:color w:val="auto"/>
                <w:highlight w:val="none"/>
              </w:rPr>
            </w:pPr>
          </w:p>
        </w:tc>
        <w:tc>
          <w:tcPr>
            <w:tcW w:w="1134" w:type="dxa"/>
          </w:tcPr>
          <w:p w14:paraId="46742CC9">
            <w:pPr>
              <w:jc w:val="both"/>
              <w:rPr>
                <w:rFonts w:hint="eastAsia" w:ascii="宋体" w:hAnsi="宋体" w:eastAsia="宋体" w:cs="宋体"/>
                <w:color w:val="auto"/>
                <w:highlight w:val="none"/>
              </w:rPr>
            </w:pPr>
          </w:p>
        </w:tc>
        <w:tc>
          <w:tcPr>
            <w:tcW w:w="1345" w:type="dxa"/>
          </w:tcPr>
          <w:p w14:paraId="2D6E4FCD">
            <w:pPr>
              <w:jc w:val="both"/>
              <w:rPr>
                <w:rFonts w:hint="eastAsia" w:ascii="宋体" w:hAnsi="宋体" w:eastAsia="宋体" w:cs="宋体"/>
                <w:color w:val="auto"/>
                <w:highlight w:val="none"/>
              </w:rPr>
            </w:pPr>
          </w:p>
        </w:tc>
        <w:tc>
          <w:tcPr>
            <w:tcW w:w="1045" w:type="dxa"/>
          </w:tcPr>
          <w:p w14:paraId="739C5F70">
            <w:pPr>
              <w:jc w:val="both"/>
              <w:rPr>
                <w:rFonts w:hint="eastAsia" w:ascii="宋体" w:hAnsi="宋体" w:eastAsia="宋体" w:cs="宋体"/>
                <w:color w:val="auto"/>
                <w:highlight w:val="none"/>
              </w:rPr>
            </w:pPr>
          </w:p>
        </w:tc>
        <w:tc>
          <w:tcPr>
            <w:tcW w:w="1045" w:type="dxa"/>
          </w:tcPr>
          <w:p w14:paraId="38C59FE6">
            <w:pPr>
              <w:jc w:val="both"/>
              <w:rPr>
                <w:rFonts w:hint="eastAsia" w:ascii="宋体" w:hAnsi="宋体" w:eastAsia="宋体" w:cs="宋体"/>
                <w:color w:val="auto"/>
                <w:highlight w:val="none"/>
              </w:rPr>
            </w:pPr>
          </w:p>
        </w:tc>
        <w:tc>
          <w:tcPr>
            <w:tcW w:w="1952" w:type="dxa"/>
          </w:tcPr>
          <w:p w14:paraId="59DB4E30">
            <w:pPr>
              <w:jc w:val="both"/>
              <w:rPr>
                <w:rFonts w:hint="eastAsia" w:ascii="宋体" w:hAnsi="宋体" w:eastAsia="宋体" w:cs="宋体"/>
                <w:color w:val="auto"/>
                <w:highlight w:val="none"/>
              </w:rPr>
            </w:pPr>
          </w:p>
        </w:tc>
        <w:tc>
          <w:tcPr>
            <w:tcW w:w="850" w:type="dxa"/>
          </w:tcPr>
          <w:p w14:paraId="27753307">
            <w:pPr>
              <w:jc w:val="both"/>
              <w:rPr>
                <w:rFonts w:hint="eastAsia" w:ascii="宋体" w:hAnsi="宋体" w:eastAsia="宋体" w:cs="宋体"/>
                <w:color w:val="auto"/>
                <w:highlight w:val="none"/>
              </w:rPr>
            </w:pPr>
          </w:p>
        </w:tc>
      </w:tr>
      <w:tr w14:paraId="447DB2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Pr>
          <w:p w14:paraId="5D64C87B">
            <w:pPr>
              <w:jc w:val="both"/>
              <w:rPr>
                <w:rFonts w:hint="eastAsia" w:ascii="宋体" w:hAnsi="宋体" w:eastAsia="宋体" w:cs="宋体"/>
                <w:color w:val="auto"/>
                <w:highlight w:val="none"/>
              </w:rPr>
            </w:pPr>
          </w:p>
        </w:tc>
        <w:tc>
          <w:tcPr>
            <w:tcW w:w="992" w:type="dxa"/>
          </w:tcPr>
          <w:p w14:paraId="111DE1C1">
            <w:pPr>
              <w:jc w:val="both"/>
              <w:rPr>
                <w:rFonts w:hint="eastAsia" w:ascii="宋体" w:hAnsi="宋体" w:eastAsia="宋体" w:cs="宋体"/>
                <w:color w:val="auto"/>
                <w:highlight w:val="none"/>
              </w:rPr>
            </w:pPr>
          </w:p>
        </w:tc>
        <w:tc>
          <w:tcPr>
            <w:tcW w:w="1134" w:type="dxa"/>
          </w:tcPr>
          <w:p w14:paraId="49683BAC">
            <w:pPr>
              <w:jc w:val="both"/>
              <w:rPr>
                <w:rFonts w:hint="eastAsia" w:ascii="宋体" w:hAnsi="宋体" w:eastAsia="宋体" w:cs="宋体"/>
                <w:color w:val="auto"/>
                <w:highlight w:val="none"/>
              </w:rPr>
            </w:pPr>
          </w:p>
        </w:tc>
        <w:tc>
          <w:tcPr>
            <w:tcW w:w="1345" w:type="dxa"/>
          </w:tcPr>
          <w:p w14:paraId="2F7B4DA7">
            <w:pPr>
              <w:jc w:val="both"/>
              <w:rPr>
                <w:rFonts w:hint="eastAsia" w:ascii="宋体" w:hAnsi="宋体" w:eastAsia="宋体" w:cs="宋体"/>
                <w:color w:val="auto"/>
                <w:highlight w:val="none"/>
              </w:rPr>
            </w:pPr>
          </w:p>
        </w:tc>
        <w:tc>
          <w:tcPr>
            <w:tcW w:w="1045" w:type="dxa"/>
          </w:tcPr>
          <w:p w14:paraId="32D5885C">
            <w:pPr>
              <w:jc w:val="both"/>
              <w:rPr>
                <w:rFonts w:hint="eastAsia" w:ascii="宋体" w:hAnsi="宋体" w:eastAsia="宋体" w:cs="宋体"/>
                <w:color w:val="auto"/>
                <w:highlight w:val="none"/>
              </w:rPr>
            </w:pPr>
          </w:p>
        </w:tc>
        <w:tc>
          <w:tcPr>
            <w:tcW w:w="1045" w:type="dxa"/>
          </w:tcPr>
          <w:p w14:paraId="1AB90B97">
            <w:pPr>
              <w:jc w:val="both"/>
              <w:rPr>
                <w:rFonts w:hint="eastAsia" w:ascii="宋体" w:hAnsi="宋体" w:eastAsia="宋体" w:cs="宋体"/>
                <w:color w:val="auto"/>
                <w:highlight w:val="none"/>
              </w:rPr>
            </w:pPr>
          </w:p>
        </w:tc>
        <w:tc>
          <w:tcPr>
            <w:tcW w:w="1952" w:type="dxa"/>
          </w:tcPr>
          <w:p w14:paraId="040A7243">
            <w:pPr>
              <w:jc w:val="both"/>
              <w:rPr>
                <w:rFonts w:hint="eastAsia" w:ascii="宋体" w:hAnsi="宋体" w:eastAsia="宋体" w:cs="宋体"/>
                <w:color w:val="auto"/>
                <w:highlight w:val="none"/>
              </w:rPr>
            </w:pPr>
          </w:p>
        </w:tc>
        <w:tc>
          <w:tcPr>
            <w:tcW w:w="850" w:type="dxa"/>
          </w:tcPr>
          <w:p w14:paraId="687D50D5">
            <w:pPr>
              <w:jc w:val="both"/>
              <w:rPr>
                <w:rFonts w:hint="eastAsia" w:ascii="宋体" w:hAnsi="宋体" w:eastAsia="宋体" w:cs="宋体"/>
                <w:color w:val="auto"/>
                <w:highlight w:val="none"/>
              </w:rPr>
            </w:pPr>
          </w:p>
        </w:tc>
      </w:tr>
      <w:tr w14:paraId="6D8F5A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tcPr>
          <w:p w14:paraId="6D307CE7">
            <w:pPr>
              <w:jc w:val="both"/>
              <w:rPr>
                <w:rFonts w:hint="eastAsia" w:ascii="宋体" w:hAnsi="宋体" w:eastAsia="宋体" w:cs="宋体"/>
                <w:color w:val="auto"/>
                <w:highlight w:val="none"/>
              </w:rPr>
            </w:pPr>
          </w:p>
        </w:tc>
        <w:tc>
          <w:tcPr>
            <w:tcW w:w="992" w:type="dxa"/>
          </w:tcPr>
          <w:p w14:paraId="2E981E9F">
            <w:pPr>
              <w:jc w:val="both"/>
              <w:rPr>
                <w:rFonts w:hint="eastAsia" w:ascii="宋体" w:hAnsi="宋体" w:eastAsia="宋体" w:cs="宋体"/>
                <w:color w:val="auto"/>
                <w:highlight w:val="none"/>
              </w:rPr>
            </w:pPr>
          </w:p>
        </w:tc>
        <w:tc>
          <w:tcPr>
            <w:tcW w:w="1134" w:type="dxa"/>
          </w:tcPr>
          <w:p w14:paraId="754DC6F0">
            <w:pPr>
              <w:jc w:val="both"/>
              <w:rPr>
                <w:rFonts w:hint="eastAsia" w:ascii="宋体" w:hAnsi="宋体" w:eastAsia="宋体" w:cs="宋体"/>
                <w:color w:val="auto"/>
                <w:highlight w:val="none"/>
              </w:rPr>
            </w:pPr>
          </w:p>
        </w:tc>
        <w:tc>
          <w:tcPr>
            <w:tcW w:w="1345" w:type="dxa"/>
          </w:tcPr>
          <w:p w14:paraId="4B01D88C">
            <w:pPr>
              <w:jc w:val="both"/>
              <w:rPr>
                <w:rFonts w:hint="eastAsia" w:ascii="宋体" w:hAnsi="宋体" w:eastAsia="宋体" w:cs="宋体"/>
                <w:color w:val="auto"/>
                <w:highlight w:val="none"/>
              </w:rPr>
            </w:pPr>
          </w:p>
        </w:tc>
        <w:tc>
          <w:tcPr>
            <w:tcW w:w="1045" w:type="dxa"/>
          </w:tcPr>
          <w:p w14:paraId="4853A6E2">
            <w:pPr>
              <w:jc w:val="both"/>
              <w:rPr>
                <w:rFonts w:hint="eastAsia" w:ascii="宋体" w:hAnsi="宋体" w:eastAsia="宋体" w:cs="宋体"/>
                <w:color w:val="auto"/>
                <w:highlight w:val="none"/>
              </w:rPr>
            </w:pPr>
          </w:p>
        </w:tc>
        <w:tc>
          <w:tcPr>
            <w:tcW w:w="1045" w:type="dxa"/>
          </w:tcPr>
          <w:p w14:paraId="563ACC05">
            <w:pPr>
              <w:jc w:val="both"/>
              <w:rPr>
                <w:rFonts w:hint="eastAsia" w:ascii="宋体" w:hAnsi="宋体" w:eastAsia="宋体" w:cs="宋体"/>
                <w:color w:val="auto"/>
                <w:highlight w:val="none"/>
              </w:rPr>
            </w:pPr>
          </w:p>
        </w:tc>
        <w:tc>
          <w:tcPr>
            <w:tcW w:w="1952" w:type="dxa"/>
          </w:tcPr>
          <w:p w14:paraId="70D80BA6">
            <w:pPr>
              <w:jc w:val="both"/>
              <w:rPr>
                <w:rFonts w:hint="eastAsia" w:ascii="宋体" w:hAnsi="宋体" w:eastAsia="宋体" w:cs="宋体"/>
                <w:color w:val="auto"/>
                <w:highlight w:val="none"/>
              </w:rPr>
            </w:pPr>
          </w:p>
        </w:tc>
        <w:tc>
          <w:tcPr>
            <w:tcW w:w="850" w:type="dxa"/>
          </w:tcPr>
          <w:p w14:paraId="5B9F331E">
            <w:pPr>
              <w:jc w:val="both"/>
              <w:rPr>
                <w:rFonts w:hint="eastAsia" w:ascii="宋体" w:hAnsi="宋体" w:eastAsia="宋体" w:cs="宋体"/>
                <w:color w:val="auto"/>
                <w:highlight w:val="none"/>
              </w:rPr>
            </w:pPr>
          </w:p>
        </w:tc>
      </w:tr>
      <w:tr w14:paraId="35D3AB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Pr>
          <w:p w14:paraId="6F401794">
            <w:pPr>
              <w:jc w:val="both"/>
              <w:rPr>
                <w:rFonts w:hint="eastAsia" w:ascii="宋体" w:hAnsi="宋体" w:eastAsia="宋体" w:cs="宋体"/>
                <w:color w:val="auto"/>
                <w:highlight w:val="none"/>
              </w:rPr>
            </w:pPr>
          </w:p>
        </w:tc>
        <w:tc>
          <w:tcPr>
            <w:tcW w:w="992" w:type="dxa"/>
          </w:tcPr>
          <w:p w14:paraId="7E062FC0">
            <w:pPr>
              <w:jc w:val="both"/>
              <w:rPr>
                <w:rFonts w:hint="eastAsia" w:ascii="宋体" w:hAnsi="宋体" w:eastAsia="宋体" w:cs="宋体"/>
                <w:color w:val="auto"/>
                <w:highlight w:val="none"/>
              </w:rPr>
            </w:pPr>
          </w:p>
        </w:tc>
        <w:tc>
          <w:tcPr>
            <w:tcW w:w="1134" w:type="dxa"/>
          </w:tcPr>
          <w:p w14:paraId="53CCD54C">
            <w:pPr>
              <w:jc w:val="both"/>
              <w:rPr>
                <w:rFonts w:hint="eastAsia" w:ascii="宋体" w:hAnsi="宋体" w:eastAsia="宋体" w:cs="宋体"/>
                <w:color w:val="auto"/>
                <w:highlight w:val="none"/>
              </w:rPr>
            </w:pPr>
          </w:p>
        </w:tc>
        <w:tc>
          <w:tcPr>
            <w:tcW w:w="1345" w:type="dxa"/>
          </w:tcPr>
          <w:p w14:paraId="1A4F82CB">
            <w:pPr>
              <w:jc w:val="both"/>
              <w:rPr>
                <w:rFonts w:hint="eastAsia" w:ascii="宋体" w:hAnsi="宋体" w:eastAsia="宋体" w:cs="宋体"/>
                <w:color w:val="auto"/>
                <w:highlight w:val="none"/>
              </w:rPr>
            </w:pPr>
          </w:p>
        </w:tc>
        <w:tc>
          <w:tcPr>
            <w:tcW w:w="1045" w:type="dxa"/>
          </w:tcPr>
          <w:p w14:paraId="48DF06C7">
            <w:pPr>
              <w:jc w:val="both"/>
              <w:rPr>
                <w:rFonts w:hint="eastAsia" w:ascii="宋体" w:hAnsi="宋体" w:eastAsia="宋体" w:cs="宋体"/>
                <w:color w:val="auto"/>
                <w:highlight w:val="none"/>
              </w:rPr>
            </w:pPr>
          </w:p>
        </w:tc>
        <w:tc>
          <w:tcPr>
            <w:tcW w:w="1045" w:type="dxa"/>
          </w:tcPr>
          <w:p w14:paraId="16F5410A">
            <w:pPr>
              <w:jc w:val="both"/>
              <w:rPr>
                <w:rFonts w:hint="eastAsia" w:ascii="宋体" w:hAnsi="宋体" w:eastAsia="宋体" w:cs="宋体"/>
                <w:color w:val="auto"/>
                <w:highlight w:val="none"/>
              </w:rPr>
            </w:pPr>
          </w:p>
        </w:tc>
        <w:tc>
          <w:tcPr>
            <w:tcW w:w="1952" w:type="dxa"/>
          </w:tcPr>
          <w:p w14:paraId="645937B9">
            <w:pPr>
              <w:jc w:val="both"/>
              <w:rPr>
                <w:rFonts w:hint="eastAsia" w:ascii="宋体" w:hAnsi="宋体" w:eastAsia="宋体" w:cs="宋体"/>
                <w:color w:val="auto"/>
                <w:highlight w:val="none"/>
              </w:rPr>
            </w:pPr>
          </w:p>
        </w:tc>
        <w:tc>
          <w:tcPr>
            <w:tcW w:w="850" w:type="dxa"/>
          </w:tcPr>
          <w:p w14:paraId="576ECA59">
            <w:pPr>
              <w:jc w:val="both"/>
              <w:rPr>
                <w:rFonts w:hint="eastAsia" w:ascii="宋体" w:hAnsi="宋体" w:eastAsia="宋体" w:cs="宋体"/>
                <w:color w:val="auto"/>
                <w:highlight w:val="none"/>
              </w:rPr>
            </w:pPr>
          </w:p>
        </w:tc>
      </w:tr>
      <w:tr w14:paraId="6F2A34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14:paraId="70EF88FF">
            <w:pPr>
              <w:jc w:val="both"/>
              <w:rPr>
                <w:rFonts w:hint="eastAsia" w:ascii="宋体" w:hAnsi="宋体" w:eastAsia="宋体" w:cs="宋体"/>
                <w:color w:val="auto"/>
                <w:highlight w:val="none"/>
              </w:rPr>
            </w:pPr>
          </w:p>
        </w:tc>
        <w:tc>
          <w:tcPr>
            <w:tcW w:w="992" w:type="dxa"/>
          </w:tcPr>
          <w:p w14:paraId="5EC1911E">
            <w:pPr>
              <w:jc w:val="both"/>
              <w:rPr>
                <w:rFonts w:hint="eastAsia" w:ascii="宋体" w:hAnsi="宋体" w:eastAsia="宋体" w:cs="宋体"/>
                <w:color w:val="auto"/>
                <w:highlight w:val="none"/>
              </w:rPr>
            </w:pPr>
          </w:p>
        </w:tc>
        <w:tc>
          <w:tcPr>
            <w:tcW w:w="1134" w:type="dxa"/>
          </w:tcPr>
          <w:p w14:paraId="2ED35251">
            <w:pPr>
              <w:jc w:val="both"/>
              <w:rPr>
                <w:rFonts w:hint="eastAsia" w:ascii="宋体" w:hAnsi="宋体" w:eastAsia="宋体" w:cs="宋体"/>
                <w:color w:val="auto"/>
                <w:highlight w:val="none"/>
              </w:rPr>
            </w:pPr>
          </w:p>
        </w:tc>
        <w:tc>
          <w:tcPr>
            <w:tcW w:w="1345" w:type="dxa"/>
          </w:tcPr>
          <w:p w14:paraId="6D4C3161">
            <w:pPr>
              <w:jc w:val="both"/>
              <w:rPr>
                <w:rFonts w:hint="eastAsia" w:ascii="宋体" w:hAnsi="宋体" w:eastAsia="宋体" w:cs="宋体"/>
                <w:color w:val="auto"/>
                <w:highlight w:val="none"/>
              </w:rPr>
            </w:pPr>
          </w:p>
        </w:tc>
        <w:tc>
          <w:tcPr>
            <w:tcW w:w="1045" w:type="dxa"/>
          </w:tcPr>
          <w:p w14:paraId="5F983ACD">
            <w:pPr>
              <w:jc w:val="both"/>
              <w:rPr>
                <w:rFonts w:hint="eastAsia" w:ascii="宋体" w:hAnsi="宋体" w:eastAsia="宋体" w:cs="宋体"/>
                <w:color w:val="auto"/>
                <w:highlight w:val="none"/>
              </w:rPr>
            </w:pPr>
          </w:p>
        </w:tc>
        <w:tc>
          <w:tcPr>
            <w:tcW w:w="1045" w:type="dxa"/>
          </w:tcPr>
          <w:p w14:paraId="649CD02F">
            <w:pPr>
              <w:jc w:val="both"/>
              <w:rPr>
                <w:rFonts w:hint="eastAsia" w:ascii="宋体" w:hAnsi="宋体" w:eastAsia="宋体" w:cs="宋体"/>
                <w:color w:val="auto"/>
                <w:highlight w:val="none"/>
              </w:rPr>
            </w:pPr>
          </w:p>
        </w:tc>
        <w:tc>
          <w:tcPr>
            <w:tcW w:w="1952" w:type="dxa"/>
          </w:tcPr>
          <w:p w14:paraId="12F56DE0">
            <w:pPr>
              <w:jc w:val="both"/>
              <w:rPr>
                <w:rFonts w:hint="eastAsia" w:ascii="宋体" w:hAnsi="宋体" w:eastAsia="宋体" w:cs="宋体"/>
                <w:color w:val="auto"/>
                <w:highlight w:val="none"/>
              </w:rPr>
            </w:pPr>
          </w:p>
        </w:tc>
        <w:tc>
          <w:tcPr>
            <w:tcW w:w="850" w:type="dxa"/>
          </w:tcPr>
          <w:p w14:paraId="00C1B0B8">
            <w:pPr>
              <w:jc w:val="both"/>
              <w:rPr>
                <w:rFonts w:hint="eastAsia" w:ascii="宋体" w:hAnsi="宋体" w:eastAsia="宋体" w:cs="宋体"/>
                <w:color w:val="auto"/>
                <w:highlight w:val="none"/>
              </w:rPr>
            </w:pPr>
          </w:p>
        </w:tc>
      </w:tr>
      <w:tr w14:paraId="6B76F9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Pr>
          <w:p w14:paraId="3983D95C">
            <w:pPr>
              <w:jc w:val="both"/>
              <w:rPr>
                <w:rFonts w:hint="eastAsia" w:ascii="宋体" w:hAnsi="宋体" w:eastAsia="宋体" w:cs="宋体"/>
                <w:color w:val="auto"/>
                <w:highlight w:val="none"/>
              </w:rPr>
            </w:pPr>
          </w:p>
        </w:tc>
        <w:tc>
          <w:tcPr>
            <w:tcW w:w="992" w:type="dxa"/>
          </w:tcPr>
          <w:p w14:paraId="1F0A491E">
            <w:pPr>
              <w:jc w:val="both"/>
              <w:rPr>
                <w:rFonts w:hint="eastAsia" w:ascii="宋体" w:hAnsi="宋体" w:eastAsia="宋体" w:cs="宋体"/>
                <w:color w:val="auto"/>
                <w:highlight w:val="none"/>
              </w:rPr>
            </w:pPr>
          </w:p>
        </w:tc>
        <w:tc>
          <w:tcPr>
            <w:tcW w:w="1134" w:type="dxa"/>
          </w:tcPr>
          <w:p w14:paraId="637F9355">
            <w:pPr>
              <w:jc w:val="both"/>
              <w:rPr>
                <w:rFonts w:hint="eastAsia" w:ascii="宋体" w:hAnsi="宋体" w:eastAsia="宋体" w:cs="宋体"/>
                <w:color w:val="auto"/>
                <w:highlight w:val="none"/>
              </w:rPr>
            </w:pPr>
          </w:p>
        </w:tc>
        <w:tc>
          <w:tcPr>
            <w:tcW w:w="1345" w:type="dxa"/>
          </w:tcPr>
          <w:p w14:paraId="19ADE69C">
            <w:pPr>
              <w:jc w:val="both"/>
              <w:rPr>
                <w:rFonts w:hint="eastAsia" w:ascii="宋体" w:hAnsi="宋体" w:eastAsia="宋体" w:cs="宋体"/>
                <w:color w:val="auto"/>
                <w:highlight w:val="none"/>
              </w:rPr>
            </w:pPr>
          </w:p>
        </w:tc>
        <w:tc>
          <w:tcPr>
            <w:tcW w:w="1045" w:type="dxa"/>
          </w:tcPr>
          <w:p w14:paraId="24AB7BB5">
            <w:pPr>
              <w:jc w:val="both"/>
              <w:rPr>
                <w:rFonts w:hint="eastAsia" w:ascii="宋体" w:hAnsi="宋体" w:eastAsia="宋体" w:cs="宋体"/>
                <w:color w:val="auto"/>
                <w:highlight w:val="none"/>
              </w:rPr>
            </w:pPr>
          </w:p>
        </w:tc>
        <w:tc>
          <w:tcPr>
            <w:tcW w:w="1045" w:type="dxa"/>
          </w:tcPr>
          <w:p w14:paraId="7185E12D">
            <w:pPr>
              <w:jc w:val="both"/>
              <w:rPr>
                <w:rFonts w:hint="eastAsia" w:ascii="宋体" w:hAnsi="宋体" w:eastAsia="宋体" w:cs="宋体"/>
                <w:color w:val="auto"/>
                <w:highlight w:val="none"/>
              </w:rPr>
            </w:pPr>
          </w:p>
        </w:tc>
        <w:tc>
          <w:tcPr>
            <w:tcW w:w="1952" w:type="dxa"/>
          </w:tcPr>
          <w:p w14:paraId="7CBF4BA1">
            <w:pPr>
              <w:jc w:val="both"/>
              <w:rPr>
                <w:rFonts w:hint="eastAsia" w:ascii="宋体" w:hAnsi="宋体" w:eastAsia="宋体" w:cs="宋体"/>
                <w:color w:val="auto"/>
                <w:highlight w:val="none"/>
              </w:rPr>
            </w:pPr>
          </w:p>
        </w:tc>
        <w:tc>
          <w:tcPr>
            <w:tcW w:w="850" w:type="dxa"/>
          </w:tcPr>
          <w:p w14:paraId="6358A3F7">
            <w:pPr>
              <w:jc w:val="both"/>
              <w:rPr>
                <w:rFonts w:hint="eastAsia" w:ascii="宋体" w:hAnsi="宋体" w:eastAsia="宋体" w:cs="宋体"/>
                <w:color w:val="auto"/>
                <w:highlight w:val="none"/>
              </w:rPr>
            </w:pPr>
          </w:p>
        </w:tc>
      </w:tr>
      <w:tr w14:paraId="5C0658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14:paraId="713EE39A">
            <w:pPr>
              <w:jc w:val="both"/>
              <w:rPr>
                <w:rFonts w:hint="eastAsia" w:ascii="宋体" w:hAnsi="宋体" w:eastAsia="宋体" w:cs="宋体"/>
                <w:color w:val="auto"/>
                <w:highlight w:val="none"/>
              </w:rPr>
            </w:pPr>
          </w:p>
        </w:tc>
        <w:tc>
          <w:tcPr>
            <w:tcW w:w="992" w:type="dxa"/>
          </w:tcPr>
          <w:p w14:paraId="65F5DCC9">
            <w:pPr>
              <w:jc w:val="both"/>
              <w:rPr>
                <w:rFonts w:hint="eastAsia" w:ascii="宋体" w:hAnsi="宋体" w:eastAsia="宋体" w:cs="宋体"/>
                <w:color w:val="auto"/>
                <w:highlight w:val="none"/>
              </w:rPr>
            </w:pPr>
          </w:p>
        </w:tc>
        <w:tc>
          <w:tcPr>
            <w:tcW w:w="1134" w:type="dxa"/>
          </w:tcPr>
          <w:p w14:paraId="28D90BF7">
            <w:pPr>
              <w:jc w:val="both"/>
              <w:rPr>
                <w:rFonts w:hint="eastAsia" w:ascii="宋体" w:hAnsi="宋体" w:eastAsia="宋体" w:cs="宋体"/>
                <w:color w:val="auto"/>
                <w:highlight w:val="none"/>
              </w:rPr>
            </w:pPr>
          </w:p>
        </w:tc>
        <w:tc>
          <w:tcPr>
            <w:tcW w:w="1345" w:type="dxa"/>
          </w:tcPr>
          <w:p w14:paraId="38F2720A">
            <w:pPr>
              <w:jc w:val="both"/>
              <w:rPr>
                <w:rFonts w:hint="eastAsia" w:ascii="宋体" w:hAnsi="宋体" w:eastAsia="宋体" w:cs="宋体"/>
                <w:color w:val="auto"/>
                <w:highlight w:val="none"/>
              </w:rPr>
            </w:pPr>
          </w:p>
        </w:tc>
        <w:tc>
          <w:tcPr>
            <w:tcW w:w="1045" w:type="dxa"/>
          </w:tcPr>
          <w:p w14:paraId="6B83F86E">
            <w:pPr>
              <w:jc w:val="both"/>
              <w:rPr>
                <w:rFonts w:hint="eastAsia" w:ascii="宋体" w:hAnsi="宋体" w:eastAsia="宋体" w:cs="宋体"/>
                <w:color w:val="auto"/>
                <w:highlight w:val="none"/>
              </w:rPr>
            </w:pPr>
          </w:p>
        </w:tc>
        <w:tc>
          <w:tcPr>
            <w:tcW w:w="1045" w:type="dxa"/>
          </w:tcPr>
          <w:p w14:paraId="57D14758">
            <w:pPr>
              <w:jc w:val="both"/>
              <w:rPr>
                <w:rFonts w:hint="eastAsia" w:ascii="宋体" w:hAnsi="宋体" w:eastAsia="宋体" w:cs="宋体"/>
                <w:color w:val="auto"/>
                <w:highlight w:val="none"/>
              </w:rPr>
            </w:pPr>
          </w:p>
        </w:tc>
        <w:tc>
          <w:tcPr>
            <w:tcW w:w="1952" w:type="dxa"/>
          </w:tcPr>
          <w:p w14:paraId="71C17654">
            <w:pPr>
              <w:jc w:val="both"/>
              <w:rPr>
                <w:rFonts w:hint="eastAsia" w:ascii="宋体" w:hAnsi="宋体" w:eastAsia="宋体" w:cs="宋体"/>
                <w:color w:val="auto"/>
                <w:highlight w:val="none"/>
              </w:rPr>
            </w:pPr>
          </w:p>
        </w:tc>
        <w:tc>
          <w:tcPr>
            <w:tcW w:w="850" w:type="dxa"/>
          </w:tcPr>
          <w:p w14:paraId="29370DFD">
            <w:pPr>
              <w:jc w:val="both"/>
              <w:rPr>
                <w:rFonts w:hint="eastAsia" w:ascii="宋体" w:hAnsi="宋体" w:eastAsia="宋体" w:cs="宋体"/>
                <w:color w:val="auto"/>
                <w:highlight w:val="none"/>
              </w:rPr>
            </w:pPr>
          </w:p>
        </w:tc>
      </w:tr>
      <w:tr w14:paraId="43A1ED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tcPr>
          <w:p w14:paraId="4F656A99">
            <w:pPr>
              <w:jc w:val="both"/>
              <w:rPr>
                <w:rFonts w:hint="eastAsia" w:ascii="宋体" w:hAnsi="宋体" w:eastAsia="宋体" w:cs="宋体"/>
                <w:color w:val="auto"/>
                <w:highlight w:val="none"/>
              </w:rPr>
            </w:pPr>
          </w:p>
        </w:tc>
        <w:tc>
          <w:tcPr>
            <w:tcW w:w="992" w:type="dxa"/>
          </w:tcPr>
          <w:p w14:paraId="2E9BB6E9">
            <w:pPr>
              <w:jc w:val="both"/>
              <w:rPr>
                <w:rFonts w:hint="eastAsia" w:ascii="宋体" w:hAnsi="宋体" w:eastAsia="宋体" w:cs="宋体"/>
                <w:color w:val="auto"/>
                <w:highlight w:val="none"/>
              </w:rPr>
            </w:pPr>
          </w:p>
        </w:tc>
        <w:tc>
          <w:tcPr>
            <w:tcW w:w="1134" w:type="dxa"/>
          </w:tcPr>
          <w:p w14:paraId="4C9B2DEF">
            <w:pPr>
              <w:jc w:val="both"/>
              <w:rPr>
                <w:rFonts w:hint="eastAsia" w:ascii="宋体" w:hAnsi="宋体" w:eastAsia="宋体" w:cs="宋体"/>
                <w:color w:val="auto"/>
                <w:highlight w:val="none"/>
              </w:rPr>
            </w:pPr>
          </w:p>
        </w:tc>
        <w:tc>
          <w:tcPr>
            <w:tcW w:w="1345" w:type="dxa"/>
          </w:tcPr>
          <w:p w14:paraId="36507BAD">
            <w:pPr>
              <w:jc w:val="both"/>
              <w:rPr>
                <w:rFonts w:hint="eastAsia" w:ascii="宋体" w:hAnsi="宋体" w:eastAsia="宋体" w:cs="宋体"/>
                <w:color w:val="auto"/>
                <w:highlight w:val="none"/>
              </w:rPr>
            </w:pPr>
          </w:p>
        </w:tc>
        <w:tc>
          <w:tcPr>
            <w:tcW w:w="1045" w:type="dxa"/>
          </w:tcPr>
          <w:p w14:paraId="5301F964">
            <w:pPr>
              <w:jc w:val="both"/>
              <w:rPr>
                <w:rFonts w:hint="eastAsia" w:ascii="宋体" w:hAnsi="宋体" w:eastAsia="宋体" w:cs="宋体"/>
                <w:color w:val="auto"/>
                <w:highlight w:val="none"/>
              </w:rPr>
            </w:pPr>
          </w:p>
        </w:tc>
        <w:tc>
          <w:tcPr>
            <w:tcW w:w="1045" w:type="dxa"/>
          </w:tcPr>
          <w:p w14:paraId="4C58C213">
            <w:pPr>
              <w:jc w:val="both"/>
              <w:rPr>
                <w:rFonts w:hint="eastAsia" w:ascii="宋体" w:hAnsi="宋体" w:eastAsia="宋体" w:cs="宋体"/>
                <w:color w:val="auto"/>
                <w:highlight w:val="none"/>
              </w:rPr>
            </w:pPr>
          </w:p>
        </w:tc>
        <w:tc>
          <w:tcPr>
            <w:tcW w:w="1952" w:type="dxa"/>
          </w:tcPr>
          <w:p w14:paraId="7CA85A5D">
            <w:pPr>
              <w:jc w:val="both"/>
              <w:rPr>
                <w:rFonts w:hint="eastAsia" w:ascii="宋体" w:hAnsi="宋体" w:eastAsia="宋体" w:cs="宋体"/>
                <w:color w:val="auto"/>
                <w:highlight w:val="none"/>
              </w:rPr>
            </w:pPr>
          </w:p>
        </w:tc>
        <w:tc>
          <w:tcPr>
            <w:tcW w:w="850" w:type="dxa"/>
          </w:tcPr>
          <w:p w14:paraId="0A710992">
            <w:pPr>
              <w:jc w:val="both"/>
              <w:rPr>
                <w:rFonts w:hint="eastAsia" w:ascii="宋体" w:hAnsi="宋体" w:eastAsia="宋体" w:cs="宋体"/>
                <w:color w:val="auto"/>
                <w:highlight w:val="none"/>
              </w:rPr>
            </w:pPr>
          </w:p>
        </w:tc>
      </w:tr>
    </w:tbl>
    <w:p w14:paraId="0CBF99EB">
      <w:pPr>
        <w:spacing w:line="291" w:lineRule="auto"/>
        <w:jc w:val="both"/>
        <w:rPr>
          <w:rFonts w:hint="eastAsia" w:ascii="宋体" w:hAnsi="宋体" w:eastAsia="宋体" w:cs="宋体"/>
          <w:color w:val="auto"/>
          <w:highlight w:val="none"/>
        </w:rPr>
      </w:pPr>
    </w:p>
    <w:p w14:paraId="4C7C506A">
      <w:pPr>
        <w:spacing w:line="292" w:lineRule="auto"/>
        <w:jc w:val="both"/>
        <w:rPr>
          <w:rFonts w:hint="eastAsia" w:ascii="宋体" w:hAnsi="宋体" w:eastAsia="宋体" w:cs="宋体"/>
          <w:color w:val="auto"/>
          <w:highlight w:val="none"/>
        </w:rPr>
      </w:pPr>
    </w:p>
    <w:p w14:paraId="2CE2DDEC">
      <w:pPr>
        <w:tabs>
          <w:tab w:val="left" w:pos="6520"/>
        </w:tabs>
        <w:spacing w:before="75" w:line="503" w:lineRule="auto"/>
        <w:ind w:left="5429" w:hanging="535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招标人代表：</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记录人：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监标人：</w:t>
      </w:r>
      <w:r>
        <w:rPr>
          <w:rFonts w:hint="eastAsia" w:ascii="宋体" w:hAnsi="宋体" w:eastAsia="宋体" w:cs="宋体"/>
          <w:color w:val="auto"/>
          <w:sz w:val="23"/>
          <w:szCs w:val="23"/>
          <w:highlight w:val="none"/>
          <w:u w:val="single"/>
        </w:rPr>
        <w:t xml:space="preserve">   </w:t>
      </w:r>
    </w:p>
    <w:p w14:paraId="63F07A21">
      <w:pPr>
        <w:tabs>
          <w:tab w:val="left" w:pos="6520"/>
        </w:tabs>
        <w:spacing w:before="75" w:line="503" w:lineRule="auto"/>
        <w:ind w:left="5429" w:hanging="5357"/>
        <w:jc w:val="righ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06741B10">
      <w:pPr>
        <w:jc w:val="right"/>
        <w:rPr>
          <w:rFonts w:hint="eastAsia" w:ascii="宋体" w:hAnsi="宋体" w:eastAsia="宋体" w:cs="宋体"/>
          <w:color w:val="auto"/>
          <w:highlight w:val="none"/>
        </w:rPr>
        <w:sectPr>
          <w:footerReference r:id="rId9" w:type="default"/>
          <w:pgSz w:w="11906" w:h="16839"/>
          <w:pgMar w:top="1418" w:right="1559" w:bottom="1418" w:left="1474" w:header="0" w:footer="1035" w:gutter="0"/>
          <w:cols w:space="720" w:num="1"/>
        </w:sectPr>
      </w:pPr>
    </w:p>
    <w:p w14:paraId="3CBC3EBB">
      <w:pPr>
        <w:spacing w:line="347" w:lineRule="auto"/>
        <w:jc w:val="both"/>
        <w:rPr>
          <w:rFonts w:hint="eastAsia" w:ascii="宋体" w:hAnsi="宋体" w:eastAsia="宋体" w:cs="宋体"/>
          <w:color w:val="auto"/>
          <w:highlight w:val="none"/>
        </w:rPr>
      </w:pPr>
    </w:p>
    <w:p w14:paraId="5A222541">
      <w:pPr>
        <w:spacing w:before="91" w:line="220" w:lineRule="auto"/>
        <w:ind w:left="312"/>
        <w:jc w:val="both"/>
        <w:outlineLvl w:val="1"/>
        <w:rPr>
          <w:rFonts w:hint="eastAsia" w:ascii="宋体" w:hAnsi="宋体" w:eastAsia="宋体" w:cs="宋体"/>
          <w:color w:val="auto"/>
          <w:sz w:val="28"/>
          <w:szCs w:val="28"/>
          <w:highlight w:val="none"/>
        </w:rPr>
      </w:pPr>
      <w:bookmarkStart w:id="42" w:name="_bookmark6"/>
      <w:bookmarkEnd w:id="42"/>
      <w:r>
        <w:rPr>
          <w:rFonts w:hint="eastAsia" w:ascii="宋体" w:hAnsi="宋体" w:eastAsia="宋体" w:cs="宋体"/>
          <w:color w:val="auto"/>
          <w:sz w:val="28"/>
          <w:szCs w:val="28"/>
          <w:highlight w:val="none"/>
        </w:rPr>
        <w:t>附表二：问题澄清通知</w:t>
      </w:r>
    </w:p>
    <w:p w14:paraId="2A75651B">
      <w:pPr>
        <w:spacing w:line="331" w:lineRule="auto"/>
        <w:jc w:val="both"/>
        <w:rPr>
          <w:rFonts w:hint="eastAsia" w:ascii="宋体" w:hAnsi="宋体" w:eastAsia="宋体" w:cs="宋体"/>
          <w:color w:val="auto"/>
          <w:highlight w:val="none"/>
        </w:rPr>
      </w:pPr>
    </w:p>
    <w:p w14:paraId="3E50A40A">
      <w:pPr>
        <w:spacing w:line="332" w:lineRule="auto"/>
        <w:jc w:val="both"/>
        <w:rPr>
          <w:rFonts w:hint="eastAsia" w:ascii="宋体" w:hAnsi="宋体" w:eastAsia="宋体" w:cs="宋体"/>
          <w:color w:val="auto"/>
          <w:highlight w:val="none"/>
        </w:rPr>
      </w:pPr>
    </w:p>
    <w:p w14:paraId="50179084">
      <w:pPr>
        <w:spacing w:before="91" w:line="221" w:lineRule="auto"/>
        <w:ind w:left="3845"/>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问题澄清通知</w:t>
      </w:r>
    </w:p>
    <w:p w14:paraId="7916DADD">
      <w:pPr>
        <w:spacing w:before="287" w:line="221" w:lineRule="auto"/>
        <w:ind w:left="3957"/>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编号：</w:t>
      </w:r>
    </w:p>
    <w:p w14:paraId="53EF8FE5">
      <w:pPr>
        <w:spacing w:line="349" w:lineRule="auto"/>
        <w:jc w:val="both"/>
        <w:rPr>
          <w:rFonts w:hint="eastAsia" w:ascii="宋体" w:hAnsi="宋体" w:eastAsia="宋体" w:cs="宋体"/>
          <w:color w:val="auto"/>
          <w:highlight w:val="none"/>
        </w:rPr>
      </w:pPr>
    </w:p>
    <w:p w14:paraId="79876941">
      <w:pPr>
        <w:spacing w:line="349" w:lineRule="auto"/>
        <w:jc w:val="both"/>
        <w:rPr>
          <w:rFonts w:hint="eastAsia" w:ascii="宋体" w:hAnsi="宋体" w:eastAsia="宋体" w:cs="宋体"/>
          <w:color w:val="auto"/>
          <w:highlight w:val="none"/>
        </w:rPr>
      </w:pPr>
    </w:p>
    <w:p w14:paraId="2F864767">
      <w:pPr>
        <w:tabs>
          <w:tab w:val="left" w:pos="197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(投标人名称):</w:t>
      </w:r>
    </w:p>
    <w:p w14:paraId="7447BA39">
      <w:pPr>
        <w:tabs>
          <w:tab w:val="left" w:pos="1558"/>
        </w:tabs>
        <w:spacing w:before="226" w:line="377" w:lineRule="auto"/>
        <w:ind w:left="10" w:right="72" w:firstLine="54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(项目名称)标段招标的评标委员会，对你方的投标文件进行了仔细的审查，现需你方对下列问题以书面形式予以澄清：</w:t>
      </w:r>
    </w:p>
    <w:p w14:paraId="721AE782">
      <w:pPr>
        <w:spacing w:before="18" w:line="563" w:lineRule="exact"/>
        <w:ind w:left="591"/>
        <w:jc w:val="both"/>
        <w:rPr>
          <w:rFonts w:hint="eastAsia" w:ascii="宋体" w:hAnsi="宋体" w:eastAsia="宋体" w:cs="宋体"/>
          <w:color w:val="auto"/>
          <w:sz w:val="24"/>
          <w:szCs w:val="24"/>
          <w:highlight w:val="none"/>
        </w:rPr>
      </w:pPr>
      <w:r>
        <w:rPr>
          <w:rFonts w:hint="eastAsia" w:ascii="宋体" w:hAnsi="宋体" w:eastAsia="宋体" w:cs="宋体"/>
          <w:color w:val="auto"/>
          <w:position w:val="25"/>
          <w:sz w:val="24"/>
          <w:szCs w:val="24"/>
          <w:highlight w:val="none"/>
        </w:rPr>
        <w:t>1.</w:t>
      </w:r>
    </w:p>
    <w:p w14:paraId="4DB7935F">
      <w:pPr>
        <w:spacing w:line="186" w:lineRule="auto"/>
        <w:ind w:left="57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69A629C7">
      <w:pPr>
        <w:spacing w:before="232" w:line="443" w:lineRule="exact"/>
        <w:ind w:left="588"/>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4FFB76E2">
      <w:pPr>
        <w:spacing w:before="116" w:line="379" w:lineRule="auto"/>
        <w:ind w:left="12" w:right="72" w:firstLine="55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请将上述问题的澄清于年月日时前反馈。</w:t>
      </w:r>
    </w:p>
    <w:p w14:paraId="700CB422">
      <w:pPr>
        <w:spacing w:line="248" w:lineRule="auto"/>
        <w:jc w:val="both"/>
        <w:rPr>
          <w:rFonts w:hint="eastAsia" w:ascii="宋体" w:hAnsi="宋体" w:eastAsia="宋体" w:cs="宋体"/>
          <w:color w:val="auto"/>
          <w:sz w:val="24"/>
          <w:szCs w:val="24"/>
          <w:highlight w:val="none"/>
        </w:rPr>
      </w:pPr>
    </w:p>
    <w:p w14:paraId="7BCDD2D5">
      <w:pPr>
        <w:spacing w:line="249" w:lineRule="auto"/>
        <w:jc w:val="both"/>
        <w:rPr>
          <w:rFonts w:hint="eastAsia" w:ascii="宋体" w:hAnsi="宋体" w:eastAsia="宋体" w:cs="宋体"/>
          <w:color w:val="auto"/>
          <w:sz w:val="24"/>
          <w:szCs w:val="24"/>
          <w:highlight w:val="none"/>
        </w:rPr>
      </w:pPr>
    </w:p>
    <w:p w14:paraId="3D27C04E">
      <w:pPr>
        <w:spacing w:line="249" w:lineRule="auto"/>
        <w:jc w:val="both"/>
        <w:rPr>
          <w:rFonts w:hint="eastAsia" w:ascii="宋体" w:hAnsi="宋体" w:eastAsia="宋体" w:cs="宋体"/>
          <w:color w:val="auto"/>
          <w:sz w:val="24"/>
          <w:szCs w:val="24"/>
          <w:highlight w:val="none"/>
        </w:rPr>
      </w:pPr>
    </w:p>
    <w:p w14:paraId="5223B25F">
      <w:pPr>
        <w:spacing w:line="249" w:lineRule="auto"/>
        <w:jc w:val="both"/>
        <w:rPr>
          <w:rFonts w:hint="eastAsia" w:ascii="宋体" w:hAnsi="宋体" w:eastAsia="宋体" w:cs="宋体"/>
          <w:color w:val="auto"/>
          <w:sz w:val="24"/>
          <w:szCs w:val="24"/>
          <w:highlight w:val="none"/>
        </w:rPr>
      </w:pPr>
    </w:p>
    <w:p w14:paraId="13575DA1">
      <w:pPr>
        <w:tabs>
          <w:tab w:val="left" w:pos="6922"/>
        </w:tabs>
        <w:spacing w:before="91" w:line="377" w:lineRule="auto"/>
        <w:ind w:left="6489" w:hanging="29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评标委员会负责人：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0C783C03">
      <w:pPr>
        <w:tabs>
          <w:tab w:val="left" w:pos="6922"/>
        </w:tabs>
        <w:spacing w:before="91" w:line="377" w:lineRule="auto"/>
        <w:ind w:left="105" w:leftChars="50" w:firstLine="115" w:firstLine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4C882910">
      <w:pPr>
        <w:jc w:val="both"/>
        <w:rPr>
          <w:rFonts w:hint="eastAsia" w:ascii="宋体" w:hAnsi="宋体" w:eastAsia="宋体" w:cs="宋体"/>
          <w:color w:val="auto"/>
          <w:highlight w:val="none"/>
        </w:rPr>
        <w:sectPr>
          <w:footerReference r:id="rId10" w:type="default"/>
          <w:pgSz w:w="11906" w:h="16839"/>
          <w:pgMar w:top="1418" w:right="1559" w:bottom="1418" w:left="1474" w:header="0" w:footer="1035" w:gutter="0"/>
          <w:cols w:space="720" w:num="1"/>
        </w:sectPr>
      </w:pPr>
    </w:p>
    <w:p w14:paraId="6B1B7A30">
      <w:pPr>
        <w:spacing w:before="157" w:line="220" w:lineRule="auto"/>
        <w:ind w:left="314"/>
        <w:jc w:val="both"/>
        <w:outlineLvl w:val="1"/>
        <w:rPr>
          <w:rFonts w:hint="eastAsia" w:ascii="宋体" w:hAnsi="宋体" w:eastAsia="宋体" w:cs="宋体"/>
          <w:color w:val="auto"/>
          <w:sz w:val="28"/>
          <w:szCs w:val="28"/>
          <w:highlight w:val="none"/>
        </w:rPr>
      </w:pPr>
      <w:bookmarkStart w:id="43" w:name="_bookmark7"/>
      <w:bookmarkEnd w:id="43"/>
      <w:r>
        <w:rPr>
          <w:rFonts w:hint="eastAsia" w:ascii="宋体" w:hAnsi="宋体" w:eastAsia="宋体" w:cs="宋体"/>
          <w:color w:val="auto"/>
          <w:sz w:val="28"/>
          <w:szCs w:val="28"/>
          <w:highlight w:val="none"/>
        </w:rPr>
        <w:t>附表三：问题的澄清</w:t>
      </w:r>
    </w:p>
    <w:p w14:paraId="3E0068A7">
      <w:pPr>
        <w:spacing w:line="264" w:lineRule="auto"/>
        <w:jc w:val="both"/>
        <w:rPr>
          <w:rFonts w:hint="eastAsia" w:ascii="宋体" w:hAnsi="宋体" w:eastAsia="宋体" w:cs="宋体"/>
          <w:color w:val="auto"/>
          <w:highlight w:val="none"/>
        </w:rPr>
      </w:pPr>
    </w:p>
    <w:p w14:paraId="59BE5AFC">
      <w:pPr>
        <w:spacing w:line="264" w:lineRule="auto"/>
        <w:jc w:val="both"/>
        <w:rPr>
          <w:rFonts w:hint="eastAsia" w:ascii="宋体" w:hAnsi="宋体" w:eastAsia="宋体" w:cs="宋体"/>
          <w:color w:val="auto"/>
          <w:highlight w:val="none"/>
        </w:rPr>
      </w:pPr>
    </w:p>
    <w:p w14:paraId="490FE091">
      <w:pPr>
        <w:spacing w:line="264" w:lineRule="auto"/>
        <w:jc w:val="both"/>
        <w:rPr>
          <w:rFonts w:hint="eastAsia" w:ascii="宋体" w:hAnsi="宋体" w:eastAsia="宋体" w:cs="宋体"/>
          <w:color w:val="auto"/>
          <w:highlight w:val="none"/>
        </w:rPr>
      </w:pPr>
    </w:p>
    <w:p w14:paraId="01641622">
      <w:pPr>
        <w:spacing w:before="91" w:line="221" w:lineRule="auto"/>
        <w:ind w:firstLine="3220" w:firstLineChars="115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问题的澄清</w:t>
      </w:r>
    </w:p>
    <w:p w14:paraId="7CD03AD7">
      <w:pPr>
        <w:spacing w:before="222" w:line="221" w:lineRule="auto"/>
        <w:ind w:left="441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p>
    <w:p w14:paraId="3BFE62E1">
      <w:pPr>
        <w:tabs>
          <w:tab w:val="left" w:pos="761"/>
        </w:tabs>
        <w:spacing w:line="360" w:lineRule="auto"/>
        <w:ind w:firstLine="120" w:firstLineChars="50"/>
        <w:jc w:val="both"/>
        <w:rPr>
          <w:rFonts w:hint="eastAsia" w:ascii="宋体" w:hAnsi="宋体" w:eastAsia="宋体" w:cs="宋体"/>
          <w:color w:val="auto"/>
          <w:sz w:val="24"/>
          <w:szCs w:val="24"/>
          <w:highlight w:val="none"/>
          <w:u w:val="single"/>
        </w:rPr>
      </w:pPr>
    </w:p>
    <w:p w14:paraId="4C1B79EF">
      <w:pPr>
        <w:tabs>
          <w:tab w:val="left" w:pos="761"/>
        </w:tabs>
        <w:spacing w:line="360" w:lineRule="auto"/>
        <w:ind w:firstLine="120" w:firstLine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(项目名称)标段招标评标委员会：</w:t>
      </w:r>
    </w:p>
    <w:p w14:paraId="6903EE40">
      <w:pPr>
        <w:spacing w:line="360" w:lineRule="auto"/>
        <w:ind w:left="60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)已收悉，现澄清如下：</w:t>
      </w:r>
    </w:p>
    <w:p w14:paraId="1630F9DB">
      <w:pPr>
        <w:spacing w:line="360" w:lineRule="auto"/>
        <w:ind w:left="1135"/>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w:t>
      </w:r>
    </w:p>
    <w:p w14:paraId="23A3BD03">
      <w:pPr>
        <w:spacing w:line="360" w:lineRule="auto"/>
        <w:ind w:left="113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p>
    <w:p w14:paraId="5650C2D4">
      <w:pPr>
        <w:spacing w:before="234" w:line="443" w:lineRule="exact"/>
        <w:ind w:left="1150"/>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59C486F9">
      <w:pPr>
        <w:spacing w:line="249" w:lineRule="auto"/>
        <w:jc w:val="both"/>
        <w:rPr>
          <w:rFonts w:hint="eastAsia" w:ascii="宋体" w:hAnsi="宋体" w:eastAsia="宋体" w:cs="宋体"/>
          <w:color w:val="auto"/>
          <w:sz w:val="24"/>
          <w:szCs w:val="24"/>
          <w:highlight w:val="none"/>
        </w:rPr>
      </w:pPr>
    </w:p>
    <w:p w14:paraId="3D94E559">
      <w:pPr>
        <w:spacing w:line="249" w:lineRule="auto"/>
        <w:jc w:val="both"/>
        <w:rPr>
          <w:rFonts w:hint="eastAsia" w:ascii="宋体" w:hAnsi="宋体" w:eastAsia="宋体" w:cs="宋体"/>
          <w:color w:val="auto"/>
          <w:sz w:val="24"/>
          <w:szCs w:val="24"/>
          <w:highlight w:val="none"/>
        </w:rPr>
      </w:pPr>
    </w:p>
    <w:p w14:paraId="6BA0E4AE">
      <w:pPr>
        <w:spacing w:line="249" w:lineRule="auto"/>
        <w:jc w:val="both"/>
        <w:rPr>
          <w:rFonts w:hint="eastAsia" w:ascii="宋体" w:hAnsi="宋体" w:eastAsia="宋体" w:cs="宋体"/>
          <w:color w:val="auto"/>
          <w:sz w:val="24"/>
          <w:szCs w:val="24"/>
          <w:highlight w:val="none"/>
        </w:rPr>
      </w:pPr>
    </w:p>
    <w:p w14:paraId="4F42F0E2">
      <w:pPr>
        <w:spacing w:line="249" w:lineRule="auto"/>
        <w:jc w:val="both"/>
        <w:rPr>
          <w:rFonts w:hint="eastAsia" w:ascii="宋体" w:hAnsi="宋体" w:eastAsia="宋体" w:cs="宋体"/>
          <w:color w:val="auto"/>
          <w:sz w:val="24"/>
          <w:szCs w:val="24"/>
          <w:highlight w:val="none"/>
        </w:rPr>
      </w:pPr>
    </w:p>
    <w:p w14:paraId="0F546C39">
      <w:pPr>
        <w:spacing w:line="249" w:lineRule="auto"/>
        <w:jc w:val="both"/>
        <w:rPr>
          <w:rFonts w:hint="eastAsia" w:ascii="宋体" w:hAnsi="宋体" w:eastAsia="宋体" w:cs="宋体"/>
          <w:color w:val="auto"/>
          <w:sz w:val="24"/>
          <w:szCs w:val="24"/>
          <w:highlight w:val="none"/>
        </w:rPr>
      </w:pPr>
    </w:p>
    <w:p w14:paraId="1CD9310B">
      <w:pPr>
        <w:spacing w:line="249" w:lineRule="auto"/>
        <w:jc w:val="both"/>
        <w:rPr>
          <w:rFonts w:hint="eastAsia" w:ascii="宋体" w:hAnsi="宋体" w:eastAsia="宋体" w:cs="宋体"/>
          <w:color w:val="auto"/>
          <w:sz w:val="24"/>
          <w:szCs w:val="24"/>
          <w:highlight w:val="none"/>
        </w:rPr>
      </w:pPr>
    </w:p>
    <w:p w14:paraId="5C43B46E">
      <w:pPr>
        <w:spacing w:line="249" w:lineRule="auto"/>
        <w:jc w:val="both"/>
        <w:rPr>
          <w:rFonts w:hint="eastAsia" w:ascii="宋体" w:hAnsi="宋体" w:eastAsia="宋体" w:cs="宋体"/>
          <w:color w:val="auto"/>
          <w:sz w:val="24"/>
          <w:szCs w:val="24"/>
          <w:highlight w:val="none"/>
        </w:rPr>
      </w:pPr>
    </w:p>
    <w:p w14:paraId="4E494309">
      <w:pPr>
        <w:spacing w:line="249" w:lineRule="auto"/>
        <w:jc w:val="both"/>
        <w:rPr>
          <w:rFonts w:hint="eastAsia" w:ascii="宋体" w:hAnsi="宋体" w:eastAsia="宋体" w:cs="宋体"/>
          <w:color w:val="auto"/>
          <w:sz w:val="24"/>
          <w:szCs w:val="24"/>
          <w:highlight w:val="none"/>
        </w:rPr>
      </w:pPr>
    </w:p>
    <w:p w14:paraId="61C2B1FE">
      <w:pPr>
        <w:spacing w:line="251" w:lineRule="auto"/>
        <w:jc w:val="both"/>
        <w:rPr>
          <w:rFonts w:hint="eastAsia" w:ascii="宋体" w:hAnsi="宋体" w:eastAsia="宋体" w:cs="宋体"/>
          <w:color w:val="auto"/>
          <w:sz w:val="24"/>
          <w:szCs w:val="24"/>
          <w:highlight w:val="none"/>
        </w:rPr>
      </w:pPr>
    </w:p>
    <w:p w14:paraId="1E0D6C9B">
      <w:pPr>
        <w:spacing w:before="92" w:line="369" w:lineRule="auto"/>
        <w:ind w:left="2792" w:right="19"/>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(盖章)</w:t>
      </w:r>
    </w:p>
    <w:p w14:paraId="20169DE7">
      <w:pPr>
        <w:spacing w:before="92" w:line="369" w:lineRule="auto"/>
        <w:ind w:left="120" w:right="19" w:hanging="120"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7D68EBD0">
      <w:pPr>
        <w:spacing w:before="92" w:line="369" w:lineRule="auto"/>
        <w:ind w:left="115" w:right="19" w:hanging="115"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190F15E8">
      <w:pPr>
        <w:jc w:val="both"/>
        <w:rPr>
          <w:rFonts w:hint="eastAsia" w:ascii="宋体" w:hAnsi="宋体" w:eastAsia="宋体" w:cs="宋体"/>
          <w:color w:val="auto"/>
          <w:highlight w:val="none"/>
        </w:rPr>
        <w:sectPr>
          <w:footerReference r:id="rId11" w:type="default"/>
          <w:pgSz w:w="11906" w:h="16839"/>
          <w:pgMar w:top="1418" w:right="1559" w:bottom="1418" w:left="1474" w:header="0" w:footer="1035" w:gutter="0"/>
          <w:cols w:space="720" w:num="1"/>
        </w:sectPr>
      </w:pPr>
    </w:p>
    <w:p w14:paraId="64ACC702">
      <w:pPr>
        <w:spacing w:before="91" w:line="220" w:lineRule="auto"/>
        <w:jc w:val="both"/>
        <w:outlineLvl w:val="1"/>
        <w:rPr>
          <w:rFonts w:hint="eastAsia" w:ascii="宋体" w:hAnsi="宋体" w:eastAsia="宋体" w:cs="宋体"/>
          <w:color w:val="auto"/>
          <w:sz w:val="28"/>
          <w:szCs w:val="28"/>
          <w:highlight w:val="none"/>
        </w:rPr>
      </w:pPr>
      <w:bookmarkStart w:id="44" w:name="_bookmark8"/>
      <w:bookmarkEnd w:id="44"/>
      <w:r>
        <w:rPr>
          <w:rFonts w:hint="eastAsia" w:ascii="宋体" w:hAnsi="宋体" w:eastAsia="宋体" w:cs="宋体"/>
          <w:color w:val="auto"/>
          <w:sz w:val="28"/>
          <w:szCs w:val="28"/>
          <w:highlight w:val="none"/>
        </w:rPr>
        <w:t>附表四：中标通知书</w:t>
      </w:r>
    </w:p>
    <w:p w14:paraId="793EDBD5">
      <w:pPr>
        <w:spacing w:before="266" w:line="227" w:lineRule="auto"/>
        <w:ind w:left="442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中标通知书</w:t>
      </w:r>
    </w:p>
    <w:p w14:paraId="19FAC272">
      <w:pPr>
        <w:spacing w:before="157" w:line="358" w:lineRule="auto"/>
        <w:ind w:left="237" w:leftChars="113" w:right="53" w:firstLine="458" w:firstLineChars="19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14:paraId="708F2152">
      <w:pPr>
        <w:jc w:val="both"/>
        <w:rPr>
          <w:rFonts w:hint="eastAsia" w:ascii="宋体" w:hAnsi="宋体" w:eastAsia="宋体" w:cs="宋体"/>
          <w:color w:val="auto"/>
          <w:highlight w:val="none"/>
        </w:rPr>
      </w:pPr>
    </w:p>
    <w:p w14:paraId="3B74DA36">
      <w:pPr>
        <w:spacing w:line="27" w:lineRule="exact"/>
        <w:jc w:val="both"/>
        <w:rPr>
          <w:rFonts w:hint="eastAsia" w:ascii="宋体" w:hAnsi="宋体" w:eastAsia="宋体" w:cs="宋体"/>
          <w:color w:val="auto"/>
          <w:highlight w:val="none"/>
        </w:rPr>
      </w:pPr>
    </w:p>
    <w:tbl>
      <w:tblPr>
        <w:tblStyle w:val="48"/>
        <w:tblW w:w="856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6438"/>
      </w:tblGrid>
      <w:tr w14:paraId="23F87E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129" w:type="dxa"/>
          </w:tcPr>
          <w:p w14:paraId="0E5AE045">
            <w:pPr>
              <w:spacing w:before="200"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招标项目名称</w:t>
            </w:r>
          </w:p>
        </w:tc>
        <w:tc>
          <w:tcPr>
            <w:tcW w:w="6438" w:type="dxa"/>
          </w:tcPr>
          <w:p w14:paraId="675CC48D">
            <w:pPr>
              <w:jc w:val="both"/>
              <w:rPr>
                <w:rFonts w:hint="eastAsia" w:ascii="宋体" w:hAnsi="宋体" w:eastAsia="宋体" w:cs="宋体"/>
                <w:color w:val="auto"/>
                <w:highlight w:val="none"/>
              </w:rPr>
            </w:pPr>
          </w:p>
        </w:tc>
      </w:tr>
      <w:tr w14:paraId="26BF44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tcPr>
          <w:p w14:paraId="34CAB5EF">
            <w:pPr>
              <w:spacing w:before="138"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招标人名称</w:t>
            </w:r>
          </w:p>
        </w:tc>
        <w:tc>
          <w:tcPr>
            <w:tcW w:w="6438" w:type="dxa"/>
          </w:tcPr>
          <w:p w14:paraId="281F281E">
            <w:pPr>
              <w:jc w:val="both"/>
              <w:rPr>
                <w:rFonts w:hint="eastAsia" w:ascii="宋体" w:hAnsi="宋体" w:eastAsia="宋体" w:cs="宋体"/>
                <w:color w:val="auto"/>
                <w:highlight w:val="none"/>
              </w:rPr>
            </w:pPr>
          </w:p>
        </w:tc>
      </w:tr>
      <w:tr w14:paraId="38C6CA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tcPr>
          <w:p w14:paraId="12526535">
            <w:pPr>
              <w:spacing w:before="159"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中标人名称</w:t>
            </w:r>
          </w:p>
        </w:tc>
        <w:tc>
          <w:tcPr>
            <w:tcW w:w="6438" w:type="dxa"/>
          </w:tcPr>
          <w:p w14:paraId="62C1B732">
            <w:pPr>
              <w:jc w:val="both"/>
              <w:rPr>
                <w:rFonts w:hint="eastAsia" w:ascii="宋体" w:hAnsi="宋体" w:eastAsia="宋体" w:cs="宋体"/>
                <w:color w:val="auto"/>
                <w:highlight w:val="none"/>
              </w:rPr>
            </w:pPr>
          </w:p>
        </w:tc>
      </w:tr>
      <w:tr w14:paraId="337D0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tcPr>
          <w:p w14:paraId="53488DF9">
            <w:pPr>
              <w:spacing w:before="116"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项目负责人</w:t>
            </w:r>
          </w:p>
        </w:tc>
        <w:tc>
          <w:tcPr>
            <w:tcW w:w="6438" w:type="dxa"/>
          </w:tcPr>
          <w:p w14:paraId="2A584434">
            <w:pPr>
              <w:jc w:val="both"/>
              <w:rPr>
                <w:rFonts w:hint="eastAsia" w:ascii="宋体" w:hAnsi="宋体" w:eastAsia="宋体" w:cs="宋体"/>
                <w:color w:val="auto"/>
                <w:highlight w:val="none"/>
              </w:rPr>
            </w:pPr>
          </w:p>
        </w:tc>
      </w:tr>
      <w:tr w14:paraId="7AAA95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tcPr>
          <w:p w14:paraId="44D92E59">
            <w:pPr>
              <w:spacing w:before="267"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中标金额</w:t>
            </w:r>
          </w:p>
        </w:tc>
        <w:tc>
          <w:tcPr>
            <w:tcW w:w="6438" w:type="dxa"/>
          </w:tcPr>
          <w:p w14:paraId="00F51E82">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(大写)：</w:t>
            </w:r>
          </w:p>
          <w:p w14:paraId="49209BCF">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(小写)：</w:t>
            </w:r>
          </w:p>
        </w:tc>
      </w:tr>
      <w:tr w14:paraId="65AAE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tcPr>
          <w:p w14:paraId="65CC2898">
            <w:pPr>
              <w:spacing w:before="178"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中标内容范围</w:t>
            </w:r>
          </w:p>
        </w:tc>
        <w:tc>
          <w:tcPr>
            <w:tcW w:w="6438" w:type="dxa"/>
          </w:tcPr>
          <w:p w14:paraId="6225AEFD">
            <w:pPr>
              <w:jc w:val="both"/>
              <w:rPr>
                <w:rFonts w:hint="eastAsia" w:ascii="宋体" w:hAnsi="宋体" w:eastAsia="宋体" w:cs="宋体"/>
                <w:color w:val="auto"/>
                <w:highlight w:val="none"/>
              </w:rPr>
            </w:pPr>
          </w:p>
        </w:tc>
      </w:tr>
      <w:tr w14:paraId="795FB2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tcPr>
          <w:p w14:paraId="524A1786">
            <w:pPr>
              <w:spacing w:before="116" w:line="468" w:lineRule="exact"/>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position w:val="17"/>
                <w:sz w:val="23"/>
                <w:szCs w:val="23"/>
                <w:highlight w:val="none"/>
              </w:rPr>
              <w:t>中标人与招标人签订</w:t>
            </w:r>
          </w:p>
          <w:p w14:paraId="1C6EEE8C">
            <w:pPr>
              <w:spacing w:before="1"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中标合同期限</w:t>
            </w:r>
          </w:p>
        </w:tc>
        <w:tc>
          <w:tcPr>
            <w:tcW w:w="6438" w:type="dxa"/>
          </w:tcPr>
          <w:p w14:paraId="645F51C2">
            <w:pPr>
              <w:jc w:val="both"/>
              <w:rPr>
                <w:rFonts w:hint="eastAsia" w:ascii="宋体" w:hAnsi="宋体" w:eastAsia="宋体" w:cs="宋体"/>
                <w:color w:val="auto"/>
                <w:highlight w:val="none"/>
              </w:rPr>
            </w:pPr>
          </w:p>
        </w:tc>
      </w:tr>
      <w:tr w14:paraId="69EC87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29" w:type="dxa"/>
          </w:tcPr>
          <w:p w14:paraId="2A773B91">
            <w:pPr>
              <w:spacing w:before="196"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签订中标合同地址</w:t>
            </w:r>
          </w:p>
        </w:tc>
        <w:tc>
          <w:tcPr>
            <w:tcW w:w="6438" w:type="dxa"/>
          </w:tcPr>
          <w:p w14:paraId="41B37CE9">
            <w:pPr>
              <w:jc w:val="both"/>
              <w:rPr>
                <w:rFonts w:hint="eastAsia" w:ascii="宋体" w:hAnsi="宋体" w:eastAsia="宋体" w:cs="宋体"/>
                <w:color w:val="auto"/>
                <w:highlight w:val="none"/>
              </w:rPr>
            </w:pPr>
          </w:p>
        </w:tc>
      </w:tr>
      <w:tr w14:paraId="0A6B65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tcPr>
          <w:p w14:paraId="6E19FAF6">
            <w:pPr>
              <w:spacing w:before="159"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其他需说明内容</w:t>
            </w:r>
          </w:p>
        </w:tc>
        <w:tc>
          <w:tcPr>
            <w:tcW w:w="6438" w:type="dxa"/>
          </w:tcPr>
          <w:p w14:paraId="0F4C38B1">
            <w:pPr>
              <w:jc w:val="both"/>
              <w:rPr>
                <w:rFonts w:hint="eastAsia" w:ascii="宋体" w:hAnsi="宋体" w:eastAsia="宋体" w:cs="宋体"/>
                <w:color w:val="auto"/>
                <w:highlight w:val="none"/>
              </w:rPr>
            </w:pPr>
          </w:p>
        </w:tc>
      </w:tr>
    </w:tbl>
    <w:p w14:paraId="29722E2A">
      <w:pPr>
        <w:spacing w:line="245" w:lineRule="auto"/>
        <w:jc w:val="both"/>
        <w:rPr>
          <w:rFonts w:hint="eastAsia" w:ascii="宋体" w:hAnsi="宋体" w:eastAsia="宋体" w:cs="宋体"/>
          <w:color w:val="auto"/>
          <w:highlight w:val="none"/>
        </w:rPr>
      </w:pPr>
    </w:p>
    <w:p w14:paraId="2602ED5B">
      <w:pPr>
        <w:spacing w:line="246" w:lineRule="auto"/>
        <w:jc w:val="both"/>
        <w:rPr>
          <w:rFonts w:hint="eastAsia" w:ascii="宋体" w:hAnsi="宋体" w:eastAsia="宋体" w:cs="宋体"/>
          <w:color w:val="auto"/>
          <w:highlight w:val="none"/>
        </w:rPr>
      </w:pPr>
    </w:p>
    <w:p w14:paraId="4A63E1E5">
      <w:pPr>
        <w:spacing w:line="246" w:lineRule="auto"/>
        <w:jc w:val="both"/>
        <w:rPr>
          <w:rFonts w:hint="eastAsia" w:ascii="宋体" w:hAnsi="宋体" w:eastAsia="宋体" w:cs="宋体"/>
          <w:color w:val="auto"/>
          <w:highlight w:val="none"/>
        </w:rPr>
      </w:pPr>
    </w:p>
    <w:p w14:paraId="581B1FF6">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68588A22">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经办人：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p>
    <w:p w14:paraId="1DDEFD31">
      <w:pPr>
        <w:spacing w:before="2" w:line="499"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p>
    <w:p w14:paraId="7B48CC58">
      <w:pPr>
        <w:spacing w:before="2" w:line="499"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传真：</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p>
    <w:p w14:paraId="025208CE">
      <w:pPr>
        <w:tabs>
          <w:tab w:val="left" w:pos="7447"/>
        </w:tabs>
        <w:spacing w:line="228" w:lineRule="auto"/>
        <w:ind w:left="6837" w:hanging="1035"/>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0E4CFD6C">
      <w:pPr>
        <w:jc w:val="both"/>
        <w:rPr>
          <w:rFonts w:hint="eastAsia" w:ascii="宋体" w:hAnsi="宋体" w:eastAsia="宋体" w:cs="宋体"/>
          <w:color w:val="auto"/>
          <w:highlight w:val="none"/>
        </w:rPr>
        <w:sectPr>
          <w:footerReference r:id="rId12" w:type="default"/>
          <w:pgSz w:w="11906" w:h="16839"/>
          <w:pgMar w:top="1418" w:right="1559" w:bottom="1418" w:left="1474" w:header="0" w:footer="1035" w:gutter="0"/>
          <w:cols w:space="720" w:num="1"/>
        </w:sectPr>
      </w:pPr>
    </w:p>
    <w:p w14:paraId="37E6C64C">
      <w:pPr>
        <w:spacing w:before="91" w:line="220" w:lineRule="auto"/>
        <w:jc w:val="both"/>
        <w:outlineLvl w:val="1"/>
        <w:rPr>
          <w:rFonts w:hint="eastAsia" w:ascii="宋体" w:hAnsi="宋体" w:eastAsia="宋体" w:cs="宋体"/>
          <w:color w:val="auto"/>
          <w:sz w:val="28"/>
          <w:szCs w:val="28"/>
          <w:highlight w:val="none"/>
        </w:rPr>
      </w:pPr>
      <w:bookmarkStart w:id="45" w:name="_bookmark10"/>
      <w:bookmarkEnd w:id="45"/>
      <w:r>
        <w:rPr>
          <w:rFonts w:hint="eastAsia" w:ascii="宋体" w:hAnsi="宋体" w:eastAsia="宋体" w:cs="宋体"/>
          <w:color w:val="auto"/>
          <w:sz w:val="28"/>
          <w:szCs w:val="28"/>
          <w:highlight w:val="none"/>
        </w:rPr>
        <w:t>附表五：确认通知</w:t>
      </w:r>
    </w:p>
    <w:p w14:paraId="68784FF5">
      <w:pPr>
        <w:spacing w:line="349" w:lineRule="auto"/>
        <w:jc w:val="both"/>
        <w:rPr>
          <w:rFonts w:hint="eastAsia" w:ascii="宋体" w:hAnsi="宋体" w:eastAsia="宋体" w:cs="宋体"/>
          <w:color w:val="auto"/>
          <w:highlight w:val="none"/>
        </w:rPr>
      </w:pPr>
    </w:p>
    <w:p w14:paraId="32F5D118">
      <w:pPr>
        <w:spacing w:line="350" w:lineRule="auto"/>
        <w:jc w:val="both"/>
        <w:rPr>
          <w:rFonts w:hint="eastAsia" w:ascii="宋体" w:hAnsi="宋体" w:eastAsia="宋体" w:cs="宋体"/>
          <w:color w:val="auto"/>
          <w:highlight w:val="none"/>
        </w:rPr>
      </w:pPr>
    </w:p>
    <w:p w14:paraId="0BE0E057">
      <w:pPr>
        <w:spacing w:before="91" w:line="221" w:lineRule="auto"/>
        <w:ind w:left="4094"/>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确认通知</w:t>
      </w:r>
    </w:p>
    <w:p w14:paraId="62B9D497">
      <w:pPr>
        <w:spacing w:line="345" w:lineRule="auto"/>
        <w:jc w:val="both"/>
        <w:rPr>
          <w:rFonts w:hint="eastAsia" w:ascii="宋体" w:hAnsi="宋体" w:eastAsia="宋体" w:cs="宋体"/>
          <w:color w:val="auto"/>
          <w:highlight w:val="none"/>
        </w:rPr>
      </w:pPr>
    </w:p>
    <w:p w14:paraId="7C2A0601">
      <w:pPr>
        <w:spacing w:line="345" w:lineRule="auto"/>
        <w:jc w:val="both"/>
        <w:rPr>
          <w:rFonts w:hint="eastAsia" w:ascii="宋体" w:hAnsi="宋体" w:eastAsia="宋体" w:cs="宋体"/>
          <w:color w:val="auto"/>
          <w:highlight w:val="none"/>
        </w:rPr>
      </w:pPr>
    </w:p>
    <w:p w14:paraId="1DAE6D38">
      <w:pPr>
        <w:tabs>
          <w:tab w:val="left" w:pos="183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(招标人名称):</w:t>
      </w:r>
    </w:p>
    <w:p w14:paraId="0711BD8A">
      <w:pPr>
        <w:spacing w:before="223" w:line="375" w:lineRule="auto"/>
        <w:ind w:left="10" w:right="72" w:firstLine="56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我方已接到你方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日发出的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标段招标关于中标结果的通知，我方已于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日收到。</w:t>
      </w:r>
    </w:p>
    <w:p w14:paraId="07F95215">
      <w:pPr>
        <w:spacing w:line="441" w:lineRule="auto"/>
        <w:jc w:val="both"/>
        <w:rPr>
          <w:rFonts w:hint="eastAsia" w:ascii="宋体" w:hAnsi="宋体" w:eastAsia="宋体" w:cs="宋体"/>
          <w:color w:val="auto"/>
          <w:sz w:val="24"/>
          <w:szCs w:val="24"/>
          <w:highlight w:val="none"/>
        </w:rPr>
      </w:pPr>
    </w:p>
    <w:p w14:paraId="4BD375BA">
      <w:pPr>
        <w:spacing w:before="91" w:line="221" w:lineRule="auto"/>
        <w:ind w:left="5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特此确认。</w:t>
      </w:r>
    </w:p>
    <w:p w14:paraId="4B1DFD9C">
      <w:pPr>
        <w:spacing w:line="249" w:lineRule="auto"/>
        <w:jc w:val="both"/>
        <w:rPr>
          <w:rFonts w:hint="eastAsia" w:ascii="宋体" w:hAnsi="宋体" w:eastAsia="宋体" w:cs="宋体"/>
          <w:color w:val="auto"/>
          <w:sz w:val="24"/>
          <w:szCs w:val="24"/>
          <w:highlight w:val="none"/>
        </w:rPr>
      </w:pPr>
    </w:p>
    <w:p w14:paraId="0486354C">
      <w:pPr>
        <w:spacing w:line="249" w:lineRule="auto"/>
        <w:jc w:val="both"/>
        <w:rPr>
          <w:rFonts w:hint="eastAsia" w:ascii="宋体" w:hAnsi="宋体" w:eastAsia="宋体" w:cs="宋体"/>
          <w:color w:val="auto"/>
          <w:sz w:val="24"/>
          <w:szCs w:val="24"/>
          <w:highlight w:val="none"/>
        </w:rPr>
      </w:pPr>
    </w:p>
    <w:p w14:paraId="3FCD6C84">
      <w:pPr>
        <w:spacing w:line="249" w:lineRule="auto"/>
        <w:jc w:val="both"/>
        <w:rPr>
          <w:rFonts w:hint="eastAsia" w:ascii="宋体" w:hAnsi="宋体" w:eastAsia="宋体" w:cs="宋体"/>
          <w:color w:val="auto"/>
          <w:sz w:val="24"/>
          <w:szCs w:val="24"/>
          <w:highlight w:val="none"/>
        </w:rPr>
      </w:pPr>
    </w:p>
    <w:p w14:paraId="1C9BA29D">
      <w:pPr>
        <w:spacing w:line="249" w:lineRule="auto"/>
        <w:jc w:val="both"/>
        <w:rPr>
          <w:rFonts w:hint="eastAsia" w:ascii="宋体" w:hAnsi="宋体" w:eastAsia="宋体" w:cs="宋体"/>
          <w:color w:val="auto"/>
          <w:sz w:val="24"/>
          <w:szCs w:val="24"/>
          <w:highlight w:val="none"/>
        </w:rPr>
      </w:pPr>
    </w:p>
    <w:p w14:paraId="44F70D0A">
      <w:pPr>
        <w:spacing w:line="249" w:lineRule="auto"/>
        <w:jc w:val="both"/>
        <w:rPr>
          <w:rFonts w:hint="eastAsia" w:ascii="宋体" w:hAnsi="宋体" w:eastAsia="宋体" w:cs="宋体"/>
          <w:color w:val="auto"/>
          <w:sz w:val="24"/>
          <w:szCs w:val="24"/>
          <w:highlight w:val="none"/>
        </w:rPr>
      </w:pPr>
    </w:p>
    <w:p w14:paraId="0956F3A8">
      <w:pPr>
        <w:tabs>
          <w:tab w:val="left" w:pos="7060"/>
        </w:tabs>
        <w:spacing w:before="91" w:line="377" w:lineRule="auto"/>
        <w:ind w:left="6628" w:hanging="199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(盖单位公章)</w:t>
      </w:r>
    </w:p>
    <w:p w14:paraId="074E8915">
      <w:pPr>
        <w:tabs>
          <w:tab w:val="left" w:pos="7060"/>
        </w:tabs>
        <w:spacing w:before="91" w:line="377" w:lineRule="auto"/>
        <w:ind w:left="6628" w:hanging="1993"/>
        <w:jc w:val="both"/>
        <w:rPr>
          <w:rFonts w:hint="eastAsia" w:ascii="宋体" w:hAnsi="宋体" w:eastAsia="宋体" w:cs="宋体"/>
          <w:color w:val="auto"/>
          <w:highlight w:val="none"/>
        </w:rPr>
        <w:sectPr>
          <w:footerReference r:id="rId13" w:type="default"/>
          <w:pgSz w:w="11906" w:h="16839"/>
          <w:pgMar w:top="1418" w:right="1559" w:bottom="1418" w:left="1474" w:header="0" w:footer="1035" w:gutter="0"/>
          <w:cols w:space="720" w:num="1"/>
        </w:sect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0567E977">
      <w:pPr>
        <w:spacing w:line="371" w:lineRule="auto"/>
        <w:jc w:val="both"/>
        <w:rPr>
          <w:rFonts w:hint="eastAsia" w:ascii="宋体" w:hAnsi="宋体" w:eastAsia="宋体" w:cs="宋体"/>
          <w:color w:val="auto"/>
          <w:highlight w:val="none"/>
        </w:rPr>
      </w:pPr>
    </w:p>
    <w:p w14:paraId="38C3A363">
      <w:pPr>
        <w:pStyle w:val="4"/>
        <w:jc w:val="center"/>
        <w:rPr>
          <w:rFonts w:hint="eastAsia" w:ascii="宋体" w:hAnsi="宋体" w:eastAsia="宋体" w:cs="宋体"/>
          <w:snapToGrid/>
          <w:color w:val="auto"/>
          <w:sz w:val="36"/>
          <w:szCs w:val="36"/>
          <w:highlight w:val="none"/>
        </w:rPr>
      </w:pPr>
      <w:bookmarkStart w:id="46" w:name="_bookmark11"/>
      <w:bookmarkEnd w:id="46"/>
      <w:r>
        <w:rPr>
          <w:rFonts w:hint="eastAsia" w:ascii="宋体" w:hAnsi="宋体" w:eastAsia="宋体" w:cs="宋体"/>
          <w:color w:val="auto"/>
          <w:sz w:val="31"/>
          <w:szCs w:val="31"/>
          <w:highlight w:val="none"/>
        </w:rPr>
        <w:t>第三章</w:t>
      </w:r>
      <w:r>
        <w:rPr>
          <w:rFonts w:hint="eastAsia" w:ascii="宋体" w:hAnsi="宋体" w:eastAsia="宋体" w:cs="宋体"/>
          <w:snapToGrid/>
          <w:color w:val="auto"/>
          <w:sz w:val="36"/>
          <w:szCs w:val="36"/>
          <w:highlight w:val="none"/>
        </w:rPr>
        <w:t>评标定标办法</w:t>
      </w:r>
    </w:p>
    <w:p w14:paraId="645F15D4">
      <w:pPr>
        <w:widowControl w:val="0"/>
        <w:kinsoku/>
        <w:autoSpaceDE/>
        <w:autoSpaceDN/>
        <w:adjustRightInd/>
        <w:snapToGrid/>
        <w:jc w:val="both"/>
        <w:textAlignment w:val="auto"/>
        <w:rPr>
          <w:rFonts w:hint="eastAsia" w:ascii="宋体" w:hAnsi="宋体" w:eastAsia="宋体" w:cs="宋体"/>
          <w:snapToGrid/>
          <w:color w:val="auto"/>
          <w:kern w:val="2"/>
          <w:sz w:val="24"/>
          <w:szCs w:val="24"/>
          <w:highlight w:val="none"/>
        </w:rPr>
      </w:pPr>
    </w:p>
    <w:p w14:paraId="5D2707B3">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一、评标办法：</w:t>
      </w:r>
    </w:p>
    <w:p w14:paraId="78844384">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w:t>
      </w:r>
      <w:r>
        <w:rPr>
          <w:rFonts w:hint="eastAsia" w:ascii="宋体" w:hAnsi="宋体" w:eastAsia="宋体" w:cs="宋体"/>
          <w:color w:val="auto"/>
          <w:sz w:val="24"/>
          <w:szCs w:val="24"/>
          <w:highlight w:val="none"/>
        </w:rPr>
        <w:t>经评审的最低投标价法</w:t>
      </w:r>
    </w:p>
    <w:p w14:paraId="50BF58CB">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w:t>
      </w: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宋体" w:hAnsi="宋体" w:eastAsia="宋体" w:cs="宋体"/>
          <w:snapToGrid/>
          <w:color w:val="auto"/>
          <w:kern w:val="2"/>
          <w:sz w:val="24"/>
          <w:szCs w:val="24"/>
          <w:highlight w:val="none"/>
        </w:rPr>
        <w:t>综合评估法</w:t>
      </w:r>
      <w:r>
        <w:rPr>
          <w:rFonts w:hint="eastAsia" w:ascii="宋体" w:hAnsi="宋体" w:eastAsia="宋体" w:cs="宋体"/>
          <w:snapToGrid/>
          <w:color w:val="auto"/>
          <w:kern w:val="2"/>
          <w:sz w:val="24"/>
          <w:szCs w:val="24"/>
          <w:highlight w:val="none"/>
        </w:rPr>
        <w:fldChar w:fldCharType="end"/>
      </w:r>
      <w:r>
        <w:rPr>
          <w:rFonts w:hint="eastAsia" w:ascii="宋体" w:hAnsi="宋体" w:eastAsia="宋体" w:cs="宋体"/>
          <w:snapToGrid/>
          <w:color w:val="auto"/>
          <w:kern w:val="2"/>
          <w:sz w:val="24"/>
          <w:szCs w:val="24"/>
          <w:highlight w:val="none"/>
        </w:rPr>
        <w:t>（设技术标）</w:t>
      </w:r>
    </w:p>
    <w:p w14:paraId="103C7782">
      <w:pPr>
        <w:widowControl w:val="0"/>
        <w:kinsoku/>
        <w:autoSpaceDE/>
        <w:autoSpaceDN/>
        <w:adjustRightInd/>
        <w:snapToGrid/>
        <w:spacing w:after="120"/>
        <w:jc w:val="both"/>
        <w:textAlignment w:val="auto"/>
        <w:rPr>
          <w:rFonts w:hint="eastAsia" w:ascii="宋体" w:hAnsi="宋体" w:eastAsia="宋体" w:cs="宋体"/>
          <w:snapToGrid/>
          <w:color w:val="auto"/>
          <w:kern w:val="2"/>
          <w:sz w:val="24"/>
          <w:szCs w:val="24"/>
          <w:highlight w:val="none"/>
        </w:rPr>
      </w:pPr>
    </w:p>
    <w:p w14:paraId="15381583">
      <w:pPr>
        <w:widowControl w:val="0"/>
        <w:kinsoku/>
        <w:autoSpaceDE/>
        <w:autoSpaceDN/>
        <w:adjustRightInd/>
        <w:snapToGrid/>
        <w:jc w:val="both"/>
        <w:textAlignment w:val="auto"/>
        <w:rPr>
          <w:rFonts w:hint="eastAsia" w:ascii="宋体" w:hAnsi="宋体" w:eastAsia="宋体" w:cs="宋体"/>
          <w:snapToGrid/>
          <w:color w:val="auto"/>
          <w:kern w:val="2"/>
          <w:szCs w:val="24"/>
          <w:highlight w:val="none"/>
        </w:rPr>
      </w:pPr>
    </w:p>
    <w:p w14:paraId="255E1C6A">
      <w:pPr>
        <w:spacing w:before="101" w:line="225" w:lineRule="auto"/>
        <w:ind w:left="3188"/>
        <w:jc w:val="both"/>
        <w:outlineLvl w:val="0"/>
        <w:rPr>
          <w:rFonts w:hint="eastAsia" w:ascii="宋体" w:hAnsi="宋体" w:eastAsia="宋体" w:cs="宋体"/>
          <w:color w:val="auto"/>
          <w:highlight w:val="none"/>
        </w:rPr>
        <w:sectPr>
          <w:footerReference r:id="rId14" w:type="default"/>
          <w:pgSz w:w="11907" w:h="16840"/>
          <w:pgMar w:top="1418" w:right="1559" w:bottom="1418" w:left="1474" w:header="0" w:footer="723" w:gutter="0"/>
          <w:cols w:space="720" w:num="1"/>
        </w:sectPr>
      </w:pPr>
    </w:p>
    <w:p w14:paraId="390A8262">
      <w:pPr>
        <w:spacing w:before="64" w:line="224" w:lineRule="auto"/>
        <w:ind w:left="3326"/>
        <w:jc w:val="both"/>
        <w:rPr>
          <w:rFonts w:hint="eastAsia" w:ascii="宋体" w:hAnsi="宋体" w:eastAsia="宋体" w:cs="宋体"/>
          <w:color w:val="auto"/>
          <w:sz w:val="31"/>
          <w:szCs w:val="31"/>
          <w:highlight w:val="none"/>
        </w:rPr>
      </w:pPr>
    </w:p>
    <w:p w14:paraId="1A17AB25">
      <w:pPr>
        <w:spacing w:before="64" w:line="224" w:lineRule="auto"/>
        <w:jc w:val="cente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综合评估法</w:t>
      </w:r>
    </w:p>
    <w:p w14:paraId="142D2C8D">
      <w:pPr>
        <w:spacing w:line="247" w:lineRule="auto"/>
        <w:jc w:val="both"/>
        <w:rPr>
          <w:rFonts w:hint="eastAsia" w:ascii="宋体" w:hAnsi="宋体" w:eastAsia="宋体" w:cs="宋体"/>
          <w:color w:val="auto"/>
          <w:highlight w:val="none"/>
        </w:rPr>
      </w:pPr>
    </w:p>
    <w:p w14:paraId="355F707B">
      <w:pPr>
        <w:spacing w:line="248" w:lineRule="auto"/>
        <w:jc w:val="both"/>
        <w:rPr>
          <w:rFonts w:hint="eastAsia" w:ascii="宋体" w:hAnsi="宋体" w:eastAsia="宋体" w:cs="宋体"/>
          <w:color w:val="auto"/>
          <w:highlight w:val="none"/>
        </w:rPr>
      </w:pPr>
    </w:p>
    <w:p w14:paraId="5BE49A7E">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根据《中华人民共和国招标投标法》《中华人民共和国招标投标法实施条例》</w:t>
      </w:r>
      <w:r>
        <w:rPr>
          <w:rFonts w:hint="eastAsia" w:ascii="宋体" w:hAnsi="宋体" w:eastAsia="宋体" w:cs="宋体"/>
          <w:strike/>
          <w:color w:val="auto"/>
          <w:sz w:val="23"/>
          <w:szCs w:val="23"/>
          <w:highlight w:val="none"/>
        </w:rPr>
        <w:t>《浙江省招标投标条例》</w:t>
      </w:r>
      <w:r>
        <w:rPr>
          <w:rFonts w:hint="eastAsia" w:ascii="宋体" w:hAnsi="宋体" w:eastAsia="宋体" w:cs="宋体"/>
          <w:color w:val="auto"/>
          <w:sz w:val="23"/>
          <w:szCs w:val="23"/>
          <w:highlight w:val="none"/>
        </w:rPr>
        <w:t>《评标委员会和评标办法暂行规定》《浙江省综合性评标专家库管理办法实施细则》等有关规定，制定本办法。</w:t>
      </w:r>
    </w:p>
    <w:p w14:paraId="2F1DAAD7">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2"/>
          <w:sz w:val="23"/>
          <w:szCs w:val="23"/>
          <w:highlight w:val="none"/>
        </w:rPr>
        <w:t>一、评标原则</w:t>
      </w:r>
    </w:p>
    <w:p w14:paraId="6F922735">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评标应遵循公平、公正、科学、择优的原则。</w:t>
      </w:r>
    </w:p>
    <w:p w14:paraId="22D79692">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二、评标组织</w:t>
      </w:r>
    </w:p>
    <w:p w14:paraId="5F25F39A">
      <w:pPr>
        <w:spacing w:line="324" w:lineRule="auto"/>
        <w:ind w:firstLine="47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评标工作由招标人依法组建的评标委员会负责。评标委员会的组建见投标人须知前附表，成员为不少于5人的单数。</w:t>
      </w:r>
    </w:p>
    <w:p w14:paraId="29FFD34A">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6ABA8C86">
      <w:pPr>
        <w:spacing w:line="324" w:lineRule="auto"/>
        <w:ind w:firstLine="47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评标委员会应当按照招标文件确定的评标标准和方法，客观、公正对投标文件进行评审和比较，招标文件没有规定的评标标准和方法不得作为评标的依据。</w:t>
      </w:r>
    </w:p>
    <w:p w14:paraId="0B9249EE">
      <w:pPr>
        <w:spacing w:line="324" w:lineRule="auto"/>
        <w:ind w:firstLine="47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评标委员会对投标文件作出的评审结论，应当符合有关法律、法规、规章和招标文件的规定。</w:t>
      </w:r>
    </w:p>
    <w:p w14:paraId="04CCCE1C">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三、评标程序和内容</w:t>
      </w:r>
    </w:p>
    <w:p w14:paraId="353779A8">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1.熟悉招标文件和评标办法；</w:t>
      </w:r>
    </w:p>
    <w:p w14:paraId="20FD85DA">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2.投标文件的符合性评审；</w:t>
      </w:r>
    </w:p>
    <w:p w14:paraId="16095C03">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3.投标文件的资信、业绩评审；</w:t>
      </w:r>
    </w:p>
    <w:p w14:paraId="759A0B74">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4.投标文件的技术标评审；</w:t>
      </w:r>
    </w:p>
    <w:p w14:paraId="4E08F355">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5.投标文件的商务标评审；</w:t>
      </w:r>
    </w:p>
    <w:p w14:paraId="0F24FD9D">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6.必要时对投标文件中的问题进行询标，包括拟作出否决投标决定前对相关投标人进行的询问核实；</w:t>
      </w:r>
    </w:p>
    <w:p w14:paraId="6F817E63">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7.根据评标办法和标准对投标文件进行综合评分、排序；</w:t>
      </w:r>
    </w:p>
    <w:p w14:paraId="6C35698F">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8.完成评标报告，推荐中标候选人。</w:t>
      </w:r>
    </w:p>
    <w:p w14:paraId="19ECCC83">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四、评审细则</w:t>
      </w:r>
    </w:p>
    <w:p w14:paraId="56CEA7BA">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(一)投标文件的符合性评审</w:t>
      </w:r>
    </w:p>
    <w:p w14:paraId="71183FB3">
      <w:pPr>
        <w:spacing w:line="324" w:lineRule="auto"/>
        <w:ind w:firstLine="4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1.评标委员会应依照招标文件的要求和规定，首先对投标人的投标资格和投标文件进行符合性评审。</w:t>
      </w:r>
    </w:p>
    <w:p w14:paraId="1B41499B">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如评标委员会发现投标文件存在招标文件投标人须知前附表10.1“否决投标的情形”第二款(一)符合性内容、(二)技术标内容、(三)商务标内容之一的，经询问核实并认定后，即可判定该投标文件符合性评审不通过应予以否决，不再进入后续的综合评分程序。</w:t>
      </w:r>
    </w:p>
    <w:p w14:paraId="6A1BE846">
      <w:pPr>
        <w:spacing w:line="324" w:lineRule="auto"/>
        <w:ind w:firstLine="575" w:firstLineChars="250"/>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2.询标</w:t>
      </w:r>
    </w:p>
    <w:p w14:paraId="3EA9F2EC">
      <w:pPr>
        <w:spacing w:line="324" w:lineRule="auto"/>
        <w:ind w:firstLine="4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(1)投标文件中有含义不明确的内容、明显文字或计算错误，评标委员会认为需要投标人作出必要澄清、说明的，应当组织询标。</w:t>
      </w:r>
    </w:p>
    <w:p w14:paraId="3CB720A3">
      <w:pPr>
        <w:spacing w:line="324" w:lineRule="auto"/>
        <w:ind w:firstLine="49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14:paraId="78B6C69F">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(3)询标问题及投标人的澄清、说明应当采用书面形式，并不得超出投标文件的范围或者改变投标文件的实质性内容。</w:t>
      </w:r>
    </w:p>
    <w:p w14:paraId="7201B57E">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(4)评标委员会不得暗示或者诱导投标人作出澄清、说明，不得接受投标人主动提出的澄清、说明。</w:t>
      </w:r>
    </w:p>
    <w:p w14:paraId="082C05E4">
      <w:pPr>
        <w:spacing w:line="324" w:lineRule="auto"/>
        <w:ind w:firstLine="48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(5)投标人不得通过补充、修改或撤销投标文件中的内容使其成为实质性响应的投标，投标人在投标截止时间以后不得提交任何资料作为评标依据。</w:t>
      </w:r>
    </w:p>
    <w:p w14:paraId="73B870CD">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(二)资信、业绩评审</w:t>
      </w:r>
    </w:p>
    <w:p w14:paraId="4997C9B8">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由评标委员会全体成员根据投标人提供的相关证明材料进行集体认定。</w:t>
      </w:r>
    </w:p>
    <w:p w14:paraId="042E5AFD">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业绩评分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3</w:t>
      </w:r>
      <w:r>
        <w:rPr>
          <w:rFonts w:hint="eastAsia" w:ascii="宋体" w:hAnsi="宋体" w:eastAsia="宋体" w:cs="宋体"/>
          <w:b/>
          <w:bCs/>
          <w:color w:val="auto"/>
          <w:sz w:val="23"/>
          <w:szCs w:val="23"/>
          <w:highlight w:val="none"/>
        </w:rPr>
        <w:t>分)</w:t>
      </w:r>
    </w:p>
    <w:p w14:paraId="217DB7B0">
      <w:pPr>
        <w:spacing w:line="324" w:lineRule="auto"/>
        <w:ind w:firstLine="48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投标人</w:t>
      </w:r>
      <w:r>
        <w:rPr>
          <w:rFonts w:hint="eastAsia" w:ascii="宋体" w:hAnsi="宋体" w:eastAsia="宋体" w:cs="宋体"/>
          <w:color w:val="auto"/>
          <w:sz w:val="23"/>
          <w:szCs w:val="23"/>
          <w:highlight w:val="none"/>
        </w:rPr>
        <w:t>自</w:t>
      </w:r>
      <w:r>
        <w:rPr>
          <w:rFonts w:hint="eastAsia" w:ascii="宋体" w:hAnsi="宋体" w:eastAsia="宋体" w:cs="宋体"/>
          <w:color w:val="auto"/>
          <w:sz w:val="23"/>
          <w:szCs w:val="23"/>
          <w:highlight w:val="none"/>
          <w:lang w:val="en-US" w:eastAsia="zh-CN"/>
        </w:rPr>
        <w:t>2021</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日以来(以</w:t>
      </w:r>
      <w:r>
        <w:rPr>
          <w:rFonts w:hint="eastAsia" w:ascii="宋体" w:hAnsi="宋体" w:eastAsia="宋体" w:cs="宋体"/>
          <w:color w:val="auto"/>
          <w:sz w:val="23"/>
          <w:szCs w:val="23"/>
          <w:highlight w:val="none"/>
          <w:lang w:val="en-US" w:eastAsia="zh-CN"/>
        </w:rPr>
        <w:t>验收证明时间</w:t>
      </w:r>
      <w:r>
        <w:rPr>
          <w:rFonts w:hint="eastAsia" w:ascii="宋体" w:hAnsi="宋体" w:eastAsia="宋体" w:cs="宋体"/>
          <w:color w:val="auto"/>
          <w:sz w:val="23"/>
          <w:szCs w:val="23"/>
          <w:highlight w:val="none"/>
        </w:rPr>
        <w:t>为准)</w:t>
      </w:r>
      <w:r>
        <w:rPr>
          <w:rFonts w:hint="eastAsia" w:ascii="宋体" w:hAnsi="宋体" w:eastAsia="宋体" w:cs="宋体"/>
          <w:color w:val="auto"/>
          <w:sz w:val="23"/>
          <w:szCs w:val="23"/>
          <w:highlight w:val="none"/>
          <w:lang w:val="en-US" w:eastAsia="zh-CN"/>
        </w:rPr>
        <w:t>至今完成过单项合同金额760万元及以上的国内箱式物流系统的供货业绩</w:t>
      </w:r>
      <w:r>
        <w:rPr>
          <w:rFonts w:hint="eastAsia" w:ascii="宋体" w:hAnsi="宋体" w:eastAsia="宋体" w:cs="宋体"/>
          <w:color w:val="auto"/>
          <w:sz w:val="23"/>
          <w:szCs w:val="23"/>
          <w:highlight w:val="none"/>
        </w:rPr>
        <w:t>，每</w:t>
      </w:r>
      <w:r>
        <w:rPr>
          <w:rFonts w:hint="eastAsia" w:ascii="宋体" w:hAnsi="宋体" w:eastAsia="宋体" w:cs="宋体"/>
          <w:color w:val="auto"/>
          <w:sz w:val="23"/>
          <w:szCs w:val="23"/>
          <w:highlight w:val="none"/>
          <w:lang w:val="en-US" w:eastAsia="zh-CN"/>
        </w:rPr>
        <w:t>个得1.5 分，最高得3分。</w:t>
      </w:r>
    </w:p>
    <w:p w14:paraId="555DCD49">
      <w:pPr>
        <w:spacing w:line="324" w:lineRule="auto"/>
        <w:ind w:firstLine="488"/>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rPr>
        <w:t>注：</w:t>
      </w:r>
      <w:r>
        <w:rPr>
          <w:rFonts w:hint="eastAsia" w:ascii="宋体" w:hAnsi="宋体" w:eastAsia="宋体" w:cs="宋体"/>
          <w:color w:val="auto"/>
          <w:sz w:val="23"/>
          <w:szCs w:val="23"/>
          <w:highlight w:val="none"/>
          <w:u w:val="single"/>
          <w:lang w:val="en-US" w:eastAsia="zh-CN"/>
        </w:rPr>
        <w:t>业绩证明资料须同时提供：合同、竣工验收资料（竣工验收证书或竣工验收报告或竣工验收备案表）、单独消防验收合格证明或整体工程消防验收合格证或物流系统符合消防验收的甲方或业主证明资料。</w:t>
      </w:r>
    </w:p>
    <w:p w14:paraId="2B8CA016">
      <w:pPr>
        <w:spacing w:line="324" w:lineRule="auto"/>
        <w:ind w:firstLine="48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提供的业绩证明材料须能清晰的表明投标人名称、合同金额、时间等需要明示的内容，否则不予认可。投标资格证明中的业绩可以作为本项计分业绩。</w:t>
      </w:r>
    </w:p>
    <w:p w14:paraId="4C0386BB">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(三)投标文件的技术标评审</w:t>
      </w:r>
    </w:p>
    <w:p w14:paraId="27D8FE3E">
      <w:pPr>
        <w:spacing w:line="324" w:lineRule="auto"/>
        <w:ind w:firstLine="49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采用记名方式各自评分。如发现某个单项的评分超出了规定的分值范围的，则该张评分表无效。此项评分为：从评标专家的有效评分中扣除一个最高总分和一个最低总分后的算术平均值(保留小数2位)。</w:t>
      </w:r>
    </w:p>
    <w:p w14:paraId="1BB58B72">
      <w:pPr>
        <w:spacing w:line="324" w:lineRule="auto"/>
        <w:ind w:firstLine="49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2.技术评分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60</w:t>
      </w:r>
      <w:r>
        <w:rPr>
          <w:rFonts w:hint="eastAsia" w:ascii="宋体" w:hAnsi="宋体" w:eastAsia="宋体" w:cs="宋体"/>
          <w:b/>
          <w:bCs/>
          <w:color w:val="auto"/>
          <w:sz w:val="23"/>
          <w:szCs w:val="23"/>
          <w:highlight w:val="none"/>
        </w:rPr>
        <w:t>分)：</w:t>
      </w:r>
    </w:p>
    <w:p w14:paraId="09D2953E">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招标人可根据招标项目的特点设置相应的评审内容和标准，原则上技术含量高的货物，技术评分权重大。可自选评审内容并要求细化，每一打分项分值区间不宜超过3分：</w:t>
      </w:r>
    </w:p>
    <w:p w14:paraId="1970F7AA">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□加工能力、制造水平</w:t>
      </w:r>
    </w:p>
    <w:p w14:paraId="74F81A9D">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hint="eastAsia" w:ascii="宋体" w:hAnsi="宋体" w:eastAsia="宋体" w:cs="宋体"/>
          <w:b/>
          <w:bCs/>
          <w:color w:val="auto"/>
          <w:sz w:val="23"/>
          <w:szCs w:val="23"/>
          <w:highlight w:val="none"/>
        </w:rPr>
        <w:t>投标货物技术指标的符合性、优越性（</w:t>
      </w:r>
      <w:r>
        <w:rPr>
          <w:rFonts w:hint="eastAsia" w:ascii="宋体" w:hAnsi="宋体" w:eastAsia="宋体" w:cs="宋体"/>
          <w:b/>
          <w:bCs/>
          <w:color w:val="auto"/>
          <w:sz w:val="23"/>
          <w:szCs w:val="23"/>
          <w:highlight w:val="none"/>
          <w:lang w:val="en-US" w:eastAsia="zh-CN"/>
        </w:rPr>
        <w:t>30</w:t>
      </w:r>
      <w:r>
        <w:rPr>
          <w:rFonts w:hint="eastAsia" w:ascii="宋体" w:hAnsi="宋体" w:eastAsia="宋体" w:cs="宋体"/>
          <w:b/>
          <w:bCs/>
          <w:color w:val="auto"/>
          <w:sz w:val="23"/>
          <w:szCs w:val="23"/>
          <w:highlight w:val="none"/>
        </w:rPr>
        <w:t>分）</w:t>
      </w:r>
    </w:p>
    <w:tbl>
      <w:tblPr>
        <w:tblStyle w:val="30"/>
        <w:tblW w:w="90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662"/>
        <w:gridCol w:w="6824"/>
      </w:tblGrid>
      <w:tr w14:paraId="779E1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68" w:type="dxa"/>
            <w:tcBorders>
              <w:top w:val="single" w:color="auto" w:sz="4" w:space="0"/>
              <w:left w:val="single" w:color="auto" w:sz="4" w:space="0"/>
              <w:right w:val="single" w:color="auto" w:sz="4" w:space="0"/>
            </w:tcBorders>
            <w:noWrap w:val="0"/>
            <w:vAlign w:val="center"/>
          </w:tcPr>
          <w:p w14:paraId="10384FA8">
            <w:pPr>
              <w:keepNext w:val="0"/>
              <w:keepLines w:val="0"/>
              <w:pageBreakBefore w:val="0"/>
              <w:wordWrap/>
              <w:overflowPunct/>
              <w:topLinePunct w:val="0"/>
              <w:bidi w:val="0"/>
              <w:adjustRightInd w:val="0"/>
              <w:spacing w:line="420" w:lineRule="exact"/>
              <w:jc w:val="both"/>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w:t>
            </w:r>
          </w:p>
        </w:tc>
        <w:tc>
          <w:tcPr>
            <w:tcW w:w="1662" w:type="dxa"/>
            <w:tcBorders>
              <w:top w:val="single" w:color="auto" w:sz="4" w:space="0"/>
              <w:left w:val="single" w:color="auto" w:sz="4" w:space="0"/>
              <w:right w:val="single" w:color="auto" w:sz="4" w:space="0"/>
            </w:tcBorders>
            <w:noWrap w:val="0"/>
            <w:vAlign w:val="center"/>
          </w:tcPr>
          <w:p w14:paraId="4D15F35E">
            <w:pPr>
              <w:keepNext w:val="0"/>
              <w:keepLines w:val="0"/>
              <w:pageBreakBefore w:val="0"/>
              <w:wordWrap/>
              <w:overflowPunct/>
              <w:topLinePunct w:val="0"/>
              <w:bidi w:val="0"/>
              <w:adjustRightInd w:val="0"/>
              <w:spacing w:line="420" w:lineRule="exact"/>
              <w:jc w:val="both"/>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投标货物技术指标的符合性、优越性（30分）</w:t>
            </w:r>
          </w:p>
        </w:tc>
        <w:tc>
          <w:tcPr>
            <w:tcW w:w="6824" w:type="dxa"/>
            <w:tcBorders>
              <w:top w:val="single" w:color="auto" w:sz="4" w:space="0"/>
              <w:left w:val="single" w:color="auto" w:sz="4" w:space="0"/>
              <w:bottom w:val="single" w:color="auto" w:sz="4" w:space="0"/>
              <w:right w:val="single" w:color="auto" w:sz="4" w:space="0"/>
            </w:tcBorders>
            <w:noWrap w:val="0"/>
            <w:vAlign w:val="center"/>
          </w:tcPr>
          <w:p w14:paraId="3A4A3682">
            <w:pPr>
              <w:keepNext w:val="0"/>
              <w:keepLines w:val="0"/>
              <w:pageBreakBefore w:val="0"/>
              <w:wordWrap/>
              <w:overflowPunct/>
              <w:topLinePunct w:val="0"/>
              <w:bidi w:val="0"/>
              <w:adjustRightInd w:val="0"/>
              <w:spacing w:line="420" w:lineRule="exact"/>
              <w:ind w:firstLine="460" w:firstLineChars="200"/>
              <w:jc w:val="both"/>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根据各投标人所投设备性能以及技术参数和设备质量对招标文件各项基本要求（招标货物清单及技术要求中各项条款）的逐项响应等方面情况由评委进行评议打分，投标人所投设备完全满足招标文件技术规范及要求的，得30分，标注“★”符号的实质性指标必须满足，如有负偏离或不响应则作无效投标处理；标注“▲”符号的投标产品技术要求及须提供的资料要求每有一条不满足招标文件要求的扣3分；未标注“▲”的投标产品技术要求及须提供的资料要求每有一条不满足招标文件要求的扣1分,扣完为止；正偏离不加分。(同一设备同一条一般性技术参数不重复扣分)。</w:t>
            </w:r>
          </w:p>
          <w:p w14:paraId="1A292DC1">
            <w:pPr>
              <w:keepNext w:val="0"/>
              <w:keepLines w:val="0"/>
              <w:pageBreakBefore w:val="0"/>
              <w:wordWrap/>
              <w:overflowPunct/>
              <w:topLinePunct w:val="0"/>
              <w:bidi w:val="0"/>
              <w:adjustRightInd w:val="0"/>
              <w:spacing w:line="420" w:lineRule="exact"/>
              <w:jc w:val="both"/>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证明材料:1.由投标人以投标承诺的方式响应，在投标文件中提供相应的《一般性技术参数响应承诺书》(格式自拟，未提供视作一般性技术参数负偏离)。2.招标文件技术参数中涉及到的★和▲项重要参数需在《重要性技术参数响应承诺书》(格式自拟，未提供视作重要性技术参数负偏离)中逐条列出，并提供采购清单内每样产品的相关参数佐证材料（如官网截图、产品彩页、原厂技术说明、检测报告等）扫描件并加盖投标单位公章，表内响应内容为空头或仅拷贝粘贴响应均不得分。</w:t>
            </w:r>
          </w:p>
          <w:p w14:paraId="45AECE01">
            <w:pPr>
              <w:keepNext w:val="0"/>
              <w:keepLines w:val="0"/>
              <w:pageBreakBefore w:val="0"/>
              <w:wordWrap/>
              <w:overflowPunct/>
              <w:topLinePunct w:val="0"/>
              <w:bidi w:val="0"/>
              <w:adjustRightInd w:val="0"/>
              <w:spacing w:line="420" w:lineRule="exact"/>
              <w:jc w:val="both"/>
              <w:textAlignment w:val="auto"/>
              <w:rPr>
                <w:rFonts w:hint="eastAsia" w:ascii="宋体" w:hAnsi="宋体" w:eastAsia="宋体" w:cs="宋体"/>
                <w:b/>
                <w:bCs/>
                <w:color w:val="auto"/>
                <w:sz w:val="23"/>
                <w:szCs w:val="23"/>
                <w:highlight w:val="none"/>
                <w:u w:val="single"/>
                <w:lang w:val="en-US" w:eastAsia="zh-CN"/>
              </w:rPr>
            </w:pPr>
            <w:r>
              <w:rPr>
                <w:rFonts w:hint="eastAsia" w:ascii="宋体" w:hAnsi="宋体" w:eastAsia="宋体" w:cs="宋体"/>
                <w:color w:val="auto"/>
                <w:sz w:val="23"/>
                <w:szCs w:val="23"/>
                <w:highlight w:val="none"/>
                <w:lang w:val="en-US" w:eastAsia="zh-CN"/>
              </w:rPr>
              <w:t>评标委员会根据投标单位提供的《一般性技术参数响应承诺书》和《重要性技术参数响应承诺书》偏离情况进行打分。</w:t>
            </w:r>
          </w:p>
        </w:tc>
      </w:tr>
    </w:tbl>
    <w:p w14:paraId="29C98552">
      <w:pPr>
        <w:spacing w:line="324" w:lineRule="auto"/>
        <w:ind w:firstLine="425" w:firstLineChars="185"/>
        <w:jc w:val="both"/>
        <w:rPr>
          <w:rFonts w:hint="eastAsia" w:ascii="宋体" w:hAnsi="宋体" w:eastAsia="宋体" w:cs="宋体"/>
          <w:b w:val="0"/>
          <w:bCs w:val="0"/>
          <w:color w:val="auto"/>
          <w:sz w:val="23"/>
          <w:szCs w:val="23"/>
          <w:highlight w:val="none"/>
        </w:rPr>
      </w:pPr>
      <w:r>
        <w:rPr>
          <w:rFonts w:hint="eastAsia" w:ascii="宋体" w:hAnsi="宋体" w:eastAsia="宋体" w:cs="宋体"/>
          <w:b w:val="0"/>
          <w:bCs w:val="0"/>
          <w:color w:val="auto"/>
          <w:sz w:val="23"/>
          <w:szCs w:val="23"/>
          <w:highlight w:val="none"/>
          <w:lang w:eastAsia="zh-CN"/>
        </w:rPr>
        <w:t>□</w:t>
      </w:r>
      <w:r>
        <w:rPr>
          <w:rFonts w:hint="eastAsia" w:ascii="宋体" w:hAnsi="宋体" w:eastAsia="宋体" w:cs="宋体"/>
          <w:b w:val="0"/>
          <w:bCs w:val="0"/>
          <w:color w:val="auto"/>
          <w:sz w:val="23"/>
          <w:szCs w:val="23"/>
          <w:highlight w:val="none"/>
        </w:rPr>
        <w:t>主要制作材料选用的比较</w:t>
      </w:r>
    </w:p>
    <w:p w14:paraId="0056F8DC">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□辅助制作材料及配件选用的比较</w:t>
      </w:r>
    </w:p>
    <w:p w14:paraId="2A4EA05B">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hint="eastAsia" w:ascii="宋体" w:hAnsi="宋体" w:eastAsia="宋体" w:cs="宋体"/>
          <w:b/>
          <w:bCs/>
          <w:color w:val="auto"/>
          <w:sz w:val="23"/>
          <w:szCs w:val="23"/>
          <w:highlight w:val="none"/>
        </w:rPr>
        <w:t>组织实施方案：投标人组织实施方案的科学性、合理性、规范性和可操作性，包括货物供货、验货、组装就位、关键步骤的思路和要点以及组织机构、工作时间进度表、工作程序和步骤等内容。（</w:t>
      </w:r>
      <w:r>
        <w:rPr>
          <w:rFonts w:hint="eastAsia" w:ascii="宋体" w:hAnsi="宋体" w:eastAsia="宋体" w:cs="宋体"/>
          <w:b/>
          <w:bCs/>
          <w:color w:val="auto"/>
          <w:sz w:val="23"/>
          <w:szCs w:val="23"/>
          <w:highlight w:val="none"/>
          <w:lang w:val="en-US" w:eastAsia="zh-CN"/>
        </w:rPr>
        <w:t>9</w:t>
      </w:r>
      <w:r>
        <w:rPr>
          <w:rFonts w:hint="eastAsia" w:ascii="宋体" w:hAnsi="宋体" w:eastAsia="宋体" w:cs="宋体"/>
          <w:b/>
          <w:bCs/>
          <w:color w:val="auto"/>
          <w:sz w:val="23"/>
          <w:szCs w:val="23"/>
          <w:highlight w:val="none"/>
        </w:rPr>
        <w:t>分）</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38"/>
        <w:gridCol w:w="1299"/>
        <w:gridCol w:w="7248"/>
      </w:tblGrid>
      <w:tr w14:paraId="0E67D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6"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13F64A1A">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val="en-US" w:eastAsia="zh-CN"/>
              </w:rPr>
              <w:t>1</w:t>
            </w:r>
          </w:p>
        </w:tc>
        <w:tc>
          <w:tcPr>
            <w:tcW w:w="715"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D397B22">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rPr>
              <w:t>项目实施方案计划及技术措施</w:t>
            </w:r>
            <w:r>
              <w:rPr>
                <w:rFonts w:hint="eastAsia" w:ascii="宋体" w:hAnsi="宋体" w:cs="宋体"/>
                <w:b w:val="0"/>
                <w:bCs w:val="0"/>
                <w:color w:val="auto"/>
                <w:sz w:val="23"/>
                <w:szCs w:val="23"/>
                <w:highlight w:val="none"/>
                <w:lang w:eastAsia="zh-CN"/>
              </w:rPr>
              <w:t>（</w:t>
            </w:r>
            <w:r>
              <w:rPr>
                <w:rFonts w:hint="eastAsia" w:ascii="宋体" w:hAnsi="宋体" w:cs="宋体"/>
                <w:b w:val="0"/>
                <w:bCs w:val="0"/>
                <w:color w:val="auto"/>
                <w:sz w:val="23"/>
                <w:szCs w:val="23"/>
                <w:highlight w:val="none"/>
                <w:lang w:val="en-US" w:eastAsia="zh-CN"/>
              </w:rPr>
              <w:t>3分</w:t>
            </w:r>
            <w:r>
              <w:rPr>
                <w:rFonts w:hint="eastAsia" w:ascii="宋体" w:hAnsi="宋体" w:cs="宋体"/>
                <w:b w:val="0"/>
                <w:bCs w:val="0"/>
                <w:color w:val="auto"/>
                <w:sz w:val="23"/>
                <w:szCs w:val="23"/>
                <w:highlight w:val="none"/>
                <w:lang w:eastAsia="zh-CN"/>
              </w:rPr>
              <w:t>）</w:t>
            </w:r>
          </w:p>
        </w:tc>
        <w:tc>
          <w:tcPr>
            <w:tcW w:w="398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56BB9100">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3"/>
                <w:szCs w:val="23"/>
                <w:highlight w:val="none"/>
              </w:rPr>
            </w:pPr>
            <w:r>
              <w:rPr>
                <w:rFonts w:hint="eastAsia" w:ascii="宋体" w:hAnsi="宋体" w:eastAsia="宋体" w:cs="宋体"/>
                <w:b w:val="0"/>
                <w:bCs w:val="0"/>
                <w:color w:val="auto"/>
                <w:sz w:val="23"/>
                <w:szCs w:val="23"/>
                <w:highlight w:val="none"/>
              </w:rPr>
              <w:t>投标文件中详细说明</w:t>
            </w:r>
            <w:r>
              <w:rPr>
                <w:rFonts w:hint="eastAsia" w:ascii="宋体" w:hAnsi="宋体" w:eastAsia="宋体" w:cs="宋体"/>
                <w:b w:val="0"/>
                <w:bCs w:val="0"/>
                <w:color w:val="auto"/>
                <w:sz w:val="23"/>
                <w:szCs w:val="23"/>
                <w:highlight w:val="none"/>
                <w:lang w:eastAsia="zh-CN"/>
              </w:rPr>
              <w:t>安装</w:t>
            </w:r>
            <w:r>
              <w:rPr>
                <w:rFonts w:hint="eastAsia" w:ascii="宋体" w:hAnsi="宋体" w:eastAsia="宋体" w:cs="宋体"/>
                <w:b w:val="0"/>
                <w:bCs w:val="0"/>
                <w:color w:val="auto"/>
                <w:sz w:val="23"/>
                <w:szCs w:val="23"/>
                <w:highlight w:val="none"/>
              </w:rPr>
              <w:t>组织措施</w:t>
            </w:r>
            <w:r>
              <w:rPr>
                <w:rFonts w:hint="eastAsia" w:ascii="宋体" w:hAnsi="宋体" w:eastAsia="宋体" w:cs="宋体"/>
                <w:b w:val="0"/>
                <w:bCs w:val="0"/>
                <w:color w:val="auto"/>
                <w:sz w:val="23"/>
                <w:szCs w:val="23"/>
                <w:highlight w:val="none"/>
                <w:lang w:eastAsia="zh-CN"/>
              </w:rPr>
              <w:t>，</w:t>
            </w:r>
            <w:r>
              <w:rPr>
                <w:rFonts w:hint="eastAsia" w:ascii="宋体" w:hAnsi="宋体" w:eastAsia="宋体" w:cs="宋体"/>
                <w:b w:val="0"/>
                <w:bCs w:val="0"/>
                <w:color w:val="auto"/>
                <w:sz w:val="23"/>
                <w:szCs w:val="23"/>
                <w:highlight w:val="none"/>
              </w:rPr>
              <w:t>包括技术方案、项目实施计划、工期网络图、安装调试方案、整体外观图片资料等</w:t>
            </w:r>
            <w:r>
              <w:rPr>
                <w:rFonts w:hint="eastAsia" w:ascii="宋体" w:hAnsi="宋体" w:eastAsia="宋体" w:cs="宋体"/>
                <w:b w:val="0"/>
                <w:bCs w:val="0"/>
                <w:color w:val="auto"/>
                <w:sz w:val="23"/>
                <w:szCs w:val="23"/>
                <w:highlight w:val="none"/>
                <w:lang w:eastAsia="zh-CN"/>
              </w:rPr>
              <w:t>内容</w:t>
            </w:r>
            <w:r>
              <w:rPr>
                <w:rFonts w:hint="eastAsia" w:ascii="宋体" w:hAnsi="宋体" w:eastAsia="宋体" w:cs="宋体"/>
                <w:b w:val="0"/>
                <w:bCs w:val="0"/>
                <w:color w:val="auto"/>
                <w:sz w:val="23"/>
                <w:szCs w:val="23"/>
                <w:highlight w:val="none"/>
                <w:lang w:val="en-US" w:eastAsia="zh-CN"/>
              </w:rPr>
              <w:t>进行综合评审</w:t>
            </w:r>
            <w:r>
              <w:rPr>
                <w:rFonts w:hint="eastAsia" w:ascii="宋体" w:hAnsi="宋体" w:eastAsia="宋体" w:cs="宋体"/>
                <w:b w:val="0"/>
                <w:bCs w:val="0"/>
                <w:color w:val="auto"/>
                <w:sz w:val="23"/>
                <w:szCs w:val="23"/>
                <w:highlight w:val="none"/>
                <w:lang w:eastAsia="zh-CN"/>
              </w:rPr>
              <w:t>。</w:t>
            </w:r>
            <w:r>
              <w:rPr>
                <w:rFonts w:hint="eastAsia" w:ascii="宋体" w:hAnsi="宋体" w:eastAsia="宋体" w:cs="宋体"/>
                <w:color w:val="auto"/>
                <w:sz w:val="23"/>
                <w:szCs w:val="23"/>
                <w:highlight w:val="none"/>
              </w:rPr>
              <w:t>优秀得</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（含）分、良好得</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含）分、一般得</w:t>
            </w:r>
            <w:r>
              <w:rPr>
                <w:rFonts w:hint="eastAsia" w:ascii="宋体" w:hAnsi="宋体" w:eastAsia="宋体" w:cs="宋体"/>
                <w:color w:val="auto"/>
                <w:sz w:val="23"/>
                <w:szCs w:val="23"/>
                <w:highlight w:val="none"/>
                <w:lang w:val="en-US" w:eastAsia="zh-CN"/>
              </w:rPr>
              <w:t>0.1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1.1</w:t>
            </w:r>
            <w:r>
              <w:rPr>
                <w:rFonts w:hint="eastAsia" w:ascii="宋体" w:hAnsi="宋体" w:eastAsia="宋体" w:cs="宋体"/>
                <w:color w:val="auto"/>
                <w:sz w:val="23"/>
                <w:szCs w:val="23"/>
                <w:highlight w:val="none"/>
              </w:rPr>
              <w:t>（含）分。未提供不得分。</w:t>
            </w:r>
          </w:p>
        </w:tc>
      </w:tr>
      <w:tr w14:paraId="04664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6"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60F47EB">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val="en-US" w:eastAsia="zh-CN"/>
              </w:rPr>
              <w:t>2</w:t>
            </w:r>
          </w:p>
        </w:tc>
        <w:tc>
          <w:tcPr>
            <w:tcW w:w="71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52B48AE">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rPr>
              <w:t>保障措施</w:t>
            </w:r>
            <w:r>
              <w:rPr>
                <w:rFonts w:hint="eastAsia" w:ascii="宋体" w:hAnsi="宋体" w:cs="宋体"/>
                <w:b w:val="0"/>
                <w:bCs w:val="0"/>
                <w:color w:val="auto"/>
                <w:sz w:val="23"/>
                <w:szCs w:val="23"/>
                <w:highlight w:val="none"/>
                <w:lang w:eastAsia="zh-CN"/>
              </w:rPr>
              <w:t>（</w:t>
            </w:r>
            <w:r>
              <w:rPr>
                <w:rFonts w:hint="eastAsia" w:ascii="宋体" w:hAnsi="宋体" w:cs="宋体"/>
                <w:b w:val="0"/>
                <w:bCs w:val="0"/>
                <w:color w:val="auto"/>
                <w:sz w:val="23"/>
                <w:szCs w:val="23"/>
                <w:highlight w:val="none"/>
                <w:lang w:val="en-US" w:eastAsia="zh-CN"/>
              </w:rPr>
              <w:t>3分</w:t>
            </w:r>
            <w:r>
              <w:rPr>
                <w:rFonts w:hint="eastAsia" w:ascii="宋体" w:hAnsi="宋体" w:cs="宋体"/>
                <w:b w:val="0"/>
                <w:bCs w:val="0"/>
                <w:color w:val="auto"/>
                <w:sz w:val="23"/>
                <w:szCs w:val="23"/>
                <w:highlight w:val="none"/>
                <w:lang w:eastAsia="zh-CN"/>
              </w:rPr>
              <w:t>）</w:t>
            </w:r>
          </w:p>
        </w:tc>
        <w:tc>
          <w:tcPr>
            <w:tcW w:w="398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535E09D">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3"/>
                <w:szCs w:val="23"/>
                <w:highlight w:val="none"/>
              </w:rPr>
            </w:pPr>
            <w:r>
              <w:rPr>
                <w:rFonts w:hint="eastAsia" w:ascii="宋体" w:hAnsi="宋体" w:eastAsia="宋体" w:cs="宋体"/>
                <w:b w:val="0"/>
                <w:bCs w:val="0"/>
                <w:color w:val="auto"/>
                <w:sz w:val="23"/>
                <w:szCs w:val="23"/>
                <w:highlight w:val="none"/>
                <w:lang w:eastAsia="zh-CN"/>
              </w:rPr>
              <w:t>根据投标文件对</w:t>
            </w:r>
            <w:r>
              <w:rPr>
                <w:rFonts w:hint="eastAsia" w:ascii="宋体" w:hAnsi="宋体" w:eastAsia="宋体" w:cs="宋体"/>
                <w:b w:val="0"/>
                <w:bCs w:val="0"/>
                <w:color w:val="auto"/>
                <w:sz w:val="23"/>
                <w:szCs w:val="23"/>
                <w:highlight w:val="none"/>
                <w:lang w:val="en-US" w:eastAsia="zh-CN"/>
              </w:rPr>
              <w:t>本</w:t>
            </w:r>
            <w:r>
              <w:rPr>
                <w:rFonts w:hint="eastAsia" w:ascii="宋体" w:hAnsi="宋体" w:eastAsia="宋体" w:cs="宋体"/>
                <w:b w:val="0"/>
                <w:bCs w:val="0"/>
                <w:color w:val="auto"/>
                <w:sz w:val="23"/>
                <w:szCs w:val="23"/>
                <w:highlight w:val="none"/>
                <w:lang w:eastAsia="zh-CN"/>
              </w:rPr>
              <w:t>工程的调试、试运行、</w:t>
            </w:r>
            <w:r>
              <w:rPr>
                <w:rFonts w:hint="eastAsia" w:ascii="宋体" w:hAnsi="宋体" w:eastAsia="宋体" w:cs="宋体"/>
                <w:b w:val="0"/>
                <w:bCs w:val="0"/>
                <w:color w:val="auto"/>
                <w:sz w:val="23"/>
                <w:szCs w:val="23"/>
                <w:highlight w:val="none"/>
              </w:rPr>
              <w:t>配合</w:t>
            </w:r>
            <w:r>
              <w:rPr>
                <w:rFonts w:hint="eastAsia" w:ascii="宋体" w:hAnsi="宋体" w:eastAsia="宋体" w:cs="宋体"/>
                <w:b w:val="0"/>
                <w:bCs w:val="0"/>
                <w:color w:val="auto"/>
                <w:sz w:val="23"/>
                <w:szCs w:val="23"/>
                <w:highlight w:val="none"/>
                <w:lang w:val="en-US" w:eastAsia="zh-CN"/>
              </w:rPr>
              <w:t>招标人</w:t>
            </w:r>
            <w:r>
              <w:rPr>
                <w:rFonts w:hint="eastAsia" w:ascii="宋体" w:hAnsi="宋体" w:eastAsia="宋体" w:cs="宋体"/>
                <w:b w:val="0"/>
                <w:bCs w:val="0"/>
                <w:color w:val="auto"/>
                <w:sz w:val="23"/>
                <w:szCs w:val="23"/>
                <w:highlight w:val="none"/>
              </w:rPr>
              <w:t>做好</w:t>
            </w:r>
            <w:r>
              <w:rPr>
                <w:rFonts w:hint="eastAsia" w:ascii="宋体" w:hAnsi="宋体" w:eastAsia="宋体" w:cs="宋体"/>
                <w:b w:val="0"/>
                <w:bCs w:val="0"/>
                <w:color w:val="auto"/>
                <w:sz w:val="23"/>
                <w:szCs w:val="23"/>
                <w:highlight w:val="none"/>
                <w:lang w:eastAsia="zh-CN"/>
              </w:rPr>
              <w:t>验收</w:t>
            </w:r>
            <w:r>
              <w:rPr>
                <w:rFonts w:hint="eastAsia" w:ascii="宋体" w:hAnsi="宋体" w:eastAsia="宋体" w:cs="宋体"/>
                <w:b w:val="0"/>
                <w:bCs w:val="0"/>
                <w:color w:val="auto"/>
                <w:sz w:val="23"/>
                <w:szCs w:val="23"/>
                <w:highlight w:val="none"/>
                <w:lang w:val="en-US" w:eastAsia="zh-CN"/>
              </w:rPr>
              <w:t>工作</w:t>
            </w:r>
            <w:r>
              <w:rPr>
                <w:rFonts w:hint="eastAsia" w:ascii="宋体" w:hAnsi="宋体" w:eastAsia="宋体" w:cs="宋体"/>
                <w:b w:val="0"/>
                <w:bCs w:val="0"/>
                <w:color w:val="auto"/>
                <w:sz w:val="23"/>
                <w:szCs w:val="23"/>
                <w:highlight w:val="none"/>
                <w:lang w:eastAsia="zh-CN"/>
              </w:rPr>
              <w:t>的保障措施进行</w:t>
            </w:r>
            <w:r>
              <w:rPr>
                <w:rFonts w:hint="eastAsia" w:ascii="宋体" w:hAnsi="宋体" w:eastAsia="宋体" w:cs="宋体"/>
                <w:b w:val="0"/>
                <w:bCs w:val="0"/>
                <w:color w:val="auto"/>
                <w:sz w:val="23"/>
                <w:szCs w:val="23"/>
                <w:highlight w:val="none"/>
                <w:lang w:val="en-US" w:eastAsia="zh-CN"/>
              </w:rPr>
              <w:t>综合</w:t>
            </w:r>
            <w:r>
              <w:rPr>
                <w:rFonts w:hint="eastAsia" w:ascii="宋体" w:hAnsi="宋体" w:eastAsia="宋体" w:cs="宋体"/>
                <w:b w:val="0"/>
                <w:bCs w:val="0"/>
                <w:color w:val="auto"/>
                <w:sz w:val="23"/>
                <w:szCs w:val="23"/>
                <w:highlight w:val="none"/>
                <w:lang w:eastAsia="zh-CN"/>
              </w:rPr>
              <w:t>评审。</w:t>
            </w:r>
            <w:r>
              <w:rPr>
                <w:rFonts w:hint="eastAsia" w:ascii="宋体" w:hAnsi="宋体" w:eastAsia="宋体" w:cs="宋体"/>
                <w:color w:val="auto"/>
                <w:sz w:val="23"/>
                <w:szCs w:val="23"/>
                <w:highlight w:val="none"/>
              </w:rPr>
              <w:t>优秀得</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（含）分、良好得</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含）分、一般得</w:t>
            </w:r>
            <w:r>
              <w:rPr>
                <w:rFonts w:hint="eastAsia" w:ascii="宋体" w:hAnsi="宋体" w:eastAsia="宋体" w:cs="宋体"/>
                <w:color w:val="auto"/>
                <w:sz w:val="23"/>
                <w:szCs w:val="23"/>
                <w:highlight w:val="none"/>
                <w:lang w:val="en-US" w:eastAsia="zh-CN"/>
              </w:rPr>
              <w:t>0.1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1.1</w:t>
            </w:r>
            <w:r>
              <w:rPr>
                <w:rFonts w:hint="eastAsia" w:ascii="宋体" w:hAnsi="宋体" w:eastAsia="宋体" w:cs="宋体"/>
                <w:color w:val="auto"/>
                <w:sz w:val="23"/>
                <w:szCs w:val="23"/>
                <w:highlight w:val="none"/>
              </w:rPr>
              <w:t>（含）分。未提供不得分。</w:t>
            </w:r>
          </w:p>
        </w:tc>
      </w:tr>
      <w:tr w14:paraId="2492C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6"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78FF2B5">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3</w:t>
            </w:r>
          </w:p>
        </w:tc>
        <w:tc>
          <w:tcPr>
            <w:tcW w:w="71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B0AA69C">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人员保障</w:t>
            </w:r>
            <w:r>
              <w:rPr>
                <w:rFonts w:hint="eastAsia" w:ascii="宋体" w:hAnsi="宋体" w:cs="宋体"/>
                <w:b w:val="0"/>
                <w:bCs w:val="0"/>
                <w:color w:val="auto"/>
                <w:sz w:val="23"/>
                <w:szCs w:val="23"/>
                <w:highlight w:val="none"/>
                <w:lang w:eastAsia="zh-CN"/>
              </w:rPr>
              <w:t>（</w:t>
            </w:r>
            <w:r>
              <w:rPr>
                <w:rFonts w:hint="eastAsia" w:ascii="宋体" w:hAnsi="宋体" w:cs="宋体"/>
                <w:b w:val="0"/>
                <w:bCs w:val="0"/>
                <w:color w:val="auto"/>
                <w:sz w:val="23"/>
                <w:szCs w:val="23"/>
                <w:highlight w:val="none"/>
                <w:lang w:val="en-US" w:eastAsia="zh-CN"/>
              </w:rPr>
              <w:t>3分</w:t>
            </w:r>
            <w:r>
              <w:rPr>
                <w:rFonts w:hint="eastAsia" w:ascii="宋体" w:hAnsi="宋体" w:cs="宋体"/>
                <w:b w:val="0"/>
                <w:bCs w:val="0"/>
                <w:color w:val="auto"/>
                <w:sz w:val="23"/>
                <w:szCs w:val="23"/>
                <w:highlight w:val="none"/>
                <w:lang w:eastAsia="zh-CN"/>
              </w:rPr>
              <w:t>）</w:t>
            </w:r>
          </w:p>
        </w:tc>
        <w:tc>
          <w:tcPr>
            <w:tcW w:w="398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893CAC1">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3"/>
                <w:szCs w:val="23"/>
                <w:highlight w:val="none"/>
              </w:rPr>
            </w:pPr>
            <w:r>
              <w:rPr>
                <w:rFonts w:hint="eastAsia" w:ascii="宋体" w:hAnsi="宋体" w:eastAsia="宋体" w:cs="宋体"/>
                <w:b w:val="0"/>
                <w:bCs w:val="0"/>
                <w:snapToGrid/>
                <w:color w:val="auto"/>
                <w:sz w:val="23"/>
                <w:szCs w:val="23"/>
                <w:highlight w:val="none"/>
                <w:lang w:val="en-US" w:eastAsia="zh-CN"/>
              </w:rPr>
              <w:t>根据</w:t>
            </w:r>
            <w:r>
              <w:rPr>
                <w:rFonts w:hint="eastAsia" w:ascii="宋体" w:hAnsi="宋体" w:eastAsia="宋体" w:cs="宋体"/>
                <w:b w:val="0"/>
                <w:bCs w:val="0"/>
                <w:snapToGrid/>
                <w:color w:val="auto"/>
                <w:sz w:val="23"/>
                <w:szCs w:val="23"/>
                <w:highlight w:val="none"/>
                <w:lang w:eastAsia="zh-CN"/>
              </w:rPr>
              <w:t>投标人拟派本项目劳动力配置合理性、</w:t>
            </w:r>
            <w:r>
              <w:rPr>
                <w:rFonts w:hint="eastAsia" w:ascii="宋体" w:hAnsi="宋体" w:cs="宋体"/>
                <w:b w:val="0"/>
                <w:bCs w:val="0"/>
                <w:snapToGrid/>
                <w:color w:val="auto"/>
                <w:sz w:val="23"/>
                <w:szCs w:val="23"/>
                <w:highlight w:val="none"/>
                <w:lang w:val="en-US" w:eastAsia="zh-CN"/>
              </w:rPr>
              <w:t>保障措施、</w:t>
            </w:r>
            <w:r>
              <w:rPr>
                <w:rFonts w:hint="eastAsia" w:ascii="宋体" w:hAnsi="宋体" w:eastAsia="宋体" w:cs="宋体"/>
                <w:b w:val="0"/>
                <w:bCs w:val="0"/>
                <w:snapToGrid/>
                <w:color w:val="auto"/>
                <w:sz w:val="23"/>
                <w:szCs w:val="23"/>
                <w:highlight w:val="none"/>
                <w:lang w:eastAsia="zh-CN"/>
              </w:rPr>
              <w:t>人员专业全面性等</w:t>
            </w:r>
            <w:r>
              <w:rPr>
                <w:rFonts w:hint="eastAsia" w:ascii="宋体" w:hAnsi="宋体" w:eastAsia="宋体" w:cs="宋体"/>
                <w:b w:val="0"/>
                <w:bCs w:val="0"/>
                <w:snapToGrid/>
                <w:color w:val="auto"/>
                <w:sz w:val="23"/>
                <w:szCs w:val="23"/>
                <w:highlight w:val="none"/>
                <w:lang w:val="en-US" w:eastAsia="zh-CN"/>
              </w:rPr>
              <w:t>进行综合评审</w:t>
            </w:r>
            <w:r>
              <w:rPr>
                <w:rFonts w:hint="eastAsia" w:ascii="宋体" w:hAnsi="宋体" w:eastAsia="宋体" w:cs="宋体"/>
                <w:b w:val="0"/>
                <w:bCs w:val="0"/>
                <w:snapToGrid/>
                <w:color w:val="auto"/>
                <w:sz w:val="23"/>
                <w:szCs w:val="23"/>
                <w:highlight w:val="none"/>
                <w:lang w:eastAsia="zh-CN"/>
              </w:rPr>
              <w:t>。</w:t>
            </w:r>
            <w:r>
              <w:rPr>
                <w:rFonts w:hint="eastAsia" w:ascii="宋体" w:hAnsi="宋体" w:eastAsia="宋体" w:cs="宋体"/>
                <w:color w:val="auto"/>
                <w:sz w:val="23"/>
                <w:szCs w:val="23"/>
                <w:highlight w:val="none"/>
              </w:rPr>
              <w:t>优秀得</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（含）分、良好得</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含）分、一般得</w:t>
            </w:r>
            <w:r>
              <w:rPr>
                <w:rFonts w:hint="eastAsia" w:ascii="宋体" w:hAnsi="宋体" w:eastAsia="宋体" w:cs="宋体"/>
                <w:color w:val="auto"/>
                <w:sz w:val="23"/>
                <w:szCs w:val="23"/>
                <w:highlight w:val="none"/>
                <w:lang w:val="en-US" w:eastAsia="zh-CN"/>
              </w:rPr>
              <w:t>0.1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1.1</w:t>
            </w:r>
            <w:r>
              <w:rPr>
                <w:rFonts w:hint="eastAsia" w:ascii="宋体" w:hAnsi="宋体" w:eastAsia="宋体" w:cs="宋体"/>
                <w:color w:val="auto"/>
                <w:sz w:val="23"/>
                <w:szCs w:val="23"/>
                <w:highlight w:val="none"/>
              </w:rPr>
              <w:t>（含）分。未提供不得分。</w:t>
            </w:r>
          </w:p>
        </w:tc>
      </w:tr>
    </w:tbl>
    <w:p w14:paraId="1D928C32">
      <w:pPr>
        <w:spacing w:line="324" w:lineRule="auto"/>
        <w:ind w:firstLine="427" w:firstLineChars="185"/>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☑投标人是否具有较强的本地化服务能力、售后服务承诺、提供的售后服务方案的可行性、完整性以及服务承诺落实的保障措施，质保期内外的后续技术支持和维护能力情况等。（</w:t>
      </w:r>
      <w:r>
        <w:rPr>
          <w:rFonts w:hint="eastAsia" w:ascii="宋体" w:hAnsi="宋体" w:eastAsia="宋体" w:cs="宋体"/>
          <w:b/>
          <w:bCs/>
          <w:color w:val="auto"/>
          <w:sz w:val="23"/>
          <w:szCs w:val="23"/>
          <w:highlight w:val="none"/>
          <w:lang w:val="en-US" w:eastAsia="zh-CN"/>
        </w:rPr>
        <w:t>21</w:t>
      </w:r>
      <w:r>
        <w:rPr>
          <w:rFonts w:hint="eastAsia" w:ascii="宋体" w:hAnsi="宋体" w:eastAsia="宋体" w:cs="宋体"/>
          <w:b/>
          <w:bCs/>
          <w:color w:val="auto"/>
          <w:sz w:val="23"/>
          <w:szCs w:val="23"/>
          <w:highlight w:val="none"/>
        </w:rPr>
        <w:t>分）</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32"/>
        <w:gridCol w:w="1316"/>
        <w:gridCol w:w="7237"/>
      </w:tblGrid>
      <w:tr w14:paraId="50AAA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500136E">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1</w:t>
            </w:r>
          </w:p>
        </w:tc>
        <w:tc>
          <w:tcPr>
            <w:tcW w:w="724"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B384FB3">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试运行阶段方案</w:t>
            </w:r>
            <w:r>
              <w:rPr>
                <w:rFonts w:hint="eastAsia" w:ascii="宋体" w:hAnsi="宋体" w:cs="宋体"/>
                <w:b w:val="0"/>
                <w:bCs w:val="0"/>
                <w:color w:val="auto"/>
                <w:sz w:val="23"/>
                <w:szCs w:val="23"/>
                <w:highlight w:val="none"/>
                <w:lang w:eastAsia="zh-CN"/>
              </w:rPr>
              <w:t>（</w:t>
            </w:r>
            <w:r>
              <w:rPr>
                <w:rFonts w:hint="eastAsia" w:ascii="宋体" w:hAnsi="宋体" w:cs="宋体"/>
                <w:b w:val="0"/>
                <w:bCs w:val="0"/>
                <w:color w:val="auto"/>
                <w:sz w:val="23"/>
                <w:szCs w:val="23"/>
                <w:highlight w:val="none"/>
                <w:lang w:val="en-US" w:eastAsia="zh-CN"/>
              </w:rPr>
              <w:t>3分</w:t>
            </w:r>
            <w:r>
              <w:rPr>
                <w:rFonts w:hint="eastAsia" w:ascii="宋体" w:hAnsi="宋体" w:cs="宋体"/>
                <w:b w:val="0"/>
                <w:bCs w:val="0"/>
                <w:color w:val="auto"/>
                <w:sz w:val="23"/>
                <w:szCs w:val="23"/>
                <w:highlight w:val="none"/>
                <w:lang w:eastAsia="zh-CN"/>
              </w:rPr>
              <w:t>）</w:t>
            </w:r>
          </w:p>
        </w:tc>
        <w:tc>
          <w:tcPr>
            <w:tcW w:w="398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053C91B">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s="宋体"/>
                <w:b w:val="0"/>
                <w:bCs w:val="0"/>
                <w:i w:val="0"/>
                <w:iCs w:val="0"/>
                <w:caps w:val="0"/>
                <w:color w:val="auto"/>
                <w:spacing w:val="0"/>
                <w:sz w:val="23"/>
                <w:szCs w:val="23"/>
                <w:highlight w:val="none"/>
                <w:shd w:val="clear" w:color="auto" w:fill="auto"/>
                <w:lang w:val="en-US" w:eastAsia="zh-CN"/>
              </w:rPr>
              <w:t>在满足招标文件最低要求的基础上，</w:t>
            </w:r>
            <w:r>
              <w:rPr>
                <w:rFonts w:hint="eastAsia" w:ascii="宋体" w:hAnsi="宋体" w:eastAsia="宋体" w:cs="宋体"/>
                <w:b w:val="0"/>
                <w:bCs w:val="0"/>
                <w:i w:val="0"/>
                <w:iCs w:val="0"/>
                <w:caps w:val="0"/>
                <w:color w:val="auto"/>
                <w:spacing w:val="0"/>
                <w:sz w:val="23"/>
                <w:szCs w:val="23"/>
                <w:highlight w:val="none"/>
                <w:shd w:val="clear" w:color="auto" w:fill="auto"/>
                <w:lang w:val="en-US" w:eastAsia="zh-CN"/>
              </w:rPr>
              <w:t>投标人编制的试运行阶段服务，包括</w:t>
            </w:r>
            <w:r>
              <w:rPr>
                <w:rFonts w:hint="eastAsia" w:ascii="宋体" w:hAnsi="宋体" w:eastAsia="宋体" w:cs="宋体"/>
                <w:b w:val="0"/>
                <w:bCs w:val="0"/>
                <w:i w:val="0"/>
                <w:iCs w:val="0"/>
                <w:caps w:val="0"/>
                <w:color w:val="auto"/>
                <w:spacing w:val="0"/>
                <w:sz w:val="23"/>
                <w:szCs w:val="23"/>
                <w:highlight w:val="none"/>
                <w:shd w:val="clear" w:color="auto" w:fill="auto"/>
              </w:rPr>
              <w:t>试运行管理计划、试运行准备、试运行过程指导和服务等关键环节</w:t>
            </w:r>
            <w:r>
              <w:rPr>
                <w:rFonts w:hint="eastAsia" w:ascii="宋体" w:hAnsi="宋体" w:eastAsia="宋体" w:cs="宋体"/>
                <w:b w:val="0"/>
                <w:bCs w:val="0"/>
                <w:i w:val="0"/>
                <w:iCs w:val="0"/>
                <w:caps w:val="0"/>
                <w:color w:val="auto"/>
                <w:spacing w:val="0"/>
                <w:sz w:val="23"/>
                <w:szCs w:val="23"/>
                <w:highlight w:val="none"/>
                <w:shd w:val="clear" w:color="auto" w:fill="auto"/>
                <w:lang w:val="en-US" w:eastAsia="zh-CN"/>
              </w:rPr>
              <w:t>及人员驻点时间保证的全面性进行综合评审。</w:t>
            </w:r>
            <w:r>
              <w:rPr>
                <w:rFonts w:hint="eastAsia" w:ascii="宋体" w:hAnsi="宋体" w:eastAsia="宋体" w:cs="宋体"/>
                <w:color w:val="auto"/>
                <w:sz w:val="23"/>
                <w:szCs w:val="23"/>
                <w:highlight w:val="none"/>
              </w:rPr>
              <w:t>优秀得</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（含）分、良好得</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含）分、一般得</w:t>
            </w:r>
            <w:r>
              <w:rPr>
                <w:rFonts w:hint="eastAsia" w:ascii="宋体" w:hAnsi="宋体" w:eastAsia="宋体" w:cs="宋体"/>
                <w:color w:val="auto"/>
                <w:sz w:val="23"/>
                <w:szCs w:val="23"/>
                <w:highlight w:val="none"/>
                <w:lang w:val="en-US" w:eastAsia="zh-CN"/>
              </w:rPr>
              <w:t>0.1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1.1</w:t>
            </w:r>
            <w:r>
              <w:rPr>
                <w:rFonts w:hint="eastAsia" w:ascii="宋体" w:hAnsi="宋体" w:eastAsia="宋体" w:cs="宋体"/>
                <w:color w:val="auto"/>
                <w:sz w:val="23"/>
                <w:szCs w:val="23"/>
                <w:highlight w:val="none"/>
              </w:rPr>
              <w:t>（含）分。未提供不得分。</w:t>
            </w:r>
          </w:p>
        </w:tc>
      </w:tr>
      <w:tr w14:paraId="35061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1FD0C9B">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2</w:t>
            </w:r>
          </w:p>
        </w:tc>
        <w:tc>
          <w:tcPr>
            <w:tcW w:w="724"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4919806B">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人员培训</w:t>
            </w:r>
            <w:r>
              <w:rPr>
                <w:rFonts w:hint="eastAsia" w:ascii="宋体" w:hAnsi="宋体" w:cs="宋体"/>
                <w:b w:val="0"/>
                <w:bCs w:val="0"/>
                <w:color w:val="auto"/>
                <w:sz w:val="23"/>
                <w:szCs w:val="23"/>
                <w:highlight w:val="none"/>
                <w:lang w:eastAsia="zh-CN"/>
              </w:rPr>
              <w:t>（</w:t>
            </w:r>
            <w:r>
              <w:rPr>
                <w:rFonts w:hint="eastAsia" w:ascii="宋体" w:hAnsi="宋体" w:cs="宋体"/>
                <w:b w:val="0"/>
                <w:bCs w:val="0"/>
                <w:color w:val="auto"/>
                <w:sz w:val="23"/>
                <w:szCs w:val="23"/>
                <w:highlight w:val="none"/>
                <w:lang w:val="en-US" w:eastAsia="zh-CN"/>
              </w:rPr>
              <w:t>3分</w:t>
            </w:r>
            <w:r>
              <w:rPr>
                <w:rFonts w:hint="eastAsia" w:ascii="宋体" w:hAnsi="宋体" w:cs="宋体"/>
                <w:b w:val="0"/>
                <w:bCs w:val="0"/>
                <w:color w:val="auto"/>
                <w:sz w:val="23"/>
                <w:szCs w:val="23"/>
                <w:highlight w:val="none"/>
                <w:lang w:eastAsia="zh-CN"/>
              </w:rPr>
              <w:t>）</w:t>
            </w:r>
          </w:p>
        </w:tc>
        <w:tc>
          <w:tcPr>
            <w:tcW w:w="398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7F2489D">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i w:val="0"/>
                <w:iCs w:val="0"/>
                <w:caps w:val="0"/>
                <w:color w:val="auto"/>
                <w:spacing w:val="0"/>
                <w:sz w:val="23"/>
                <w:szCs w:val="23"/>
                <w:highlight w:val="none"/>
                <w:shd w:val="clear" w:color="auto" w:fill="auto"/>
                <w:lang w:val="en-US" w:eastAsia="zh-CN"/>
              </w:rPr>
            </w:pPr>
            <w:r>
              <w:rPr>
                <w:rFonts w:hint="eastAsia" w:ascii="宋体" w:hAnsi="宋体" w:eastAsia="宋体" w:cs="宋体"/>
                <w:b w:val="0"/>
                <w:bCs w:val="0"/>
                <w:i w:val="0"/>
                <w:iCs w:val="0"/>
                <w:caps w:val="0"/>
                <w:color w:val="auto"/>
                <w:spacing w:val="0"/>
                <w:sz w:val="23"/>
                <w:szCs w:val="23"/>
                <w:highlight w:val="none"/>
                <w:shd w:val="clear" w:color="auto" w:fill="auto"/>
                <w:lang w:val="en-US" w:eastAsia="zh-CN"/>
              </w:rPr>
              <w:t>根据投标人编制的人员培训方案，包括培训知识、实际操作、</w:t>
            </w:r>
            <w:r>
              <w:rPr>
                <w:rFonts w:hint="eastAsia" w:ascii="宋体" w:hAnsi="宋体" w:eastAsia="宋体" w:cs="宋体"/>
                <w:b w:val="0"/>
                <w:bCs w:val="0"/>
                <w:i w:val="0"/>
                <w:iCs w:val="0"/>
                <w:caps w:val="0"/>
                <w:color w:val="auto"/>
                <w:spacing w:val="0"/>
                <w:sz w:val="23"/>
                <w:szCs w:val="23"/>
                <w:highlight w:val="none"/>
                <w:shd w:val="clear" w:color="auto" w:fill="auto"/>
              </w:rPr>
              <w:t>标准化与安全管理</w:t>
            </w:r>
            <w:r>
              <w:rPr>
                <w:rFonts w:hint="eastAsia" w:ascii="宋体" w:hAnsi="宋体" w:eastAsia="宋体" w:cs="宋体"/>
                <w:b w:val="0"/>
                <w:bCs w:val="0"/>
                <w:i w:val="0"/>
                <w:iCs w:val="0"/>
                <w:caps w:val="0"/>
                <w:color w:val="auto"/>
                <w:spacing w:val="0"/>
                <w:sz w:val="23"/>
                <w:szCs w:val="23"/>
                <w:highlight w:val="none"/>
                <w:shd w:val="clear" w:color="auto" w:fill="auto"/>
                <w:lang w:val="en-US" w:eastAsia="zh-CN"/>
              </w:rPr>
              <w:t>等方面进行综合性评审。</w:t>
            </w:r>
            <w:r>
              <w:rPr>
                <w:rFonts w:hint="eastAsia" w:ascii="宋体" w:hAnsi="宋体" w:eastAsia="宋体" w:cs="宋体"/>
                <w:color w:val="auto"/>
                <w:sz w:val="23"/>
                <w:szCs w:val="23"/>
                <w:highlight w:val="none"/>
              </w:rPr>
              <w:t>优秀得</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（含）分、良好得</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含）分、一般得</w:t>
            </w:r>
            <w:r>
              <w:rPr>
                <w:rFonts w:hint="eastAsia" w:ascii="宋体" w:hAnsi="宋体" w:eastAsia="宋体" w:cs="宋体"/>
                <w:color w:val="auto"/>
                <w:sz w:val="23"/>
                <w:szCs w:val="23"/>
                <w:highlight w:val="none"/>
                <w:lang w:val="en-US" w:eastAsia="zh-CN"/>
              </w:rPr>
              <w:t>0.1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1.1</w:t>
            </w:r>
            <w:r>
              <w:rPr>
                <w:rFonts w:hint="eastAsia" w:ascii="宋体" w:hAnsi="宋体" w:eastAsia="宋体" w:cs="宋体"/>
                <w:color w:val="auto"/>
                <w:sz w:val="23"/>
                <w:szCs w:val="23"/>
                <w:highlight w:val="none"/>
              </w:rPr>
              <w:t>（含）分。未提供不得分。</w:t>
            </w:r>
          </w:p>
        </w:tc>
      </w:tr>
      <w:tr w14:paraId="5F6C8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23AD3B8">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3</w:t>
            </w:r>
          </w:p>
        </w:tc>
        <w:tc>
          <w:tcPr>
            <w:tcW w:w="724"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6132AF5F">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应急预案</w:t>
            </w:r>
            <w:r>
              <w:rPr>
                <w:rFonts w:hint="eastAsia" w:ascii="宋体" w:hAnsi="宋体" w:cs="宋体"/>
                <w:b w:val="0"/>
                <w:bCs w:val="0"/>
                <w:color w:val="auto"/>
                <w:sz w:val="23"/>
                <w:szCs w:val="23"/>
                <w:highlight w:val="none"/>
                <w:lang w:eastAsia="zh-CN"/>
              </w:rPr>
              <w:t>（</w:t>
            </w:r>
            <w:r>
              <w:rPr>
                <w:rFonts w:hint="eastAsia" w:ascii="宋体" w:hAnsi="宋体" w:cs="宋体"/>
                <w:b w:val="0"/>
                <w:bCs w:val="0"/>
                <w:color w:val="auto"/>
                <w:sz w:val="23"/>
                <w:szCs w:val="23"/>
                <w:highlight w:val="none"/>
                <w:lang w:val="en-US" w:eastAsia="zh-CN"/>
              </w:rPr>
              <w:t>3分</w:t>
            </w:r>
            <w:r>
              <w:rPr>
                <w:rFonts w:hint="eastAsia" w:ascii="宋体" w:hAnsi="宋体" w:cs="宋体"/>
                <w:b w:val="0"/>
                <w:bCs w:val="0"/>
                <w:color w:val="auto"/>
                <w:sz w:val="23"/>
                <w:szCs w:val="23"/>
                <w:highlight w:val="none"/>
                <w:lang w:eastAsia="zh-CN"/>
              </w:rPr>
              <w:t>）</w:t>
            </w:r>
          </w:p>
        </w:tc>
        <w:tc>
          <w:tcPr>
            <w:tcW w:w="398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7DE08AD">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i w:val="0"/>
                <w:iCs w:val="0"/>
                <w:caps w:val="0"/>
                <w:color w:val="auto"/>
                <w:spacing w:val="0"/>
                <w:sz w:val="23"/>
                <w:szCs w:val="23"/>
                <w:highlight w:val="none"/>
                <w:shd w:val="clear" w:color="auto" w:fill="auto"/>
                <w:lang w:val="en-US" w:eastAsia="zh-CN"/>
              </w:rPr>
            </w:pPr>
            <w:r>
              <w:rPr>
                <w:rFonts w:hint="eastAsia" w:ascii="宋体" w:hAnsi="宋体" w:eastAsia="宋体" w:cs="宋体"/>
                <w:b w:val="0"/>
                <w:bCs w:val="0"/>
                <w:i w:val="0"/>
                <w:iCs w:val="0"/>
                <w:caps w:val="0"/>
                <w:color w:val="auto"/>
                <w:spacing w:val="0"/>
                <w:sz w:val="23"/>
                <w:szCs w:val="23"/>
                <w:highlight w:val="none"/>
                <w:shd w:val="clear" w:color="auto" w:fill="auto"/>
                <w:lang w:val="en-US" w:eastAsia="zh-CN"/>
              </w:rPr>
              <w:t>根据投标人编制的应急预案，包括对于多种突发事件的预制办法、细节、后续改进优化方案等的方面进行综合性评审。</w:t>
            </w:r>
            <w:r>
              <w:rPr>
                <w:rFonts w:hint="eastAsia" w:ascii="宋体" w:hAnsi="宋体" w:eastAsia="宋体" w:cs="宋体"/>
                <w:color w:val="auto"/>
                <w:sz w:val="23"/>
                <w:szCs w:val="23"/>
                <w:highlight w:val="none"/>
              </w:rPr>
              <w:t>优秀得</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（含）分、良好得</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含）分、一般得</w:t>
            </w:r>
            <w:r>
              <w:rPr>
                <w:rFonts w:hint="eastAsia" w:ascii="宋体" w:hAnsi="宋体" w:eastAsia="宋体" w:cs="宋体"/>
                <w:color w:val="auto"/>
                <w:sz w:val="23"/>
                <w:szCs w:val="23"/>
                <w:highlight w:val="none"/>
                <w:lang w:val="en-US" w:eastAsia="zh-CN"/>
              </w:rPr>
              <w:t>0.1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1.1</w:t>
            </w:r>
            <w:r>
              <w:rPr>
                <w:rFonts w:hint="eastAsia" w:ascii="宋体" w:hAnsi="宋体" w:eastAsia="宋体" w:cs="宋体"/>
                <w:color w:val="auto"/>
                <w:sz w:val="23"/>
                <w:szCs w:val="23"/>
                <w:highlight w:val="none"/>
              </w:rPr>
              <w:t>（含）分。未提供不得分。</w:t>
            </w:r>
          </w:p>
        </w:tc>
      </w:tr>
      <w:tr w14:paraId="4D7D3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A0804B2">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4</w:t>
            </w:r>
          </w:p>
        </w:tc>
        <w:tc>
          <w:tcPr>
            <w:tcW w:w="724"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CF0EEF1">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售后服务方案</w:t>
            </w:r>
            <w:r>
              <w:rPr>
                <w:rFonts w:hint="eastAsia" w:ascii="宋体" w:hAnsi="宋体" w:cs="宋体"/>
                <w:b w:val="0"/>
                <w:bCs w:val="0"/>
                <w:color w:val="auto"/>
                <w:sz w:val="23"/>
                <w:szCs w:val="23"/>
                <w:highlight w:val="none"/>
                <w:lang w:eastAsia="zh-CN"/>
              </w:rPr>
              <w:t>（</w:t>
            </w:r>
            <w:r>
              <w:rPr>
                <w:rFonts w:hint="eastAsia" w:ascii="宋体" w:hAnsi="宋体" w:cs="宋体"/>
                <w:b w:val="0"/>
                <w:bCs w:val="0"/>
                <w:color w:val="auto"/>
                <w:sz w:val="23"/>
                <w:szCs w:val="23"/>
                <w:highlight w:val="none"/>
                <w:lang w:val="en-US" w:eastAsia="zh-CN"/>
              </w:rPr>
              <w:t>3分</w:t>
            </w:r>
            <w:r>
              <w:rPr>
                <w:rFonts w:hint="eastAsia" w:ascii="宋体" w:hAnsi="宋体" w:cs="宋体"/>
                <w:b w:val="0"/>
                <w:bCs w:val="0"/>
                <w:color w:val="auto"/>
                <w:sz w:val="23"/>
                <w:szCs w:val="23"/>
                <w:highlight w:val="none"/>
                <w:lang w:eastAsia="zh-CN"/>
              </w:rPr>
              <w:t>）</w:t>
            </w:r>
          </w:p>
        </w:tc>
        <w:tc>
          <w:tcPr>
            <w:tcW w:w="398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B31A9C2">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3"/>
                <w:szCs w:val="23"/>
                <w:highlight w:val="none"/>
              </w:rPr>
            </w:pPr>
            <w:r>
              <w:rPr>
                <w:rFonts w:hint="eastAsia" w:ascii="宋体" w:hAnsi="宋体" w:eastAsia="宋体" w:cs="宋体"/>
                <w:b w:val="0"/>
                <w:bCs w:val="0"/>
                <w:color w:val="auto"/>
                <w:sz w:val="23"/>
                <w:szCs w:val="23"/>
                <w:highlight w:val="none"/>
                <w:lang w:eastAsia="zh-CN"/>
              </w:rPr>
              <w:t>根据投标人编制的售后服务方案包括维修服务</w:t>
            </w:r>
            <w:r>
              <w:rPr>
                <w:rFonts w:hint="eastAsia" w:ascii="宋体" w:hAnsi="宋体" w:eastAsia="宋体" w:cs="宋体"/>
                <w:b w:val="0"/>
                <w:bCs w:val="0"/>
                <w:color w:val="auto"/>
                <w:sz w:val="23"/>
                <w:szCs w:val="23"/>
                <w:highlight w:val="none"/>
                <w:lang w:val="en-US" w:eastAsia="zh-CN"/>
              </w:rPr>
              <w:t>点</w:t>
            </w:r>
            <w:r>
              <w:rPr>
                <w:rFonts w:hint="eastAsia" w:ascii="宋体" w:hAnsi="宋体" w:eastAsia="宋体" w:cs="宋体"/>
                <w:b w:val="0"/>
                <w:bCs w:val="0"/>
                <w:color w:val="auto"/>
                <w:sz w:val="23"/>
                <w:szCs w:val="23"/>
                <w:highlight w:val="none"/>
                <w:lang w:eastAsia="zh-CN"/>
              </w:rPr>
              <w:t>、保修响应时间、售后服务、标准规范化服务程度、备品备件是否齐全、保修措施是否完善等情况进行综合评审。</w:t>
            </w:r>
            <w:r>
              <w:rPr>
                <w:rFonts w:hint="eastAsia" w:ascii="宋体" w:hAnsi="宋体" w:eastAsia="宋体" w:cs="宋体"/>
                <w:color w:val="auto"/>
                <w:sz w:val="23"/>
                <w:szCs w:val="23"/>
                <w:highlight w:val="none"/>
              </w:rPr>
              <w:t>优秀得</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（含）分、良好得</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含）分、一般得</w:t>
            </w:r>
            <w:r>
              <w:rPr>
                <w:rFonts w:hint="eastAsia" w:ascii="宋体" w:hAnsi="宋体" w:eastAsia="宋体" w:cs="宋体"/>
                <w:color w:val="auto"/>
                <w:sz w:val="23"/>
                <w:szCs w:val="23"/>
                <w:highlight w:val="none"/>
                <w:lang w:val="en-US" w:eastAsia="zh-CN"/>
              </w:rPr>
              <w:t>0.1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1.1</w:t>
            </w:r>
            <w:r>
              <w:rPr>
                <w:rFonts w:hint="eastAsia" w:ascii="宋体" w:hAnsi="宋体" w:eastAsia="宋体" w:cs="宋体"/>
                <w:color w:val="auto"/>
                <w:sz w:val="23"/>
                <w:szCs w:val="23"/>
                <w:highlight w:val="none"/>
              </w:rPr>
              <w:t>（含）分。未提供不得分。</w:t>
            </w:r>
          </w:p>
        </w:tc>
      </w:tr>
      <w:tr w14:paraId="255BF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CCACB79">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5</w:t>
            </w:r>
          </w:p>
        </w:tc>
        <w:tc>
          <w:tcPr>
            <w:tcW w:w="724" w:type="pct"/>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0335C240">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eastAsia="zh-CN"/>
              </w:rPr>
              <w:t>质保期优惠</w:t>
            </w:r>
            <w:r>
              <w:rPr>
                <w:rFonts w:hint="eastAsia" w:ascii="宋体" w:hAnsi="宋体" w:cs="宋体"/>
                <w:b w:val="0"/>
                <w:bCs w:val="0"/>
                <w:color w:val="auto"/>
                <w:sz w:val="23"/>
                <w:szCs w:val="23"/>
                <w:highlight w:val="none"/>
                <w:lang w:eastAsia="zh-CN"/>
              </w:rPr>
              <w:t>（</w:t>
            </w:r>
            <w:r>
              <w:rPr>
                <w:rFonts w:hint="eastAsia" w:ascii="宋体" w:hAnsi="宋体" w:cs="宋体"/>
                <w:b w:val="0"/>
                <w:bCs w:val="0"/>
                <w:color w:val="auto"/>
                <w:sz w:val="23"/>
                <w:szCs w:val="23"/>
                <w:highlight w:val="none"/>
                <w:lang w:val="en-US" w:eastAsia="zh-CN"/>
              </w:rPr>
              <w:t>3分</w:t>
            </w:r>
            <w:r>
              <w:rPr>
                <w:rFonts w:hint="eastAsia" w:ascii="宋体" w:hAnsi="宋体" w:cs="宋体"/>
                <w:b w:val="0"/>
                <w:bCs w:val="0"/>
                <w:color w:val="auto"/>
                <w:sz w:val="23"/>
                <w:szCs w:val="23"/>
                <w:highlight w:val="none"/>
                <w:lang w:eastAsia="zh-CN"/>
              </w:rPr>
              <w:t>）</w:t>
            </w:r>
          </w:p>
        </w:tc>
        <w:tc>
          <w:tcPr>
            <w:tcW w:w="3981" w:type="pct"/>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top"/>
          </w:tcPr>
          <w:p w14:paraId="7567348E">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eastAsia="zh-CN"/>
              </w:rPr>
              <w:t>质保期期限仅满足招标文件规定的质保期（至少</w:t>
            </w:r>
            <w:r>
              <w:rPr>
                <w:rFonts w:hint="eastAsia" w:ascii="宋体" w:hAnsi="宋体" w:eastAsia="宋体" w:cs="宋体"/>
                <w:b w:val="0"/>
                <w:bCs w:val="0"/>
                <w:color w:val="auto"/>
                <w:sz w:val="23"/>
                <w:szCs w:val="23"/>
                <w:highlight w:val="none"/>
                <w:lang w:val="en-US" w:eastAsia="zh-CN"/>
              </w:rPr>
              <w:t>36</w:t>
            </w:r>
            <w:r>
              <w:rPr>
                <w:rFonts w:hint="eastAsia" w:ascii="宋体" w:hAnsi="宋体" w:eastAsia="宋体" w:cs="宋体"/>
                <w:b w:val="0"/>
                <w:bCs w:val="0"/>
                <w:color w:val="auto"/>
                <w:sz w:val="23"/>
                <w:szCs w:val="23"/>
                <w:highlight w:val="none"/>
                <w:lang w:eastAsia="zh-CN"/>
              </w:rPr>
              <w:t>个月）要求的，得0分；</w:t>
            </w:r>
            <w:r>
              <w:rPr>
                <w:rFonts w:hint="eastAsia" w:ascii="宋体" w:hAnsi="宋体" w:eastAsia="宋体" w:cs="宋体"/>
                <w:b w:val="0"/>
                <w:bCs w:val="0"/>
                <w:color w:val="auto"/>
                <w:sz w:val="23"/>
                <w:szCs w:val="23"/>
                <w:highlight w:val="none"/>
                <w:lang w:val="en-US" w:eastAsia="zh-CN"/>
              </w:rPr>
              <w:t>质保期限</w:t>
            </w:r>
            <w:r>
              <w:rPr>
                <w:rFonts w:hint="eastAsia" w:ascii="宋体" w:hAnsi="宋体" w:eastAsia="宋体" w:cs="宋体"/>
                <w:b w:val="0"/>
                <w:bCs w:val="0"/>
                <w:color w:val="auto"/>
                <w:sz w:val="23"/>
                <w:szCs w:val="23"/>
                <w:highlight w:val="none"/>
                <w:lang w:eastAsia="zh-CN"/>
              </w:rPr>
              <w:t>超过招标文件规定的质保期每</w:t>
            </w:r>
            <w:r>
              <w:rPr>
                <w:rFonts w:hint="eastAsia" w:ascii="宋体" w:hAnsi="宋体" w:eastAsia="宋体" w:cs="宋体"/>
                <w:b w:val="0"/>
                <w:bCs w:val="0"/>
                <w:color w:val="auto"/>
                <w:sz w:val="23"/>
                <w:szCs w:val="23"/>
                <w:highlight w:val="none"/>
                <w:lang w:val="en-US" w:eastAsia="zh-CN"/>
              </w:rPr>
              <w:t>12</w:t>
            </w:r>
            <w:r>
              <w:rPr>
                <w:rFonts w:hint="eastAsia" w:ascii="宋体" w:hAnsi="宋体" w:eastAsia="宋体" w:cs="宋体"/>
                <w:b w:val="0"/>
                <w:bCs w:val="0"/>
                <w:color w:val="auto"/>
                <w:sz w:val="23"/>
                <w:szCs w:val="23"/>
                <w:highlight w:val="none"/>
                <w:lang w:eastAsia="zh-CN"/>
              </w:rPr>
              <w:t>个月得1分，最高得</w:t>
            </w:r>
            <w:r>
              <w:rPr>
                <w:rFonts w:hint="eastAsia" w:ascii="宋体" w:hAnsi="宋体" w:eastAsia="宋体" w:cs="宋体"/>
                <w:b w:val="0"/>
                <w:bCs w:val="0"/>
                <w:color w:val="auto"/>
                <w:sz w:val="23"/>
                <w:szCs w:val="23"/>
                <w:highlight w:val="none"/>
                <w:lang w:val="en-US" w:eastAsia="zh-CN"/>
              </w:rPr>
              <w:t>3</w:t>
            </w:r>
            <w:r>
              <w:rPr>
                <w:rFonts w:hint="eastAsia" w:ascii="宋体" w:hAnsi="宋体" w:eastAsia="宋体" w:cs="宋体"/>
                <w:b w:val="0"/>
                <w:bCs w:val="0"/>
                <w:color w:val="auto"/>
                <w:sz w:val="23"/>
                <w:szCs w:val="23"/>
                <w:highlight w:val="none"/>
                <w:lang w:eastAsia="zh-CN"/>
              </w:rPr>
              <w:t>分。</w:t>
            </w:r>
          </w:p>
          <w:p w14:paraId="31C928AF">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b/>
                <w:bCs/>
                <w:color w:val="auto"/>
                <w:sz w:val="23"/>
                <w:szCs w:val="23"/>
                <w:highlight w:val="none"/>
              </w:rPr>
              <w:t>注：质保期优惠包含人工、差旅住宿费、</w:t>
            </w:r>
            <w:r>
              <w:rPr>
                <w:rFonts w:hint="eastAsia" w:ascii="宋体" w:hAnsi="宋体"/>
                <w:b/>
                <w:bCs/>
                <w:color w:val="auto"/>
                <w:sz w:val="23"/>
                <w:szCs w:val="23"/>
                <w:highlight w:val="none"/>
                <w:lang w:val="en-US" w:eastAsia="zh-CN"/>
              </w:rPr>
              <w:t>保养</w:t>
            </w:r>
            <w:r>
              <w:rPr>
                <w:rFonts w:hint="eastAsia" w:ascii="宋体" w:hAnsi="宋体"/>
                <w:b/>
                <w:bCs/>
                <w:color w:val="auto"/>
                <w:sz w:val="23"/>
                <w:szCs w:val="23"/>
                <w:highlight w:val="none"/>
              </w:rPr>
              <w:t>材料及配件费等质保期间产生的一切费用。</w:t>
            </w:r>
          </w:p>
        </w:tc>
      </w:tr>
      <w:tr w14:paraId="5377D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3" w:type="pct"/>
            <w:vMerge w:val="restart"/>
            <w:tcBorders>
              <w:top w:val="single" w:color="auto" w:sz="4" w:space="0"/>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19DC7FDF">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6</w:t>
            </w:r>
          </w:p>
        </w:tc>
        <w:tc>
          <w:tcPr>
            <w:tcW w:w="724" w:type="pct"/>
            <w:vMerge w:val="restart"/>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6FE926EC">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eastAsia="zh-CN"/>
              </w:rPr>
              <w:t>质保期后维保</w:t>
            </w:r>
            <w:r>
              <w:rPr>
                <w:rFonts w:hint="eastAsia" w:ascii="宋体" w:hAnsi="宋体" w:cs="宋体"/>
                <w:b w:val="0"/>
                <w:bCs w:val="0"/>
                <w:color w:val="auto"/>
                <w:sz w:val="23"/>
                <w:szCs w:val="23"/>
                <w:highlight w:val="none"/>
                <w:lang w:eastAsia="zh-CN"/>
              </w:rPr>
              <w:t>（</w:t>
            </w:r>
            <w:r>
              <w:rPr>
                <w:rFonts w:hint="eastAsia" w:ascii="宋体" w:hAnsi="宋体" w:cs="宋体"/>
                <w:b w:val="0"/>
                <w:bCs w:val="0"/>
                <w:color w:val="auto"/>
                <w:sz w:val="23"/>
                <w:szCs w:val="23"/>
                <w:highlight w:val="none"/>
                <w:lang w:val="en-US" w:eastAsia="zh-CN"/>
              </w:rPr>
              <w:t>6分</w:t>
            </w:r>
            <w:r>
              <w:rPr>
                <w:rFonts w:hint="eastAsia" w:ascii="宋体" w:hAnsi="宋体" w:cs="宋体"/>
                <w:b w:val="0"/>
                <w:bCs w:val="0"/>
                <w:color w:val="auto"/>
                <w:sz w:val="23"/>
                <w:szCs w:val="23"/>
                <w:highlight w:val="none"/>
                <w:lang w:eastAsia="zh-CN"/>
              </w:rPr>
              <w:t>）</w:t>
            </w:r>
          </w:p>
        </w:tc>
        <w:tc>
          <w:tcPr>
            <w:tcW w:w="3981" w:type="pct"/>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top"/>
          </w:tcPr>
          <w:p w14:paraId="30DFE7A8">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default" w:ascii="宋体" w:hAnsi="宋体" w:eastAsia="宋体" w:cs="宋体"/>
                <w:b w:val="0"/>
                <w:bCs w:val="0"/>
                <w:color w:val="auto"/>
                <w:sz w:val="23"/>
                <w:szCs w:val="23"/>
                <w:highlight w:val="none"/>
                <w:lang w:val="en-US" w:eastAsia="zh-CN"/>
              </w:rPr>
            </w:pPr>
            <w:r>
              <w:rPr>
                <w:rFonts w:hint="eastAsia" w:ascii="宋体" w:hAnsi="宋体" w:eastAsia="宋体" w:cs="宋体"/>
                <w:b w:val="0"/>
                <w:bCs w:val="0"/>
                <w:snapToGrid/>
                <w:color w:val="auto"/>
                <w:kern w:val="2"/>
                <w:sz w:val="23"/>
                <w:szCs w:val="23"/>
                <w:highlight w:val="none"/>
                <w:lang w:val="en-US" w:eastAsia="zh-CN" w:bidi="ar"/>
              </w:rPr>
              <w:t>投标人提供设备质保期满后5年内的购买全保报价</w:t>
            </w:r>
            <w:r>
              <w:rPr>
                <w:rFonts w:hint="eastAsia" w:ascii="宋体" w:hAnsi="宋体" w:cs="宋体"/>
                <w:b w:val="0"/>
                <w:bCs w:val="0"/>
                <w:snapToGrid/>
                <w:color w:val="auto"/>
                <w:kern w:val="2"/>
                <w:sz w:val="23"/>
                <w:szCs w:val="23"/>
                <w:highlight w:val="none"/>
                <w:lang w:val="en-US" w:eastAsia="zh-CN" w:bidi="ar"/>
              </w:rPr>
              <w:t>【包含驻场人员费用、所有零部件（包括核心主板、高端传感器等贵重部件以及常见易损件）、维修人员工时费差旅费等全保过程需要支出的费用】</w:t>
            </w:r>
            <w:r>
              <w:rPr>
                <w:rFonts w:hint="eastAsia" w:ascii="宋体" w:hAnsi="宋体" w:eastAsia="宋体" w:cs="宋体"/>
                <w:b w:val="0"/>
                <w:bCs w:val="0"/>
                <w:snapToGrid/>
                <w:color w:val="auto"/>
                <w:kern w:val="2"/>
                <w:sz w:val="23"/>
                <w:szCs w:val="23"/>
                <w:highlight w:val="none"/>
                <w:lang w:val="en-US" w:eastAsia="zh-CN" w:bidi="ar"/>
              </w:rPr>
              <w:t>，根据</w:t>
            </w:r>
            <w:r>
              <w:rPr>
                <w:rFonts w:hint="eastAsia" w:ascii="宋体" w:hAnsi="宋体" w:cs="宋体"/>
                <w:b w:val="0"/>
                <w:bCs w:val="0"/>
                <w:snapToGrid/>
                <w:color w:val="auto"/>
                <w:kern w:val="2"/>
                <w:sz w:val="23"/>
                <w:szCs w:val="23"/>
                <w:highlight w:val="none"/>
                <w:lang w:val="en-US" w:eastAsia="zh-CN" w:bidi="ar"/>
              </w:rPr>
              <w:t>提供的承诺</w:t>
            </w:r>
            <w:r>
              <w:rPr>
                <w:rFonts w:hint="eastAsia" w:ascii="宋体" w:hAnsi="宋体" w:eastAsia="宋体" w:cs="宋体"/>
                <w:b w:val="0"/>
                <w:bCs w:val="0"/>
                <w:snapToGrid/>
                <w:color w:val="auto"/>
                <w:kern w:val="2"/>
                <w:sz w:val="23"/>
                <w:szCs w:val="23"/>
                <w:highlight w:val="none"/>
                <w:lang w:val="en-US" w:eastAsia="zh-CN" w:bidi="ar"/>
              </w:rPr>
              <w:t>进行评审。年全保价</w:t>
            </w:r>
            <w:r>
              <w:rPr>
                <w:rFonts w:hint="eastAsia" w:ascii="宋体" w:hAnsi="宋体" w:cs="宋体"/>
                <w:b w:val="0"/>
                <w:bCs w:val="0"/>
                <w:snapToGrid/>
                <w:color w:val="auto"/>
                <w:kern w:val="2"/>
                <w:sz w:val="23"/>
                <w:szCs w:val="23"/>
                <w:highlight w:val="none"/>
                <w:lang w:val="en-US" w:eastAsia="zh-CN" w:bidi="ar"/>
              </w:rPr>
              <w:t>最低的得3分，其余按照</w:t>
            </w:r>
            <w:r>
              <w:rPr>
                <w:rFonts w:hint="eastAsia" w:ascii="宋体" w:hAnsi="宋体" w:eastAsia="宋体" w:cs="宋体"/>
                <w:color w:val="auto"/>
                <w:sz w:val="23"/>
                <w:szCs w:val="23"/>
                <w:highlight w:val="none"/>
              </w:rPr>
              <w:t>(</w:t>
            </w:r>
            <w:r>
              <w:rPr>
                <w:rFonts w:hint="eastAsia" w:ascii="宋体" w:hAnsi="宋体" w:eastAsia="宋体" w:cs="宋体"/>
                <w:b w:val="0"/>
                <w:bCs w:val="0"/>
                <w:snapToGrid/>
                <w:color w:val="auto"/>
                <w:kern w:val="2"/>
                <w:sz w:val="23"/>
                <w:szCs w:val="23"/>
                <w:highlight w:val="none"/>
                <w:lang w:val="en-US" w:eastAsia="zh-CN" w:bidi="ar"/>
              </w:rPr>
              <w:t>最低年全保价</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各投标人承诺的</w:t>
            </w:r>
            <w:r>
              <w:rPr>
                <w:rFonts w:hint="eastAsia" w:ascii="宋体" w:hAnsi="宋体" w:eastAsia="宋体" w:cs="宋体"/>
                <w:b w:val="0"/>
                <w:bCs w:val="0"/>
                <w:snapToGrid/>
                <w:color w:val="auto"/>
                <w:kern w:val="2"/>
                <w:sz w:val="23"/>
                <w:szCs w:val="23"/>
                <w:highlight w:val="none"/>
                <w:lang w:val="en-US" w:eastAsia="zh-CN" w:bidi="ar"/>
              </w:rPr>
              <w:t>年全保价</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3分数打分，未提供承诺不得分。</w:t>
            </w:r>
            <w:r>
              <w:rPr>
                <w:rFonts w:hint="eastAsia" w:ascii="宋体" w:hAnsi="宋体" w:cs="宋体"/>
                <w:b w:val="0"/>
                <w:bCs w:val="0"/>
                <w:color w:val="auto"/>
                <w:sz w:val="23"/>
                <w:szCs w:val="23"/>
                <w:highlight w:val="none"/>
                <w:lang w:val="en-US" w:eastAsia="zh-CN"/>
              </w:rPr>
              <w:t>[0-3]分</w:t>
            </w:r>
          </w:p>
          <w:p w14:paraId="6CAEF0E5">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kern w:val="2"/>
                <w:sz w:val="23"/>
                <w:szCs w:val="23"/>
                <w:highlight w:val="none"/>
                <w:lang w:val="en-US" w:eastAsia="zh-CN" w:bidi="ar"/>
              </w:rPr>
            </w:pPr>
            <w:r>
              <w:rPr>
                <w:rFonts w:hint="eastAsia" w:ascii="宋体" w:hAnsi="宋体" w:eastAsia="宋体" w:cs="宋体"/>
                <w:b w:val="0"/>
                <w:bCs w:val="0"/>
                <w:snapToGrid/>
                <w:color w:val="auto"/>
                <w:kern w:val="2"/>
                <w:sz w:val="23"/>
                <w:szCs w:val="23"/>
                <w:highlight w:val="none"/>
                <w:lang w:val="en-US" w:eastAsia="zh-CN" w:bidi="ar"/>
              </w:rPr>
              <w:t>注：提供厂家及投标人盖章承诺，报年全保价（以百分比的形式报价，最多保留小数点后2位；报价不得低于2.00%），全保费用不包括在本次投标报价中</w:t>
            </w:r>
          </w:p>
        </w:tc>
      </w:tr>
      <w:tr w14:paraId="77DFD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3" w:type="pct"/>
            <w:vMerge w:val="continue"/>
            <w:tcBorders>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48B1701">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ascii="宋体" w:hAnsi="宋体" w:eastAsia="宋体" w:cs="宋体"/>
                <w:b w:val="0"/>
                <w:bCs w:val="0"/>
                <w:color w:val="auto"/>
                <w:sz w:val="23"/>
                <w:szCs w:val="23"/>
                <w:highlight w:val="none"/>
                <w:lang w:val="en-US" w:eastAsia="zh-CN"/>
              </w:rPr>
            </w:pPr>
          </w:p>
        </w:tc>
        <w:tc>
          <w:tcPr>
            <w:tcW w:w="724" w:type="pct"/>
            <w:vMerge w:val="continue"/>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588471BA">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ascii="宋体" w:hAnsi="宋体" w:eastAsia="宋体" w:cs="宋体"/>
                <w:b w:val="0"/>
                <w:bCs w:val="0"/>
                <w:color w:val="auto"/>
                <w:sz w:val="23"/>
                <w:szCs w:val="23"/>
                <w:highlight w:val="none"/>
                <w:lang w:val="en-US" w:eastAsia="zh-CN"/>
              </w:rPr>
            </w:pPr>
          </w:p>
        </w:tc>
        <w:tc>
          <w:tcPr>
            <w:tcW w:w="3981" w:type="pct"/>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top"/>
          </w:tcPr>
          <w:p w14:paraId="10C83BF1">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default" w:ascii="宋体" w:hAnsi="宋体" w:eastAsia="宋体" w:cs="宋体"/>
                <w:b w:val="0"/>
                <w:bCs w:val="0"/>
                <w:snapToGrid/>
                <w:color w:val="auto"/>
                <w:kern w:val="2"/>
                <w:sz w:val="23"/>
                <w:szCs w:val="23"/>
                <w:highlight w:val="none"/>
                <w:lang w:val="en-US" w:eastAsia="zh-CN" w:bidi="ar"/>
              </w:rPr>
            </w:pPr>
            <w:r>
              <w:rPr>
                <w:rFonts w:hint="eastAsia" w:ascii="宋体" w:hAnsi="宋体" w:cs="宋体"/>
                <w:b w:val="0"/>
                <w:bCs w:val="0"/>
                <w:snapToGrid/>
                <w:color w:val="auto"/>
                <w:kern w:val="2"/>
                <w:sz w:val="23"/>
                <w:szCs w:val="23"/>
                <w:highlight w:val="none"/>
                <w:lang w:val="en-US" w:eastAsia="zh-CN" w:bidi="ar"/>
              </w:rPr>
              <w:t>投标人提供质保期满后5年内的全保期内配件来源的说明、更换维修后部件的质保期限等内容进行综合评审。</w:t>
            </w:r>
            <w:r>
              <w:rPr>
                <w:rFonts w:hint="eastAsia" w:ascii="宋体" w:hAnsi="宋体" w:eastAsia="宋体" w:cs="宋体"/>
                <w:color w:val="auto"/>
                <w:sz w:val="23"/>
                <w:szCs w:val="23"/>
                <w:highlight w:val="none"/>
              </w:rPr>
              <w:t>优秀得</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（含）分、良好得</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含）分、一般得</w:t>
            </w:r>
            <w:r>
              <w:rPr>
                <w:rFonts w:hint="eastAsia" w:ascii="宋体" w:hAnsi="宋体" w:eastAsia="宋体" w:cs="宋体"/>
                <w:color w:val="auto"/>
                <w:sz w:val="23"/>
                <w:szCs w:val="23"/>
                <w:highlight w:val="none"/>
                <w:lang w:val="en-US" w:eastAsia="zh-CN"/>
              </w:rPr>
              <w:t>0.1</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1.1</w:t>
            </w:r>
            <w:r>
              <w:rPr>
                <w:rFonts w:hint="eastAsia" w:ascii="宋体" w:hAnsi="宋体" w:eastAsia="宋体" w:cs="宋体"/>
                <w:color w:val="auto"/>
                <w:sz w:val="23"/>
                <w:szCs w:val="23"/>
                <w:highlight w:val="none"/>
              </w:rPr>
              <w:t>（含）分。未提供不得分。</w:t>
            </w:r>
          </w:p>
        </w:tc>
      </w:tr>
    </w:tbl>
    <w:p w14:paraId="1896B547">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□投标人提供的样品质量比较</w:t>
      </w:r>
    </w:p>
    <w:p w14:paraId="06E7768A">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其它</w:t>
      </w:r>
    </w:p>
    <w:p w14:paraId="2286FC98">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(四)投标文件的商务标评审</w:t>
      </w:r>
    </w:p>
    <w:p w14:paraId="4D5FFAC1">
      <w:pPr>
        <w:spacing w:line="324" w:lineRule="auto"/>
        <w:ind w:firstLine="4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1.由评标委员会全体成员对投标文件的报价进行评审。评标专家应对报价的范围、数量、单价、费用组成和总价等进行全面审阅和对比分析，找出报价差异的原因及存在的问题。</w:t>
      </w:r>
    </w:p>
    <w:p w14:paraId="3584F287">
      <w:pPr>
        <w:spacing w:line="324"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2.报价评审应以报价口径范围一致的投标评标价为依据。投标评标价应在最终报价的基础上，按照招标文件约定的因素和方法进行计算。</w:t>
      </w:r>
    </w:p>
    <w:p w14:paraId="37AC9FAB">
      <w:pPr>
        <w:spacing w:line="324"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评标基准价由评标委员会依据下述方法计算，除计算差错外，确认后的评标基准价在本次招标期间保持不变。计算差错，仅限于以下两种情况：(1)纯算术性四则运算差错；(2)未按约定的计算方法，多计或者少计投标人报价的。由于评标差错，导致否决投标错误，重新评标纠正等其他情况，不属于计算差错。</w:t>
      </w:r>
    </w:p>
    <w:p w14:paraId="69B29A27">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4.报价评分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37</w:t>
      </w:r>
      <w:r>
        <w:rPr>
          <w:rFonts w:hint="eastAsia" w:ascii="宋体" w:hAnsi="宋体" w:eastAsia="宋体" w:cs="宋体"/>
          <w:b/>
          <w:bCs/>
          <w:color w:val="auto"/>
          <w:sz w:val="23"/>
          <w:szCs w:val="23"/>
          <w:highlight w:val="none"/>
        </w:rPr>
        <w:t>分)</w:t>
      </w:r>
    </w:p>
    <w:p w14:paraId="32149616">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eastAsia="zh-CN"/>
        </w:rPr>
        <w:t>☑</w:t>
      </w:r>
      <w:bookmarkStart w:id="47" w:name="_Toc23267"/>
      <w:r>
        <w:rPr>
          <w:rFonts w:hint="eastAsia" w:ascii="宋体" w:hAnsi="宋体" w:eastAsia="宋体" w:cs="宋体"/>
          <w:color w:val="auto"/>
          <w:sz w:val="23"/>
          <w:szCs w:val="23"/>
          <w:highlight w:val="none"/>
          <w:lang w:val="en-US" w:eastAsia="zh-CN"/>
        </w:rPr>
        <w:t>平均价法（方法一）</w:t>
      </w:r>
    </w:p>
    <w:p w14:paraId="1F086439">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(1)评分范围：通过符合性审查的所有投标文件进入评分范围。</w:t>
      </w:r>
    </w:p>
    <w:p w14:paraId="1323A8CD">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(2)评标基准价：进入评分范围的投标评标价的算术平均值为评标基准价(其中，</w:t>
      </w:r>
    </w:p>
    <w:p w14:paraId="21002837">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投标评标价在5个至7个时，去除一个最高价和一个最低价；投标评标价在8个及以上时，去除一个最高、次高价和一个最低、次低价)。</w:t>
      </w:r>
    </w:p>
    <w:p w14:paraId="728108A4">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(3)根据投标文件的投标评标价与评标基准价对比，计算投标人的商务报价的得分值。</w:t>
      </w:r>
    </w:p>
    <w:p w14:paraId="5C26A777">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即：</w:t>
      </w:r>
    </w:p>
    <w:p w14:paraId="0499E273">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a.投标评标价等于评标基准价时，得满分(37分)；</w:t>
      </w:r>
    </w:p>
    <w:p w14:paraId="03E358D1">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b.投标评标价每低于评标基准价1个百分点，扣0.5分；</w:t>
      </w:r>
    </w:p>
    <w:p w14:paraId="1293A3F9">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c.投标评标价每高于评标基准价1个百分点，扣1分。</w:t>
      </w:r>
    </w:p>
    <w:p w14:paraId="7BF12B6F">
      <w:pPr>
        <w:spacing w:line="324"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以上报价得分不足一个百分点时，使用直线插入法计算，保留小数2位。投标文件的商务标评分不足10分的，计为10分。</w:t>
      </w:r>
      <w:bookmarkEnd w:id="47"/>
    </w:p>
    <w:p w14:paraId="42DF718A">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(五)投标文件的综合评分：投标文件的资信业绩评分、技术评分、商务评分的总和。</w:t>
      </w:r>
    </w:p>
    <w:p w14:paraId="54CFECFD">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(六)对投标人进行排序，推荐中标候选人</w:t>
      </w:r>
    </w:p>
    <w:p w14:paraId="43FA32BF">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1.评标委员会根据综合评分对进入评分范围的投标文件按最终得分由高到低进行排序，评分相同时，报价低者优先；评分、报价均相同时，技术得分高优先；评分、报价、技术得分均相同时，由评标委员会通过</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抽签(或</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记名投票表决)方式排序。</w:t>
      </w:r>
    </w:p>
    <w:p w14:paraId="1CE5FC5A">
      <w:pPr>
        <w:spacing w:line="324"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2.评标委员会根据投标人须知前附表7.1规定，确定中标人或推荐中标候选人。</w:t>
      </w:r>
    </w:p>
    <w:p w14:paraId="73D5C26D">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五、完成评标报告</w:t>
      </w:r>
    </w:p>
    <w:p w14:paraId="7DD70902">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3531F86A">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(二)评标报告应包括以下内容：</w:t>
      </w:r>
    </w:p>
    <w:p w14:paraId="4484378A">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1.开标记录；</w:t>
      </w:r>
    </w:p>
    <w:p w14:paraId="4CBC88D6">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2.评标内容、过程和结果；</w:t>
      </w:r>
    </w:p>
    <w:p w14:paraId="1D69FA64">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3.询标澄清纪要；</w:t>
      </w:r>
    </w:p>
    <w:p w14:paraId="39EB4186">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4.否决投标情况说明及依据；</w:t>
      </w:r>
    </w:p>
    <w:p w14:paraId="28FAA6B3">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5.推荐中标候选人；</w:t>
      </w:r>
    </w:p>
    <w:p w14:paraId="5D5CB599">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6.中标候选人投标资格条件业绩和评分业绩(招标文件对投标资格或评分有业绩要求的)；</w:t>
      </w:r>
    </w:p>
    <w:p w14:paraId="49960B90">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7.其他建议。</w:t>
      </w:r>
    </w:p>
    <w:p w14:paraId="5819B08B">
      <w:pPr>
        <w:spacing w:line="324" w:lineRule="auto"/>
        <w:jc w:val="both"/>
        <w:rPr>
          <w:rFonts w:hint="eastAsia" w:ascii="宋体" w:hAnsi="宋体" w:eastAsia="宋体" w:cs="宋体"/>
          <w:color w:val="auto"/>
          <w:highlight w:val="none"/>
        </w:rPr>
        <w:sectPr>
          <w:footerReference r:id="rId15" w:type="default"/>
          <w:pgSz w:w="11907" w:h="16840"/>
          <w:pgMar w:top="1418" w:right="1559" w:bottom="1418" w:left="1474" w:header="0" w:footer="723" w:gutter="0"/>
          <w:cols w:space="720" w:num="1"/>
        </w:sectPr>
      </w:pPr>
    </w:p>
    <w:p w14:paraId="0F077E89">
      <w:pPr>
        <w:spacing w:line="243" w:lineRule="auto"/>
        <w:jc w:val="both"/>
        <w:rPr>
          <w:rFonts w:hint="eastAsia" w:ascii="宋体" w:hAnsi="宋体" w:eastAsia="宋体" w:cs="宋体"/>
          <w:color w:val="auto"/>
          <w:highlight w:val="none"/>
        </w:rPr>
      </w:pPr>
    </w:p>
    <w:p w14:paraId="672FC363">
      <w:pPr>
        <w:spacing w:line="243" w:lineRule="auto"/>
        <w:jc w:val="both"/>
        <w:rPr>
          <w:rFonts w:hint="eastAsia" w:ascii="宋体" w:hAnsi="宋体" w:eastAsia="宋体" w:cs="宋体"/>
          <w:color w:val="auto"/>
          <w:highlight w:val="none"/>
        </w:rPr>
      </w:pPr>
    </w:p>
    <w:p w14:paraId="7C937740">
      <w:pPr>
        <w:spacing w:before="101" w:line="225" w:lineRule="auto"/>
        <w:ind w:left="2654"/>
        <w:jc w:val="both"/>
        <w:outlineLvl w:val="0"/>
        <w:rPr>
          <w:rFonts w:hint="eastAsia" w:ascii="宋体" w:hAnsi="宋体" w:eastAsia="宋体" w:cs="宋体"/>
          <w:color w:val="auto"/>
          <w:sz w:val="31"/>
          <w:szCs w:val="31"/>
          <w:highlight w:val="none"/>
        </w:rPr>
      </w:pPr>
      <w:bookmarkStart w:id="48" w:name="_bookmark12"/>
      <w:bookmarkEnd w:id="48"/>
      <w:r>
        <w:rPr>
          <w:rFonts w:hint="eastAsia" w:ascii="宋体" w:hAnsi="宋体" w:eastAsia="宋体" w:cs="宋体"/>
          <w:color w:val="auto"/>
          <w:sz w:val="31"/>
          <w:szCs w:val="31"/>
          <w:highlight w:val="none"/>
        </w:rPr>
        <w:t>第四章合同条款及格式</w:t>
      </w:r>
    </w:p>
    <w:p w14:paraId="134E2950">
      <w:pPr>
        <w:bidi w:val="0"/>
        <w:jc w:val="center"/>
        <w:rPr>
          <w:rFonts w:hint="eastAsia" w:ascii="宋体" w:hAnsi="宋体" w:eastAsia="宋体" w:cs="宋体"/>
          <w:color w:val="auto"/>
          <w:sz w:val="23"/>
          <w:szCs w:val="23"/>
          <w:highlight w:val="none"/>
        </w:rPr>
      </w:pPr>
      <w:bookmarkStart w:id="49" w:name="_Toc351203480"/>
      <w:bookmarkStart w:id="50" w:name="_Toc296503025"/>
      <w:bookmarkStart w:id="51" w:name="_Toc296890982"/>
    </w:p>
    <w:bookmarkEnd w:id="49"/>
    <w:bookmarkEnd w:id="50"/>
    <w:bookmarkEnd w:id="51"/>
    <w:p w14:paraId="4746624C">
      <w:pPr>
        <w:spacing w:line="360" w:lineRule="auto"/>
        <w:ind w:firstLine="462" w:firstLineChars="200"/>
        <w:rPr>
          <w:rFonts w:ascii="宋体" w:hAnsi="宋体" w:eastAsia="宋体" w:cs="宋体"/>
          <w:b/>
          <w:bCs/>
          <w:color w:val="auto"/>
          <w:sz w:val="23"/>
          <w:szCs w:val="23"/>
          <w:highlight w:val="none"/>
        </w:rPr>
      </w:pPr>
      <w:bookmarkStart w:id="52" w:name="_bookmark13"/>
      <w:bookmarkEnd w:id="52"/>
      <w:r>
        <w:rPr>
          <w:rFonts w:hint="eastAsia" w:ascii="宋体" w:hAnsi="宋体" w:eastAsia="宋体" w:cs="宋体"/>
          <w:b/>
          <w:bCs/>
          <w:color w:val="auto"/>
          <w:sz w:val="23"/>
          <w:szCs w:val="23"/>
          <w:highlight w:val="none"/>
        </w:rPr>
        <w:t>第一节通用合同条款</w:t>
      </w:r>
    </w:p>
    <w:p w14:paraId="19E7673A">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1.一般约定</w:t>
      </w:r>
    </w:p>
    <w:p w14:paraId="7B5F572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1.1词语定义</w:t>
      </w:r>
    </w:p>
    <w:p w14:paraId="54EDF32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除专用合同条款另有约定外，合同中的下列词语应具有本款所赋予的含义。</w:t>
      </w:r>
    </w:p>
    <w:p w14:paraId="03DAF929">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1.1.1合同</w:t>
      </w:r>
    </w:p>
    <w:p w14:paraId="5A8B84B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1.1.1.1合同文件（或称合同）：指合同协议书、中标通知书、投标函、商务和技术偏差表、专用合同条款、通用合同条款、供货要求、分项报价表、中标设备(材料)技术性能指标的详细描述、技术服务和质保期服务计划，以及其他构成合同组成部分的文件。</w:t>
      </w:r>
    </w:p>
    <w:p w14:paraId="3336F30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1.1.1.2合同协议书：指买方和卖方共同签署的合同协议书。</w:t>
      </w:r>
    </w:p>
    <w:p w14:paraId="0663844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1.1.1.3中标通知书：指买方通知卖方中标的函件。</w:t>
      </w:r>
    </w:p>
    <w:p w14:paraId="48B36B2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1.1.1.4投标函：指由卖方填写并签署的，名为“投标函”的函件。</w:t>
      </w:r>
    </w:p>
    <w:p w14:paraId="491620F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1.1.1.5商务和技术偏差表：指卖方投标文件中的商务和技术偏差表。</w:t>
      </w:r>
    </w:p>
    <w:p w14:paraId="3B1AF6F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1.1.1.6供货要求：指合同文件中名为“供货要求”的文件。</w:t>
      </w:r>
    </w:p>
    <w:p w14:paraId="5065294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1.1.1.7中标设备(材料)技术性能指标的详细描述：指卖方投标文件中的投标设备(材料)技术性能指标的详细描述。</w:t>
      </w:r>
    </w:p>
    <w:p w14:paraId="1469037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1.1.1.8技术服务和质保期服务计划：指卖方投标文件中的技术服务和质保期服务计划。</w:t>
      </w:r>
    </w:p>
    <w:p w14:paraId="6DBE2ED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1.1.1.9分项报价表：指卖方投标文件中的分项报价表。</w:t>
      </w:r>
    </w:p>
    <w:p w14:paraId="5795EB6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1.1.1.10其他合同文件：指经合同双方当事人确认构成合同文件的其他文件。</w:t>
      </w:r>
    </w:p>
    <w:p w14:paraId="0AD7BF19">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1.1.2合同当事人</w:t>
      </w:r>
    </w:p>
    <w:p w14:paraId="7930F24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1.1.2.1合同当事人：指买方和（或）卖方。</w:t>
      </w:r>
    </w:p>
    <w:p w14:paraId="6309DB1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1.1.2.2买方：指与卖方签订合同协议书，购买合同设备(材料)和技术服务和质保期服务的当事人，及其合法继承人。</w:t>
      </w:r>
    </w:p>
    <w:p w14:paraId="5244076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1.1.2.3卖方：指与买方签订合同协议书，提供合同设备(材料)和技术服务和质保期服务的当事人，及其合法继承人。</w:t>
      </w:r>
    </w:p>
    <w:p w14:paraId="0759FEFB">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1.1.3合同价格</w:t>
      </w:r>
    </w:p>
    <w:p w14:paraId="06F33A2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1.1.3.1签约合同价：是签订合同时合同协议书中写明的合同总金额。</w:t>
      </w:r>
    </w:p>
    <w:p w14:paraId="4A860B7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1.1.3.2合同价格：指卖方按合同约定履行了全部合同义务后，买方应付给卖方的金额。</w:t>
      </w:r>
    </w:p>
    <w:p w14:paraId="257BB0A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1.1.4合同设备(材料)：指卖方按合同约定应向买方提供的设备(材料)、装置、备品、备件、易损易耗件、配套使用的软件或其他辅助电子应用程序及技术资料，或其中任何一部分。</w:t>
      </w:r>
    </w:p>
    <w:p w14:paraId="05C17CD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1.1.5技术资料：指各种纸质及电子载体的与合同设备(材料)的设计、检验、安装、调试、考核、操作、维修以及保养等有关的技术指标、规格、图纸和说明文件。</w:t>
      </w:r>
    </w:p>
    <w:p w14:paraId="6AC024E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1.1.6安装：指对合同设备(材料)进行的组装、连接以及根据需要将合同设备(材料)固定在施工场地内一定的位置上，使其就位并与相关设备(材料)、工程实现连接。</w:t>
      </w:r>
    </w:p>
    <w:p w14:paraId="06445F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1.1.7调试：指在合同设备(材料)安装完成后，对合同设备(材料)所进行的调校和测试。</w:t>
      </w:r>
    </w:p>
    <w:p w14:paraId="52809EF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1.1.8考核：指在合同设备(材料)调试完成后，对合同设备(材料)进行的用于确定其是否达到合同约定的技术性能考核指标的考核。</w:t>
      </w:r>
    </w:p>
    <w:p w14:paraId="5810379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1.1.9验收：指合同设备(材料)通过考核达到合同约定的技术性能考核指标后，买方作出接受合同设备(材料)的确认。</w:t>
      </w:r>
    </w:p>
    <w:p w14:paraId="674EBF7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1.1.10技术服务：指卖方按合同约定，在合同设备(材料)验收前，向买方提供的安装、调试服务，或者在由买方负责的安装、调试、考核中对买方进行的技术指导、协助、监督和培训等。</w:t>
      </w:r>
    </w:p>
    <w:p w14:paraId="332062B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1.1.11质量保证期：指合同设备(材料)验收后，卖方按合同约定保证合同设备(材料)适当、稳定运行，并负责消除合同设备(材料)故障的期限。</w:t>
      </w:r>
    </w:p>
    <w:p w14:paraId="4D12C39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1.1.12质保期服务：指在质量保证期内，卖方向买方提供的合同设备(材料)维护服务、咨询服务、技术指导、协助以及对出现故障的合同设备(材料)进行修理或更换的服务。</w:t>
      </w:r>
    </w:p>
    <w:p w14:paraId="647B186D">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1.1.13工程</w:t>
      </w:r>
    </w:p>
    <w:p w14:paraId="6DE85F3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1.1.13.1工程：指在专用合同条款中指明的，安装运行合同设备(材料)的工程。</w:t>
      </w:r>
    </w:p>
    <w:p w14:paraId="46CB8FD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1.1.13.2施工场地（或称工地、施工现场）：指专用合同条款中指明的工程所在场所。</w:t>
      </w:r>
    </w:p>
    <w:p w14:paraId="23FB69A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1.1.14天（或称日）：除特别指明外，指日历天。合同中按天计算时间的，开始当天不计入，从次日开始计算。合同约定的期间的最后一天是星期日或者其他法定休假日的，以休假日的次日为期间的最后一天。</w:t>
      </w:r>
    </w:p>
    <w:p w14:paraId="110BA3D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1.1.15月：按照公历月计算。合同中按月计算时间的，开始当天不计入，从次日开始计算。合同约定的期间的最后一天是星期日或者其他法定休假日的，以休假日的次日为期间的最后一天。</w:t>
      </w:r>
    </w:p>
    <w:p w14:paraId="36F93A4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1.1.16书面形式：指合同文件、信件和数据电文（包括电报、电传、传真、电子数据交换和电子邮件）等可以有形地表现所载内容的形式。</w:t>
      </w:r>
    </w:p>
    <w:p w14:paraId="6166B95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1.2语言文字</w:t>
      </w:r>
    </w:p>
    <w:p w14:paraId="2CD5E6F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合同使用的语言文字为中文。专用术语使用外文的，应附有中文注释。</w:t>
      </w:r>
    </w:p>
    <w:p w14:paraId="7BA8C98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1.3合同文件的优先顺序</w:t>
      </w:r>
    </w:p>
    <w:p w14:paraId="56480E2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组成合同的各项文件应互相解释，互为说明。除专用合同条款另有约定外，解释合同文件的优先顺序如下：</w:t>
      </w:r>
    </w:p>
    <w:p w14:paraId="39CE5FA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（1）合同协议书；</w:t>
      </w:r>
    </w:p>
    <w:p w14:paraId="7A5FF55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（2）中标通知书；</w:t>
      </w:r>
    </w:p>
    <w:p w14:paraId="0854AD1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（3）投标函；</w:t>
      </w:r>
    </w:p>
    <w:p w14:paraId="6F5D633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（4）商务和技术偏差表；</w:t>
      </w:r>
    </w:p>
    <w:p w14:paraId="5D36C04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（5）专用合同条款；</w:t>
      </w:r>
    </w:p>
    <w:p w14:paraId="1FE2494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（6）通用合同条款；</w:t>
      </w:r>
    </w:p>
    <w:p w14:paraId="3B01D18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（7）供货要求；</w:t>
      </w:r>
    </w:p>
    <w:p w14:paraId="6095965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（8）分项报价表；</w:t>
      </w:r>
    </w:p>
    <w:p w14:paraId="7CA7AAD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（9）中标设备(材料)技术性能指标的详细描述；</w:t>
      </w:r>
    </w:p>
    <w:p w14:paraId="6E82437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（10）技术服务和质保期服务计划；</w:t>
      </w:r>
    </w:p>
    <w:p w14:paraId="635D199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（11）其他合同文件。</w:t>
      </w:r>
    </w:p>
    <w:p w14:paraId="261E641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1.4合同的生效及变更</w:t>
      </w:r>
    </w:p>
    <w:p w14:paraId="163F407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1.4.1除专用合同条款另有约定外，买方和卖方的法定代表人（单位负责人）或其授权代表在合同协议书上签字并加盖单位章后，合同生效。</w:t>
      </w:r>
    </w:p>
    <w:p w14:paraId="3562D4A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1.4.2除专用合同条款另有约定外，在合同履行过程中，如需对合同进行变更，双方应签订书面协议，并经双方法定代表人（单位负责人）或其授权代表签字并加盖单位章后生效。</w:t>
      </w:r>
    </w:p>
    <w:p w14:paraId="4694E2A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1.5联络</w:t>
      </w:r>
    </w:p>
    <w:p w14:paraId="1729920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1.5.1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p>
    <w:p w14:paraId="4A919EF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1.5.2合同履行中或与合同有关的任何联络，送达到第1.5.1项指定的联系人即视为送达。</w:t>
      </w:r>
    </w:p>
    <w:p w14:paraId="0F98004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1.5.3买方可以安排监理等相关人员作为买方人员，与卖方进行联络或参加合同设备(材料)的监造（如有）、交货前检验（如有）、开箱检验、安装、调试、考核、验收等，但应按照第1.5.1项的约定事先书面通知卖方。</w:t>
      </w:r>
    </w:p>
    <w:p w14:paraId="30429F0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1.6联合体</w:t>
      </w:r>
    </w:p>
    <w:p w14:paraId="7FE6344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1.6.1卖方为联合体的，联合体各方应当共同与买方签订合同，并向买方为履行合同承担连带责任。</w:t>
      </w:r>
    </w:p>
    <w:p w14:paraId="68B57A8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1.6.2在合同履行过程中，未经买方同意，不得修改联合体协议。联合体协议中关于联合体成员间权利义务的划分，并不影响或减损联合体各方应就履行合同向买方承担的连带责任。</w:t>
      </w:r>
    </w:p>
    <w:p w14:paraId="46C0263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1.6.3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p>
    <w:p w14:paraId="237A8D4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1.7转让</w:t>
      </w:r>
    </w:p>
    <w:p w14:paraId="54010D2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未经对方当事人书面同意，合同任何一方均不得转让其在合同项下的权利和（或）义务。</w:t>
      </w:r>
    </w:p>
    <w:p w14:paraId="0FEEDE09">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2.合同范围</w:t>
      </w:r>
    </w:p>
    <w:p w14:paraId="1A4A1B4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卖方应根据供货要求、中标设备(材料)技术性能指标的详细描述、技术服务和质保期服务计划等合同文件的约定向买方提供合同设备(材料)、技术服务和质保期服务。</w:t>
      </w:r>
    </w:p>
    <w:p w14:paraId="1EA02643">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3.合同价格与支付</w:t>
      </w:r>
    </w:p>
    <w:p w14:paraId="7EDA2F3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3.1合同价格</w:t>
      </w:r>
    </w:p>
    <w:p w14:paraId="2A1578E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3.1.1合同协议书中载明的签约合同价包括卖方为完成合同全部义务应承担的一切成本、费用和支出以及卖方的合理利润。</w:t>
      </w:r>
    </w:p>
    <w:p w14:paraId="669FB65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3.1.2除专用合同条款另有约定外，签约合同价为固定价格。</w:t>
      </w:r>
    </w:p>
    <w:p w14:paraId="60981DB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3.2合同价款的支付</w:t>
      </w:r>
    </w:p>
    <w:p w14:paraId="3114B32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strike/>
          <w:color w:val="auto"/>
          <w:sz w:val="23"/>
          <w:szCs w:val="23"/>
          <w:highlight w:val="none"/>
        </w:rPr>
        <w:t>除按</w:t>
      </w:r>
      <w:r>
        <w:rPr>
          <w:rFonts w:hint="eastAsia" w:ascii="宋体" w:hAnsi="宋体" w:eastAsia="宋体" w:cs="宋体"/>
          <w:color w:val="auto"/>
          <w:sz w:val="23"/>
          <w:szCs w:val="23"/>
          <w:highlight w:val="none"/>
        </w:rPr>
        <w:t>专用合同条款约定</w:t>
      </w:r>
      <w:r>
        <w:rPr>
          <w:rFonts w:hint="eastAsia" w:ascii="宋体" w:hAnsi="宋体" w:eastAsia="宋体" w:cs="宋体"/>
          <w:strike/>
          <w:color w:val="auto"/>
          <w:sz w:val="23"/>
          <w:szCs w:val="23"/>
          <w:highlight w:val="none"/>
        </w:rPr>
        <w:t>外，买方应通过以下方式和比例向卖方支付合同价款：</w:t>
      </w:r>
    </w:p>
    <w:p w14:paraId="5D392D31">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3.2.1预付款</w:t>
      </w:r>
    </w:p>
    <w:p w14:paraId="48090E60">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合同生效后，买方在收到卖方开具的注明应付预付款金额的财务收据正本一份并经审核无误后28日内，向卖方支付签约合同价的10%作为预付款。买方支付预付款后，如卖方未履行合同义务，则买方有权收回预付款；如卖方依约履行了合同义务，则预付款抵作合同价款。</w:t>
      </w:r>
    </w:p>
    <w:p w14:paraId="49BF4119">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3.2.2交货款</w:t>
      </w:r>
    </w:p>
    <w:p w14:paraId="7BE8CC37">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卖方按合同约定交付全部合同设备(材料)后，买方在收到卖方提交的下列全部单据并经审核无误后28日内，向卖方支付合同价格的60%：</w:t>
      </w:r>
    </w:p>
    <w:p w14:paraId="60A8C467">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（1）卖方出具的交货清单正本一份；</w:t>
      </w:r>
    </w:p>
    <w:p w14:paraId="49E48727">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（2）买方签署的收货清单正本一份；</w:t>
      </w:r>
    </w:p>
    <w:p w14:paraId="2ECB3326">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（3）制造商出具的出厂质量合格证正本一份；</w:t>
      </w:r>
    </w:p>
    <w:p w14:paraId="17214C79">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（4）合同价格100%金额的增值税发票正本一份。</w:t>
      </w:r>
    </w:p>
    <w:p w14:paraId="34892EB8">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3.2.3验收款</w:t>
      </w:r>
    </w:p>
    <w:p w14:paraId="6CACB0CE">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买方在收到卖方提交的买卖双方签署的合同设备(材料)验收证书或已生效的验收款支付函正本一份并经审核无误后28日内，向卖方支付合同价格的25%。</w:t>
      </w:r>
    </w:p>
    <w:p w14:paraId="2D807DB6">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3.2.4结清款</w:t>
      </w:r>
    </w:p>
    <w:p w14:paraId="5032859E">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买方在收到卖方提交的买方签署的质量保证期届满证书或已生效的结清款支付函正本一份并经审核无误后28日内，向卖方支付合同价格的5%。</w:t>
      </w:r>
    </w:p>
    <w:p w14:paraId="5103009B">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如果依照合同第9.1项，卖方应向买方支付费用的，买方有权从结清款中直接扣除该笔费用。</w:t>
      </w:r>
    </w:p>
    <w:p w14:paraId="34CD488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除专用合同条款另有约定外，在买方向卖方支付验收款的同时或其后的任何时间内，卖方可在向买方提交买方可接受的金额为合同价格5%的合同结清款保函的前提下，要求买方支付合同结清款，买方不得拒绝。</w:t>
      </w:r>
    </w:p>
    <w:p w14:paraId="7BD2037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3.3买方扣款的权利</w:t>
      </w:r>
    </w:p>
    <w:p w14:paraId="708C686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当卖方应向买方支付合同项下的违约金或赔偿金时，买方有权从上述任何一笔应付款中予以直接扣除和（或）兑付履约保证金。</w:t>
      </w:r>
    </w:p>
    <w:p w14:paraId="051834A8">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4.监造及交货前检验</w:t>
      </w:r>
    </w:p>
    <w:p w14:paraId="5CE564B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4.1监造</w:t>
      </w:r>
    </w:p>
    <w:p w14:paraId="6804F3C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专用合同条款约定买方对合同设备(材料)进行监造的，双方应按本款及专用合同条款约定履行。</w:t>
      </w:r>
    </w:p>
    <w:p w14:paraId="4D15BE4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4.1.1在合同设备(材料)的制造过程中，买方可派出监造人员，对合同设备(材料)的生产制造进行监造，</w:t>
      </w:r>
    </w:p>
    <w:p w14:paraId="27362F2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监督合同设备(材料)制造、检验等情况。监造的范围、方式等应符合专用合同条款和（或）供货要求等合同文件的约定。</w:t>
      </w:r>
    </w:p>
    <w:p w14:paraId="76F7F44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4.1.2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p>
    <w:p w14:paraId="4A5F94E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4.1.3卖方制订生产制造合同设备(材料)的进度计划时，应将买方监造纳入计划安排，并提前通知买方；买方进行监造不应影响合同设备(材料)的正常生产。除专用合同条款和（或）供货要求等合同文件另有约定外，卖方应提前7日将需要买方监造人员现场监造事项通知买方；如买方监造人员未按通知出席，不影响合同设备(材料)及其关键部件的制造或检验，但买方监造人员有权事后了解、查阅、复制相关制造或检验记录。</w:t>
      </w:r>
    </w:p>
    <w:p w14:paraId="7B9D066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4.1.4买方监造人员在监造中如发现合同设备(材料)及其关键部件不符合合同约定的标准，则有权提出意见和建议。卖方应采取必要措施消除合同设备(材料)的不符，由此增加的费用和（或）造成的延误由卖方负责。</w:t>
      </w:r>
    </w:p>
    <w:p w14:paraId="6DDDCDF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4.1.5买方监造人员对合同设备(材料)的监造，不视为对合同设备(材料)质量的确认，不影响卖方交货后买方依照合同约定对合同设备(材料)提出质量异议和（或）退货的权利，也不免除卖方依照合同约定对合同设备(材料)所应承担的任何义务或责任。</w:t>
      </w:r>
    </w:p>
    <w:p w14:paraId="33DF702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4.2交货前检验</w:t>
      </w:r>
    </w:p>
    <w:p w14:paraId="4C17451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专用合同条款约定买方参与交货前检验的，双方应按本款及专用合同条款约定履行。</w:t>
      </w:r>
    </w:p>
    <w:p w14:paraId="36CA30E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4.2.1合同设备(材料)交货前，卖方应会同买方代表根据合同约定对合同设备(材料)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p>
    <w:p w14:paraId="1D6B9AD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4.2.2除专用合同条款和（或）供货要求等合同文件另有约定外，卖方应提前7日将需要买方代表检验事项通知买方；如买方代表未按通知出席，不影响合同设备(材料)的检验。若卖方未依照合同约定提前通知买方而自行检验，则买方有权要求卖方暂停发货并重新进行检验，由此增加的费用和（或）造成的延误由卖方负责。</w:t>
      </w:r>
    </w:p>
    <w:p w14:paraId="5CE2F9A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4.2.3买方代表在检验中如发现合同设备(材料)不符合合同约定的标准，则有权提出异议。卖方应采取必要措施消除合同设备(材料)的不符，由此增加的费用和（或）造成的延误由卖方负责。</w:t>
      </w:r>
    </w:p>
    <w:p w14:paraId="425EC8B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4.2.4买方代表参与交货前检验及签署交货前检验记录的行为，不视为对合同设备(材料)质量的确认，不影响卖方交货后买方依照合同约定对合同设备(材料)提出质量异议和（或）退货的权利，也不免除卖方依照合同约定对合同设备(材料)所应承担的任何义务或责任。</w:t>
      </w:r>
    </w:p>
    <w:p w14:paraId="6214BC1F">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5.包装、标记、运输和交付</w:t>
      </w:r>
    </w:p>
    <w:p w14:paraId="3B5C496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5.1包装</w:t>
      </w:r>
    </w:p>
    <w:p w14:paraId="792F0A4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5.1.1卖方应对合同设备(材料)进行妥善包装，以满足合同设备(材料)运至施工场地及在施工场地保管的需要。包装应采取防潮、防晒、防锈、防腐蚀、防震动及防止其它损坏的必要保护措施，从而保护合同设备(材料)能够经受多次搬运、装卸、长途运输并适宜保管。</w:t>
      </w:r>
    </w:p>
    <w:p w14:paraId="356C69B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5.1.2每个独立包装箱内应附装箱清单、质量合格证、装配图、说明书、操作指南等资料。</w:t>
      </w:r>
    </w:p>
    <w:p w14:paraId="127A565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5.1.3除专用合同条款另有约定外，买方无需将包装物退还给卖方。</w:t>
      </w:r>
    </w:p>
    <w:p w14:paraId="3585144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5.2标记</w:t>
      </w:r>
    </w:p>
    <w:p w14:paraId="7E23E17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5.2.1除专用合同条款另有约定外，卖方应在每一包装箱相邻的四个侧面以不可擦除的、明显的方式标记必要的装运信息和标记，以满足合同设备(材料)运输和保管的需要。</w:t>
      </w:r>
    </w:p>
    <w:p w14:paraId="097FC0A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5.2.2根据合同设备(材料)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材料)中含有易燃易爆物品、腐蚀物品、放射性物质等危险品，则应在包装箱上标明危险品标志。</w:t>
      </w:r>
    </w:p>
    <w:p w14:paraId="3B6CBF7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5.3运输</w:t>
      </w:r>
    </w:p>
    <w:p w14:paraId="7D7C4D5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5.3.1卖方应自行选择适宜的运输工具及线路安排合同设备(材料)运输。</w:t>
      </w:r>
    </w:p>
    <w:p w14:paraId="0862083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5.3.2除专用合同条款另有约定外，每件能够独立运行的设备(材料)应整套装运。该设备(材料)安装、调试、考核和运行所使用的备品、备件、易损易耗件等应随相关的主机一齐装运。</w:t>
      </w:r>
    </w:p>
    <w:p w14:paraId="6866F30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5.3.3除专用合同条款另有约定外，卖方应在合同设备(材料)预计启运7日前，将合同设备(材料)名称、数量、箱数、总毛重、总体积（用m</w:t>
      </w:r>
      <w:r>
        <w:rPr>
          <w:rFonts w:hint="eastAsia" w:ascii="宋体" w:hAnsi="宋体" w:eastAsia="宋体" w:cs="宋体"/>
          <w:color w:val="auto"/>
          <w:sz w:val="23"/>
          <w:szCs w:val="23"/>
          <w:highlight w:val="none"/>
          <w:vertAlign w:val="superscript"/>
        </w:rPr>
        <w:t>3</w:t>
      </w:r>
      <w:r>
        <w:rPr>
          <w:rFonts w:hint="eastAsia" w:ascii="宋体" w:hAnsi="宋体" w:eastAsia="宋体" w:cs="宋体"/>
          <w:color w:val="auto"/>
          <w:sz w:val="23"/>
          <w:szCs w:val="23"/>
          <w:highlight w:val="none"/>
        </w:rPr>
        <w:t>表示）、每箱尺寸（长×宽×高）、装运合同设备(材料)总金额、运输方式、预计交付日期和合同设备(材料)在运输、装卸、保管中的注意事项等预通知买方，并在合同设备(材料)启运后24小时之内正式通知买方。</w:t>
      </w:r>
    </w:p>
    <w:p w14:paraId="2AB15CC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5.3.4卖方在根据第5.3.3项进行通知时，如果发运合同设备(材料)中包括专用合同条款约定的超大超重包装，则卖方应将超大和（或）超重的每个包装箱的重量和尺寸通知买方；如果发运合同设备(材料)中包括易燃易爆物品、腐蚀物品、放射性物质等危险品，则危险品的品名、性质、在运输、装卸、保管方面的特殊要求、注意事项和处理意外情况的方法等，也应一并通知买方。</w:t>
      </w:r>
    </w:p>
    <w:p w14:paraId="4C5406C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5.4交付</w:t>
      </w:r>
    </w:p>
    <w:p w14:paraId="0F2A8A8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5.4.1除专用合同条款另有约定外，卖方应根据合同约定的交付时间和批次在施工场地车面上将合同设备(材料)交付给买方。买方对卖方交付的包装的合同设备(材料)的外观及件数进行清点核验后应签发收货清单，并自负风险和费用进行卸货。买方签发收货清单不代表对合同设备(材料)的接受，双方还应按合同约定进行后续的检验和验收。</w:t>
      </w:r>
    </w:p>
    <w:p w14:paraId="3B14277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5.4.2合同设备(材料)的所有权和风险自交付时起由卖方转移至买方，合同设备(材料)交付给买方之前包括运输在内的所有风险均由卖方承担。</w:t>
      </w:r>
    </w:p>
    <w:p w14:paraId="3753941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5.4.3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7E235F93">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6.开箱检验、安装、调试、考核、验收</w:t>
      </w:r>
    </w:p>
    <w:p w14:paraId="684A5F4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6.1开箱检验</w:t>
      </w:r>
    </w:p>
    <w:p w14:paraId="46E7C05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6.1.1合同设备(材料)交付后应进行开箱检验，即合同设备(材料)数量及外观检验。开箱检验在专用合同</w:t>
      </w:r>
    </w:p>
    <w:p w14:paraId="65A1784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条款约定的下列任一种时间进行：</w:t>
      </w:r>
    </w:p>
    <w:p w14:paraId="558B9F9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（1）合同设备(材料)交付时；</w:t>
      </w:r>
    </w:p>
    <w:p w14:paraId="4795908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（2）合同设备(材料)交付后的一定期限内。如开箱检验不在合同设备(材料)交付时进行，买方应在开箱检验3日前将开箱检验的时间和地点通知卖方。</w:t>
      </w:r>
    </w:p>
    <w:p w14:paraId="3AD9573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6.1.2除专用合同条款另有约定外，合同设备(材料)的开箱检验应在施工场地进行。</w:t>
      </w:r>
    </w:p>
    <w:p w14:paraId="5F4C7B4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6.1.3开箱检验由买卖双方共同进行，卖方应自负费用派遣代表到场参加开箱检验。</w:t>
      </w:r>
    </w:p>
    <w:p w14:paraId="586F9E1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6.1.4在开箱检验中，买方和卖方应共同签署数量、外观检验报告，报告应列明检验结果，包括检验合格或发现的任何短缺、损坏或其它与合同约定不符的情形。</w:t>
      </w:r>
    </w:p>
    <w:p w14:paraId="02F0F57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6.1.5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4E8A5C0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6.1.6如开箱检验不在合同设备(材料)交付时进行，则合同设备(材料)交付以后到开箱检验之前，应由买方负责按交货时外包装原样对合同设备(材料)进行妥善保管。除专用合同条款另有约定外，在开箱检验时如果合同设备(材料)外包装与交货时一致，则开箱检验中发现的合同设备(材料)的短缺、损坏或其它与合同约定不符的情形，由卖方负责，卖方应补齐、更换及采取其他补救措施。如果在开箱检验时合同设备(材料)外包装不是交货时的包装或虽是交货时的包装但与交货时不一致且出现很可能导致合同设备(材料)短缺或损坏的包装破损，则开箱检验中发现合同设备(材料)短缺、损坏或其它与合同约定不符的情形的风险，由买方承担，但买方能够证明是由于卖方原因或合同设备(材料)交付前非买方原因导致的除外。</w:t>
      </w:r>
    </w:p>
    <w:p w14:paraId="15320A5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6.1.7如双方在专用合同条款和（或）供货要求等合同文件中约定由第三方检测机构对合同设备(材料)进行开箱检验或在开箱检验过程中另行约定由第三方检验的，则第三方检测机构的检验结果对双方均具有约束力。</w:t>
      </w:r>
    </w:p>
    <w:p w14:paraId="01F938B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6.1.8开箱检验的检验结果不能对抗在合同设备(材料)的安装、调试、考核、验收中及质量保证期内发现的合同设备(材料)质量问题，也不能免除或影响卖方依照合同约定对买方负有的包括合同设备(材料)质量在内的任何义务或责任。</w:t>
      </w:r>
    </w:p>
    <w:p w14:paraId="10B62DC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6.2安装、调试</w:t>
      </w:r>
    </w:p>
    <w:p w14:paraId="31ACBD4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6.2.1开箱检验完成后，双方应对合同设备(材料)进行安装、调试，以使其具备考核的状态。安装、调试应按照专用合同条款约定的下列任一种方式进行：</w:t>
      </w:r>
    </w:p>
    <w:p w14:paraId="6A1361E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（1）卖方按照合同约定完成合同设备(材料)的安装、调试工作；</w:t>
      </w:r>
    </w:p>
    <w:p w14:paraId="585A23F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买方或买方安排第三方负责合同设备(材料)的安装、调试工作，卖方提供技术服务。除专用合同条款另有约定外，在安装、调试过程中，如由于买方或买方安排的第三方未按照卖方现场服务人员的指导导致安装、调试不成功和（或）出现合同设备(材料)损坏，买方应自行承担责任。如在买方或买方安排的第三方按照卖方现场服务人员的指导进行安装、调试的情况下出现安装、调试不成功和（或）造成合同设备(材料)损坏的情况，卖方应承担责任。</w:t>
      </w:r>
    </w:p>
    <w:p w14:paraId="33D5D12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6.2.2除专用合同条款另有约定外，安装、调试中合同设备(材料)运行需要的用水、用电、其他动力和原材料（如需要）等均由买方承担。</w:t>
      </w:r>
    </w:p>
    <w:p w14:paraId="71DFE03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6.2.3双方应对合同设备(材料)的安装、调试情况共同及时进行记录。</w:t>
      </w:r>
    </w:p>
    <w:p w14:paraId="3184CA9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6.3考核</w:t>
      </w:r>
    </w:p>
    <w:p w14:paraId="4AB6D4E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6.3.1安装、调试完成后，双方应对合同设备(材料)进行考核，以确定合同设备(材料)是否达到合同约定的技术性能考核指标。除专用合同条款另有约定外，考核中合同设备(材料)运行需要的用水、用电、其他动力和原材料（如需要）等均由买方承担。</w:t>
      </w:r>
    </w:p>
    <w:p w14:paraId="439A8C1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6.3.2如由于卖方原因合同设备(材料)在考核中未能达到合同约定的技术性能考核指标，则卖方应在双方同意的期限内采取措施消除合同设备(材料)中存在的缺陷，并在缺陷消除以后，尽快进行再次考核。</w:t>
      </w:r>
    </w:p>
    <w:p w14:paraId="489F98F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6.3.3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材料)的最低技术性能考核指标，且合同设备(材料)达到了最低技术性能考核指标的，视为合同设备(材料)已达到技术性能考核指标，买方无权解除合同，且应接受合同设备(材料)，但卖方应按专用合同条款的约定进行减价或向买方支付补偿金。</w:t>
      </w:r>
    </w:p>
    <w:p w14:paraId="155D346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6.3.4如由于买方原因合同设备(材料)在考核中未能达到合同约定的技术性能考核指标，则卖方应协助买方安排再次考核。由于买方原因未能达到技术性能考核指标时，为买方进行考核的机会不超过三次。</w:t>
      </w:r>
    </w:p>
    <w:p w14:paraId="1E374A9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6.3.5考核期间，双方应及时共同记录合同设备(材料)的用水、用电、其他动力和原材料（如有）的使用及设备(材料)考核情况。对于未达到技术性能考核指标的，应如实记录设备(材料)表现、可能原因及处理情况等。</w:t>
      </w:r>
    </w:p>
    <w:p w14:paraId="59E302D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6.4验收</w:t>
      </w:r>
    </w:p>
    <w:p w14:paraId="613B714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6.4.1如合同设备(材料)在考核中达到或视为达到技术性能考核指标，则买卖双方应在考核完成后7日内或专用合同条款另行约定的时间内签署合同设备(材料)验收证书一式二份，双方各持一份。验收日期应为合同设备(材料)达到或视为达到技术性能考核指标的日期。</w:t>
      </w:r>
    </w:p>
    <w:p w14:paraId="7CD1DAF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6.4.2如由于买方原因合同设备(材料)在三次考核中均未能达到技术性能考核指标，买卖双方应在考核结束后7日内或专用合同条款另行约定的时间内签署验收款支付函。除专用合同条款另有约定外，卖方有义务在验收款支付函签署后12个月内应买方要求提供相关技术服务，协助买方采取一切必要措施使合同设备(材料)达到技术性能考核指标。买方应承担卖方因此产生的全部费用。在上述12个月的期限内，如合同设备(材料)经过考核达到或视为达到技术性能考核指标，则买卖双方应按照第6.4.1项的约定签署合同设备(材料)验收证书。</w:t>
      </w:r>
    </w:p>
    <w:p w14:paraId="4F30DD5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6.4.3除专用合同条款另有约定外，如由于买方原因在最后一批合同设备(材料)交货后6个月内未能开始考核，则买卖双方应在上述期限届满后7日内或专用合同条款另行约定的时间内签署验收款支付函。除专用合同条款另有约定外，卖方有义务在验收款支付函签署后6个月内应买方要求提供不超出合同范围的技术服务，协助买方采取一切必要措施使合同设备(材料)达到技术性能考核指标，且买方无需因此向卖方支付费用。在上述6个月的期限内，如合同设备(材料)经过考核达到或视为达到技术性能考核指标，则买卖双方应按照第6.4.1项的约定签署合同设备(材料)验收证书。</w:t>
      </w:r>
    </w:p>
    <w:p w14:paraId="6FB8440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6.4.4在第6.4.2项和第6.4.3项情形下，卖方也可单方签署验收款支付函提交买方，如果买方在收到卖方签署的验收款支付函后14日内未向卖方提出书面异议，则验收款支付函自签署之日起生效。</w:t>
      </w:r>
    </w:p>
    <w:p w14:paraId="3F1E0D7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6.4.5合同设备(材料)验收证书的签署不能免除卖方在质量保证期内对合同设备(材料)应承担的保证责任。</w:t>
      </w:r>
    </w:p>
    <w:p w14:paraId="176B29A2">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7.技术服务</w:t>
      </w:r>
    </w:p>
    <w:p w14:paraId="7E690BB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7.1卖方应派遣技术熟练、称职的技术人员到施工场地为买方提供技术服务。卖方的技术服务应符合合同的约定。</w:t>
      </w:r>
    </w:p>
    <w:p w14:paraId="0EE8443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7.2买方应免费为卖方技术人员提供工作条件及便利，包括但不限于必要的办公场所、技术资料及出入许可等。除专用合同条款另有约定外，卖方技术人员的交通、食宿费用由卖方承担。</w:t>
      </w:r>
    </w:p>
    <w:p w14:paraId="4C40A56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7.3卖方技术人员应遵守买方施工现场的各项规章制度和安全操作规程，并服从买方的现场管理。</w:t>
      </w:r>
    </w:p>
    <w:p w14:paraId="03CC6C4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7.4如果任何技术人员不合格，买方有权要求卖方撤换，因撤换而产生的费用应由卖方承担。在不影响技术服务并且征得买方同意的条件下，卖方也可自负费用更换其技术人员。</w:t>
      </w:r>
    </w:p>
    <w:p w14:paraId="20BB081D">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8.质量保证期</w:t>
      </w:r>
    </w:p>
    <w:p w14:paraId="2ED8DAA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8.1除专用合同条款和（或）供货要求等合同文件另有约定外，合同设备(材料)整体质量保证期为验收之日起12个月。如对合同设备(材料)中关键部件的质量保证期有特殊要求的，买卖双方可在专用合同条款中约定。在合同第6.4.2项情形下，无论合同设备(材料)何时验收，其质量保证期最长为签署验收款支付函后12个月。在合同第6.4.3项情形下，无论合同设备(材料)何时验收，其质量保证期最长为签署验收款支付函后6个月。</w:t>
      </w:r>
    </w:p>
    <w:p w14:paraId="1AD0BC5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8.2在质量保证期内如果合同设备(材料)出现故障，卖方应自负费用提供质保期服务，对相关合同设备(材料)进行修理或更换以消除故障。更换的合同设备(材料)和（或）关键部件的质量保证期应重新计算。但如果合同设备(材料)的故障是由于买方原因造成的，则对合同设备(材料)进行修理和更换的费用应由买方承担。</w:t>
      </w:r>
    </w:p>
    <w:p w14:paraId="65138B1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8.3质量保证期届满后，买方应在7日内或专用合同条款另行约定的时间内向卖方出具合同设备(材料)的质量保证期届满证书。</w:t>
      </w:r>
    </w:p>
    <w:p w14:paraId="5AC3D0B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8.4在合同第6.4.2项情形下，如在验收款支付函签署后12个月内由于买方原因合同设备(材料)仍未能达到技术性能考核指标，则买卖双方应在该12个月届满后7日内或专用合同条款另行约定的时间内签署结清款支付函。</w:t>
      </w:r>
    </w:p>
    <w:p w14:paraId="4B5AA53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8.5在合同第6.4.3项情形下，如在验收款支付函签署后6个月内由于买方原因合同设备(材料)仍未进行考核或仍未达到技术性能考核指标，则买卖双方应在该6个月届满后7日内或专用合同条款另行约定的时间内签署结清款支付函。</w:t>
      </w:r>
    </w:p>
    <w:p w14:paraId="6299730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8.6在第8.4款和第8.5款情形下，卖方也可单方签署结清款支付函提交买方，如果买方在收到卖方签署的结清款支付函后14日内未向卖方提出书面异议，则结清款支付函自签署之日起生效。</w:t>
      </w:r>
    </w:p>
    <w:p w14:paraId="46CD662A">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9.质保期服务</w:t>
      </w:r>
    </w:p>
    <w:p w14:paraId="1E7D0BA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9.1卖方应为质保期服务配备充足的技术人员、工具和备件并保证提供的联系方式畅通。除专用合同条款和（或）供货要求等合同文件另有约定外，卖方应在收到买方通知后24小时内做出响应，如需卖方到合同设备(材料)现场，卖方应在收到买方通知后48小时内到达，并在到达后7日内解决合同设备(材料)的故障（重大故障除外）。如果卖方未在上述时间内作出响应，则买方有权自行或委托他人解决相关问题或查找和解决合同设备(材料)的故障，卖方应承担由此发生的全部费用。</w:t>
      </w:r>
    </w:p>
    <w:p w14:paraId="6136E36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9.2如卖方技术人员需到合同设备(材料)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14:paraId="7F0722F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9.3如果任何技术人员不合格，买方有权要求卖方撤换，因撤换而产生的费用应由卖方承担。在不影响质保期服务并且征得买方同意的条件下，卖方也可自负费用更换其技术人员。</w:t>
      </w:r>
    </w:p>
    <w:p w14:paraId="68E6C6B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9.4除专用合同条款另有约定外，卖方应就在施工现场进行质保期服务的情况进行记录，记载合同设备(材料)故障发生的时间、原因及解决情况等，由买方签字确认，并在质量保证期结束后提交给买方。</w:t>
      </w:r>
    </w:p>
    <w:p w14:paraId="52337EDE">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10.履约保证金</w:t>
      </w:r>
    </w:p>
    <w:p w14:paraId="4AC3F74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履约保证金自合同生效之日起生效，在合同设备(材料)验收证书或验收款支付函签署之日起28日后失效。如果卖方不履行合同约定的义务或其履行不符合合同的约定，买方有权扣划相应金额的履约保证金。</w:t>
      </w:r>
    </w:p>
    <w:p w14:paraId="06A1A3D7">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11.保证</w:t>
      </w:r>
    </w:p>
    <w:p w14:paraId="55D6328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11.1卖方保证其具有完全的能力履行本合同项下的全部义务。</w:t>
      </w:r>
    </w:p>
    <w:p w14:paraId="738858E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11.2卖方保证其所提供的合同设备(材料)及对合同的履行符合所有应适用的法律、行政法规、地方性法规、自治条例和单行条例、规章及其他规范性文件的强制性规定。</w:t>
      </w:r>
    </w:p>
    <w:p w14:paraId="588CEE4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11.3卖方保证其对合同设备(材料)的销售不损害任何第三方的合法权益和社会公众利益。任何第三方不会因卖方原因而基于所有权、抵押权、留置权或其他任何权利或事由对合同设备(材料)主张权利。</w:t>
      </w:r>
    </w:p>
    <w:p w14:paraId="0A15B6D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11.4卖方保证合同设备(材料)符合合同约定的规格、标准、技术性能考核指标等，能够安全和稳定地运行，且合同设备(材料)（包括全部部件）全新、完整、未使用过，除非专用合同条款和（或）供货要求等合同文件另有约定。</w:t>
      </w:r>
    </w:p>
    <w:p w14:paraId="3C197E8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11.5卖方保证，卖方所提供的技术资料完整、清晰、准确，符合合同约定并且能够满足合同设备(材料)的安装、调试、考核、操作以及维修和保养的需要。</w:t>
      </w:r>
    </w:p>
    <w:p w14:paraId="509C663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11.6卖方保证合同范围内提供的备品备件能够满足合同设备(材料)在质量保证期结束前正常运行及维修的需要，如在质量保证期结束前因卖方原因出现备品备件短缺影响合同设备(材料)正常运行的，卖方应免费提供。</w:t>
      </w:r>
    </w:p>
    <w:p w14:paraId="17545E5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11.7除专用合同条款和（或）供货要求等合同文件另有约定外，如果在合同设备(材料)设计使用寿命期内发生合同项下备品备件停止生产的情况，卖方应事先将拟停止生产的计划通知买方，使买方有足够的时间考虑备品备件的需求量。根据买方要求，卖方应：</w:t>
      </w:r>
    </w:p>
    <w:p w14:paraId="0AB01B8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（1）以不高于同期市场价格或其向任何第三方销售同类产品的价格提供合同设备(材料)正常运行所需的全部备品备件。或</w:t>
      </w:r>
    </w:p>
    <w:p w14:paraId="14E0496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免费提供可供买方或第三方制造停产备品备件所需的全部技术资料，以便买方持续获得上述备品备件以满足合同设备(材料)在寿命期内正常运行的需要。卖方保证买方或买方委托的第三方制造及买方使用这些备品备件不侵犯任何人的知识产权。</w:t>
      </w:r>
    </w:p>
    <w:p w14:paraId="1FF26C3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11.8卖方保证，在合同设备(材料)设计使用寿命期内，如果卖方发现合同设备(材料)由于设计、制造、标识等原因存在足以危及人身、财产安全的缺陷，卖方将及时通知买方并及时采取修正或者补充标识、修理、更换等措施消除缺陷。</w:t>
      </w:r>
    </w:p>
    <w:p w14:paraId="77B8CD50">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12.知识产权</w:t>
      </w:r>
    </w:p>
    <w:p w14:paraId="0CE407F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12.1买方在履行合同过程中提供给卖方的全部图纸、文件和其他含有数据和信息的资料，其知识产权属于买方。</w:t>
      </w:r>
    </w:p>
    <w:p w14:paraId="5E7A57C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12.2除专用合同条款另有约定外，买方不因签署和履行合同而享有卖方在履行合同过程中提供给买方的图纸、文件、配套软件、电子辅助程序和其他含有数据和信息的资料的知识产权。</w:t>
      </w:r>
    </w:p>
    <w:p w14:paraId="0A3D6A6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12.3如合同设备(材料)涉及知识产权，则卖方保证买方在使用合同设备(材料)过程中免于受到第三方提出的有关知识产权侵权的主张、索赔或诉讼的伤害。</w:t>
      </w:r>
    </w:p>
    <w:p w14:paraId="7D32F5E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12.4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方承担。</w:t>
      </w:r>
    </w:p>
    <w:p w14:paraId="36A0DC9D">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13.保密</w:t>
      </w:r>
    </w:p>
    <w:p w14:paraId="095909D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合同双方应对因履行合同而取得的另一方当事人的信息、资料等予以保密。未经另一方当事人书面同意，任何一方均不得为与履行合同无关的目的使用或向第三方披露另一方当事人提供的信息、资料。</w:t>
      </w:r>
    </w:p>
    <w:p w14:paraId="12DF079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合同当事人的保密义务不适用于下列信息：</w:t>
      </w:r>
    </w:p>
    <w:p w14:paraId="132E382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（1）非因接受信息一方的过失现在或以后进入公共领域的信息；</w:t>
      </w:r>
    </w:p>
    <w:p w14:paraId="19AB7A8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（2）接受信息一方当事人合法地从第三方获得并且据其善意了解第三方也不对此承担保密义务的信息；</w:t>
      </w:r>
    </w:p>
    <w:p w14:paraId="0C08E6E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（3）法律或法律的执行要求披露的信息。</w:t>
      </w:r>
    </w:p>
    <w:p w14:paraId="46C2F0C6">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14.违约责任</w:t>
      </w:r>
    </w:p>
    <w:p w14:paraId="42B0680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14.1合同一方不履行合同义务、履行合同义务不符合约定或者违反合同项下所作保证的，应向对方承担继续履行、采取修理、更换、退货等补救措施或者赔偿损失等违约责任。</w:t>
      </w:r>
    </w:p>
    <w:p w14:paraId="27D658C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14.2卖方未能按时交付合同设备(材料)（包括仅迟延交付技术资料但足以导致合同设备(材料)安装、调试、考核、验收工作推迟的）的，应向买方支付迟延交付违约金。除专用合同条款另有约定外，迟延交付违约金的计算方法如下：</w:t>
      </w:r>
    </w:p>
    <w:p w14:paraId="124597A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（1）从迟交的第一周到第四周，每周迟延交付违约金为迟交合同设备(材料)价格的0.5%；</w:t>
      </w:r>
    </w:p>
    <w:p w14:paraId="5BF8B9F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（2）从迟交的第五周到第八周，每周迟延交付违约金为迟交合同设备(材料)价格的1%；</w:t>
      </w:r>
    </w:p>
    <w:p w14:paraId="5076D2C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从迟交第九周起，每周迟延交付违约金为迟交合同设备(材料)价格的1.5%。在计算迟延交付违约金时，迟交不足一周的按一周计算。迟延交付违约金的总额不得超过合同价格的10%。迟延交付违约金的支付不能免除卖方继续交付相关合同设备(材料)的义务，但如迟延交付必然导致合同设备(材料)安装、调试、考核、验收工作推迟的，相关工作应相应顺延。</w:t>
      </w:r>
    </w:p>
    <w:p w14:paraId="77B5639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14.3买方未能按合同约定支付合同价款的，应向卖方支付延迟付款违约金。除专用合同条款另有约定外，迟延付款违约金的计算方法如下：</w:t>
      </w:r>
    </w:p>
    <w:p w14:paraId="4F8A82E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（1）从迟付的第一周到第四周，每周迟延付款违约金为迟延付款金额的0.5%；</w:t>
      </w:r>
    </w:p>
    <w:p w14:paraId="0D7F339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（2）从迟付的第五周到第八周，每周迟延付款违约金为迟延付款金额的1%；</w:t>
      </w:r>
    </w:p>
    <w:p w14:paraId="7DF0F2A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（3）从迟付第九周起，每周迟延付款违约金为迟延付款金额的1.5%。在计算迟延付款违约金时，迟付不足一周的按一周计算。迟延付款违约金的总额不得超过合同价格的10%。</w:t>
      </w:r>
    </w:p>
    <w:p w14:paraId="2687D88B">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15.合同的解除</w:t>
      </w:r>
    </w:p>
    <w:p w14:paraId="6D0A979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除专用合同条款另有约定外，有下述情形之一，当事人可发出书面通知全部或部分地解除合同，合同自通知到达对方时全部或部分地解除：</w:t>
      </w:r>
    </w:p>
    <w:p w14:paraId="0AD47A0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（1）卖方迟延交付合同设备(材料)超过3个月；</w:t>
      </w:r>
    </w:p>
    <w:p w14:paraId="0CE63D9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合同设备(材料)由于卖方原因三次考核均未能达到技术性能考核指标或在合同约定了或双方在考核中另行达成了最低技术性能考核指标时均未能达到最低技术性能考核指标，且买卖双方未就合同的后续履行协商达成一致；</w:t>
      </w:r>
    </w:p>
    <w:p w14:paraId="4DA5FEA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（3）买方迟延付款超过3个月；</w:t>
      </w:r>
    </w:p>
    <w:p w14:paraId="639F364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合同一方当事人未能履行合同项下任何其它义务（细微义务除外），或在未事先征得另一方当事人同意的情况下，从事任何可能在实质上不利影响其履行合同能力的活动，经另一方当事人书面通知后14日内或在专用合同条款约定的其他期限内未能对其行为作出补救；</w:t>
      </w:r>
    </w:p>
    <w:p w14:paraId="6CE3639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（5）合同一方当事人出现破产、清算、资不抵债、成为失信被执行人等可能丧失履约能力的情形，且未能提供令对方满意的履约保证金。</w:t>
      </w:r>
    </w:p>
    <w:p w14:paraId="09E89872">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16.不可抗力</w:t>
      </w:r>
    </w:p>
    <w:p w14:paraId="6CA51AF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16.1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或机构出具的证明文件提交给另一方当事人。</w:t>
      </w:r>
    </w:p>
    <w:p w14:paraId="0998B4A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16.2受不可抗力事件影响的一方当事人对于不可抗力事件导致的任何合同义务的迟延履行或不能履行不承担违约责任。但该方当事人应尽快将不可抗力事件结束或消除的情况通知另一方当事人。</w:t>
      </w:r>
    </w:p>
    <w:p w14:paraId="7D129F1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16.3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2056AB9F">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17.争议的解决</w:t>
      </w:r>
    </w:p>
    <w:p w14:paraId="4B8F5125">
      <w:pPr>
        <w:spacing w:beforeLines="50" w:afterLines="50" w:line="400" w:lineRule="exact"/>
        <w:ind w:firstLine="460" w:firstLineChars="200"/>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rPr>
        <w:t>因合同及合同有关事项发生的争议，按向</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绍兴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仲裁委员会申请仲裁解决</w:t>
      </w:r>
      <w:r>
        <w:rPr>
          <w:rFonts w:hint="eastAsia" w:ascii="宋体" w:hAnsi="宋体" w:eastAsia="宋体" w:cs="宋体"/>
          <w:color w:val="auto"/>
          <w:sz w:val="23"/>
          <w:szCs w:val="23"/>
          <w:highlight w:val="none"/>
          <w:lang w:eastAsia="zh-CN"/>
        </w:rPr>
        <w:t>。</w:t>
      </w:r>
    </w:p>
    <w:p w14:paraId="1CE85E72">
      <w:pPr>
        <w:spacing w:line="360" w:lineRule="auto"/>
        <w:ind w:firstLine="460" w:firstLineChars="200"/>
        <w:rPr>
          <w:rFonts w:hint="eastAsia" w:ascii="宋体" w:hAnsi="宋体" w:eastAsia="宋体" w:cs="宋体"/>
          <w:color w:val="auto"/>
          <w:sz w:val="23"/>
          <w:szCs w:val="23"/>
          <w:highlight w:val="none"/>
        </w:rPr>
      </w:pPr>
    </w:p>
    <w:p w14:paraId="15A2AE3C">
      <w:pPr>
        <w:pStyle w:val="2"/>
        <w:rPr>
          <w:color w:val="auto"/>
          <w:highlight w:val="none"/>
        </w:rPr>
      </w:pPr>
    </w:p>
    <w:p w14:paraId="3B8D590A">
      <w:pPr>
        <w:spacing w:line="360" w:lineRule="auto"/>
        <w:ind w:firstLine="462" w:firstLineChars="200"/>
        <w:jc w:val="both"/>
        <w:rPr>
          <w:rFonts w:hint="eastAsia" w:ascii="宋体" w:hAnsi="宋体" w:eastAsia="宋体" w:cs="宋体"/>
          <w:b/>
          <w:bCs/>
          <w:color w:val="auto"/>
          <w:sz w:val="23"/>
          <w:szCs w:val="23"/>
          <w:highlight w:val="none"/>
          <w:lang w:bidi="ar"/>
        </w:rPr>
      </w:pPr>
    </w:p>
    <w:p w14:paraId="30035BBB">
      <w:pPr>
        <w:spacing w:line="360" w:lineRule="auto"/>
        <w:ind w:firstLine="462" w:firstLineChars="200"/>
        <w:jc w:val="center"/>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br w:type="page"/>
      </w:r>
      <w:r>
        <w:rPr>
          <w:rFonts w:hint="eastAsia" w:ascii="宋体" w:hAnsi="宋体" w:eastAsia="宋体" w:cs="宋体"/>
          <w:b/>
          <w:bCs/>
          <w:color w:val="auto"/>
          <w:sz w:val="23"/>
          <w:szCs w:val="23"/>
          <w:highlight w:val="none"/>
          <w:lang w:bidi="ar"/>
        </w:rPr>
        <w:t>第二节专用合同条款</w:t>
      </w:r>
    </w:p>
    <w:p w14:paraId="26C1B6EE">
      <w:pPr>
        <w:jc w:val="left"/>
        <w:rPr>
          <w:rFonts w:asciiTheme="minorEastAsia" w:hAnsiTheme="minorEastAsia" w:cstheme="minorEastAsia"/>
          <w:b/>
          <w:bCs/>
          <w:color w:val="auto"/>
          <w:sz w:val="23"/>
          <w:szCs w:val="23"/>
          <w:highlight w:val="none"/>
        </w:rPr>
      </w:pPr>
      <w:r>
        <w:rPr>
          <w:rFonts w:hint="eastAsia" w:eastAsia="宋体" w:asciiTheme="minorEastAsia" w:hAnsiTheme="minorEastAsia" w:cstheme="minorEastAsia"/>
          <w:b/>
          <w:bCs/>
          <w:color w:val="auto"/>
          <w:sz w:val="23"/>
          <w:szCs w:val="23"/>
          <w:highlight w:val="none"/>
          <w:lang w:val="en-US" w:eastAsia="zh-CN"/>
        </w:rPr>
        <w:t>一</w:t>
      </w:r>
      <w:r>
        <w:rPr>
          <w:rFonts w:hint="eastAsia" w:asciiTheme="minorEastAsia" w:hAnsiTheme="minorEastAsia" w:cstheme="minorEastAsia"/>
          <w:b/>
          <w:bCs/>
          <w:color w:val="auto"/>
          <w:sz w:val="23"/>
          <w:szCs w:val="23"/>
          <w:highlight w:val="none"/>
        </w:rPr>
        <w:t>、合同主要条款</w:t>
      </w:r>
    </w:p>
    <w:p w14:paraId="3E65172A">
      <w:pPr>
        <w:tabs>
          <w:tab w:val="left" w:pos="732"/>
        </w:tabs>
        <w:spacing w:line="400" w:lineRule="exact"/>
        <w:ind w:left="210" w:leftChars="100"/>
        <w:rPr>
          <w:rFonts w:ascii="宋体" w:hAnsi="宋体" w:cs="宋体"/>
          <w:color w:val="auto"/>
          <w:sz w:val="23"/>
          <w:szCs w:val="23"/>
          <w:highlight w:val="none"/>
        </w:rPr>
      </w:pPr>
      <w:r>
        <w:rPr>
          <w:rFonts w:hint="eastAsia" w:ascii="宋体" w:hAnsi="宋体" w:cs="宋体"/>
          <w:color w:val="auto"/>
          <w:sz w:val="23"/>
          <w:szCs w:val="23"/>
          <w:highlight w:val="none"/>
        </w:rPr>
        <w:t>本合同</w:t>
      </w:r>
      <w:r>
        <w:rPr>
          <w:rFonts w:hint="eastAsia" w:ascii="宋体" w:hAnsi="宋体" w:eastAsia="宋体" w:cs="宋体"/>
          <w:color w:val="auto"/>
          <w:sz w:val="23"/>
          <w:szCs w:val="23"/>
          <w:highlight w:val="none"/>
        </w:rPr>
        <w:t>主要</w:t>
      </w:r>
      <w:r>
        <w:rPr>
          <w:rFonts w:hint="eastAsia" w:ascii="宋体" w:hAnsi="宋体" w:cs="宋体"/>
          <w:color w:val="auto"/>
          <w:sz w:val="23"/>
          <w:szCs w:val="23"/>
          <w:highlight w:val="none"/>
        </w:rPr>
        <w:t>条款是对合同一般条款的补充，两者之间如有抵触，以本</w:t>
      </w:r>
      <w:r>
        <w:rPr>
          <w:rFonts w:hint="eastAsia" w:ascii="宋体" w:hAnsi="宋体" w:eastAsia="宋体" w:cs="宋体"/>
          <w:color w:val="auto"/>
          <w:sz w:val="23"/>
          <w:szCs w:val="23"/>
          <w:highlight w:val="none"/>
        </w:rPr>
        <w:t>主要</w:t>
      </w:r>
      <w:r>
        <w:rPr>
          <w:rFonts w:hint="eastAsia" w:ascii="宋体" w:hAnsi="宋体" w:cs="宋体"/>
          <w:color w:val="auto"/>
          <w:sz w:val="23"/>
          <w:szCs w:val="23"/>
          <w:highlight w:val="none"/>
        </w:rPr>
        <w:t xml:space="preserve">条款为准。  </w:t>
      </w:r>
    </w:p>
    <w:p w14:paraId="4E7D022C">
      <w:pPr>
        <w:tabs>
          <w:tab w:val="left" w:pos="732"/>
        </w:tabs>
        <w:spacing w:line="400" w:lineRule="exact"/>
        <w:ind w:left="210" w:leftChars="100"/>
        <w:rPr>
          <w:rFonts w:ascii="宋体" w:hAnsi="宋体" w:cs="宋体"/>
          <w:color w:val="auto"/>
          <w:sz w:val="23"/>
          <w:szCs w:val="23"/>
          <w:highlight w:val="none"/>
        </w:rPr>
      </w:pPr>
      <w:r>
        <w:rPr>
          <w:rFonts w:hint="eastAsia" w:ascii="宋体" w:hAnsi="宋体" w:cs="宋体"/>
          <w:color w:val="auto"/>
          <w:sz w:val="23"/>
          <w:szCs w:val="23"/>
          <w:highlight w:val="none"/>
        </w:rPr>
        <w:t xml:space="preserve">  </w:t>
      </w:r>
      <w:r>
        <w:rPr>
          <w:rFonts w:hint="eastAsia" w:ascii="宋体" w:hAnsi="宋体" w:eastAsia="宋体" w:cs="宋体"/>
          <w:color w:val="auto"/>
          <w:sz w:val="23"/>
          <w:szCs w:val="23"/>
          <w:highlight w:val="none"/>
        </w:rPr>
        <w:t xml:space="preserve"> </w:t>
      </w:r>
      <w:r>
        <w:rPr>
          <w:rFonts w:hint="eastAsia" w:ascii="宋体" w:hAnsi="宋体" w:cs="宋体"/>
          <w:color w:val="auto"/>
          <w:sz w:val="23"/>
          <w:szCs w:val="23"/>
          <w:highlight w:val="none"/>
        </w:rPr>
        <w:t xml:space="preserve">一、合同工期    </w:t>
      </w:r>
    </w:p>
    <w:p w14:paraId="44CAF82F">
      <w:pPr>
        <w:spacing w:line="400" w:lineRule="exact"/>
        <w:ind w:left="210" w:leftChars="100" w:firstLine="345" w:firstLineChars="150"/>
        <w:rPr>
          <w:rFonts w:ascii="宋体" w:hAnsi="宋体" w:cs="宋体"/>
          <w:color w:val="auto"/>
          <w:sz w:val="23"/>
          <w:szCs w:val="23"/>
          <w:highlight w:val="none"/>
        </w:rPr>
      </w:pPr>
      <w:r>
        <w:rPr>
          <w:rFonts w:hint="eastAsia" w:ascii="宋体" w:hAnsi="宋体" w:cs="宋体"/>
          <w:color w:val="auto"/>
          <w:sz w:val="23"/>
          <w:szCs w:val="23"/>
          <w:highlight w:val="none"/>
          <w:lang w:val="en-US" w:eastAsia="zh-CN"/>
        </w:rPr>
        <w:t>130日历天，并不得影响总包总进度计划（以招标人发出的开工指令为准，具体应与工程施工总进度计划同步，服从总包管理）。</w:t>
      </w:r>
      <w:r>
        <w:rPr>
          <w:rFonts w:hint="eastAsia" w:ascii="宋体" w:hAnsi="宋体" w:cs="宋体"/>
          <w:color w:val="auto"/>
          <w:sz w:val="23"/>
          <w:szCs w:val="23"/>
          <w:highlight w:val="none"/>
        </w:rPr>
        <w:t xml:space="preserve">    </w:t>
      </w:r>
    </w:p>
    <w:p w14:paraId="7F2FD32F">
      <w:pPr>
        <w:spacing w:line="400" w:lineRule="exact"/>
        <w:ind w:left="210" w:leftChars="100" w:firstLine="345" w:firstLineChars="150"/>
        <w:rPr>
          <w:rFonts w:ascii="宋体" w:hAnsi="宋体" w:cs="宋体"/>
          <w:color w:val="auto"/>
          <w:sz w:val="23"/>
          <w:szCs w:val="23"/>
          <w:highlight w:val="none"/>
        </w:rPr>
      </w:pPr>
      <w:r>
        <w:rPr>
          <w:rFonts w:hint="eastAsia" w:ascii="宋体" w:hAnsi="宋体" w:cs="宋体"/>
          <w:color w:val="auto"/>
          <w:sz w:val="23"/>
          <w:szCs w:val="23"/>
          <w:highlight w:val="none"/>
        </w:rPr>
        <w:t xml:space="preserve"> 二、交货方式：现场交货。乙方将设备运抵工地现场并初验合格的日期为交货日期。甲方可以要求乙方根据工程进度要求分批交货但不再额外增加其他费用。</w:t>
      </w:r>
    </w:p>
    <w:p w14:paraId="14276633">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三、交货地点：现场交货，并堆放至指定仓库（如需）。</w:t>
      </w:r>
    </w:p>
    <w:p w14:paraId="658AD3AD">
      <w:pPr>
        <w:spacing w:line="400" w:lineRule="exact"/>
        <w:ind w:firstLine="115" w:firstLineChars="50"/>
        <w:rPr>
          <w:rFonts w:ascii="宋体" w:hAnsi="宋体" w:cs="宋体"/>
          <w:color w:val="auto"/>
          <w:sz w:val="23"/>
          <w:szCs w:val="23"/>
          <w:highlight w:val="none"/>
        </w:rPr>
      </w:pPr>
      <w:r>
        <w:rPr>
          <w:rFonts w:hint="eastAsia" w:ascii="宋体" w:hAnsi="宋体" w:cs="宋体"/>
          <w:color w:val="auto"/>
          <w:sz w:val="23"/>
          <w:szCs w:val="23"/>
          <w:highlight w:val="none"/>
        </w:rPr>
        <w:t xml:space="preserve">    四、接货通知</w:t>
      </w:r>
    </w:p>
    <w:p w14:paraId="00A452E6">
      <w:pPr>
        <w:spacing w:line="400" w:lineRule="exact"/>
        <w:ind w:firstLine="210"/>
        <w:rPr>
          <w:rFonts w:ascii="宋体" w:hAnsi="宋体" w:cs="宋体"/>
          <w:b/>
          <w:bCs/>
          <w:color w:val="auto"/>
          <w:sz w:val="23"/>
          <w:szCs w:val="23"/>
          <w:highlight w:val="none"/>
        </w:rPr>
      </w:pPr>
      <w:r>
        <w:rPr>
          <w:rFonts w:hint="eastAsia" w:ascii="宋体" w:hAnsi="宋体" w:cs="宋体"/>
          <w:color w:val="auto"/>
          <w:sz w:val="23"/>
          <w:szCs w:val="23"/>
          <w:highlight w:val="none"/>
        </w:rPr>
        <w:t xml:space="preserve">   乙方在设备发运前10天，需将准备发运的设备名称、规格、数量、包装箱件数、每件包装箱的尺码、毛重及对货物的卸车、贮存的特殊要求以传真</w:t>
      </w:r>
      <w:r>
        <w:rPr>
          <w:rFonts w:hint="eastAsia" w:ascii="宋体" w:hAnsi="宋体" w:cs="宋体"/>
          <w:color w:val="auto"/>
          <w:sz w:val="23"/>
          <w:szCs w:val="23"/>
          <w:highlight w:val="none"/>
          <w:lang w:val="en-US" w:eastAsia="zh-CN"/>
        </w:rPr>
        <w:t>或双方确定</w:t>
      </w:r>
      <w:r>
        <w:rPr>
          <w:rFonts w:hint="eastAsia" w:ascii="宋体" w:hAnsi="宋体" w:cs="宋体"/>
          <w:color w:val="auto"/>
          <w:sz w:val="23"/>
          <w:szCs w:val="23"/>
          <w:highlight w:val="none"/>
        </w:rPr>
        <w:t>的形式通知甲方，以便接货。甲方只协助乙方接货。</w:t>
      </w:r>
      <w:r>
        <w:rPr>
          <w:rFonts w:hint="eastAsia" w:ascii="宋体" w:hAnsi="宋体" w:cs="宋体"/>
          <w:color w:val="auto"/>
          <w:sz w:val="23"/>
          <w:szCs w:val="23"/>
          <w:highlight w:val="none"/>
          <w:lang w:val="en-US" w:eastAsia="zh-CN"/>
        </w:rPr>
        <w:t>卸</w:t>
      </w:r>
      <w:r>
        <w:rPr>
          <w:rFonts w:hint="eastAsia" w:ascii="宋体" w:hAnsi="宋体" w:cs="宋体"/>
          <w:color w:val="auto"/>
          <w:sz w:val="23"/>
          <w:szCs w:val="23"/>
          <w:highlight w:val="none"/>
        </w:rPr>
        <w:t>货、清点、搬运、保管、安装调试、试运行等均由乙方负责，并承担相应费用。</w:t>
      </w:r>
    </w:p>
    <w:p w14:paraId="46DFE71C">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五、运输及装卸保险</w:t>
      </w:r>
    </w:p>
    <w:p w14:paraId="25A81D23">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1、货物在装运前由乙方投保，一旦货物在装卸、运输过程中发生损坏或短缺，由乙方负责索赔。</w:t>
      </w:r>
    </w:p>
    <w:p w14:paraId="5A59CC2F">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2、乙方保证在确认货物因装卸、运输中发生损坏或短缺后，尽快给予调换、修复和补齐缺件，不管其造成的原因如何，也不以办理索赔为由而拖延</w:t>
      </w:r>
      <w:r>
        <w:rPr>
          <w:rFonts w:hint="eastAsia" w:ascii="宋体" w:hAnsi="宋体" w:cs="宋体"/>
          <w:color w:val="auto"/>
          <w:sz w:val="23"/>
          <w:szCs w:val="23"/>
          <w:highlight w:val="none"/>
          <w:lang w:val="en-US" w:eastAsia="zh-CN"/>
        </w:rPr>
        <w:t>交付</w:t>
      </w:r>
      <w:r>
        <w:rPr>
          <w:rFonts w:hint="eastAsia" w:ascii="宋体" w:hAnsi="宋体" w:cs="宋体"/>
          <w:color w:val="auto"/>
          <w:sz w:val="23"/>
          <w:szCs w:val="23"/>
          <w:highlight w:val="none"/>
        </w:rPr>
        <w:t>。</w:t>
      </w:r>
    </w:p>
    <w:p w14:paraId="344BAD14">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3、乙方工作人员及设备进场时，应遵守交货现场环境卫生管理、安全管理的有关规定，配备相应的环境保护及安全措施。承担因自身原因违反有关规定而导致的所有责任。</w:t>
      </w:r>
    </w:p>
    <w:p w14:paraId="28FDE55F">
      <w:pPr>
        <w:keepNext/>
        <w:keepLines/>
        <w:spacing w:line="400" w:lineRule="exact"/>
        <w:ind w:firstLine="460" w:firstLineChars="200"/>
        <w:outlineLvl w:val="2"/>
        <w:rPr>
          <w:rFonts w:ascii="宋体" w:hAnsi="宋体" w:cs="宋体"/>
          <w:color w:val="auto"/>
          <w:sz w:val="23"/>
          <w:szCs w:val="23"/>
          <w:highlight w:val="none"/>
        </w:rPr>
      </w:pPr>
      <w:bookmarkStart w:id="53" w:name="_Toc21937"/>
      <w:r>
        <w:rPr>
          <w:rFonts w:hint="eastAsia" w:ascii="宋体" w:hAnsi="宋体" w:cs="宋体"/>
          <w:bCs/>
          <w:color w:val="auto"/>
          <w:sz w:val="23"/>
          <w:szCs w:val="23"/>
          <w:highlight w:val="none"/>
        </w:rPr>
        <w:t>六、</w:t>
      </w:r>
      <w:r>
        <w:rPr>
          <w:rFonts w:hint="eastAsia" w:ascii="宋体" w:hAnsi="宋体" w:cs="宋体"/>
          <w:color w:val="auto"/>
          <w:sz w:val="23"/>
          <w:szCs w:val="23"/>
          <w:highlight w:val="none"/>
        </w:rPr>
        <w:t>付款方式</w:t>
      </w:r>
      <w:bookmarkEnd w:id="53"/>
    </w:p>
    <w:p w14:paraId="1B54DFEA">
      <w:pPr>
        <w:spacing w:line="400" w:lineRule="exact"/>
        <w:ind w:firstLine="531" w:firstLineChars="231"/>
        <w:rPr>
          <w:rFonts w:hint="eastAsia" w:ascii="宋体" w:hAnsi="宋体" w:cs="宋体"/>
          <w:b w:val="0"/>
          <w:bCs/>
          <w:color w:val="auto"/>
          <w:sz w:val="23"/>
          <w:szCs w:val="23"/>
          <w:highlight w:val="none"/>
          <w:lang w:val="en-US" w:eastAsia="zh-CN"/>
        </w:rPr>
      </w:pPr>
      <w:r>
        <w:rPr>
          <w:rFonts w:hint="eastAsia" w:ascii="宋体" w:hAnsi="宋体" w:cs="宋体"/>
          <w:b w:val="0"/>
          <w:bCs/>
          <w:color w:val="auto"/>
          <w:sz w:val="23"/>
          <w:szCs w:val="23"/>
          <w:highlight w:val="none"/>
          <w:lang w:val="en-US" w:eastAsia="zh-CN"/>
        </w:rPr>
        <w:t>（1）合同签订并中标人提交履约担保后支付签约合同价的10%；</w:t>
      </w:r>
    </w:p>
    <w:p w14:paraId="1F7E24BE">
      <w:pPr>
        <w:spacing w:line="400" w:lineRule="exact"/>
        <w:ind w:firstLine="531" w:firstLineChars="231"/>
        <w:rPr>
          <w:rFonts w:hint="eastAsia" w:ascii="宋体" w:hAnsi="宋体" w:cs="宋体"/>
          <w:b w:val="0"/>
          <w:bCs/>
          <w:color w:val="auto"/>
          <w:sz w:val="23"/>
          <w:szCs w:val="23"/>
          <w:highlight w:val="none"/>
          <w:lang w:val="en-US" w:eastAsia="zh-CN"/>
        </w:rPr>
      </w:pPr>
      <w:r>
        <w:rPr>
          <w:rFonts w:hint="eastAsia" w:ascii="宋体" w:hAnsi="宋体" w:cs="宋体"/>
          <w:b w:val="0"/>
          <w:bCs/>
          <w:color w:val="auto"/>
          <w:sz w:val="23"/>
          <w:szCs w:val="23"/>
          <w:highlight w:val="none"/>
          <w:lang w:val="en-US" w:eastAsia="zh-CN"/>
        </w:rPr>
        <w:t>（2）中标人向全咨单位、代建单位和招标人上报完成的本项目工程量产值的60%后，支付至合同价的50%；</w:t>
      </w:r>
    </w:p>
    <w:p w14:paraId="5A0C5B15">
      <w:pPr>
        <w:spacing w:line="400" w:lineRule="exact"/>
        <w:ind w:firstLine="531" w:firstLineChars="231"/>
        <w:rPr>
          <w:rFonts w:hint="eastAsia" w:ascii="宋体" w:hAnsi="宋体" w:cs="宋体"/>
          <w:b w:val="0"/>
          <w:bCs/>
          <w:color w:val="auto"/>
          <w:sz w:val="23"/>
          <w:szCs w:val="23"/>
          <w:highlight w:val="none"/>
          <w:lang w:val="en-US" w:eastAsia="zh-CN"/>
        </w:rPr>
      </w:pPr>
      <w:r>
        <w:rPr>
          <w:rFonts w:hint="eastAsia" w:ascii="宋体" w:hAnsi="宋体" w:cs="宋体"/>
          <w:b w:val="0"/>
          <w:bCs/>
          <w:color w:val="auto"/>
          <w:sz w:val="23"/>
          <w:szCs w:val="23"/>
          <w:highlight w:val="none"/>
          <w:lang w:val="en-US" w:eastAsia="zh-CN"/>
        </w:rPr>
        <w:t>（3）本项目完工并通过验收后支付至合同价的85%；</w:t>
      </w:r>
    </w:p>
    <w:p w14:paraId="201F341C">
      <w:pPr>
        <w:spacing w:line="400" w:lineRule="exact"/>
        <w:ind w:firstLine="531" w:firstLineChars="231"/>
        <w:rPr>
          <w:rFonts w:hint="eastAsia" w:ascii="宋体" w:hAnsi="宋体" w:cs="宋体"/>
          <w:b w:val="0"/>
          <w:bCs/>
          <w:color w:val="auto"/>
          <w:sz w:val="23"/>
          <w:szCs w:val="23"/>
          <w:highlight w:val="none"/>
          <w:lang w:val="en-US" w:eastAsia="zh-CN"/>
        </w:rPr>
      </w:pPr>
      <w:r>
        <w:rPr>
          <w:rFonts w:hint="eastAsia" w:ascii="宋体" w:hAnsi="宋体" w:cs="宋体"/>
          <w:b w:val="0"/>
          <w:bCs/>
          <w:color w:val="auto"/>
          <w:sz w:val="23"/>
          <w:szCs w:val="23"/>
          <w:highlight w:val="none"/>
          <w:lang w:val="en-US" w:eastAsia="zh-CN"/>
        </w:rPr>
        <w:t>（4）本项目竣工结算经相关部门审核完成并在项目竣工资料备案完成后付至工程费用结算审定价的98.5%；</w:t>
      </w:r>
    </w:p>
    <w:p w14:paraId="0BF116E1">
      <w:pPr>
        <w:spacing w:line="400" w:lineRule="exact"/>
        <w:ind w:firstLine="531" w:firstLineChars="231"/>
        <w:rPr>
          <w:rFonts w:hint="eastAsia" w:ascii="宋体" w:hAnsi="宋体" w:cs="宋体"/>
          <w:b w:val="0"/>
          <w:bCs/>
          <w:color w:val="auto"/>
          <w:sz w:val="23"/>
          <w:szCs w:val="23"/>
          <w:highlight w:val="none"/>
          <w:lang w:val="en-US" w:eastAsia="zh-CN"/>
        </w:rPr>
      </w:pPr>
      <w:r>
        <w:rPr>
          <w:rFonts w:hint="eastAsia" w:ascii="宋体" w:hAnsi="宋体" w:cs="宋体"/>
          <w:b w:val="0"/>
          <w:bCs/>
          <w:color w:val="auto"/>
          <w:sz w:val="23"/>
          <w:szCs w:val="23"/>
          <w:highlight w:val="none"/>
          <w:lang w:val="en-US" w:eastAsia="zh-CN"/>
        </w:rPr>
        <w:t>（5）余额1.5%作为工程质量保修金，在缺陷责任期满后结清。</w:t>
      </w:r>
    </w:p>
    <w:p w14:paraId="49B8E405">
      <w:pPr>
        <w:spacing w:line="400" w:lineRule="exact"/>
        <w:ind w:firstLine="531" w:firstLineChars="231"/>
        <w:rPr>
          <w:rFonts w:hint="eastAsia" w:ascii="宋体" w:hAnsi="宋体" w:cs="宋体"/>
          <w:b w:val="0"/>
          <w:bCs/>
          <w:color w:val="auto"/>
          <w:sz w:val="23"/>
          <w:szCs w:val="23"/>
          <w:highlight w:val="none"/>
          <w:lang w:val="en-US" w:eastAsia="zh-CN"/>
        </w:rPr>
      </w:pPr>
      <w:r>
        <w:rPr>
          <w:rFonts w:hint="eastAsia" w:ascii="宋体" w:hAnsi="宋体" w:cs="宋体"/>
          <w:b w:val="0"/>
          <w:bCs/>
          <w:color w:val="auto"/>
          <w:sz w:val="23"/>
          <w:szCs w:val="23"/>
          <w:highlight w:val="none"/>
          <w:lang w:val="en-US" w:eastAsia="zh-CN"/>
        </w:rPr>
        <w:t>（6）上述工程款支付前，中标人应及时提供增值税专用发票，否则招标人相应顺延支付工程款且不视为违约。</w:t>
      </w:r>
    </w:p>
    <w:p w14:paraId="264B8EC7">
      <w:pPr>
        <w:spacing w:line="400" w:lineRule="exact"/>
        <w:ind w:firstLine="532" w:firstLineChars="231"/>
        <w:rPr>
          <w:rFonts w:hint="eastAsia" w:ascii="宋体" w:hAnsi="宋体" w:eastAsia="宋体" w:cs="宋体"/>
          <w:b/>
          <w:color w:val="auto"/>
          <w:sz w:val="23"/>
          <w:szCs w:val="23"/>
          <w:highlight w:val="none"/>
        </w:rPr>
      </w:pPr>
      <w:r>
        <w:rPr>
          <w:rFonts w:hint="eastAsia" w:ascii="宋体" w:hAnsi="宋体" w:cs="宋体"/>
          <w:b/>
          <w:color w:val="auto"/>
          <w:sz w:val="23"/>
          <w:szCs w:val="23"/>
          <w:highlight w:val="none"/>
        </w:rPr>
        <w:t>七、结算原则</w:t>
      </w:r>
      <w:r>
        <w:rPr>
          <w:rFonts w:hint="eastAsia" w:ascii="宋体" w:hAnsi="宋体" w:eastAsia="宋体" w:cs="宋体"/>
          <w:b/>
          <w:color w:val="auto"/>
          <w:sz w:val="23"/>
          <w:szCs w:val="23"/>
          <w:highlight w:val="none"/>
        </w:rPr>
        <w:t xml:space="preserve"> </w:t>
      </w:r>
    </w:p>
    <w:p w14:paraId="16283336">
      <w:pPr>
        <w:spacing w:line="360" w:lineRule="auto"/>
        <w:ind w:firstLine="460" w:firstLineChars="200"/>
        <w:rPr>
          <w:rFonts w:hint="eastAsia" w:ascii="宋体" w:hAnsi="宋体" w:cs="宋体"/>
          <w:color w:val="auto"/>
          <w:sz w:val="23"/>
          <w:szCs w:val="23"/>
          <w:highlight w:val="none"/>
          <w:lang w:eastAsia="zh-CN"/>
        </w:rPr>
      </w:pPr>
      <w:r>
        <w:rPr>
          <w:rFonts w:hint="eastAsia" w:ascii="宋体" w:hAnsi="宋体" w:cs="宋体"/>
          <w:color w:val="auto"/>
          <w:sz w:val="23"/>
          <w:szCs w:val="23"/>
          <w:highlight w:val="none"/>
        </w:rPr>
        <w:t>1.合同价格形式：</w:t>
      </w:r>
      <w:r>
        <w:rPr>
          <w:rFonts w:hint="eastAsia" w:ascii="宋体" w:hAnsi="宋体" w:cs="宋体"/>
          <w:color w:val="auto"/>
          <w:sz w:val="23"/>
          <w:szCs w:val="23"/>
          <w:highlight w:val="none"/>
          <w:lang w:val="en-US" w:eastAsia="zh-CN"/>
        </w:rPr>
        <w:t>约定范围内固定单价合同</w:t>
      </w:r>
      <w:r>
        <w:rPr>
          <w:rFonts w:hint="eastAsia" w:ascii="宋体" w:hAnsi="宋体" w:cs="宋体"/>
          <w:strike w:val="0"/>
          <w:dstrike w:val="0"/>
          <w:color w:val="auto"/>
          <w:sz w:val="23"/>
          <w:szCs w:val="23"/>
          <w:highlight w:val="none"/>
          <w:lang w:val="en-US" w:eastAsia="zh-CN"/>
        </w:rPr>
        <w:t>。</w:t>
      </w:r>
    </w:p>
    <w:p w14:paraId="59D7D792">
      <w:pPr>
        <w:spacing w:line="360" w:lineRule="auto"/>
        <w:ind w:firstLine="460" w:firstLineChars="200"/>
        <w:rPr>
          <w:rFonts w:hint="eastAsia" w:ascii="宋体" w:hAnsi="宋体" w:cs="宋体"/>
          <w:color w:val="auto"/>
          <w:sz w:val="23"/>
          <w:szCs w:val="23"/>
          <w:highlight w:val="none"/>
        </w:rPr>
      </w:pPr>
      <w:r>
        <w:rPr>
          <w:rFonts w:hint="eastAsia" w:ascii="宋体" w:hAnsi="宋体" w:cs="宋体"/>
          <w:color w:val="auto"/>
          <w:sz w:val="23"/>
          <w:szCs w:val="23"/>
          <w:highlight w:val="none"/>
        </w:rPr>
        <w:t>2.价款确定：货物清单中的工程量、清单描述若与图纸及答疑不一致时，以图纸及答疑为准并须满足各专业的功能要求。(本项目须进行结算审计，除招标人提出的功能需要较大调整造成调整情况除外，其他情况下最终结算价不得突破中标价，突破部分由承包人自行承担)。</w:t>
      </w:r>
    </w:p>
    <w:p w14:paraId="4AC0D9A4">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如因甲方原因需进行设计变更，则变更内容必须经过全咨单位、设计单位、代建单位同意，乙方需无条件配合实施，未经各方同意，不作为结算依据。</w:t>
      </w:r>
    </w:p>
    <w:p w14:paraId="0B1DA1F9">
      <w:pPr>
        <w:spacing w:line="360" w:lineRule="auto"/>
        <w:ind w:firstLine="460" w:firstLineChars="200"/>
        <w:rPr>
          <w:rFonts w:hint="eastAsia" w:ascii="宋体" w:hAnsi="宋体" w:cs="宋体"/>
          <w:color w:val="auto"/>
          <w:sz w:val="23"/>
          <w:szCs w:val="23"/>
          <w:highlight w:val="none"/>
        </w:rPr>
      </w:pPr>
      <w:r>
        <w:rPr>
          <w:rFonts w:hint="eastAsia" w:ascii="宋体" w:hAnsi="宋体" w:cs="宋体"/>
          <w:color w:val="auto"/>
          <w:sz w:val="23"/>
          <w:szCs w:val="23"/>
          <w:highlight w:val="none"/>
        </w:rPr>
        <w:t>设计变更内容结算口径：1</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有投标综合单价的，按投标综合单价</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2</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无投标综合单价的，但有类似工程项目单价的，可以参照合同中类似项目的单价计算，并经监理工程师审核，发包人或其委托的跟踪审计单位工程师审定，并按相关程序批准后确定</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3</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无投标综合单价、也无类似工程项目单价的，由承包人按浙江省建设工程计价依据(2018版)计算并按中标下浮率同比率下浮后提出单价，经监理工程师审核，发包人或其委托的跟踪审计单位工程师审定，并按相关程序批准后确定;投标书中既无该项目综合单价、也无类似工程项目单价且无定额可套用的，按照市场询价情况并经全咨单位、代建人、发包人按相关程序签证结算，管理费、利润按12%计取(除税金外不再计取其它任何费用，也不下浮)</w:t>
      </w:r>
      <w:r>
        <w:rPr>
          <w:rFonts w:hint="eastAsia" w:ascii="宋体" w:hAnsi="宋体" w:cs="宋体"/>
          <w:color w:val="auto"/>
          <w:sz w:val="23"/>
          <w:szCs w:val="23"/>
          <w:highlight w:val="none"/>
          <w:lang w:eastAsia="zh-CN"/>
        </w:rPr>
        <w:t>；</w:t>
      </w:r>
    </w:p>
    <w:p w14:paraId="13E8F3AC">
      <w:pPr>
        <w:spacing w:line="360" w:lineRule="auto"/>
        <w:ind w:firstLine="460" w:firstLineChars="200"/>
        <w:rPr>
          <w:rFonts w:hint="eastAsia" w:ascii="宋体" w:hAnsi="宋体" w:cs="宋体"/>
          <w:color w:val="auto"/>
          <w:sz w:val="23"/>
          <w:szCs w:val="23"/>
          <w:highlight w:val="none"/>
        </w:rPr>
      </w:pPr>
      <w:r>
        <w:rPr>
          <w:rFonts w:hint="eastAsia" w:ascii="宋体" w:hAnsi="宋体" w:cs="宋体"/>
          <w:color w:val="auto"/>
          <w:sz w:val="23"/>
          <w:szCs w:val="23"/>
          <w:highlight w:val="none"/>
          <w:lang w:val="en-US" w:eastAsia="zh-CN"/>
        </w:rPr>
        <w:t>总承包管理及配合服务费为本物流传输系统项目合同价的【2%】，该笔费用计入总承包合同价中，由发包人支付给中建三局。水电费为本物流传输系统项目合同价的【1%】，由本物流传输系统项目乙方支付给中建三局。</w:t>
      </w:r>
    </w:p>
    <w:p w14:paraId="285732C6">
      <w:pPr>
        <w:spacing w:line="360" w:lineRule="auto"/>
        <w:ind w:firstLine="460" w:firstLineChars="200"/>
        <w:rPr>
          <w:rFonts w:ascii="宋体" w:hAnsi="宋体" w:cs="宋体"/>
          <w:b/>
          <w:bCs/>
          <w:color w:val="auto"/>
          <w:kern w:val="2"/>
          <w:sz w:val="23"/>
          <w:szCs w:val="23"/>
          <w:highlight w:val="none"/>
        </w:rPr>
      </w:pPr>
      <w:r>
        <w:rPr>
          <w:rFonts w:hint="eastAsia" w:ascii="宋体" w:hAnsi="宋体" w:cs="宋体"/>
          <w:b/>
          <w:bCs/>
          <w:color w:val="auto"/>
          <w:kern w:val="2"/>
          <w:sz w:val="23"/>
          <w:szCs w:val="23"/>
          <w:highlight w:val="none"/>
        </w:rPr>
        <w:t>八、变更：</w:t>
      </w:r>
    </w:p>
    <w:p w14:paraId="6B8AE8B5">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 、采购合同履行中甲方需追加与合同标的相同的货物、工程或者服务的，在不改变合同其他条款的前提下，可以与乙方协商签订补充合同，但所有补充合同的采购金额不得超过原合同采购金额的百分之十。</w:t>
      </w:r>
    </w:p>
    <w:p w14:paraId="1F9BF8FF">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2、当变更只是采购量增减时，按投标所报的单价进行结算。</w:t>
      </w:r>
    </w:p>
    <w:p w14:paraId="60DFD6E6">
      <w:pPr>
        <w:spacing w:line="360" w:lineRule="auto"/>
        <w:ind w:firstLine="422"/>
        <w:rPr>
          <w:rFonts w:ascii="宋体" w:hAnsi="宋体" w:eastAsia="宋体" w:cs="宋体"/>
          <w:b/>
          <w:color w:val="auto"/>
          <w:sz w:val="23"/>
          <w:szCs w:val="23"/>
          <w:highlight w:val="none"/>
        </w:rPr>
      </w:pPr>
      <w:r>
        <w:rPr>
          <w:rFonts w:hint="eastAsia" w:ascii="宋体" w:hAnsi="宋体" w:eastAsia="宋体" w:cs="宋体"/>
          <w:b/>
          <w:color w:val="auto"/>
          <w:sz w:val="23"/>
          <w:szCs w:val="23"/>
          <w:highlight w:val="none"/>
        </w:rPr>
        <w:t>九、文件和技术资料</w:t>
      </w:r>
    </w:p>
    <w:p w14:paraId="091A2025">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设备交货前乙方向甲方提供下列技术资料、图纸和文件：</w:t>
      </w:r>
    </w:p>
    <w:p w14:paraId="68AC45B3">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（1）样本及技术规格书，要求有8份。</w:t>
      </w:r>
    </w:p>
    <w:p w14:paraId="5475947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（2）施工图，要求有10份。</w:t>
      </w:r>
    </w:p>
    <w:p w14:paraId="27A51E52">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（3）制造厂的设备生产许可证明和设备合格证书。</w:t>
      </w:r>
    </w:p>
    <w:p w14:paraId="0D9456CA">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（4）制造厂出具的品质保证书正本。</w:t>
      </w:r>
    </w:p>
    <w:p w14:paraId="754F94AA">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（5）制作期间的试验、检试报告。</w:t>
      </w:r>
    </w:p>
    <w:p w14:paraId="29B5EC02">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（6）出厂检试报告。设备安装、操作、维护手册或说明书，要求有8份。此手册或说明书不应少于如下内容：</w:t>
      </w:r>
    </w:p>
    <w:p w14:paraId="07444460">
      <w:pPr>
        <w:tabs>
          <w:tab w:val="left" w:pos="560"/>
          <w:tab w:val="left" w:pos="1400"/>
        </w:tabs>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a、电气接线图；</w:t>
      </w:r>
    </w:p>
    <w:p w14:paraId="07DAA628">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b、设备操作与维修手册。</w:t>
      </w:r>
    </w:p>
    <w:p w14:paraId="4A216D26">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（7）甲方认为有必要提供的其他技术资料。</w:t>
      </w:r>
    </w:p>
    <w:p w14:paraId="4CC0C6CE">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（8）以上所有资料必须为中文。</w:t>
      </w:r>
    </w:p>
    <w:p w14:paraId="264DDB1E">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资料：提交的技术资料要符合城建档案馆及其他有关部门的要求，要符合评杯要求。</w:t>
      </w:r>
    </w:p>
    <w:p w14:paraId="4C79F996">
      <w:pPr>
        <w:tabs>
          <w:tab w:val="left" w:pos="280"/>
        </w:tabs>
        <w:spacing w:line="360" w:lineRule="auto"/>
        <w:ind w:firstLine="460" w:firstLineChars="200"/>
        <w:rPr>
          <w:rFonts w:hint="eastAsia" w:ascii="宋体" w:hAnsi="宋体" w:cs="宋体"/>
          <w:b/>
          <w:bCs/>
          <w:color w:val="auto"/>
          <w:sz w:val="23"/>
          <w:szCs w:val="23"/>
          <w:highlight w:val="none"/>
          <w:lang w:val="en-US" w:eastAsia="zh-CN"/>
        </w:rPr>
      </w:pPr>
      <w:r>
        <w:rPr>
          <w:rFonts w:hint="eastAsia" w:ascii="宋体" w:hAnsi="宋体" w:cs="宋体"/>
          <w:b/>
          <w:bCs/>
          <w:color w:val="auto"/>
          <w:sz w:val="23"/>
          <w:szCs w:val="23"/>
          <w:highlight w:val="none"/>
        </w:rPr>
        <w:t>十、</w:t>
      </w:r>
      <w:r>
        <w:rPr>
          <w:rFonts w:hint="eastAsia" w:ascii="宋体" w:hAnsi="宋体" w:cs="宋体"/>
          <w:b/>
          <w:bCs/>
          <w:color w:val="auto"/>
          <w:sz w:val="23"/>
          <w:szCs w:val="23"/>
          <w:highlight w:val="none"/>
          <w:lang w:val="en-US" w:eastAsia="zh-CN"/>
        </w:rPr>
        <w:t>人员培训</w:t>
      </w:r>
    </w:p>
    <w:p w14:paraId="39671CF7">
      <w:pPr>
        <w:tabs>
          <w:tab w:val="left" w:pos="280"/>
        </w:tabs>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乙方免费对甲方的操作、维修人员在厂方或使用地进行技术培训。设备交货时乙方向甲方提供设备技术资料、图纸和甲方认为有必要提供的其他技术资料。</w:t>
      </w:r>
    </w:p>
    <w:p w14:paraId="4A32D767">
      <w:pPr>
        <w:tabs>
          <w:tab w:val="left" w:pos="280"/>
        </w:tabs>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乙方应针对项目系统中的不同操作角色对使用方的人员进行相应的培训，培训的目标是使使用方能熟练使用和维护该系统，培训具体形式应至少包括集中的基础理论、系统日常管理、运维等内容，培训至熟练使用。</w:t>
      </w:r>
    </w:p>
    <w:p w14:paraId="20D85A10">
      <w:pPr>
        <w:tabs>
          <w:tab w:val="left" w:pos="280"/>
        </w:tabs>
        <w:spacing w:line="360" w:lineRule="auto"/>
        <w:ind w:firstLine="460" w:firstLineChars="200"/>
        <w:rPr>
          <w:rFonts w:hint="eastAsia" w:ascii="宋体" w:hAnsi="宋体" w:cs="宋体"/>
          <w:color w:val="auto"/>
          <w:sz w:val="23"/>
          <w:szCs w:val="23"/>
          <w:highlight w:val="none"/>
        </w:rPr>
      </w:pPr>
      <w:r>
        <w:rPr>
          <w:rFonts w:hint="eastAsia" w:ascii="宋体" w:hAnsi="宋体" w:cs="宋体"/>
          <w:color w:val="auto"/>
          <w:sz w:val="23"/>
          <w:szCs w:val="23"/>
          <w:highlight w:val="none"/>
          <w:lang w:val="en-US" w:eastAsia="zh-CN"/>
        </w:rPr>
        <w:t>乙方必须为所有被培训人员提供培训用文字资料和讲义等相关用品。所有的资料必须是中文书写。</w:t>
      </w:r>
    </w:p>
    <w:p w14:paraId="41DD9982">
      <w:pPr>
        <w:tabs>
          <w:tab w:val="left" w:pos="280"/>
        </w:tabs>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十一、质量、技术标准</w:t>
      </w:r>
    </w:p>
    <w:p w14:paraId="6A853F99">
      <w:pPr>
        <w:tabs>
          <w:tab w:val="left" w:pos="280"/>
        </w:tabs>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设备的制造、安装、验收标准及技术规范，必须符合中国国家标准，或甲方认可的其他标准。乙方必须保证交货产品各项性能不得低于中国国家标准或甲方认可的其他标准，甲方随时有抽检及送检产品的权利，检验机构为政府法定检验机构。对于产品的任何技术及质量不合格，乙方承担检测费用，甲方有权拒收、部分拒收、退货、部分退货直至解除本合同，追究乙方违约责任，并要求乙方支付承担因此造成的所有损失。因此造成工期违约的，同时承担工期违约的违约责任。</w:t>
      </w:r>
    </w:p>
    <w:p w14:paraId="70621BC6">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2、未经甲方同意，乙方不得擅自更改或换用投标产品的零部件或配件，否则，乙方承担由此发生的费用，并赔偿甲方的有关损失，延误的供货日期不予顺延。</w:t>
      </w:r>
    </w:p>
    <w:p w14:paraId="1B4579C4">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 xml:space="preserve">十二、设备、材料检验 </w:t>
      </w:r>
    </w:p>
    <w:p w14:paraId="51ADC4B9">
      <w:pPr>
        <w:tabs>
          <w:tab w:val="left" w:pos="280"/>
        </w:tabs>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甲方认为有必要在设备制造过程中派人到生产厂监制，乙方应予以积极配合并对监制或预验收工作提供方便并承担相关费用。但甲方监制并不解除制造商对所有产品在制造质量上应负的全部责任，也不作为甲方的最终验收。</w:t>
      </w:r>
    </w:p>
    <w:p w14:paraId="6C1E51D7">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在第一批设备供货之前，甲方会同监理工程师等相关单位到乙方的设备制造厂进行样品审核，乙方应积极配合并对甲方的工作提供方便并承担相关费用。在检验结束后，乙方须提供必要的技术数据和图纸，并提交一份测试报告给甲方，但甲方的工厂检验并不解除制造商对所有产品在制造质量上应负的全部责任。</w:t>
      </w:r>
    </w:p>
    <w:p w14:paraId="6B484F4B">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所有的货物准备进场时须同时提供货物出厂合格证书、检测报告。国外生产的必须有合法的进货渠道证明，如海关报关单、原产地证明、商检证明等</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lang w:val="en-US" w:eastAsia="zh-CN"/>
        </w:rPr>
        <w:t>若存在特殊货物需第三方授权的，提供相关授权文件</w:t>
      </w:r>
      <w:r>
        <w:rPr>
          <w:rFonts w:hint="eastAsia" w:ascii="宋体" w:hAnsi="宋体" w:cs="宋体"/>
          <w:color w:val="auto"/>
          <w:sz w:val="23"/>
          <w:szCs w:val="23"/>
          <w:highlight w:val="none"/>
        </w:rPr>
        <w:t>。</w:t>
      </w:r>
    </w:p>
    <w:p w14:paraId="20F3730F">
      <w:pPr>
        <w:spacing w:line="360" w:lineRule="auto"/>
        <w:ind w:firstLine="42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14:paraId="1863A0E1">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rPr>
        <w:t>样品的报送与封存：需要乙方报送样品的材料或工程设备，样品的种类、名称、规格、数量要求：</w:t>
      </w:r>
      <w:bookmarkStart w:id="54" w:name="_Toc812"/>
      <w:bookmarkStart w:id="55" w:name="_Toc27309"/>
      <w:r>
        <w:rPr>
          <w:rFonts w:hint="eastAsia" w:ascii="宋体" w:hAnsi="宋体" w:cs="宋体"/>
          <w:color w:val="auto"/>
          <w:sz w:val="23"/>
          <w:szCs w:val="23"/>
          <w:highlight w:val="none"/>
          <w:u w:val="single"/>
          <w:lang w:val="en-US" w:eastAsia="zh-CN"/>
        </w:rPr>
        <w:t>以符合设计和规范要求为原则。a、一般材料由甲方、监理看样认可后自行采购；主要设备应由甲方和监理共同看样定货认可后采购。b 、所有材料必须有质保书和合格证，经认证许可，并符合施工图纸和规范要求，若材料质量不符合规定要求，乙方无条件退换并承担返工损失及工期、质量违约责任 。</w:t>
      </w:r>
    </w:p>
    <w:p w14:paraId="53B7F834">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十三、设备的安装、调试</w:t>
      </w:r>
      <w:bookmarkEnd w:id="54"/>
      <w:bookmarkEnd w:id="55"/>
    </w:p>
    <w:p w14:paraId="167178FE">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1、合同所订的货物到达甲方后，乙方应在收到甲方通知后2天内，及时派人前往设备交货地点对设备进行安装调试。</w:t>
      </w:r>
    </w:p>
    <w:p w14:paraId="406EE43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2、乙方人员在甲方进行指导安装及设备调试期间，所有费用由乙方负责。</w:t>
      </w:r>
    </w:p>
    <w:p w14:paraId="74D4749D">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3、乙方应在设备安装完毕后的5日内完成设备调试工作；调试完毕后须经过二个月的试运行。如因乙方责任而造成的延期，所有因安装延期而产生的费用由乙方负担并乙方应承担相应的违约责任。</w:t>
      </w:r>
    </w:p>
    <w:p w14:paraId="43A7F9C2">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安装完毕后，乙方应派遣有经验的工程技术人员进行设备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设备安装调试前一周提出需配合工作人员的工种、人数等计划书交与甲方，以便甲方提前作好准备，确保整个工程顺利进行。甲方组织相关专家进行验收，验收人员、会务等相关的一切费用，由乙方负责。</w:t>
      </w:r>
    </w:p>
    <w:p w14:paraId="3FC1C881">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十四、设备验收</w:t>
      </w:r>
    </w:p>
    <w:p w14:paraId="5FBF7F87">
      <w:pPr>
        <w:spacing w:line="360" w:lineRule="auto"/>
        <w:ind w:firstLine="460" w:firstLineChars="200"/>
        <w:rPr>
          <w:rFonts w:hint="eastAsia" w:ascii="宋体" w:hAnsi="宋体" w:cs="宋体"/>
          <w:color w:val="auto"/>
          <w:sz w:val="23"/>
          <w:szCs w:val="23"/>
          <w:highlight w:val="none"/>
          <w:lang w:val="en-US" w:eastAsia="zh-CN"/>
        </w:rPr>
      </w:pPr>
      <w:bookmarkStart w:id="56" w:name="_Toc20765"/>
      <w:bookmarkStart w:id="57" w:name="_Toc8150"/>
      <w:r>
        <w:rPr>
          <w:rFonts w:hint="eastAsia" w:ascii="宋体" w:hAnsi="宋体" w:cs="宋体"/>
          <w:color w:val="auto"/>
          <w:sz w:val="23"/>
          <w:szCs w:val="23"/>
          <w:highlight w:val="none"/>
          <w:lang w:val="en-US" w:eastAsia="zh-CN"/>
        </w:rPr>
        <w:t>（1）乙方应提供验收大纲和验收标准供甲方参考，经甲方、代建单位、全咨单位确认后，作为验收的依据。</w:t>
      </w:r>
    </w:p>
    <w:p w14:paraId="56FEE6C5">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（2）开箱检查：设备到达现场后，乙方派人到现场与甲方、代建单位、全咨单位一起开箱检查，设备的数量、规格、外观质量、其余资料（包括但不限于操作手册，设备参数等）需</w:t>
      </w:r>
      <w:r>
        <w:rPr>
          <w:rFonts w:hint="eastAsia" w:ascii="宋体" w:hAnsi="宋体" w:cs="宋体"/>
          <w:color w:val="auto"/>
          <w:sz w:val="23"/>
          <w:szCs w:val="23"/>
          <w:highlight w:val="none"/>
        </w:rPr>
        <w:t>符合合同约定、满足使用需求的关键环节</w:t>
      </w:r>
      <w:r>
        <w:rPr>
          <w:rFonts w:hint="eastAsia" w:ascii="宋体" w:hAnsi="宋体" w:cs="宋体"/>
          <w:color w:val="auto"/>
          <w:sz w:val="23"/>
          <w:szCs w:val="23"/>
          <w:highlight w:val="none"/>
          <w:lang w:val="en-US" w:eastAsia="zh-CN"/>
        </w:rPr>
        <w:t>并进行纸质记录。</w:t>
      </w:r>
    </w:p>
    <w:p w14:paraId="27160F5F">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（3）单项验收：</w:t>
      </w:r>
    </w:p>
    <w:p w14:paraId="7992F3BE">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rPr>
        <w:t>在设备安装调试完成后、系统正式交付前，对</w:t>
      </w:r>
      <w:r>
        <w:rPr>
          <w:rFonts w:hint="eastAsia" w:ascii="宋体" w:hAnsi="宋体" w:cs="宋体"/>
          <w:color w:val="auto"/>
          <w:sz w:val="23"/>
          <w:szCs w:val="23"/>
          <w:highlight w:val="none"/>
          <w:lang w:val="en-US" w:eastAsia="zh-CN"/>
        </w:rPr>
        <w:t>设备及</w:t>
      </w:r>
      <w:r>
        <w:rPr>
          <w:rFonts w:hint="eastAsia" w:ascii="宋体" w:hAnsi="宋体" w:cs="宋体"/>
          <w:color w:val="auto"/>
          <w:sz w:val="23"/>
          <w:szCs w:val="23"/>
          <w:highlight w:val="none"/>
        </w:rPr>
        <w:t>系统功能完整性、性能达标性、运行稳定性及文档规范性进行综合性</w:t>
      </w:r>
      <w:r>
        <w:rPr>
          <w:rFonts w:hint="eastAsia" w:ascii="宋体" w:hAnsi="宋体" w:cs="宋体"/>
          <w:color w:val="auto"/>
          <w:sz w:val="23"/>
          <w:szCs w:val="23"/>
          <w:highlight w:val="none"/>
          <w:lang w:val="en-US" w:eastAsia="zh-CN"/>
        </w:rPr>
        <w:t>初步检收。乙方负责本合同项目所在地政府主管部门（卫生管理部门等）的备案以及办理所需相关手续(如有)；本项目必须满足消防要求，最终应配合甲方通过消防验收。如需整改，乙方必须按照消防部门要求整改并通过验收。</w:t>
      </w:r>
    </w:p>
    <w:p w14:paraId="681FF69C">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设备在安装、调试结束后，试运行阶段满足甲方需求，甲方会同当地有关部门对设备共同进行验收，乙方自行承担第三方检验费用（如有，第三方检测单位须甲方及相关验收主管部门认可）。</w:t>
      </w:r>
    </w:p>
    <w:p w14:paraId="5D776511">
      <w:pPr>
        <w:spacing w:line="360" w:lineRule="auto"/>
        <w:ind w:firstLine="460" w:firstLineChars="200"/>
        <w:rPr>
          <w:rFonts w:hint="eastAsia" w:ascii="宋体" w:hAnsi="宋体" w:cs="宋体"/>
          <w:color w:val="auto"/>
          <w:sz w:val="23"/>
          <w:szCs w:val="23"/>
          <w:highlight w:val="none"/>
          <w:lang w:eastAsia="zh-CN"/>
        </w:rPr>
      </w:pPr>
      <w:r>
        <w:rPr>
          <w:rFonts w:hint="eastAsia" w:ascii="宋体" w:hAnsi="宋体" w:cs="宋体"/>
          <w:color w:val="auto"/>
          <w:sz w:val="23"/>
          <w:szCs w:val="23"/>
          <w:highlight w:val="none"/>
          <w:lang w:eastAsia="zh-CN"/>
        </w:rPr>
        <w:t>注：乙方应在设备安装完毕后的5日内完成设备调试工作；调试完毕后须经过三个月的试运行。</w:t>
      </w:r>
      <w:r>
        <w:rPr>
          <w:rFonts w:hint="eastAsia" w:ascii="宋体" w:hAnsi="宋体" w:cs="宋体"/>
          <w:color w:val="auto"/>
          <w:sz w:val="23"/>
          <w:szCs w:val="23"/>
          <w:highlight w:val="none"/>
          <w:lang w:val="en-US" w:eastAsia="zh-CN"/>
        </w:rPr>
        <w:t>试运行阶段需保证不少于1名的专业维保人员进行24小时驻场</w:t>
      </w:r>
      <w:r>
        <w:rPr>
          <w:rFonts w:hint="eastAsia" w:ascii="宋体" w:hAnsi="宋体" w:cs="宋体"/>
          <w:color w:val="auto"/>
          <w:sz w:val="23"/>
          <w:szCs w:val="23"/>
          <w:highlight w:val="none"/>
          <w:lang w:eastAsia="zh-CN"/>
        </w:rPr>
        <w:t>。</w:t>
      </w:r>
    </w:p>
    <w:p w14:paraId="622ACFD8">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（4）总包整体竣工验收</w:t>
      </w:r>
    </w:p>
    <w:p w14:paraId="5B235017">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乙方配合总包完成工程整体竣工验收，及时根据甲方及总包要求提供相关技术经济资料。</w:t>
      </w:r>
    </w:p>
    <w:p w14:paraId="1E18769F">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十五、质保及维修</w:t>
      </w:r>
      <w:bookmarkEnd w:id="56"/>
      <w:bookmarkEnd w:id="57"/>
    </w:p>
    <w:p w14:paraId="4DDDB45F">
      <w:pPr>
        <w:keepNext w:val="0"/>
        <w:keepLines w:val="0"/>
        <w:pageBreakBefore w:val="0"/>
        <w:widowControl w:val="0"/>
        <w:kinsoku/>
        <w:wordWrap/>
        <w:overflowPunct/>
        <w:topLinePunct w:val="0"/>
        <w:autoSpaceDE/>
        <w:autoSpaceDN/>
        <w:bidi w:val="0"/>
        <w:adjustRightInd/>
        <w:snapToGrid w:val="0"/>
        <w:spacing w:line="312" w:lineRule="auto"/>
        <w:ind w:firstLine="462"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（1）本项目质保期不少于3年</w:t>
      </w:r>
      <w:r>
        <w:rPr>
          <w:rFonts w:hint="eastAsia" w:ascii="宋体" w:hAnsi="宋体" w:eastAsia="宋体" w:cs="宋体"/>
          <w:b/>
          <w:bCs/>
          <w:strike w:val="0"/>
          <w:snapToGrid w:val="0"/>
          <w:color w:val="auto"/>
          <w:kern w:val="0"/>
          <w:sz w:val="23"/>
          <w:szCs w:val="23"/>
          <w:highlight w:val="none"/>
          <w:lang w:val="en-US" w:eastAsia="zh-CN" w:bidi="ar"/>
        </w:rPr>
        <w:t>（提供厂家及供应商盖章承诺）</w:t>
      </w:r>
      <w:r>
        <w:rPr>
          <w:rFonts w:hint="eastAsia" w:ascii="宋体" w:hAnsi="宋体" w:eastAsia="宋体" w:cs="宋体"/>
          <w:b/>
          <w:bCs/>
          <w:color w:val="auto"/>
          <w:sz w:val="23"/>
          <w:szCs w:val="23"/>
          <w:highlight w:val="none"/>
          <w:lang w:val="en-US" w:eastAsia="zh-CN"/>
        </w:rPr>
        <w:t>，</w:t>
      </w:r>
      <w:r>
        <w:rPr>
          <w:rFonts w:hint="eastAsia" w:ascii="宋体" w:hAnsi="宋体" w:eastAsia="宋体" w:cs="宋体"/>
          <w:color w:val="auto"/>
          <w:sz w:val="23"/>
          <w:szCs w:val="23"/>
          <w:highlight w:val="none"/>
          <w:lang w:val="en-US" w:eastAsia="zh-CN"/>
        </w:rPr>
        <w:t>项目质保期为总包整体验收合格且试运行3个月并交付使用之日起</w:t>
      </w:r>
      <w:r>
        <w:rPr>
          <w:rFonts w:hint="eastAsia" w:ascii="宋体" w:hAnsi="宋体" w:eastAsia="宋体" w:cs="宋体"/>
          <w:color w:val="auto"/>
          <w:sz w:val="23"/>
          <w:szCs w:val="23"/>
          <w:highlight w:val="none"/>
          <w:u w:val="single"/>
          <w:lang w:val="en-US" w:eastAsia="zh-CN"/>
        </w:rPr>
        <w:t>（根据</w:t>
      </w:r>
      <w:r>
        <w:rPr>
          <w:rFonts w:hint="eastAsia" w:ascii="宋体" w:hAnsi="宋体" w:cs="宋体"/>
          <w:color w:val="auto"/>
          <w:sz w:val="23"/>
          <w:szCs w:val="23"/>
          <w:highlight w:val="none"/>
          <w:u w:val="single"/>
          <w:lang w:val="en-US" w:eastAsia="zh-CN"/>
        </w:rPr>
        <w:t>乙方</w:t>
      </w:r>
      <w:r>
        <w:rPr>
          <w:rFonts w:hint="eastAsia" w:ascii="宋体" w:hAnsi="宋体" w:eastAsia="宋体" w:cs="宋体"/>
          <w:color w:val="auto"/>
          <w:sz w:val="23"/>
          <w:szCs w:val="23"/>
          <w:highlight w:val="none"/>
          <w:u w:val="single"/>
          <w:lang w:val="en-US" w:eastAsia="zh-CN"/>
        </w:rPr>
        <w:t>投标时的承诺在合同签订时明确）</w:t>
      </w:r>
      <w:r>
        <w:rPr>
          <w:rFonts w:hint="eastAsia" w:ascii="宋体" w:hAnsi="宋体" w:eastAsia="宋体" w:cs="宋体"/>
          <w:color w:val="auto"/>
          <w:sz w:val="23"/>
          <w:szCs w:val="23"/>
          <w:highlight w:val="none"/>
          <w:lang w:val="en-US" w:eastAsia="zh-CN"/>
        </w:rPr>
        <w:t>个月。质保期内如无问题，则在质保期满时，由</w:t>
      </w:r>
      <w:r>
        <w:rPr>
          <w:rFonts w:hint="eastAsia" w:ascii="宋体" w:hAnsi="宋体" w:cs="宋体"/>
          <w:strike w:val="0"/>
          <w:dstrike w:val="0"/>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提交质保期验收</w:t>
      </w:r>
      <w:r>
        <w:rPr>
          <w:rFonts w:hint="eastAsia" w:ascii="宋体" w:hAnsi="宋体" w:cs="宋体"/>
          <w:strike w:val="0"/>
          <w:dstrike w:val="0"/>
          <w:color w:val="auto"/>
          <w:sz w:val="23"/>
          <w:szCs w:val="23"/>
          <w:highlight w:val="none"/>
          <w:lang w:val="en-US" w:eastAsia="zh-CN"/>
        </w:rPr>
        <w:t>申请</w:t>
      </w:r>
      <w:r>
        <w:rPr>
          <w:rFonts w:hint="eastAsia" w:ascii="宋体" w:hAnsi="宋体" w:eastAsia="宋体" w:cs="宋体"/>
          <w:color w:val="auto"/>
          <w:sz w:val="23"/>
          <w:szCs w:val="23"/>
          <w:highlight w:val="none"/>
          <w:lang w:val="en-US" w:eastAsia="zh-CN"/>
        </w:rPr>
        <w:t>，验收由</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签字认可。</w:t>
      </w:r>
    </w:p>
    <w:p w14:paraId="3395B99B">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（2）在项目质保期内，因设备本身的缺陷导致各种故障，</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应</w:t>
      </w:r>
      <w:r>
        <w:rPr>
          <w:rFonts w:hint="eastAsia" w:ascii="宋体" w:hAnsi="宋体" w:cs="宋体"/>
          <w:color w:val="auto"/>
          <w:sz w:val="23"/>
          <w:szCs w:val="23"/>
          <w:highlight w:val="none"/>
          <w:lang w:val="en-US" w:eastAsia="zh-CN"/>
        </w:rPr>
        <w:t>负责</w:t>
      </w:r>
      <w:r>
        <w:rPr>
          <w:rFonts w:hint="eastAsia" w:ascii="宋体" w:hAnsi="宋体" w:eastAsia="宋体" w:cs="宋体"/>
          <w:color w:val="auto"/>
          <w:sz w:val="23"/>
          <w:szCs w:val="23"/>
          <w:highlight w:val="none"/>
          <w:lang w:val="en-US" w:eastAsia="zh-CN"/>
        </w:rPr>
        <w:t>设备维修、提供技术服务，若无法维修的则负责免费更换产品，更换后的产品的质量保证期为更换后的产品使用之日起至少</w:t>
      </w:r>
      <w:r>
        <w:rPr>
          <w:rFonts w:hint="eastAsia" w:ascii="宋体" w:hAnsi="宋体" w:eastAsia="宋体" w:cs="宋体"/>
          <w:color w:val="auto"/>
          <w:sz w:val="23"/>
          <w:szCs w:val="23"/>
          <w:highlight w:val="none"/>
          <w:u w:val="single"/>
          <w:lang w:val="en-US" w:eastAsia="zh-CN"/>
        </w:rPr>
        <w:t xml:space="preserve"> （根据</w:t>
      </w:r>
      <w:r>
        <w:rPr>
          <w:rFonts w:hint="eastAsia" w:ascii="宋体" w:hAnsi="宋体" w:cs="宋体"/>
          <w:color w:val="auto"/>
          <w:sz w:val="23"/>
          <w:szCs w:val="23"/>
          <w:highlight w:val="none"/>
          <w:u w:val="single"/>
          <w:lang w:val="en-US" w:eastAsia="zh-CN"/>
        </w:rPr>
        <w:t>乙方</w:t>
      </w:r>
      <w:r>
        <w:rPr>
          <w:rFonts w:hint="eastAsia" w:ascii="宋体" w:hAnsi="宋体" w:eastAsia="宋体" w:cs="宋体"/>
          <w:color w:val="auto"/>
          <w:sz w:val="23"/>
          <w:szCs w:val="23"/>
          <w:highlight w:val="none"/>
          <w:u w:val="single"/>
          <w:lang w:val="en-US" w:eastAsia="zh-CN"/>
        </w:rPr>
        <w:t xml:space="preserve">投标时的承诺在合同签订时明确）  </w:t>
      </w:r>
      <w:r>
        <w:rPr>
          <w:rFonts w:hint="eastAsia" w:ascii="宋体" w:hAnsi="宋体" w:eastAsia="宋体" w:cs="宋体"/>
          <w:color w:val="auto"/>
          <w:sz w:val="23"/>
          <w:szCs w:val="23"/>
          <w:highlight w:val="none"/>
          <w:lang w:val="en-US" w:eastAsia="zh-CN"/>
        </w:rPr>
        <w:t>个月。</w:t>
      </w:r>
    </w:p>
    <w:p w14:paraId="7CABCE22">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（3）如设备在质保期后发生故障，</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在收到</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的书面维修通知后，应即时给予响应。在质保期内的工作应包括对所有设备每月至少1次的常规检查、调整和润滑。</w:t>
      </w:r>
    </w:p>
    <w:p w14:paraId="42921776">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（4）</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在投标文件中所承诺的辅材、配件价格及保修期外的保修年费及服务方案做为合同的一部分。</w:t>
      </w:r>
    </w:p>
    <w:p w14:paraId="67676E0D">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eastAsia="zh-CN"/>
        </w:rPr>
        <w:t>（</w:t>
      </w:r>
      <w:r>
        <w:rPr>
          <w:rFonts w:hint="eastAsia" w:ascii="宋体" w:hAnsi="宋体" w:cs="宋体"/>
          <w:color w:val="auto"/>
          <w:sz w:val="23"/>
          <w:szCs w:val="23"/>
          <w:highlight w:val="none"/>
          <w:lang w:val="en-US" w:eastAsia="zh-CN"/>
        </w:rPr>
        <w:t>5</w:t>
      </w:r>
      <w:r>
        <w:rPr>
          <w:rFonts w:hint="eastAsia" w:ascii="宋体" w:hAnsi="宋体" w:eastAsia="宋体" w:cs="宋体"/>
          <w:color w:val="auto"/>
          <w:sz w:val="23"/>
          <w:szCs w:val="23"/>
          <w:highlight w:val="none"/>
          <w:lang w:eastAsia="zh-CN"/>
        </w:rPr>
        <w:t>）质量保证期内，</w:t>
      </w:r>
      <w:r>
        <w:rPr>
          <w:rFonts w:hint="eastAsia" w:ascii="宋体" w:hAnsi="宋体" w:cs="宋体"/>
          <w:color w:val="auto"/>
          <w:sz w:val="23"/>
          <w:szCs w:val="23"/>
          <w:highlight w:val="none"/>
          <w:lang w:eastAsia="zh-CN"/>
        </w:rPr>
        <w:t>乙方</w:t>
      </w:r>
      <w:r>
        <w:rPr>
          <w:rFonts w:hint="eastAsia" w:ascii="宋体" w:hAnsi="宋体" w:eastAsia="宋体" w:cs="宋体"/>
          <w:color w:val="auto"/>
          <w:sz w:val="23"/>
          <w:szCs w:val="23"/>
          <w:highlight w:val="none"/>
          <w:lang w:eastAsia="zh-CN"/>
        </w:rPr>
        <w:t>需提供对系统软件的免费升级服务，同时不得设置升级障碍，必须对其他系统软件开</w:t>
      </w:r>
      <w:r>
        <w:rPr>
          <w:rFonts w:hint="eastAsia" w:ascii="宋体" w:hAnsi="宋体" w:cs="宋体"/>
          <w:color w:val="auto"/>
          <w:sz w:val="23"/>
          <w:szCs w:val="23"/>
          <w:highlight w:val="none"/>
          <w:lang w:val="en-US" w:eastAsia="zh-CN"/>
        </w:rPr>
        <w:t>放</w:t>
      </w:r>
      <w:r>
        <w:rPr>
          <w:rFonts w:hint="eastAsia" w:ascii="宋体" w:hAnsi="宋体" w:eastAsia="宋体" w:cs="宋体"/>
          <w:color w:val="auto"/>
          <w:sz w:val="23"/>
          <w:szCs w:val="23"/>
          <w:highlight w:val="none"/>
          <w:lang w:eastAsia="zh-CN"/>
        </w:rPr>
        <w:t>端口。质量保证期满后，</w:t>
      </w:r>
      <w:r>
        <w:rPr>
          <w:rFonts w:hint="eastAsia" w:ascii="宋体" w:hAnsi="宋体" w:cs="宋体"/>
          <w:color w:val="auto"/>
          <w:sz w:val="23"/>
          <w:szCs w:val="23"/>
          <w:highlight w:val="none"/>
          <w:lang w:eastAsia="zh-CN"/>
        </w:rPr>
        <w:t>乙方</w:t>
      </w:r>
      <w:r>
        <w:rPr>
          <w:rFonts w:hint="eastAsia" w:ascii="宋体" w:hAnsi="宋体" w:eastAsia="宋体" w:cs="宋体"/>
          <w:color w:val="auto"/>
          <w:sz w:val="23"/>
          <w:szCs w:val="23"/>
          <w:highlight w:val="none"/>
          <w:lang w:eastAsia="zh-CN"/>
        </w:rPr>
        <w:t>有义务配合</w:t>
      </w:r>
      <w:r>
        <w:rPr>
          <w:rFonts w:hint="eastAsia" w:ascii="宋体" w:hAnsi="宋体" w:cs="宋体"/>
          <w:color w:val="auto"/>
          <w:sz w:val="23"/>
          <w:szCs w:val="23"/>
          <w:highlight w:val="none"/>
          <w:lang w:eastAsia="zh-CN"/>
        </w:rPr>
        <w:t>甲方</w:t>
      </w:r>
      <w:r>
        <w:rPr>
          <w:rFonts w:hint="eastAsia" w:ascii="宋体" w:hAnsi="宋体" w:eastAsia="宋体" w:cs="宋体"/>
          <w:color w:val="auto"/>
          <w:sz w:val="23"/>
          <w:szCs w:val="23"/>
          <w:highlight w:val="none"/>
          <w:lang w:eastAsia="zh-CN"/>
        </w:rPr>
        <w:t>对设备设施</w:t>
      </w:r>
      <w:r>
        <w:rPr>
          <w:rFonts w:hint="eastAsia" w:ascii="宋体" w:hAnsi="宋体" w:cs="宋体"/>
          <w:strike w:val="0"/>
          <w:dstrike w:val="0"/>
          <w:color w:val="auto"/>
          <w:sz w:val="23"/>
          <w:szCs w:val="23"/>
          <w:highlight w:val="none"/>
          <w:lang w:val="en-US" w:eastAsia="zh-CN"/>
        </w:rPr>
        <w:t>进行</w:t>
      </w:r>
      <w:r>
        <w:rPr>
          <w:rFonts w:hint="eastAsia" w:ascii="宋体" w:hAnsi="宋体" w:eastAsia="宋体" w:cs="宋体"/>
          <w:color w:val="auto"/>
          <w:sz w:val="23"/>
          <w:szCs w:val="23"/>
          <w:highlight w:val="none"/>
          <w:lang w:eastAsia="zh-CN"/>
        </w:rPr>
        <w:t>改造升级。</w:t>
      </w:r>
    </w:p>
    <w:p w14:paraId="2230543E">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w:t>
      </w:r>
      <w:r>
        <w:rPr>
          <w:rFonts w:hint="eastAsia" w:ascii="宋体" w:hAnsi="宋体" w:cs="宋体"/>
          <w:color w:val="auto"/>
          <w:sz w:val="23"/>
          <w:szCs w:val="23"/>
          <w:highlight w:val="none"/>
          <w:lang w:val="en-US" w:eastAsia="zh-CN"/>
        </w:rPr>
        <w:t>6</w:t>
      </w:r>
      <w:r>
        <w:rPr>
          <w:rFonts w:hint="eastAsia" w:ascii="宋体" w:hAnsi="宋体" w:eastAsia="宋体" w:cs="宋体"/>
          <w:color w:val="auto"/>
          <w:sz w:val="23"/>
          <w:szCs w:val="23"/>
          <w:highlight w:val="none"/>
          <w:lang w:val="en-US" w:eastAsia="zh-CN"/>
        </w:rPr>
        <w:t>）</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应按法律、行政法规或国家关于设备质量保修的有关规定，对交付</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使用的设备在质量保修期内承担质量保修责任。</w:t>
      </w:r>
    </w:p>
    <w:p w14:paraId="7B238B59">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w:t>
      </w:r>
      <w:r>
        <w:rPr>
          <w:rFonts w:hint="eastAsia" w:ascii="宋体" w:hAnsi="宋体" w:cs="宋体"/>
          <w:color w:val="auto"/>
          <w:sz w:val="23"/>
          <w:szCs w:val="23"/>
          <w:highlight w:val="none"/>
          <w:lang w:val="en-US" w:eastAsia="zh-CN"/>
        </w:rPr>
        <w:t>7</w:t>
      </w:r>
      <w:r>
        <w:rPr>
          <w:rFonts w:hint="eastAsia" w:ascii="宋体" w:hAnsi="宋体" w:eastAsia="宋体" w:cs="宋体"/>
          <w:color w:val="auto"/>
          <w:sz w:val="23"/>
          <w:szCs w:val="23"/>
          <w:highlight w:val="none"/>
          <w:lang w:val="en-US" w:eastAsia="zh-CN"/>
        </w:rPr>
        <w:t>）无论在质量保证期内还是质量保证期满后，一旦设备发生故障，而</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无法自行排除时，在接到</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通知后，</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须在</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书面通知后24小时内赶到现场维修并及时提供备品、备件，并于4小时内完成维修。</w:t>
      </w:r>
    </w:p>
    <w:p w14:paraId="5B5FDA52">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w:t>
      </w:r>
      <w:r>
        <w:rPr>
          <w:rFonts w:hint="eastAsia" w:ascii="宋体" w:hAnsi="宋体" w:cs="宋体"/>
          <w:color w:val="auto"/>
          <w:sz w:val="23"/>
          <w:szCs w:val="23"/>
          <w:highlight w:val="none"/>
          <w:lang w:val="en-US" w:eastAsia="zh-CN"/>
        </w:rPr>
        <w:t>8</w:t>
      </w:r>
      <w:r>
        <w:rPr>
          <w:rFonts w:hint="eastAsia" w:ascii="宋体" w:hAnsi="宋体" w:eastAsia="宋体" w:cs="宋体"/>
          <w:color w:val="auto"/>
          <w:sz w:val="23"/>
          <w:szCs w:val="23"/>
          <w:highlight w:val="none"/>
          <w:lang w:val="en-US" w:eastAsia="zh-CN"/>
        </w:rPr>
        <w:t>）</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承诺，无论属</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或其他方责任，在接到通知后，均遵守上述时间性要求不问理由地进行维修，并在维修过程中与</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及管理方共同取证，以判断责任原因，不属</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责任的，由责任方向</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支付材料及人工费用。</w:t>
      </w:r>
    </w:p>
    <w:p w14:paraId="1201448C">
      <w:pPr>
        <w:spacing w:line="360" w:lineRule="auto"/>
        <w:ind w:firstLine="460" w:firstLineChars="200"/>
        <w:rPr>
          <w:rFonts w:hint="eastAsia" w:ascii="宋体" w:hAnsi="宋体" w:eastAsia="宋体" w:cs="宋体"/>
          <w:b/>
          <w:bCs/>
          <w:color w:val="auto"/>
          <w:kern w:val="2"/>
          <w:sz w:val="23"/>
          <w:szCs w:val="23"/>
          <w:highlight w:val="none"/>
          <w:lang w:val="en-US" w:eastAsia="zh-CN" w:bidi="ar-SA"/>
        </w:rPr>
      </w:pPr>
      <w:r>
        <w:rPr>
          <w:rFonts w:hint="eastAsia" w:ascii="宋体" w:hAnsi="宋体" w:eastAsia="宋体" w:cs="宋体"/>
          <w:color w:val="auto"/>
          <w:sz w:val="23"/>
          <w:szCs w:val="23"/>
          <w:highlight w:val="none"/>
          <w:lang w:val="en-US" w:eastAsia="zh-CN"/>
        </w:rPr>
        <w:t>（9）</w:t>
      </w:r>
      <w:r>
        <w:rPr>
          <w:rFonts w:hint="eastAsia" w:ascii="宋体" w:hAnsi="宋体" w:eastAsia="宋体" w:cs="宋体"/>
          <w:b/>
          <w:bCs/>
          <w:color w:val="auto"/>
          <w:kern w:val="2"/>
          <w:sz w:val="23"/>
          <w:szCs w:val="23"/>
          <w:highlight w:val="none"/>
          <w:lang w:val="en-US" w:eastAsia="zh-CN" w:bidi="ar-SA"/>
        </w:rPr>
        <w:t>零配件保持供应8年以上。</w:t>
      </w:r>
    </w:p>
    <w:p w14:paraId="7FF3AC96">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十六、安全要求：</w:t>
      </w:r>
    </w:p>
    <w:p w14:paraId="78BC1FB2">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rPr>
        <w:t>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r>
        <w:rPr>
          <w:rFonts w:hint="eastAsia" w:ascii="宋体" w:hAnsi="宋体" w:cs="宋体"/>
          <w:color w:val="auto"/>
          <w:sz w:val="23"/>
          <w:szCs w:val="23"/>
          <w:highlight w:val="none"/>
          <w:lang w:val="en-US" w:eastAsia="zh-CN"/>
        </w:rPr>
        <w:t>，招标人、代建单位因此担责的，有权行使追偿。</w:t>
      </w:r>
    </w:p>
    <w:p w14:paraId="3E4AD3F3">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2、乙方在实施过程中应采取必要的安全防护和消防措施，保障作业人员及出入施工现场人员的安全。乙方应为施工人员办理所需的工伤等保险，费用由乙方自行负责。</w:t>
      </w:r>
    </w:p>
    <w:p w14:paraId="51636E4C">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3、乙方在实施过程中如发生质量事故责任全部自行承担，及时报告甲方。做到及时查清事故原因，分清事故责任，并采取有效的补救措施。一般质量事故的处理方案应送甲方共同研究实施；重大质量事故的处理按国家相关条例执行。</w:t>
      </w:r>
    </w:p>
    <w:p w14:paraId="4EE54A22">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4、本项目实施过程中出现的作业人员或因承包人原因引起的第三方人员、财务损失，造成的责任和因此发生的费用，由乙方承担。</w:t>
      </w:r>
    </w:p>
    <w:p w14:paraId="3B28E941">
      <w:pPr>
        <w:spacing w:line="360" w:lineRule="auto"/>
        <w:ind w:firstLine="460" w:firstLineChars="200"/>
        <w:rPr>
          <w:rFonts w:hint="eastAsia" w:ascii="宋体" w:hAnsi="宋体" w:cs="宋体"/>
          <w:color w:val="auto"/>
          <w:sz w:val="23"/>
          <w:szCs w:val="23"/>
          <w:highlight w:val="none"/>
        </w:rPr>
      </w:pPr>
      <w:r>
        <w:rPr>
          <w:rFonts w:hint="eastAsia" w:ascii="宋体" w:hAnsi="宋体" w:cs="宋体"/>
          <w:color w:val="auto"/>
          <w:sz w:val="23"/>
          <w:szCs w:val="23"/>
          <w:highlight w:val="none"/>
        </w:rPr>
        <w:t>5、本项目实施过程中，由乙方引起的管线、线路等损坏由乙方承担相应的责任和损失。</w:t>
      </w:r>
    </w:p>
    <w:p w14:paraId="3902A24D">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6、中标后，乙方须与总包单位、建设单位签订《安全协议》。</w:t>
      </w:r>
    </w:p>
    <w:p w14:paraId="40A9467B">
      <w:pPr>
        <w:spacing w:line="360" w:lineRule="auto"/>
        <w:ind w:firstLine="460" w:firstLineChars="200"/>
        <w:rPr>
          <w:rFonts w:ascii="宋体" w:hAnsi="宋体" w:cs="宋体"/>
          <w:b/>
          <w:bCs/>
          <w:color w:val="auto"/>
          <w:sz w:val="23"/>
          <w:szCs w:val="23"/>
          <w:highlight w:val="none"/>
        </w:rPr>
      </w:pPr>
      <w:bookmarkStart w:id="58" w:name="_Toc10358"/>
      <w:bookmarkStart w:id="59" w:name="_Toc6009"/>
      <w:r>
        <w:rPr>
          <w:rFonts w:hint="eastAsia" w:ascii="宋体" w:hAnsi="宋体" w:cs="宋体"/>
          <w:b/>
          <w:bCs/>
          <w:color w:val="auto"/>
          <w:sz w:val="23"/>
          <w:szCs w:val="23"/>
          <w:highlight w:val="none"/>
        </w:rPr>
        <w:t>十七、违约责任</w:t>
      </w:r>
      <w:bookmarkEnd w:id="58"/>
      <w:bookmarkEnd w:id="59"/>
    </w:p>
    <w:p w14:paraId="713CB8CA">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1、乙方未按合同约定工期节点的（</w:t>
      </w:r>
      <w:r>
        <w:rPr>
          <w:rFonts w:hint="eastAsia" w:ascii="宋体" w:hAnsi="宋体" w:cs="宋体"/>
          <w:b w:val="0"/>
          <w:bCs/>
          <w:color w:val="auto"/>
          <w:sz w:val="23"/>
          <w:szCs w:val="23"/>
          <w:highlight w:val="none"/>
          <w:lang w:val="en-US" w:eastAsia="zh-CN"/>
        </w:rPr>
        <w:t>本项目完工并通过验收后</w:t>
      </w:r>
      <w:r>
        <w:rPr>
          <w:rFonts w:hint="eastAsia" w:ascii="宋体" w:hAnsi="宋体" w:cs="宋体"/>
          <w:color w:val="auto"/>
          <w:sz w:val="23"/>
          <w:szCs w:val="23"/>
          <w:highlight w:val="none"/>
          <w:lang w:val="en-US" w:eastAsia="zh-CN"/>
        </w:rPr>
        <w:t>），每逾期一天，乙方按2000元/天向甲方支付违约金；逾期超过30天的，乙方按4000元/天向甲方支付违约金直至扣除合同价款的3%且甲方有权解除合同，乙方承担所有的违约责任并承担由此造成的甲方的全部损失。乙方总工期超过本合同约定期限的，按照逾期交货承担违约责任。以上违约金经累计后最终在结算时扣除。</w:t>
      </w:r>
    </w:p>
    <w:p w14:paraId="3BA27D30">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2、乙方交付的货品不能满足招标文件及合同主要技术标准及质量要求的，应按照要求更换、重做、修理直至按照甲方的要求退货并每发生一次，乙方应向甲方支付违约金2000元，累计发生3次（含）以上的，甲方有权解除本合同、甲方有权没收全部的履约保证金，乙方承担全部的违约责任并乙方应承担因此造成的甲方的所有损失。以上违约金经累计后最终在结算时扣除。</w:t>
      </w:r>
    </w:p>
    <w:p w14:paraId="01AD636F">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3、乙方接受甲方对供货期调整的要求，具体方式为：甲方提前十五天发出有甲方代表签发的书面通知，乙方进行书面确认后即可执行，对此甲方不承担违约责任。</w:t>
      </w:r>
    </w:p>
    <w:p w14:paraId="66E92102">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4、如果乙方对本合同的执行敷衍了事，或忽视履行本合同约定的乙方任何工作及责任，而且从甲方发出书面要求其改正之日起30日内仍未采取有效措施并体现效果的，甲方有权解除本合同，并书面通知乙方，由此造成的经济损失，甲方有权在给乙方的任何款项中先行提取补偿，不足部分乙方仍应予以赔偿。</w:t>
      </w:r>
    </w:p>
    <w:p w14:paraId="1D04CC22">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5、因乙方原因解除本合同时，乙方应向甲方支付签约合同价款20%的违约金，且甲方有权决定是否接受属于乙方在现场的一切设施、设备、材料使用于本工程，并乙方应承担由此造成的甲方的全部损失。以上违约金经累计后最终在结算时扣除。</w:t>
      </w:r>
    </w:p>
    <w:p w14:paraId="7EA7A0BC">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6、因乙方原因延误工期给甲方造成损失的（包括但不限于直接损失与间接损失）均由乙方承担相应责任及费用，甲方有权从乙方工程款中扣除相应费用，不足部分甲方有权追偿。</w:t>
      </w:r>
    </w:p>
    <w:p w14:paraId="3C701E3F">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7、因乙方原因造成本项目工程单项或整体验收不合格或验收标准的，甲方有权没收乙方缴纳的履约保证金，同时由此产生的一切责任与费用均由乙方承担，甲方有权在乙方工程款中扣除相应费用，不足部分甲方有权追偿。</w:t>
      </w:r>
    </w:p>
    <w:p w14:paraId="1ABE9B3D">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pPr>
      <w:r>
        <w:rPr>
          <w:rFonts w:hint="eastAsia" w:ascii="宋体" w:hAnsi="宋体" w:eastAsia="宋体" w:cs="宋体"/>
          <w:color w:val="auto"/>
          <w:sz w:val="24"/>
          <w:szCs w:val="24"/>
          <w:highlight w:val="none"/>
          <w:lang w:val="en-US" w:eastAsia="zh-CN"/>
        </w:rPr>
        <w:t>8、乙方位未经招标人、代建单位同意擅自将项目转包、分包或部分分包给第三方，甲方有权解除合同，具体按照本条第（5）项执行。</w:t>
      </w:r>
    </w:p>
    <w:p w14:paraId="778863AA">
      <w:pPr>
        <w:spacing w:line="360" w:lineRule="auto"/>
        <w:ind w:firstLine="460" w:firstLineChars="200"/>
        <w:rPr>
          <w:rFonts w:ascii="宋体" w:hAnsi="宋体" w:cs="宋体"/>
          <w:b/>
          <w:bCs/>
          <w:color w:val="auto"/>
          <w:sz w:val="23"/>
          <w:szCs w:val="23"/>
          <w:highlight w:val="none"/>
        </w:rPr>
      </w:pPr>
      <w:bookmarkStart w:id="60" w:name="_Toc18664"/>
      <w:bookmarkStart w:id="61" w:name="_Toc1229"/>
      <w:r>
        <w:rPr>
          <w:rFonts w:hint="eastAsia" w:ascii="宋体" w:hAnsi="宋体" w:cs="宋体"/>
          <w:b/>
          <w:bCs/>
          <w:color w:val="auto"/>
          <w:sz w:val="23"/>
          <w:szCs w:val="23"/>
          <w:highlight w:val="none"/>
        </w:rPr>
        <w:t>十八、</w:t>
      </w:r>
      <w:bookmarkEnd w:id="60"/>
      <w:bookmarkEnd w:id="61"/>
      <w:r>
        <w:rPr>
          <w:rFonts w:hint="eastAsia" w:ascii="宋体" w:hAnsi="宋体" w:cs="宋体"/>
          <w:b/>
          <w:bCs/>
          <w:color w:val="auto"/>
          <w:sz w:val="23"/>
          <w:szCs w:val="23"/>
          <w:highlight w:val="none"/>
        </w:rPr>
        <w:t>不可抗力</w:t>
      </w:r>
    </w:p>
    <w:p w14:paraId="5FE4F23A">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1、如果双方中任何一方由于战争、严重火灾、水灾、台风和地震以及其它经双方同意属于不可抗力的事故，致使合同履行受阻时，履行合同的期限应予延长，延长的期限应相当于事故所影响的时间。</w:t>
      </w:r>
    </w:p>
    <w:p w14:paraId="02C5E554">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14:paraId="5D722BDA">
      <w:pPr>
        <w:spacing w:line="360" w:lineRule="auto"/>
        <w:ind w:left="420" w:leftChars="200"/>
        <w:rPr>
          <w:rFonts w:ascii="宋体" w:hAnsi="宋体" w:cs="宋体"/>
          <w:b/>
          <w:bCs/>
          <w:color w:val="auto"/>
          <w:sz w:val="23"/>
          <w:szCs w:val="23"/>
          <w:highlight w:val="none"/>
        </w:rPr>
      </w:pPr>
      <w:r>
        <w:rPr>
          <w:rFonts w:hint="eastAsia" w:ascii="宋体" w:hAnsi="宋体" w:eastAsia="宋体" w:cs="宋体"/>
          <w:b/>
          <w:bCs/>
          <w:color w:val="auto"/>
          <w:sz w:val="23"/>
          <w:szCs w:val="23"/>
          <w:highlight w:val="none"/>
          <w:lang w:val="en-US" w:eastAsia="zh-CN"/>
        </w:rPr>
        <w:t>十九</w:t>
      </w:r>
      <w:r>
        <w:rPr>
          <w:rFonts w:hint="eastAsia" w:ascii="宋体" w:hAnsi="宋体" w:cs="宋体"/>
          <w:b/>
          <w:bCs/>
          <w:color w:val="auto"/>
          <w:sz w:val="23"/>
          <w:szCs w:val="23"/>
          <w:highlight w:val="none"/>
        </w:rPr>
        <w:t>、其他</w:t>
      </w:r>
    </w:p>
    <w:p w14:paraId="03132C3C">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（1）乙方提出使用其他专利技术或特殊工艺，应取得甲方和监理单位认可，乙方负责办理许可手续并承担有关费用。</w:t>
      </w:r>
    </w:p>
    <w:p w14:paraId="75E5FDA9">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（2）乙方擅自使用专利技术等侵犯他人专利权及知识产权的，因此产生的侵权纠纷，由乙方自行承担并每发生一次，乙方应向甲方支付违约金 50000 元，如造成甲方损失的，甲方有权全额向乙方追索且甲方有权视情形解除本合同。以上违约金经累计后最终在结算时扣除。</w:t>
      </w:r>
    </w:p>
    <w:p w14:paraId="094DAE32">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特别注明：本项目所有涉及到的方案或者深化图纸及变更都需经甲方书面确认并同意后实施，甲方单方面要求乙方的变更无效。</w:t>
      </w:r>
    </w:p>
    <w:p w14:paraId="3632696C">
      <w:pPr>
        <w:numPr>
          <w:ilvl w:val="0"/>
          <w:numId w:val="5"/>
        </w:numPr>
        <w:spacing w:line="360" w:lineRule="auto"/>
        <w:ind w:firstLine="460" w:firstLineChars="200"/>
        <w:rPr>
          <w:rFonts w:hint="eastAsia"/>
          <w:lang w:val="en-US" w:eastAsia="zh-CN"/>
        </w:rPr>
      </w:pPr>
      <w:r>
        <w:rPr>
          <w:rFonts w:hint="eastAsia" w:ascii="宋体" w:hAnsi="宋体" w:eastAsia="宋体" w:cs="宋体"/>
          <w:color w:val="auto"/>
          <w:sz w:val="23"/>
          <w:szCs w:val="23"/>
          <w:highlight w:val="none"/>
          <w:lang w:val="en-US" w:eastAsia="zh-CN"/>
        </w:rPr>
        <w:t>需服从总包管理，配合总包完成工程整体竣工验收。</w:t>
      </w:r>
    </w:p>
    <w:p w14:paraId="56B935BC">
      <w:pPr>
        <w:numPr>
          <w:ilvl w:val="0"/>
          <w:numId w:val="5"/>
        </w:numPr>
        <w:spacing w:line="360" w:lineRule="auto"/>
        <w:ind w:firstLine="420" w:firstLineChars="200"/>
        <w:rPr>
          <w:rFonts w:hint="eastAsia"/>
          <w:lang w:val="en-US" w:eastAsia="zh-CN"/>
        </w:rPr>
      </w:pPr>
      <w:r>
        <w:rPr>
          <w:rFonts w:hint="eastAsia"/>
          <w:lang w:val="en-US" w:eastAsia="zh-CN"/>
        </w:rPr>
        <w:t>中标单位需配合总包做好创杯工作。</w:t>
      </w:r>
    </w:p>
    <w:p w14:paraId="3F771769">
      <w:pPr>
        <w:spacing w:line="360" w:lineRule="auto"/>
        <w:ind w:firstLine="460" w:firstLineChars="200"/>
        <w:rPr>
          <w:rFonts w:hint="eastAsia" w:ascii="宋体" w:hAnsi="宋体" w:eastAsia="宋体" w:cs="宋体"/>
          <w:color w:val="auto"/>
          <w:sz w:val="23"/>
          <w:szCs w:val="23"/>
          <w:highlight w:val="none"/>
        </w:rPr>
      </w:pPr>
    </w:p>
    <w:p w14:paraId="4F316B98">
      <w:pPr>
        <w:pStyle w:val="66"/>
        <w:rPr>
          <w:rFonts w:hint="eastAsia" w:ascii="宋体" w:hAnsi="宋体" w:eastAsia="宋体" w:cs="宋体"/>
          <w:color w:val="auto"/>
          <w:sz w:val="23"/>
          <w:szCs w:val="23"/>
          <w:highlight w:val="none"/>
        </w:rPr>
      </w:pPr>
    </w:p>
    <w:p w14:paraId="2F927032">
      <w:pPr>
        <w:pStyle w:val="66"/>
        <w:rPr>
          <w:rFonts w:hint="eastAsia" w:ascii="宋体" w:hAnsi="宋体" w:eastAsia="宋体" w:cs="宋体"/>
          <w:color w:val="auto"/>
          <w:sz w:val="23"/>
          <w:szCs w:val="23"/>
          <w:highlight w:val="none"/>
        </w:rPr>
      </w:pPr>
    </w:p>
    <w:p w14:paraId="128AB7BE">
      <w:pP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br w:type="page"/>
      </w:r>
    </w:p>
    <w:p w14:paraId="56270FE7">
      <w:pPr>
        <w:spacing w:line="360" w:lineRule="auto"/>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合同附件1</w:t>
      </w:r>
    </w:p>
    <w:p w14:paraId="5F7853D3">
      <w:pPr>
        <w:spacing w:line="360" w:lineRule="auto"/>
        <w:jc w:val="center"/>
        <w:rPr>
          <w:rFonts w:hint="eastAsia" w:ascii="宋体" w:hAnsi="宋体" w:eastAsia="宋体" w:cs="宋体"/>
          <w:b/>
          <w:color w:val="auto"/>
          <w:sz w:val="23"/>
          <w:szCs w:val="23"/>
          <w:highlight w:val="none"/>
        </w:rPr>
      </w:pPr>
      <w:r>
        <w:rPr>
          <w:rFonts w:hint="eastAsia" w:ascii="宋体" w:hAnsi="宋体" w:eastAsia="宋体" w:cs="宋体"/>
          <w:b/>
          <w:color w:val="auto"/>
          <w:sz w:val="23"/>
          <w:szCs w:val="23"/>
          <w:highlight w:val="none"/>
        </w:rPr>
        <w:t>廉政承诺书</w:t>
      </w:r>
    </w:p>
    <w:p w14:paraId="78A28066">
      <w:pPr>
        <w:spacing w:line="440" w:lineRule="exact"/>
        <w:rPr>
          <w:rFonts w:hint="eastAsia" w:ascii="宋体" w:hAnsi="宋体" w:eastAsia="宋体" w:cs="宋体"/>
          <w:color w:val="auto"/>
          <w:sz w:val="23"/>
          <w:szCs w:val="23"/>
          <w:highlight w:val="none"/>
          <w:u w:val="single"/>
        </w:rPr>
      </w:pPr>
      <w:r>
        <w:rPr>
          <w:rFonts w:hint="eastAsia" w:ascii="宋体" w:hAnsi="宋体" w:eastAsia="宋体" w:cs="宋体"/>
          <w:color w:val="auto"/>
          <w:sz w:val="23"/>
          <w:szCs w:val="23"/>
          <w:highlight w:val="none"/>
        </w:rPr>
        <w:t>甲方（以下简称</w:t>
      </w:r>
      <w:r>
        <w:rPr>
          <w:rFonts w:hint="eastAsia" w:ascii="宋体" w:hAnsi="宋体" w:eastAsia="宋体" w:cs="宋体"/>
          <w:color w:val="auto"/>
          <w:kern w:val="1"/>
          <w:sz w:val="23"/>
          <w:szCs w:val="23"/>
          <w:highlight w:val="none"/>
        </w:rPr>
        <w:t>买方</w:t>
      </w:r>
      <w:r>
        <w:rPr>
          <w:rFonts w:hint="eastAsia" w:ascii="宋体" w:hAnsi="宋体" w:eastAsia="宋体" w:cs="宋体"/>
          <w:color w:val="auto"/>
          <w:sz w:val="23"/>
          <w:szCs w:val="23"/>
          <w:highlight w:val="none"/>
        </w:rPr>
        <w:t>）：</w:t>
      </w:r>
    </w:p>
    <w:p w14:paraId="387CD993">
      <w:pPr>
        <w:spacing w:line="440" w:lineRule="exac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乙方（以下简称卖方）：</w:t>
      </w:r>
    </w:p>
    <w:p w14:paraId="1C95B8BF">
      <w:pPr>
        <w:spacing w:line="360" w:lineRule="auto"/>
        <w:ind w:firstLine="460" w:firstLineChars="200"/>
        <w:rPr>
          <w:rFonts w:hint="eastAsia" w:ascii="宋体" w:hAnsi="宋体" w:eastAsia="宋体" w:cs="宋体"/>
          <w:bCs/>
          <w:color w:val="auto"/>
          <w:sz w:val="23"/>
          <w:szCs w:val="23"/>
          <w:highlight w:val="none"/>
        </w:rPr>
      </w:pPr>
    </w:p>
    <w:p w14:paraId="5B8C35DA">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根据有关廉政建设的规定，为做好项目过程中的党风廉政建设，保证项目高效优质，保证合同资金的安全和有效使用，特订立如下合同：</w:t>
      </w:r>
    </w:p>
    <w:p w14:paraId="2FF8D1A5">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第一条 买卖双方的基本要求</w:t>
      </w:r>
    </w:p>
    <w:p w14:paraId="14928A5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（一）严格遵守党和国家有关法律法规。</w:t>
      </w:r>
    </w:p>
    <w:p w14:paraId="51134DA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（二）严格执行_____________________项目合同文件，自觉按合同办事。</w:t>
      </w:r>
    </w:p>
    <w:p w14:paraId="218DA902">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（三）双方所涉业务活动坚持公开、公正、诚信、透明的原则（除法律认定的商业秘密和合同文件另有规定之外），不得损害国家和集体利益，违反买卖管理规章制度。</w:t>
      </w:r>
    </w:p>
    <w:p w14:paraId="04EE637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（四）建立健全廉政制度，开展廉政教育，公布举报电话，监督并认真查处违法违纪行为。</w:t>
      </w:r>
    </w:p>
    <w:p w14:paraId="5A96EFEB">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（五）发现对方在业务活动中有违反廉政规定的行为，有及时提醒对方纠正的权利和义务。</w:t>
      </w:r>
    </w:p>
    <w:p w14:paraId="6F09BAC8">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（六）发现对方严重违反本合同义务条款的行为，有向其上级有关部门举报、建议给予处理并要求告知处理结果的权利。</w:t>
      </w:r>
    </w:p>
    <w:p w14:paraId="7F8C34C9">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第二条 买方义务</w:t>
      </w:r>
    </w:p>
    <w:p w14:paraId="6E70506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（一）买方及其工作人员不得索要或接受卖方的礼金、有价证券和贵重物品，不得在卖方报销任何应由买方或个人支付的费用等。</w:t>
      </w:r>
    </w:p>
    <w:p w14:paraId="3B99601C">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（二）买方工作人员不得参加卖方安排的宴请和娱乐活动，不得接受卖方提供的通信工具、交通工具和办公用品等。</w:t>
      </w:r>
    </w:p>
    <w:p w14:paraId="08DC7EBF">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（三）买方及其工作人员不得要求或者接受卖方为其住房装修、婚丧嫁娶活动、配偶子女的工作安排以及出国出境、旅游等提供方便等。</w:t>
      </w:r>
    </w:p>
    <w:p w14:paraId="1E165E79">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（四）买方工作人员的配偶、子女不得从事与买方项目有关的经济活动。</w:t>
      </w:r>
    </w:p>
    <w:p w14:paraId="66E59CA1">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第三条 卖方义务</w:t>
      </w:r>
    </w:p>
    <w:p w14:paraId="7DB69A8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（一）卖方不得以任何理由向买方及其工作人员行贿或馈赠礼金，有价证券、贵重礼品。</w:t>
      </w:r>
    </w:p>
    <w:p w14:paraId="7035F726">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（二）卖方不得以任何名义为买方及其工作人员报销应由买方或个人支付的任何费用。</w:t>
      </w:r>
    </w:p>
    <w:p w14:paraId="1948EFDB">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（三）卖方不得以任何理由安排买方工作人员参加宴请及娱乐活动。</w:t>
      </w:r>
    </w:p>
    <w:p w14:paraId="0455BF87">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（四）卖方不得为买方单位和个人购置或提供通信工具、交通工具和办公用品等。</w:t>
      </w:r>
    </w:p>
    <w:p w14:paraId="0CDBCB92">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第四条  违约责任</w:t>
      </w:r>
    </w:p>
    <w:p w14:paraId="6D9BF4C9">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（一）买方及其工作人员违反本合同第一，二条，按管理权限，依据有关规定给予党纪、政纪或组织处理；涉嫌犯罪的，移交司法机关追究刑事责任；给卖方单位造成经济损失的，应予以赔偿。</w:t>
      </w:r>
    </w:p>
    <w:p w14:paraId="214E62A5">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卖方及其工作人员违反本合同第一，三条，按管理权限，依据有关规定、给予党纪、政纪或组织处理；给买方造成经济损失的，应予以赔偿；情节严重的，买方建议招投标主管部门给予卖方一至三年内不得进入其主管的交易市场的处罚。</w:t>
      </w:r>
    </w:p>
    <w:p w14:paraId="002A3FCB">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第五条  本合同有效期为买卖双方签署之日起至该项目服务完成并经买方认可后止。</w:t>
      </w:r>
    </w:p>
    <w:p w14:paraId="736CA25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本合同作为____________________项目合同的附件，与项目合同具有同等的法律效力，经合同双方签署立即生效。</w:t>
      </w:r>
    </w:p>
    <w:p w14:paraId="03F23534">
      <w:pPr>
        <w:spacing w:line="360" w:lineRule="auto"/>
        <w:ind w:firstLine="460" w:firstLineChars="200"/>
        <w:rPr>
          <w:rFonts w:hint="eastAsia" w:ascii="宋体" w:hAnsi="宋体" w:eastAsia="宋体" w:cs="宋体"/>
          <w:bCs/>
          <w:strike/>
          <w:color w:val="auto"/>
          <w:sz w:val="23"/>
          <w:szCs w:val="23"/>
          <w:highlight w:val="none"/>
        </w:rPr>
      </w:pPr>
    </w:p>
    <w:p w14:paraId="709B514E">
      <w:pPr>
        <w:spacing w:line="360" w:lineRule="auto"/>
        <w:ind w:firstLine="460" w:firstLineChars="200"/>
        <w:rPr>
          <w:rFonts w:hint="eastAsia" w:ascii="宋体" w:hAnsi="宋体" w:eastAsia="宋体" w:cs="宋体"/>
          <w:bCs/>
          <w:color w:val="auto"/>
          <w:sz w:val="23"/>
          <w:szCs w:val="23"/>
          <w:highlight w:val="none"/>
        </w:rPr>
      </w:pPr>
    </w:p>
    <w:p w14:paraId="0B1A8944">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 xml:space="preserve">买方：（盖章）                            </w:t>
      </w:r>
      <w:r>
        <w:rPr>
          <w:rFonts w:hint="eastAsia" w:ascii="宋体" w:hAnsi="宋体" w:eastAsia="宋体" w:cs="宋体"/>
          <w:bCs/>
          <w:color w:val="auto"/>
          <w:sz w:val="23"/>
          <w:szCs w:val="23"/>
          <w:highlight w:val="none"/>
          <w:lang w:val="en-US" w:eastAsia="zh-CN"/>
        </w:rPr>
        <w:t xml:space="preserve">  </w:t>
      </w:r>
      <w:r>
        <w:rPr>
          <w:rFonts w:hint="eastAsia" w:ascii="宋体" w:hAnsi="宋体" w:eastAsia="宋体" w:cs="宋体"/>
          <w:bCs/>
          <w:color w:val="auto"/>
          <w:sz w:val="23"/>
          <w:szCs w:val="23"/>
          <w:highlight w:val="none"/>
        </w:rPr>
        <w:t xml:space="preserve"> 卖方：（盖章）</w:t>
      </w:r>
    </w:p>
    <w:p w14:paraId="0D00ACE5">
      <w:pPr>
        <w:spacing w:line="360" w:lineRule="auto"/>
        <w:ind w:firstLine="460" w:firstLineChars="200"/>
        <w:rPr>
          <w:rFonts w:hint="eastAsia" w:ascii="宋体" w:hAnsi="宋体" w:eastAsia="宋体" w:cs="宋体"/>
          <w:bCs/>
          <w:color w:val="auto"/>
          <w:sz w:val="23"/>
          <w:szCs w:val="23"/>
          <w:highlight w:val="none"/>
        </w:rPr>
      </w:pPr>
    </w:p>
    <w:p w14:paraId="6A14A2D7">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法定代表人或其授权代表（签字或盖章）：      法定代表人或其授权代表（签字或盖章）：</w:t>
      </w:r>
    </w:p>
    <w:p w14:paraId="50EB0EBB">
      <w:pPr>
        <w:spacing w:line="360" w:lineRule="auto"/>
        <w:ind w:firstLine="460" w:firstLineChars="200"/>
        <w:rPr>
          <w:rFonts w:hint="eastAsia" w:ascii="宋体" w:hAnsi="宋体" w:eastAsia="宋体" w:cs="宋体"/>
          <w:bCs/>
          <w:color w:val="auto"/>
          <w:sz w:val="23"/>
          <w:szCs w:val="23"/>
          <w:highlight w:val="none"/>
        </w:rPr>
      </w:pPr>
    </w:p>
    <w:p w14:paraId="67508D3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 xml:space="preserve"> 年    月    日                               年    月    日</w:t>
      </w:r>
    </w:p>
    <w:p w14:paraId="63B2EEBF">
      <w:pPr>
        <w:spacing w:line="360" w:lineRule="auto"/>
        <w:ind w:firstLine="462" w:firstLineChars="200"/>
        <w:rPr>
          <w:rFonts w:hint="eastAsia" w:ascii="宋体" w:hAnsi="宋体" w:eastAsia="宋体" w:cs="宋体"/>
          <w:bCs/>
          <w:color w:val="auto"/>
          <w:sz w:val="23"/>
          <w:szCs w:val="23"/>
          <w:highlight w:val="none"/>
        </w:rPr>
      </w:pPr>
      <w:r>
        <w:rPr>
          <w:rFonts w:hint="eastAsia" w:ascii="宋体" w:hAnsi="宋体" w:eastAsia="宋体" w:cs="宋体"/>
          <w:b/>
          <w:color w:val="auto"/>
          <w:sz w:val="23"/>
          <w:szCs w:val="23"/>
          <w:highlight w:val="none"/>
        </w:rPr>
        <w:br w:type="page"/>
      </w:r>
      <w:r>
        <w:rPr>
          <w:rFonts w:hint="eastAsia" w:ascii="宋体" w:hAnsi="宋体" w:eastAsia="宋体" w:cs="宋体"/>
          <w:bCs/>
          <w:color w:val="auto"/>
          <w:sz w:val="23"/>
          <w:szCs w:val="23"/>
          <w:highlight w:val="none"/>
        </w:rPr>
        <w:t xml:space="preserve">合同附件2 </w:t>
      </w:r>
    </w:p>
    <w:p w14:paraId="141A7F3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安全协议书</w:t>
      </w:r>
    </w:p>
    <w:p w14:paraId="0A45E6F5">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甲方（以下简称买方）：</w:t>
      </w:r>
    </w:p>
    <w:p w14:paraId="0A4B64F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乙方（以下简称卖方）：</w:t>
      </w:r>
    </w:p>
    <w:p w14:paraId="2CE00027">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为了切实加强本项目的安全管理，双方本着平等、自愿的原则，签订本协议书。买方和卖方均严格遵守本协议书规定的权力、责任和义务，确保实施人员作业的安全。</w:t>
      </w:r>
    </w:p>
    <w:p w14:paraId="7932D117">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一、买方的权利、责任和义务：</w:t>
      </w:r>
    </w:p>
    <w:p w14:paraId="7F294768">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1、贯彻落实国家有关生产现场安全作业的法规和管理规定。</w:t>
      </w:r>
    </w:p>
    <w:p w14:paraId="5764E506">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2、及时纠正卖方的危险行为，并按照有关规定予以查处。</w:t>
      </w:r>
    </w:p>
    <w:p w14:paraId="047E16B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3、对卖方的安全作业培训和危险预知工作提出指导意见，并监督落实情况。</w:t>
      </w:r>
    </w:p>
    <w:p w14:paraId="070AB50A">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4、对卖方提出的安全作业要求积极提供帮助。</w:t>
      </w:r>
    </w:p>
    <w:p w14:paraId="513049C9">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5、施工前需与卖方签订协议包括且不仅包括以下内容：安全协议、实施方案的技术交底、现场安全交底、重要相关方记录等。施工期间将监管卖方临时接电（水）、有限空间等危险作业等内容按制度审批工作，并具对其进行相应告知监督义务。</w:t>
      </w:r>
    </w:p>
    <w:p w14:paraId="043FA762">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6、施工期间，买方将自行或委派监理公司，根据安全协议、方案等规定，检查卖方是否违规、冒险作业。若存在违反者，将立即停工整改，且整改时间计入工期。</w:t>
      </w:r>
    </w:p>
    <w:p w14:paraId="5799C207">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二、卖方的权利、责任和义务：</w:t>
      </w:r>
    </w:p>
    <w:p w14:paraId="2E42893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1、遵守国家相关工作的法规和管理制度，建立健全安全责任制度。</w:t>
      </w:r>
    </w:p>
    <w:p w14:paraId="7764BFB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服从买方安全管理要求，做好项目工作中所有工作人员的安全教育、安全培训、安全交底工作。施工前需出具包括且不仅包括以下证明材料：安全资质证书、工程施工的安全协议、特种作业证等。各类材料须提供原件备查，复印件报备给买方留档。施工期间需临时接电（水）、有限空间等危险作业，须提前按买方相应制度进行申请，审批，备案和登记。作业结束后，卖方须及时清除作业现场的物资和废弃物，做到工完场清。</w:t>
      </w:r>
    </w:p>
    <w:p w14:paraId="2077B2C6">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3、按照国家安全法律法规要求，做好对工作人员的安全督查，确保工作人员的劳保用品、使用工具等都使用到位，安全可靠。</w:t>
      </w:r>
    </w:p>
    <w:p w14:paraId="4E76E66C">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4、经常性开展安全生产检查工作，对发现的隐患及时整改消除，并做好记录，确保安全生产，做到文明作业。</w:t>
      </w:r>
    </w:p>
    <w:p w14:paraId="0934479B">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5、工作人员的要求：（1）所有工作人员身体健康无缺陷，持《从业人员健康检查合格证》上岗，无传染病；（2）涉及特种作业相关作业人员必须遵守国家有关规定，持有效资格证才能上岗作业。</w:t>
      </w:r>
    </w:p>
    <w:p w14:paraId="58A392E5">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6、发生事故必须按规定及时上报，并严格按“四不放过”的原则进行处理，认真落实防范措施，杜绝同类事故的再次发生。</w:t>
      </w:r>
    </w:p>
    <w:p w14:paraId="2DC17415">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7、卖方造成的安全事故，以及卖方人员在实施项目工作过程中造成的财产损失和人身伤亡，与买方无涉，由卖方承担事故责任和经济责任，并对买方造成的各种损失须进行赔偿。</w:t>
      </w:r>
    </w:p>
    <w:p w14:paraId="742FDED8">
      <w:pPr>
        <w:spacing w:line="360" w:lineRule="auto"/>
        <w:ind w:firstLine="460" w:firstLineChars="200"/>
        <w:rPr>
          <w:rFonts w:hint="eastAsia" w:ascii="宋体" w:hAnsi="宋体" w:eastAsia="宋体" w:cs="宋体"/>
          <w:bCs/>
          <w:color w:val="auto"/>
          <w:sz w:val="23"/>
          <w:szCs w:val="23"/>
          <w:highlight w:val="none"/>
        </w:rPr>
      </w:pPr>
    </w:p>
    <w:p w14:paraId="4832E2F8">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本协议作为____________________项目合同的附件，与项目合同具有同等的法律效力，经合同双方签署立即生效。</w:t>
      </w:r>
    </w:p>
    <w:p w14:paraId="582061ED">
      <w:pPr>
        <w:spacing w:line="360" w:lineRule="auto"/>
        <w:ind w:firstLine="460" w:firstLineChars="200"/>
        <w:rPr>
          <w:rFonts w:hint="eastAsia" w:ascii="宋体" w:hAnsi="宋体" w:eastAsia="宋体" w:cs="宋体"/>
          <w:bCs/>
          <w:color w:val="auto"/>
          <w:sz w:val="23"/>
          <w:szCs w:val="23"/>
          <w:highlight w:val="none"/>
        </w:rPr>
      </w:pPr>
    </w:p>
    <w:p w14:paraId="0FD58B93">
      <w:pPr>
        <w:spacing w:line="360" w:lineRule="auto"/>
        <w:ind w:firstLine="460" w:firstLineChars="200"/>
        <w:rPr>
          <w:rFonts w:hint="eastAsia" w:ascii="宋体" w:hAnsi="宋体" w:eastAsia="宋体" w:cs="宋体"/>
          <w:bCs/>
          <w:color w:val="auto"/>
          <w:sz w:val="23"/>
          <w:szCs w:val="23"/>
          <w:highlight w:val="none"/>
        </w:rPr>
      </w:pPr>
    </w:p>
    <w:p w14:paraId="01E3FB5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买方：(盖章）                              卖方：(盖章）</w:t>
      </w:r>
    </w:p>
    <w:p w14:paraId="2559607E">
      <w:pPr>
        <w:spacing w:line="360" w:lineRule="auto"/>
        <w:ind w:firstLine="460" w:firstLineChars="200"/>
        <w:rPr>
          <w:rFonts w:hint="eastAsia" w:ascii="宋体" w:hAnsi="宋体" w:eastAsia="宋体" w:cs="宋体"/>
          <w:bCs/>
          <w:color w:val="auto"/>
          <w:sz w:val="23"/>
          <w:szCs w:val="23"/>
          <w:highlight w:val="none"/>
        </w:rPr>
      </w:pPr>
    </w:p>
    <w:p w14:paraId="3D0EA0BA">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法定代表人或其授权代表（签字或盖章）：   法定代表人或其授权代表（签字或盖章）：</w:t>
      </w:r>
    </w:p>
    <w:p w14:paraId="6C46E6C7">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年   月   日                              年   月   日</w:t>
      </w:r>
    </w:p>
    <w:p w14:paraId="7344B19E">
      <w:pP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br w:type="page"/>
      </w:r>
    </w:p>
    <w:p w14:paraId="2C99AC91">
      <w:pPr>
        <w:spacing w:before="63" w:line="225" w:lineRule="auto"/>
        <w:ind w:left="2253"/>
        <w:jc w:val="both"/>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第五章 招标内容和技术要求</w:t>
      </w:r>
    </w:p>
    <w:p w14:paraId="2E34D4BE">
      <w:pPr>
        <w:pStyle w:val="14"/>
        <w:rPr>
          <w:rFonts w:hint="eastAsia" w:hAnsi="宋体" w:eastAsia="宋体" w:cs="宋体"/>
          <w:color w:val="auto"/>
          <w:highlight w:val="none"/>
        </w:rPr>
      </w:pPr>
    </w:p>
    <w:p w14:paraId="7D3DD55E">
      <w:pPr>
        <w:pStyle w:val="52"/>
        <w:numPr>
          <w:ilvl w:val="0"/>
          <w:numId w:val="6"/>
        </w:numPr>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产品技术规格</w:t>
      </w:r>
    </w:p>
    <w:p w14:paraId="3A629B67">
      <w:pPr>
        <w:numPr>
          <w:ilvl w:val="0"/>
          <w:numId w:val="0"/>
        </w:numPr>
        <w:spacing w:before="91" w:line="219" w:lineRule="auto"/>
        <w:rPr>
          <w:rFonts w:hint="default" w:ascii="宋体" w:hAnsi="宋体" w:eastAsia="宋体" w:cs="宋体"/>
          <w:snapToGrid w:val="0"/>
          <w:color w:val="auto"/>
          <w:spacing w:val="-3"/>
          <w:sz w:val="24"/>
          <w:szCs w:val="24"/>
          <w:highlight w:val="none"/>
          <w:lang w:val="en-US" w:eastAsia="zh-CN" w:bidi="ar-SA"/>
        </w:rPr>
      </w:pPr>
    </w:p>
    <w:tbl>
      <w:tblPr>
        <w:tblStyle w:val="48"/>
        <w:tblW w:w="92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61"/>
        <w:gridCol w:w="7694"/>
      </w:tblGrid>
      <w:tr w14:paraId="00DC93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 w:hRule="atLeast"/>
        </w:trPr>
        <w:tc>
          <w:tcPr>
            <w:tcW w:w="9255" w:type="dxa"/>
            <w:gridSpan w:val="2"/>
            <w:noWrap w:val="0"/>
            <w:vAlign w:val="top"/>
          </w:tcPr>
          <w:p w14:paraId="07005CE0">
            <w:pPr>
              <w:pStyle w:val="68"/>
              <w:spacing w:before="38" w:line="219" w:lineRule="auto"/>
              <w:ind w:left="17"/>
              <w:rPr>
                <w:rFonts w:hint="eastAsia"/>
                <w:color w:val="auto"/>
                <w:highlight w:val="none"/>
                <w:lang w:eastAsia="zh-CN"/>
              </w:rPr>
            </w:pPr>
            <w:r>
              <w:rPr>
                <w:b/>
                <w:bCs/>
                <w:color w:val="auto"/>
                <w:spacing w:val="-4"/>
                <w:highlight w:val="none"/>
                <w:lang w:eastAsia="zh-CN"/>
              </w:rPr>
              <w:t>一、中型箱式物流传输系统总体要求</w:t>
            </w:r>
          </w:p>
        </w:tc>
      </w:tr>
      <w:tr w14:paraId="79E7D6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242" w:hRule="atLeast"/>
        </w:trPr>
        <w:tc>
          <w:tcPr>
            <w:tcW w:w="1561" w:type="dxa"/>
            <w:noWrap w:val="0"/>
            <w:vAlign w:val="center"/>
          </w:tcPr>
          <w:p w14:paraId="71E2FB61">
            <w:pPr>
              <w:pStyle w:val="68"/>
              <w:spacing w:before="78" w:line="291" w:lineRule="auto"/>
              <w:ind w:right="118"/>
              <w:jc w:val="center"/>
              <w:rPr>
                <w:rFonts w:hint="eastAsia"/>
                <w:color w:val="auto"/>
                <w:highlight w:val="none"/>
              </w:rPr>
            </w:pPr>
            <w:r>
              <w:rPr>
                <w:color w:val="auto"/>
                <w:spacing w:val="-4"/>
                <w:highlight w:val="none"/>
              </w:rPr>
              <w:t>1.1系统整体</w:t>
            </w:r>
            <w:r>
              <w:rPr>
                <w:color w:val="auto"/>
                <w:spacing w:val="-3"/>
                <w:highlight w:val="none"/>
              </w:rPr>
              <w:t>要求</w:t>
            </w:r>
          </w:p>
        </w:tc>
        <w:tc>
          <w:tcPr>
            <w:tcW w:w="7694" w:type="dxa"/>
            <w:noWrap w:val="0"/>
            <w:vAlign w:val="top"/>
          </w:tcPr>
          <w:p w14:paraId="075D640B">
            <w:pPr>
              <w:pStyle w:val="68"/>
              <w:spacing w:before="32" w:line="282" w:lineRule="auto"/>
              <w:ind w:left="10" w:right="6" w:firstLine="22"/>
              <w:jc w:val="both"/>
              <w:rPr>
                <w:rFonts w:hint="eastAsia"/>
                <w:color w:val="auto"/>
                <w:highlight w:val="none"/>
                <w:lang w:eastAsia="zh-CN"/>
              </w:rPr>
            </w:pPr>
            <w:r>
              <w:rPr>
                <w:color w:val="auto"/>
                <w:spacing w:val="-1"/>
                <w:highlight w:val="none"/>
                <w:lang w:eastAsia="zh-CN"/>
              </w:rPr>
              <w:t>中型箱式物流输送系统是以周转箱为载体，通过水平传输系统和提升系统</w:t>
            </w:r>
            <w:r>
              <w:rPr>
                <w:color w:val="auto"/>
                <w:highlight w:val="none"/>
                <w:lang w:eastAsia="zh-CN"/>
              </w:rPr>
              <w:t>智能物联网技术组合实现物品自动化传输的新型智能</w:t>
            </w:r>
            <w:r>
              <w:rPr>
                <w:color w:val="auto"/>
                <w:spacing w:val="-1"/>
                <w:highlight w:val="none"/>
                <w:lang w:eastAsia="zh-CN"/>
              </w:rPr>
              <w:t>化物流传输系统。通</w:t>
            </w:r>
            <w:r>
              <w:rPr>
                <w:color w:val="auto"/>
                <w:highlight w:val="none"/>
                <w:lang w:eastAsia="zh-CN"/>
              </w:rPr>
              <w:t>过在院内各个需求功能科室部署收发工作站（2</w:t>
            </w:r>
            <w:r>
              <w:rPr>
                <w:rFonts w:hint="eastAsia"/>
                <w:color w:val="auto"/>
                <w:spacing w:val="-1"/>
                <w:highlight w:val="none"/>
                <w:lang w:eastAsia="zh-CN"/>
              </w:rPr>
              <w:t>7</w:t>
            </w:r>
            <w:r>
              <w:rPr>
                <w:color w:val="auto"/>
                <w:spacing w:val="-1"/>
                <w:highlight w:val="none"/>
                <w:lang w:eastAsia="zh-CN"/>
              </w:rPr>
              <w:t>个</w:t>
            </w:r>
            <w:r>
              <w:rPr>
                <w:color w:val="auto"/>
                <w:highlight w:val="none"/>
                <w:lang w:eastAsia="zh-CN"/>
              </w:rPr>
              <w:t>），</w:t>
            </w:r>
            <w:r>
              <w:rPr>
                <w:color w:val="auto"/>
                <w:spacing w:val="-1"/>
                <w:highlight w:val="none"/>
                <w:lang w:eastAsia="zh-CN"/>
              </w:rPr>
              <w:t>可以实现院内各个</w:t>
            </w:r>
            <w:r>
              <w:rPr>
                <w:color w:val="auto"/>
                <w:highlight w:val="none"/>
                <w:lang w:eastAsia="zh-CN"/>
              </w:rPr>
              <w:t>科室的物资自动流转，系统的业务软件可以与医院管</w:t>
            </w:r>
            <w:r>
              <w:rPr>
                <w:color w:val="auto"/>
                <w:spacing w:val="-1"/>
                <w:highlight w:val="none"/>
                <w:lang w:eastAsia="zh-CN"/>
              </w:rPr>
              <w:t>理系统联动形成一套科学合理、有效的物资智能化传输系统，解决院内大部分物品的自动传输</w:t>
            </w:r>
            <w:r>
              <w:rPr>
                <w:color w:val="auto"/>
                <w:spacing w:val="-2"/>
                <w:highlight w:val="none"/>
                <w:lang w:eastAsia="zh-CN"/>
              </w:rPr>
              <w:t>配送问题；</w:t>
            </w:r>
          </w:p>
        </w:tc>
      </w:tr>
      <w:tr w14:paraId="28240E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1561" w:type="dxa"/>
            <w:noWrap w:val="0"/>
            <w:vAlign w:val="center"/>
          </w:tcPr>
          <w:p w14:paraId="0F777C2A">
            <w:pPr>
              <w:pStyle w:val="68"/>
              <w:spacing w:before="163" w:line="219" w:lineRule="auto"/>
              <w:jc w:val="center"/>
              <w:rPr>
                <w:rFonts w:hint="eastAsia"/>
                <w:color w:val="auto"/>
                <w:highlight w:val="none"/>
              </w:rPr>
            </w:pPr>
            <w:r>
              <w:rPr>
                <w:color w:val="auto"/>
                <w:spacing w:val="-4"/>
                <w:highlight w:val="none"/>
              </w:rPr>
              <w:t>1.2传输对象</w:t>
            </w:r>
          </w:p>
        </w:tc>
        <w:tc>
          <w:tcPr>
            <w:tcW w:w="7694" w:type="dxa"/>
            <w:noWrap w:val="0"/>
            <w:vAlign w:val="top"/>
          </w:tcPr>
          <w:p w14:paraId="23751CF8">
            <w:pPr>
              <w:pStyle w:val="68"/>
              <w:spacing w:before="38" w:line="219" w:lineRule="auto"/>
              <w:ind w:left="14"/>
              <w:rPr>
                <w:rFonts w:hint="eastAsia"/>
                <w:color w:val="auto"/>
                <w:highlight w:val="none"/>
                <w:lang w:eastAsia="zh-CN"/>
              </w:rPr>
            </w:pPr>
            <w:r>
              <w:rPr>
                <w:color w:val="auto"/>
                <w:spacing w:val="-1"/>
                <w:highlight w:val="none"/>
                <w:lang w:eastAsia="zh-CN"/>
              </w:rPr>
              <w:t>如药品、标本、血液制品、血样、医疗器械、手术包、医用消耗品和文本</w:t>
            </w:r>
          </w:p>
          <w:p w14:paraId="583663BB">
            <w:pPr>
              <w:pStyle w:val="68"/>
              <w:spacing w:before="37" w:line="220" w:lineRule="auto"/>
              <w:ind w:left="12"/>
              <w:rPr>
                <w:rFonts w:hint="eastAsia"/>
                <w:color w:val="auto"/>
                <w:highlight w:val="none"/>
                <w:lang w:eastAsia="zh-CN"/>
              </w:rPr>
            </w:pPr>
            <w:r>
              <w:rPr>
                <w:color w:val="auto"/>
                <w:spacing w:val="-1"/>
                <w:highlight w:val="none"/>
                <w:lang w:eastAsia="zh-CN"/>
              </w:rPr>
              <w:t>文件、被服、餐饮等物品；</w:t>
            </w:r>
          </w:p>
        </w:tc>
      </w:tr>
      <w:tr w14:paraId="0C2CF9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561" w:type="dxa"/>
            <w:noWrap w:val="0"/>
            <w:vAlign w:val="center"/>
          </w:tcPr>
          <w:p w14:paraId="662133F8">
            <w:pPr>
              <w:pStyle w:val="68"/>
              <w:spacing w:before="33" w:line="272" w:lineRule="auto"/>
              <w:ind w:right="118"/>
              <w:jc w:val="center"/>
              <w:rPr>
                <w:rFonts w:hint="eastAsia"/>
                <w:color w:val="auto"/>
                <w:highlight w:val="none"/>
              </w:rPr>
            </w:pPr>
            <w:r>
              <w:rPr>
                <w:color w:val="auto"/>
                <w:spacing w:val="-4"/>
                <w:highlight w:val="none"/>
              </w:rPr>
              <w:t>1.3适用环境</w:t>
            </w:r>
            <w:r>
              <w:rPr>
                <w:color w:val="auto"/>
                <w:spacing w:val="-3"/>
                <w:highlight w:val="none"/>
              </w:rPr>
              <w:t>条件</w:t>
            </w:r>
          </w:p>
        </w:tc>
        <w:tc>
          <w:tcPr>
            <w:tcW w:w="7694" w:type="dxa"/>
            <w:noWrap w:val="0"/>
            <w:vAlign w:val="top"/>
          </w:tcPr>
          <w:p w14:paraId="30A70AF5">
            <w:pPr>
              <w:pStyle w:val="68"/>
              <w:spacing w:before="33" w:line="272" w:lineRule="auto"/>
              <w:ind w:left="7" w:right="6"/>
              <w:rPr>
                <w:rFonts w:hint="eastAsia"/>
                <w:color w:val="auto"/>
                <w:highlight w:val="none"/>
                <w:lang w:eastAsia="zh-CN"/>
              </w:rPr>
            </w:pPr>
            <w:r>
              <w:rPr>
                <w:color w:val="auto"/>
                <w:highlight w:val="none"/>
                <w:lang w:eastAsia="zh-CN"/>
              </w:rPr>
              <w:t>-10℃—+45℃,相对湿度： 40%～98%（无凝露</w:t>
            </w:r>
            <w:r>
              <w:rPr>
                <w:color w:val="auto"/>
                <w:spacing w:val="-3"/>
                <w:highlight w:val="none"/>
                <w:lang w:eastAsia="zh-CN"/>
              </w:rPr>
              <w:t>）；</w:t>
            </w:r>
            <w:r>
              <w:rPr>
                <w:color w:val="auto"/>
                <w:highlight w:val="none"/>
                <w:lang w:eastAsia="zh-CN"/>
              </w:rPr>
              <w:t>湿度变化率：≤±10</w:t>
            </w:r>
            <w:r>
              <w:rPr>
                <w:color w:val="auto"/>
                <w:spacing w:val="-1"/>
                <w:highlight w:val="none"/>
                <w:lang w:eastAsia="zh-CN"/>
              </w:rPr>
              <w:t>%/</w:t>
            </w:r>
            <w:r>
              <w:rPr>
                <w:color w:val="auto"/>
                <w:spacing w:val="1"/>
                <w:highlight w:val="none"/>
                <w:lang w:eastAsia="zh-CN"/>
              </w:rPr>
              <w:t xml:space="preserve"> </w:t>
            </w:r>
            <w:r>
              <w:rPr>
                <w:color w:val="auto"/>
                <w:spacing w:val="-4"/>
                <w:highlight w:val="none"/>
                <w:lang w:eastAsia="zh-CN"/>
              </w:rPr>
              <w:t>h。</w:t>
            </w:r>
          </w:p>
        </w:tc>
      </w:tr>
      <w:tr w14:paraId="6C5DE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noWrap w:val="0"/>
            <w:vAlign w:val="center"/>
          </w:tcPr>
          <w:p w14:paraId="45D2CC59">
            <w:pPr>
              <w:pStyle w:val="68"/>
              <w:spacing w:before="36" w:line="220" w:lineRule="auto"/>
              <w:jc w:val="center"/>
              <w:rPr>
                <w:rFonts w:hint="eastAsia"/>
                <w:color w:val="auto"/>
                <w:highlight w:val="none"/>
              </w:rPr>
            </w:pPr>
            <w:r>
              <w:rPr>
                <w:color w:val="auto"/>
                <w:spacing w:val="-4"/>
                <w:highlight w:val="none"/>
              </w:rPr>
              <w:t>1.4.平稳性</w:t>
            </w:r>
          </w:p>
        </w:tc>
        <w:tc>
          <w:tcPr>
            <w:tcW w:w="7694" w:type="dxa"/>
            <w:noWrap w:val="0"/>
            <w:vAlign w:val="top"/>
          </w:tcPr>
          <w:p w14:paraId="6563120F">
            <w:pPr>
              <w:pStyle w:val="68"/>
              <w:spacing w:before="36" w:line="220" w:lineRule="auto"/>
              <w:ind w:left="15"/>
              <w:rPr>
                <w:rFonts w:hint="eastAsia"/>
                <w:color w:val="auto"/>
                <w:highlight w:val="none"/>
                <w:lang w:eastAsia="zh-CN"/>
              </w:rPr>
            </w:pPr>
            <w:r>
              <w:rPr>
                <w:color w:val="auto"/>
                <w:spacing w:val="-3"/>
                <w:highlight w:val="none"/>
                <w:lang w:eastAsia="zh-CN"/>
              </w:rPr>
              <w:t>系统启动或停止均平稳无撞击。</w:t>
            </w:r>
          </w:p>
        </w:tc>
      </w:tr>
      <w:tr w14:paraId="6A7A42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noWrap w:val="0"/>
            <w:vAlign w:val="center"/>
          </w:tcPr>
          <w:p w14:paraId="76E019CB">
            <w:pPr>
              <w:pStyle w:val="68"/>
              <w:spacing w:before="34" w:line="221" w:lineRule="auto"/>
              <w:jc w:val="center"/>
              <w:rPr>
                <w:rFonts w:hint="eastAsia"/>
                <w:color w:val="auto"/>
                <w:highlight w:val="none"/>
              </w:rPr>
            </w:pPr>
            <w:r>
              <w:rPr>
                <w:color w:val="auto"/>
                <w:spacing w:val="-4"/>
                <w:highlight w:val="none"/>
              </w:rPr>
              <w:t>1.5.安全性</w:t>
            </w:r>
          </w:p>
        </w:tc>
        <w:tc>
          <w:tcPr>
            <w:tcW w:w="7694" w:type="dxa"/>
            <w:noWrap w:val="0"/>
            <w:vAlign w:val="top"/>
          </w:tcPr>
          <w:p w14:paraId="52A9E08C">
            <w:pPr>
              <w:pStyle w:val="68"/>
              <w:spacing w:before="34" w:line="219" w:lineRule="auto"/>
              <w:ind w:left="15"/>
              <w:rPr>
                <w:rFonts w:hint="eastAsia"/>
                <w:color w:val="auto"/>
                <w:highlight w:val="none"/>
                <w:lang w:eastAsia="zh-CN"/>
              </w:rPr>
            </w:pPr>
            <w:r>
              <w:rPr>
                <w:color w:val="auto"/>
                <w:spacing w:val="-1"/>
                <w:highlight w:val="none"/>
                <w:lang w:eastAsia="zh-CN"/>
              </w:rPr>
              <w:t>系统无润滑油泄露、无超标噪声污染，系统不对其他设备产生电磁干扰；</w:t>
            </w:r>
          </w:p>
        </w:tc>
      </w:tr>
      <w:tr w14:paraId="66843B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5" w:hRule="atLeast"/>
        </w:trPr>
        <w:tc>
          <w:tcPr>
            <w:tcW w:w="1561" w:type="dxa"/>
            <w:noWrap w:val="0"/>
            <w:vAlign w:val="center"/>
          </w:tcPr>
          <w:p w14:paraId="0DEA67A0">
            <w:pPr>
              <w:pStyle w:val="68"/>
              <w:spacing w:before="221" w:line="290" w:lineRule="auto"/>
              <w:ind w:right="58"/>
              <w:jc w:val="center"/>
              <w:rPr>
                <w:rFonts w:hint="eastAsia"/>
                <w:color w:val="auto"/>
                <w:highlight w:val="none"/>
              </w:rPr>
            </w:pPr>
            <w:r>
              <w:rPr>
                <w:color w:val="auto"/>
                <w:spacing w:val="-4"/>
                <w:highlight w:val="none"/>
              </w:rPr>
              <w:t>1.6.稳定性保</w:t>
            </w:r>
            <w:r>
              <w:rPr>
                <w:color w:val="auto"/>
                <w:highlight w:val="none"/>
              </w:rPr>
              <w:t>障</w:t>
            </w:r>
          </w:p>
        </w:tc>
        <w:tc>
          <w:tcPr>
            <w:tcW w:w="7694" w:type="dxa"/>
            <w:noWrap w:val="0"/>
            <w:vAlign w:val="top"/>
          </w:tcPr>
          <w:p w14:paraId="3B379A20">
            <w:pPr>
              <w:pStyle w:val="68"/>
              <w:spacing w:before="34" w:line="277" w:lineRule="auto"/>
              <w:ind w:left="11" w:right="7" w:firstLine="3"/>
              <w:jc w:val="both"/>
              <w:rPr>
                <w:rFonts w:hint="eastAsia"/>
                <w:color w:val="auto"/>
                <w:highlight w:val="none"/>
                <w:lang w:eastAsia="zh-CN"/>
              </w:rPr>
            </w:pPr>
            <w:r>
              <w:rPr>
                <w:color w:val="auto"/>
                <w:spacing w:val="7"/>
                <w:highlight w:val="none"/>
                <w:lang w:eastAsia="zh-CN"/>
              </w:rPr>
              <w:t>系统易管理易维护、易升级，系统具有故障恢复能力，传输中如发</w:t>
            </w:r>
            <w:r>
              <w:rPr>
                <w:color w:val="auto"/>
                <w:spacing w:val="6"/>
                <w:highlight w:val="none"/>
                <w:lang w:eastAsia="zh-CN"/>
              </w:rPr>
              <w:t>生断</w:t>
            </w:r>
            <w:r>
              <w:rPr>
                <w:color w:val="auto"/>
                <w:highlight w:val="none"/>
                <w:lang w:eastAsia="zh-CN"/>
              </w:rPr>
              <w:t>电，数据不会丢失，来电后继续完成原定传输</w:t>
            </w:r>
            <w:r>
              <w:rPr>
                <w:color w:val="auto"/>
                <w:spacing w:val="-1"/>
                <w:highlight w:val="none"/>
                <w:lang w:eastAsia="zh-CN"/>
              </w:rPr>
              <w:t>指令，整机系统具有故障自</w:t>
            </w:r>
            <w:r>
              <w:rPr>
                <w:color w:val="auto"/>
                <w:spacing w:val="-9"/>
                <w:highlight w:val="none"/>
                <w:lang w:eastAsia="zh-CN"/>
              </w:rPr>
              <w:t>诊功能。</w:t>
            </w:r>
          </w:p>
        </w:tc>
      </w:tr>
      <w:tr w14:paraId="1FD66D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5" w:hRule="atLeast"/>
        </w:trPr>
        <w:tc>
          <w:tcPr>
            <w:tcW w:w="1561" w:type="dxa"/>
            <w:noWrap w:val="0"/>
            <w:vAlign w:val="center"/>
          </w:tcPr>
          <w:p w14:paraId="74A5AA32">
            <w:pPr>
              <w:pStyle w:val="68"/>
              <w:spacing w:before="78" w:line="220" w:lineRule="auto"/>
              <w:jc w:val="center"/>
              <w:rPr>
                <w:rFonts w:hint="eastAsia"/>
                <w:color w:val="auto"/>
                <w:highlight w:val="none"/>
              </w:rPr>
            </w:pPr>
            <w:r>
              <w:rPr>
                <w:color w:val="auto"/>
                <w:spacing w:val="-3"/>
                <w:highlight w:val="none"/>
              </w:rPr>
              <w:t>1.7.防火性能</w:t>
            </w:r>
          </w:p>
        </w:tc>
        <w:tc>
          <w:tcPr>
            <w:tcW w:w="7694" w:type="dxa"/>
            <w:noWrap w:val="0"/>
            <w:vAlign w:val="top"/>
          </w:tcPr>
          <w:p w14:paraId="22F91F6C">
            <w:pPr>
              <w:pStyle w:val="68"/>
              <w:spacing w:before="34" w:line="277" w:lineRule="auto"/>
              <w:ind w:left="19" w:right="7" w:hanging="8"/>
              <w:jc w:val="both"/>
              <w:rPr>
                <w:color w:val="auto"/>
                <w:spacing w:val="-1"/>
                <w:highlight w:val="none"/>
                <w:lang w:eastAsia="zh-CN"/>
              </w:rPr>
            </w:pPr>
            <w:r>
              <w:rPr>
                <w:color w:val="auto"/>
                <w:highlight w:val="none"/>
                <w:lang w:eastAsia="zh-CN"/>
              </w:rPr>
              <w:t>垂直分拣机工作站出入口，均安装自动防火设</w:t>
            </w:r>
            <w:r>
              <w:rPr>
                <w:color w:val="auto"/>
                <w:spacing w:val="-1"/>
                <w:highlight w:val="none"/>
                <w:lang w:eastAsia="zh-CN"/>
              </w:rPr>
              <w:t>备，保证站点收发周转箱时能自动开启或关闭，防火设备材料、防火等级、耐火等级等条件需满足消防规范要求，耐火完整性≥120min、耐火热通量≥60min</w:t>
            </w:r>
            <w:r>
              <w:rPr>
                <w:rFonts w:hint="eastAsia"/>
                <w:color w:val="auto"/>
                <w:spacing w:val="-1"/>
                <w:highlight w:val="none"/>
                <w:lang w:eastAsia="zh-CN"/>
              </w:rPr>
              <w:t>。</w:t>
            </w:r>
          </w:p>
          <w:p w14:paraId="3DB6A731">
            <w:pPr>
              <w:pStyle w:val="68"/>
              <w:spacing w:before="34" w:line="277" w:lineRule="auto"/>
              <w:ind w:left="19" w:right="7" w:hanging="8"/>
              <w:jc w:val="both"/>
              <w:rPr>
                <w:rFonts w:hint="eastAsia"/>
                <w:b/>
                <w:bCs/>
                <w:color w:val="auto"/>
                <w:spacing w:val="-3"/>
                <w:highlight w:val="none"/>
                <w:lang w:eastAsia="zh-CN"/>
              </w:rPr>
            </w:pPr>
            <w:r>
              <w:rPr>
                <w:rFonts w:hint="eastAsia" w:ascii="宋体" w:hAnsi="宋体" w:eastAsia="宋体" w:cs="宋体"/>
                <w:b/>
                <w:bCs/>
                <w:color w:val="auto"/>
                <w:sz w:val="24"/>
                <w:szCs w:val="24"/>
                <w:highlight w:val="none"/>
                <w:lang w:eastAsia="zh-CN"/>
              </w:rPr>
              <w:t>承诺中标后提供检测报告（承诺函格式自拟）</w:t>
            </w:r>
            <w:r>
              <w:rPr>
                <w:b/>
                <w:bCs/>
                <w:color w:val="auto"/>
                <w:spacing w:val="-3"/>
                <w:highlight w:val="none"/>
                <w:lang w:eastAsia="zh-CN"/>
              </w:rPr>
              <w:t>。</w:t>
            </w:r>
          </w:p>
        </w:tc>
      </w:tr>
      <w:tr w14:paraId="1A3DB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561" w:type="dxa"/>
            <w:noWrap w:val="0"/>
            <w:vAlign w:val="center"/>
          </w:tcPr>
          <w:p w14:paraId="1B9FD363">
            <w:pPr>
              <w:pStyle w:val="68"/>
              <w:spacing w:before="222" w:line="220" w:lineRule="auto"/>
              <w:jc w:val="center"/>
              <w:rPr>
                <w:rFonts w:hint="eastAsia"/>
                <w:color w:val="auto"/>
                <w:highlight w:val="none"/>
              </w:rPr>
            </w:pPr>
            <w:r>
              <w:rPr>
                <w:rFonts w:hint="eastAsia" w:ascii="仿宋" w:hAnsi="仿宋" w:eastAsia="仿宋" w:cs="仿宋"/>
                <w:color w:val="auto"/>
                <w:spacing w:val="-5"/>
                <w:highlight w:val="none"/>
              </w:rPr>
              <w:t>▲</w:t>
            </w:r>
            <w:r>
              <w:rPr>
                <w:color w:val="auto"/>
                <w:spacing w:val="-3"/>
                <w:highlight w:val="none"/>
              </w:rPr>
              <w:t>1.8效率</w:t>
            </w:r>
          </w:p>
        </w:tc>
        <w:tc>
          <w:tcPr>
            <w:tcW w:w="7694" w:type="dxa"/>
            <w:noWrap w:val="0"/>
            <w:vAlign w:val="top"/>
          </w:tcPr>
          <w:p w14:paraId="5DA4260D">
            <w:pPr>
              <w:pStyle w:val="68"/>
              <w:spacing w:before="35" w:line="272" w:lineRule="auto"/>
              <w:ind w:left="10" w:right="126"/>
              <w:rPr>
                <w:color w:val="auto"/>
                <w:spacing w:val="-1"/>
                <w:highlight w:val="none"/>
                <w:lang w:eastAsia="zh-CN"/>
              </w:rPr>
            </w:pPr>
            <w:r>
              <w:rPr>
                <w:rFonts w:hint="eastAsia"/>
                <w:color w:val="auto"/>
                <w:highlight w:val="none"/>
                <w:lang w:eastAsia="zh-CN"/>
              </w:rPr>
              <w:t>垂直分拣系统在高峰时段支持单次运送4个周转箱输送功能，保证高峰时间段的使用效率。垂直提升系统载重需大于200KG以上。高峰时要求输送量大的垂直梯，提升机最高速度≥</w:t>
            </w:r>
            <w:r>
              <w:rPr>
                <w:rFonts w:hint="eastAsia"/>
                <w:color w:val="auto"/>
                <w:highlight w:val="none"/>
                <w:lang w:val="en-US" w:eastAsia="zh-CN"/>
              </w:rPr>
              <w:t>3</w:t>
            </w:r>
            <w:r>
              <w:rPr>
                <w:rFonts w:hint="eastAsia"/>
                <w:color w:val="auto"/>
                <w:highlight w:val="none"/>
                <w:lang w:eastAsia="zh-CN"/>
              </w:rPr>
              <w:t>m/s在一个往复循环内传送至垂直方向上的不同目的地。</w:t>
            </w:r>
            <w:r>
              <w:rPr>
                <w:color w:val="auto"/>
                <w:highlight w:val="none"/>
                <w:lang w:eastAsia="zh-CN"/>
              </w:rPr>
              <w:t>提升效率</w:t>
            </w:r>
            <w:r>
              <w:rPr>
                <w:rFonts w:hint="eastAsia"/>
                <w:color w:val="auto"/>
                <w:highlight w:val="none"/>
                <w:lang w:eastAsia="zh-CN"/>
              </w:rPr>
              <w:t>≥</w:t>
            </w:r>
            <w:r>
              <w:rPr>
                <w:color w:val="auto"/>
                <w:highlight w:val="none"/>
                <w:lang w:eastAsia="zh-CN"/>
              </w:rPr>
              <w:t>220箱/小时;水平传输</w:t>
            </w:r>
            <w:r>
              <w:rPr>
                <w:color w:val="auto"/>
                <w:spacing w:val="-1"/>
                <w:highlight w:val="none"/>
                <w:lang w:eastAsia="zh-CN"/>
              </w:rPr>
              <w:t>速度≥</w:t>
            </w:r>
            <w:r>
              <w:rPr>
                <w:rFonts w:hint="eastAsia"/>
                <w:color w:val="auto"/>
                <w:spacing w:val="-1"/>
                <w:highlight w:val="none"/>
                <w:lang w:val="en-US" w:eastAsia="zh-CN"/>
              </w:rPr>
              <w:t>1</w:t>
            </w:r>
            <w:r>
              <w:rPr>
                <w:color w:val="auto"/>
                <w:spacing w:val="-1"/>
                <w:highlight w:val="none"/>
                <w:lang w:eastAsia="zh-CN"/>
              </w:rPr>
              <w:t>.5m/s,通过率≥1000箱/小时</w:t>
            </w:r>
          </w:p>
          <w:p w14:paraId="1D1E0DA8">
            <w:pPr>
              <w:pStyle w:val="68"/>
              <w:spacing w:before="35" w:line="272" w:lineRule="auto"/>
              <w:ind w:left="10" w:right="126"/>
              <w:rPr>
                <w:rFonts w:hint="eastAsia" w:eastAsia="宋体"/>
                <w:color w:val="auto"/>
                <w:spacing w:val="-1"/>
                <w:highlight w:val="none"/>
                <w:lang w:eastAsia="zh-CN"/>
              </w:rPr>
            </w:pPr>
            <w:r>
              <w:rPr>
                <w:rFonts w:hint="eastAsia" w:ascii="宋体" w:hAnsi="宋体" w:eastAsia="宋体" w:cs="宋体"/>
                <w:b/>
                <w:bCs/>
                <w:color w:val="auto"/>
                <w:sz w:val="24"/>
                <w:szCs w:val="24"/>
                <w:highlight w:val="none"/>
                <w:lang w:eastAsia="zh-CN"/>
              </w:rPr>
              <w:t>承诺中标后提供检测报告（承诺函格式自拟）</w:t>
            </w:r>
          </w:p>
        </w:tc>
      </w:tr>
      <w:tr w14:paraId="62F23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9255" w:type="dxa"/>
            <w:gridSpan w:val="2"/>
            <w:noWrap w:val="0"/>
            <w:vAlign w:val="top"/>
          </w:tcPr>
          <w:p w14:paraId="59DB566B">
            <w:pPr>
              <w:pStyle w:val="68"/>
              <w:spacing w:before="35" w:line="220" w:lineRule="auto"/>
              <w:ind w:left="17"/>
              <w:rPr>
                <w:rFonts w:hint="eastAsia"/>
                <w:color w:val="auto"/>
                <w:highlight w:val="none"/>
                <w:lang w:eastAsia="zh-CN"/>
              </w:rPr>
            </w:pPr>
            <w:r>
              <w:rPr>
                <w:b/>
                <w:bCs/>
                <w:color w:val="auto"/>
                <w:spacing w:val="-3"/>
                <w:highlight w:val="none"/>
                <w:lang w:eastAsia="zh-CN"/>
              </w:rPr>
              <w:t>二、中型箱式物流主要技术要求</w:t>
            </w:r>
          </w:p>
        </w:tc>
      </w:tr>
      <w:tr w14:paraId="2B002B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0" w:hRule="atLeast"/>
        </w:trPr>
        <w:tc>
          <w:tcPr>
            <w:tcW w:w="1561" w:type="dxa"/>
            <w:noWrap w:val="0"/>
            <w:vAlign w:val="center"/>
          </w:tcPr>
          <w:p w14:paraId="36006D36">
            <w:pPr>
              <w:pStyle w:val="68"/>
              <w:spacing w:before="78" w:line="225" w:lineRule="auto"/>
              <w:jc w:val="center"/>
              <w:rPr>
                <w:rFonts w:hint="eastAsia"/>
                <w:color w:val="auto"/>
                <w:highlight w:val="none"/>
              </w:rPr>
            </w:pPr>
            <w:r>
              <w:rPr>
                <w:color w:val="auto"/>
                <w:spacing w:val="-5"/>
                <w:highlight w:val="none"/>
              </w:rPr>
              <w:t>1.总述</w:t>
            </w:r>
          </w:p>
        </w:tc>
        <w:tc>
          <w:tcPr>
            <w:tcW w:w="7694" w:type="dxa"/>
            <w:noWrap w:val="0"/>
            <w:vAlign w:val="top"/>
          </w:tcPr>
          <w:p w14:paraId="227BC16C">
            <w:pPr>
              <w:pStyle w:val="68"/>
              <w:spacing w:before="39" w:line="279" w:lineRule="auto"/>
              <w:ind w:left="11" w:right="6" w:firstLine="3"/>
              <w:jc w:val="both"/>
              <w:rPr>
                <w:rFonts w:hint="eastAsia"/>
                <w:color w:val="auto"/>
                <w:highlight w:val="none"/>
                <w:lang w:eastAsia="zh-CN"/>
              </w:rPr>
            </w:pPr>
            <w:r>
              <w:rPr>
                <w:color w:val="auto"/>
                <w:spacing w:val="-1"/>
                <w:highlight w:val="none"/>
                <w:lang w:eastAsia="zh-CN"/>
              </w:rPr>
              <w:t>系统组成：系统由工作站点、水平传输分拣系统、垂直传输分拣系统、中</w:t>
            </w:r>
            <w:r>
              <w:rPr>
                <w:color w:val="auto"/>
                <w:highlight w:val="none"/>
                <w:lang w:eastAsia="zh-CN"/>
              </w:rPr>
              <w:t>型物流站点人机交互系统、中型物流电控系统</w:t>
            </w:r>
            <w:r>
              <w:rPr>
                <w:color w:val="auto"/>
                <w:spacing w:val="-1"/>
                <w:highlight w:val="none"/>
                <w:lang w:eastAsia="zh-CN"/>
              </w:rPr>
              <w:t>、中型物流智慧调度控制平台、中型物流</w:t>
            </w:r>
            <w:r>
              <w:rPr>
                <w:color w:val="auto"/>
                <w:spacing w:val="-50"/>
                <w:highlight w:val="none"/>
                <w:lang w:eastAsia="zh-CN"/>
              </w:rPr>
              <w:t xml:space="preserve"> </w:t>
            </w:r>
            <w:r>
              <w:rPr>
                <w:color w:val="auto"/>
                <w:spacing w:val="-1"/>
                <w:highlight w:val="none"/>
                <w:lang w:eastAsia="zh-CN"/>
              </w:rPr>
              <w:t>SCADA</w:t>
            </w:r>
            <w:r>
              <w:rPr>
                <w:color w:val="auto"/>
                <w:spacing w:val="-47"/>
                <w:highlight w:val="none"/>
                <w:lang w:eastAsia="zh-CN"/>
              </w:rPr>
              <w:t xml:space="preserve"> </w:t>
            </w:r>
            <w:r>
              <w:rPr>
                <w:color w:val="auto"/>
                <w:spacing w:val="-1"/>
                <w:highlight w:val="none"/>
                <w:lang w:eastAsia="zh-CN"/>
              </w:rPr>
              <w:t>设备监控系统、中型物流信息管理平台、中型物流移</w:t>
            </w:r>
            <w:r>
              <w:rPr>
                <w:color w:val="auto"/>
                <w:spacing w:val="-2"/>
                <w:highlight w:val="none"/>
                <w:lang w:eastAsia="zh-CN"/>
              </w:rPr>
              <w:t>动端信息平台组成；</w:t>
            </w:r>
          </w:p>
        </w:tc>
      </w:tr>
      <w:tr w14:paraId="469EC7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255" w:type="dxa"/>
            <w:gridSpan w:val="2"/>
            <w:noWrap w:val="0"/>
            <w:vAlign w:val="top"/>
          </w:tcPr>
          <w:p w14:paraId="29757A83">
            <w:pPr>
              <w:pStyle w:val="68"/>
              <w:spacing w:before="37" w:line="220" w:lineRule="auto"/>
              <w:ind w:left="16"/>
              <w:rPr>
                <w:rFonts w:hint="eastAsia"/>
                <w:color w:val="auto"/>
                <w:highlight w:val="none"/>
              </w:rPr>
            </w:pPr>
            <w:r>
              <w:rPr>
                <w:color w:val="auto"/>
                <w:spacing w:val="-3"/>
                <w:highlight w:val="none"/>
              </w:rPr>
              <w:t>2.工作站点</w:t>
            </w:r>
          </w:p>
        </w:tc>
      </w:tr>
      <w:tr w14:paraId="4EEB81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noWrap w:val="0"/>
            <w:vAlign w:val="center"/>
          </w:tcPr>
          <w:p w14:paraId="056FD0FE">
            <w:pPr>
              <w:pStyle w:val="68"/>
              <w:spacing w:before="37" w:line="239" w:lineRule="auto"/>
              <w:jc w:val="center"/>
              <w:rPr>
                <w:rFonts w:hint="eastAsia"/>
                <w:color w:val="auto"/>
                <w:highlight w:val="none"/>
              </w:rPr>
            </w:pPr>
            <w:r>
              <w:rPr>
                <w:color w:val="auto"/>
                <w:spacing w:val="-3"/>
                <w:highlight w:val="none"/>
              </w:rPr>
              <w:t>2.1</w:t>
            </w:r>
          </w:p>
        </w:tc>
        <w:tc>
          <w:tcPr>
            <w:tcW w:w="7694" w:type="dxa"/>
            <w:noWrap w:val="0"/>
            <w:vAlign w:val="top"/>
          </w:tcPr>
          <w:p w14:paraId="1515BCAF">
            <w:pPr>
              <w:pStyle w:val="68"/>
              <w:spacing w:before="36" w:line="220" w:lineRule="auto"/>
              <w:ind w:left="10"/>
              <w:rPr>
                <w:rFonts w:hint="eastAsia"/>
                <w:color w:val="auto"/>
                <w:highlight w:val="none"/>
              </w:rPr>
            </w:pPr>
            <w:r>
              <w:rPr>
                <w:color w:val="auto"/>
                <w:spacing w:val="-2"/>
                <w:highlight w:val="none"/>
              </w:rPr>
              <w:t>通用技术要求</w:t>
            </w:r>
          </w:p>
        </w:tc>
      </w:tr>
      <w:tr w14:paraId="25CB54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1561" w:type="dxa"/>
            <w:noWrap w:val="0"/>
            <w:vAlign w:val="center"/>
          </w:tcPr>
          <w:p w14:paraId="3B93387D">
            <w:pPr>
              <w:pStyle w:val="68"/>
              <w:spacing w:before="78" w:line="239" w:lineRule="auto"/>
              <w:jc w:val="center"/>
              <w:rPr>
                <w:rFonts w:hint="eastAsia"/>
                <w:color w:val="auto"/>
                <w:highlight w:val="none"/>
              </w:rPr>
            </w:pPr>
            <w:r>
              <w:rPr>
                <w:color w:val="auto"/>
                <w:spacing w:val="-2"/>
                <w:highlight w:val="none"/>
              </w:rPr>
              <w:t>2.1.1</w:t>
            </w:r>
          </w:p>
        </w:tc>
        <w:tc>
          <w:tcPr>
            <w:tcW w:w="7694" w:type="dxa"/>
            <w:noWrap w:val="0"/>
            <w:vAlign w:val="center"/>
          </w:tcPr>
          <w:p w14:paraId="4CA4F9C7">
            <w:pPr>
              <w:pStyle w:val="68"/>
              <w:spacing w:before="36" w:line="219" w:lineRule="auto"/>
              <w:ind w:left="13"/>
              <w:jc w:val="both"/>
              <w:rPr>
                <w:rFonts w:hint="eastAsia"/>
                <w:color w:val="auto"/>
                <w:highlight w:val="none"/>
                <w:lang w:eastAsia="zh-CN"/>
              </w:rPr>
            </w:pPr>
            <w:r>
              <w:rPr>
                <w:color w:val="auto"/>
                <w:highlight w:val="none"/>
                <w:lang w:eastAsia="zh-CN"/>
              </w:rPr>
              <w:t>工作站点采用钢制框架结构，装饰面材质采</w:t>
            </w:r>
            <w:r>
              <w:rPr>
                <w:color w:val="auto"/>
                <w:spacing w:val="-1"/>
                <w:highlight w:val="none"/>
                <w:lang w:eastAsia="zh-CN"/>
              </w:rPr>
              <w:t>用轻质铝合金材质或碳钢喷</w:t>
            </w:r>
          </w:p>
          <w:p w14:paraId="0CECA08C">
            <w:pPr>
              <w:pStyle w:val="68"/>
              <w:spacing w:before="89" w:line="276" w:lineRule="auto"/>
              <w:ind w:left="9" w:right="6" w:firstLine="5"/>
              <w:jc w:val="both"/>
              <w:rPr>
                <w:rFonts w:hint="eastAsia"/>
                <w:color w:val="auto"/>
                <w:highlight w:val="none"/>
                <w:lang w:eastAsia="zh-CN"/>
              </w:rPr>
            </w:pPr>
            <w:r>
              <w:rPr>
                <w:color w:val="auto"/>
                <w:spacing w:val="-1"/>
                <w:highlight w:val="none"/>
                <w:lang w:eastAsia="zh-CN"/>
              </w:rPr>
              <w:t>塑，周转箱接触工作面采用耐磨不锈钢防擦耐磨结构设计，经久耐用。金属材质需做防锈、防腐工艺处理，不得采用易腐蚀、易老化、不美观、强</w:t>
            </w:r>
            <w:r>
              <w:rPr>
                <w:color w:val="auto"/>
                <w:spacing w:val="-4"/>
                <w:highlight w:val="none"/>
                <w:lang w:eastAsia="zh-CN"/>
              </w:rPr>
              <w:t>度低、不耐久的产品。</w:t>
            </w:r>
          </w:p>
        </w:tc>
      </w:tr>
      <w:tr w14:paraId="76DD3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noWrap w:val="0"/>
            <w:vAlign w:val="center"/>
          </w:tcPr>
          <w:p w14:paraId="5F1EF5BE">
            <w:pPr>
              <w:pStyle w:val="68"/>
              <w:spacing w:before="37" w:line="239" w:lineRule="auto"/>
              <w:jc w:val="center"/>
              <w:rPr>
                <w:rFonts w:hint="eastAsia"/>
                <w:color w:val="auto"/>
                <w:highlight w:val="none"/>
              </w:rPr>
            </w:pPr>
            <w:r>
              <w:rPr>
                <w:color w:val="auto"/>
                <w:spacing w:val="-2"/>
                <w:highlight w:val="none"/>
              </w:rPr>
              <w:t>2.1.2</w:t>
            </w:r>
          </w:p>
        </w:tc>
        <w:tc>
          <w:tcPr>
            <w:tcW w:w="7694" w:type="dxa"/>
            <w:noWrap w:val="0"/>
            <w:vAlign w:val="top"/>
          </w:tcPr>
          <w:p w14:paraId="2574896D">
            <w:pPr>
              <w:pStyle w:val="68"/>
              <w:spacing w:before="36" w:line="220" w:lineRule="auto"/>
              <w:ind w:left="13"/>
              <w:rPr>
                <w:rFonts w:hint="eastAsia"/>
                <w:color w:val="auto"/>
                <w:highlight w:val="none"/>
                <w:lang w:eastAsia="zh-CN"/>
              </w:rPr>
            </w:pPr>
            <w:r>
              <w:rPr>
                <w:color w:val="auto"/>
                <w:spacing w:val="-2"/>
                <w:highlight w:val="none"/>
                <w:lang w:eastAsia="zh-CN"/>
              </w:rPr>
              <w:t>工作站点的发箱和收箱操作过程高度符合人体工程学便于人员操作。</w:t>
            </w:r>
          </w:p>
        </w:tc>
      </w:tr>
      <w:tr w14:paraId="71D398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561" w:type="dxa"/>
            <w:noWrap w:val="0"/>
            <w:vAlign w:val="center"/>
          </w:tcPr>
          <w:p w14:paraId="3B1E0B63">
            <w:pPr>
              <w:pStyle w:val="68"/>
              <w:spacing w:before="224" w:line="239" w:lineRule="auto"/>
              <w:jc w:val="center"/>
              <w:rPr>
                <w:rFonts w:hint="eastAsia"/>
                <w:color w:val="auto"/>
                <w:highlight w:val="none"/>
              </w:rPr>
            </w:pPr>
            <w:r>
              <w:rPr>
                <w:color w:val="auto"/>
                <w:spacing w:val="-2"/>
                <w:highlight w:val="none"/>
              </w:rPr>
              <w:t>2.1.3</w:t>
            </w:r>
          </w:p>
        </w:tc>
        <w:tc>
          <w:tcPr>
            <w:tcW w:w="7694" w:type="dxa"/>
            <w:noWrap w:val="0"/>
            <w:vAlign w:val="top"/>
          </w:tcPr>
          <w:p w14:paraId="775CF789">
            <w:pPr>
              <w:pStyle w:val="68"/>
              <w:spacing w:before="36" w:line="271" w:lineRule="auto"/>
              <w:ind w:left="13" w:right="7"/>
              <w:rPr>
                <w:rFonts w:hint="eastAsia"/>
                <w:color w:val="auto"/>
                <w:highlight w:val="none"/>
                <w:lang w:eastAsia="zh-CN"/>
              </w:rPr>
            </w:pPr>
            <w:r>
              <w:rPr>
                <w:color w:val="auto"/>
                <w:spacing w:val="-1"/>
                <w:highlight w:val="none"/>
                <w:lang w:eastAsia="zh-CN"/>
              </w:rPr>
              <w:t>为满足狭窄空间的使用需求，工作站下层结构除支持正面取箱外，还需支</w:t>
            </w:r>
            <w:r>
              <w:rPr>
                <w:color w:val="auto"/>
                <w:spacing w:val="-7"/>
                <w:highlight w:val="none"/>
                <w:lang w:eastAsia="zh-CN"/>
              </w:rPr>
              <w:t>持人员从侧面取箱；</w:t>
            </w:r>
          </w:p>
        </w:tc>
      </w:tr>
      <w:tr w14:paraId="1AB0A4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561" w:type="dxa"/>
            <w:noWrap w:val="0"/>
            <w:vAlign w:val="center"/>
          </w:tcPr>
          <w:p w14:paraId="49453512">
            <w:pPr>
              <w:pStyle w:val="68"/>
              <w:spacing w:before="225" w:line="239" w:lineRule="auto"/>
              <w:jc w:val="center"/>
              <w:rPr>
                <w:rFonts w:hint="eastAsia"/>
                <w:color w:val="auto"/>
                <w:highlight w:val="none"/>
              </w:rPr>
            </w:pPr>
            <w:r>
              <w:rPr>
                <w:color w:val="auto"/>
                <w:spacing w:val="-2"/>
                <w:highlight w:val="none"/>
              </w:rPr>
              <w:t>2.1.4</w:t>
            </w:r>
          </w:p>
        </w:tc>
        <w:tc>
          <w:tcPr>
            <w:tcW w:w="7694" w:type="dxa"/>
            <w:noWrap w:val="0"/>
            <w:vAlign w:val="top"/>
          </w:tcPr>
          <w:p w14:paraId="05EBAB02">
            <w:pPr>
              <w:pStyle w:val="68"/>
              <w:spacing w:before="41" w:line="270" w:lineRule="auto"/>
              <w:ind w:left="12" w:right="7" w:hanging="1"/>
              <w:rPr>
                <w:rFonts w:hint="default"/>
                <w:color w:val="auto"/>
                <w:highlight w:val="none"/>
                <w:lang w:val="en-US" w:eastAsia="zh-CN"/>
              </w:rPr>
            </w:pPr>
            <w:r>
              <w:rPr>
                <w:color w:val="auto"/>
                <w:highlight w:val="none"/>
                <w:lang w:eastAsia="zh-CN"/>
              </w:rPr>
              <w:t>标准工作站点采用上下双层收发结构，每层可</w:t>
            </w:r>
            <w:r>
              <w:rPr>
                <w:color w:val="auto"/>
                <w:spacing w:val="-1"/>
                <w:highlight w:val="none"/>
                <w:lang w:eastAsia="zh-CN"/>
              </w:rPr>
              <w:t>以实现单次发送两个周转箱</w:t>
            </w:r>
            <w:r>
              <w:rPr>
                <w:color w:val="auto"/>
                <w:spacing w:val="-4"/>
                <w:highlight w:val="none"/>
                <w:lang w:eastAsia="zh-CN"/>
              </w:rPr>
              <w:t>或单次接收两个周转箱的实际使用需求；</w:t>
            </w:r>
            <w:r>
              <w:rPr>
                <w:rFonts w:hint="eastAsia"/>
                <w:color w:val="auto"/>
                <w:spacing w:val="-4"/>
                <w:highlight w:val="none"/>
                <w:lang w:val="en-US" w:eastAsia="zh-CN"/>
              </w:rPr>
              <w:t xml:space="preserve"> </w:t>
            </w:r>
          </w:p>
        </w:tc>
      </w:tr>
      <w:tr w14:paraId="6744FD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561" w:type="dxa"/>
            <w:noWrap w:val="0"/>
            <w:vAlign w:val="center"/>
          </w:tcPr>
          <w:p w14:paraId="59E43133">
            <w:pPr>
              <w:pStyle w:val="68"/>
              <w:spacing w:before="225" w:line="239" w:lineRule="auto"/>
              <w:jc w:val="center"/>
              <w:rPr>
                <w:rFonts w:hint="eastAsia"/>
                <w:color w:val="auto"/>
                <w:highlight w:val="none"/>
              </w:rPr>
            </w:pPr>
            <w:r>
              <w:rPr>
                <w:color w:val="auto"/>
                <w:spacing w:val="-2"/>
                <w:highlight w:val="none"/>
              </w:rPr>
              <w:t>2.1.5</w:t>
            </w:r>
          </w:p>
        </w:tc>
        <w:tc>
          <w:tcPr>
            <w:tcW w:w="7694" w:type="dxa"/>
            <w:noWrap w:val="0"/>
            <w:vAlign w:val="top"/>
          </w:tcPr>
          <w:p w14:paraId="0CD40DDD">
            <w:pPr>
              <w:pStyle w:val="68"/>
              <w:spacing w:before="39" w:line="270" w:lineRule="auto"/>
              <w:ind w:left="14" w:right="7" w:hanging="1"/>
              <w:rPr>
                <w:rFonts w:hint="eastAsia"/>
                <w:color w:val="auto"/>
                <w:highlight w:val="none"/>
                <w:lang w:eastAsia="zh-CN"/>
              </w:rPr>
            </w:pPr>
            <w:r>
              <w:rPr>
                <w:color w:val="auto"/>
                <w:spacing w:val="-1"/>
                <w:highlight w:val="none"/>
                <w:lang w:eastAsia="zh-CN"/>
              </w:rPr>
              <w:t>工作站点采用静音电辊筒驱动方式，辊筒需做包胶工艺，设备运行噪音≤</w:t>
            </w:r>
            <w:r>
              <w:rPr>
                <w:color w:val="auto"/>
                <w:spacing w:val="18"/>
                <w:highlight w:val="none"/>
                <w:lang w:eastAsia="zh-CN"/>
              </w:rPr>
              <w:t xml:space="preserve"> </w:t>
            </w:r>
            <w:r>
              <w:rPr>
                <w:color w:val="auto"/>
                <w:spacing w:val="-3"/>
                <w:highlight w:val="none"/>
                <w:lang w:eastAsia="zh-CN"/>
              </w:rPr>
              <w:t>50dB；</w:t>
            </w:r>
          </w:p>
        </w:tc>
      </w:tr>
      <w:tr w14:paraId="6E798F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5" w:hRule="atLeast"/>
        </w:trPr>
        <w:tc>
          <w:tcPr>
            <w:tcW w:w="1561" w:type="dxa"/>
            <w:noWrap w:val="0"/>
            <w:vAlign w:val="center"/>
          </w:tcPr>
          <w:p w14:paraId="54D59036">
            <w:pPr>
              <w:pStyle w:val="68"/>
              <w:spacing w:before="78" w:line="239" w:lineRule="auto"/>
              <w:jc w:val="center"/>
              <w:rPr>
                <w:rFonts w:hint="eastAsia"/>
                <w:color w:val="auto"/>
                <w:highlight w:val="none"/>
              </w:rPr>
            </w:pPr>
            <w:r>
              <w:rPr>
                <w:color w:val="auto"/>
                <w:spacing w:val="-2"/>
                <w:highlight w:val="none"/>
              </w:rPr>
              <w:t>2.1.6</w:t>
            </w:r>
          </w:p>
        </w:tc>
        <w:tc>
          <w:tcPr>
            <w:tcW w:w="7694" w:type="dxa"/>
            <w:noWrap w:val="0"/>
            <w:vAlign w:val="top"/>
          </w:tcPr>
          <w:p w14:paraId="38DEF8F7">
            <w:pPr>
              <w:pStyle w:val="68"/>
              <w:spacing w:before="38" w:line="288" w:lineRule="auto"/>
              <w:ind w:left="13" w:right="7"/>
              <w:rPr>
                <w:rFonts w:hint="eastAsia"/>
                <w:color w:val="auto"/>
                <w:highlight w:val="none"/>
                <w:lang w:eastAsia="zh-CN"/>
              </w:rPr>
            </w:pPr>
            <w:r>
              <w:rPr>
                <w:color w:val="auto"/>
                <w:spacing w:val="-1"/>
                <w:highlight w:val="none"/>
                <w:lang w:eastAsia="zh-CN"/>
              </w:rPr>
              <w:t>工作站点支持密码登录的鉴权识别方式，其中包含用户选择密码登录、超级用户预留密码登录等多维度多方式配置方式；账号、密码具有加密功</w:t>
            </w:r>
          </w:p>
          <w:p w14:paraId="64171949">
            <w:pPr>
              <w:pStyle w:val="68"/>
              <w:spacing w:line="219" w:lineRule="auto"/>
              <w:ind w:left="19"/>
              <w:rPr>
                <w:rFonts w:hint="eastAsia"/>
                <w:color w:val="auto"/>
                <w:highlight w:val="none"/>
                <w:lang w:eastAsia="zh-CN"/>
              </w:rPr>
            </w:pPr>
            <w:r>
              <w:rPr>
                <w:color w:val="auto"/>
                <w:spacing w:val="-4"/>
                <w:highlight w:val="none"/>
                <w:lang w:eastAsia="zh-CN"/>
              </w:rPr>
              <w:t>能，数据库中所有密码没有明码显示和存储；</w:t>
            </w:r>
          </w:p>
        </w:tc>
      </w:tr>
      <w:tr w14:paraId="6E5885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8" w:hRule="atLeast"/>
        </w:trPr>
        <w:tc>
          <w:tcPr>
            <w:tcW w:w="1561" w:type="dxa"/>
            <w:noWrap w:val="0"/>
            <w:vAlign w:val="center"/>
          </w:tcPr>
          <w:p w14:paraId="134BAAD7">
            <w:pPr>
              <w:pStyle w:val="68"/>
              <w:spacing w:before="225" w:line="239" w:lineRule="auto"/>
              <w:jc w:val="center"/>
              <w:rPr>
                <w:rFonts w:hint="eastAsia"/>
                <w:color w:val="auto"/>
                <w:highlight w:val="none"/>
              </w:rPr>
            </w:pPr>
            <w:r>
              <w:rPr>
                <w:color w:val="auto"/>
                <w:spacing w:val="-2"/>
                <w:highlight w:val="none"/>
              </w:rPr>
              <w:t>2.1.7</w:t>
            </w:r>
          </w:p>
        </w:tc>
        <w:tc>
          <w:tcPr>
            <w:tcW w:w="7694" w:type="dxa"/>
            <w:noWrap w:val="0"/>
            <w:vAlign w:val="top"/>
          </w:tcPr>
          <w:p w14:paraId="14C0A2FA">
            <w:pPr>
              <w:pStyle w:val="68"/>
              <w:spacing w:before="38" w:line="273" w:lineRule="auto"/>
              <w:ind w:left="21" w:right="7" w:hanging="8"/>
              <w:rPr>
                <w:rFonts w:hint="eastAsia"/>
                <w:color w:val="auto"/>
                <w:highlight w:val="none"/>
                <w:lang w:eastAsia="zh-CN"/>
              </w:rPr>
            </w:pPr>
            <w:r>
              <w:rPr>
                <w:color w:val="auto"/>
                <w:spacing w:val="-1"/>
                <w:highlight w:val="none"/>
                <w:lang w:eastAsia="zh-CN"/>
              </w:rPr>
              <w:t>工作站应具有语音提醒功能，可中文语音引导用户完成收发箱的操作，同</w:t>
            </w:r>
            <w:r>
              <w:rPr>
                <w:color w:val="auto"/>
                <w:spacing w:val="-3"/>
                <w:highlight w:val="none"/>
                <w:lang w:eastAsia="zh-CN"/>
              </w:rPr>
              <w:t>时可实现提醒通知，告知用户有关到箱播报信息。</w:t>
            </w:r>
          </w:p>
        </w:tc>
      </w:tr>
      <w:tr w14:paraId="7E8E0E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1561" w:type="dxa"/>
            <w:noWrap w:val="0"/>
            <w:vAlign w:val="center"/>
          </w:tcPr>
          <w:p w14:paraId="1837D86C">
            <w:pPr>
              <w:pStyle w:val="68"/>
              <w:spacing w:before="38" w:line="239" w:lineRule="auto"/>
              <w:jc w:val="center"/>
              <w:rPr>
                <w:rFonts w:hint="eastAsia"/>
                <w:color w:val="auto"/>
                <w:highlight w:val="none"/>
              </w:rPr>
            </w:pPr>
            <w:r>
              <w:rPr>
                <w:color w:val="auto"/>
                <w:spacing w:val="-2"/>
                <w:highlight w:val="none"/>
              </w:rPr>
              <w:t>2.1.8</w:t>
            </w:r>
          </w:p>
        </w:tc>
        <w:tc>
          <w:tcPr>
            <w:tcW w:w="7694" w:type="dxa"/>
            <w:noWrap w:val="0"/>
            <w:vAlign w:val="top"/>
          </w:tcPr>
          <w:p w14:paraId="356ACBC4">
            <w:pPr>
              <w:pStyle w:val="68"/>
              <w:spacing w:before="37" w:line="220" w:lineRule="auto"/>
              <w:ind w:left="13"/>
              <w:rPr>
                <w:rFonts w:hint="eastAsia"/>
                <w:color w:val="auto"/>
                <w:highlight w:val="none"/>
                <w:lang w:eastAsia="zh-CN"/>
              </w:rPr>
            </w:pPr>
            <w:r>
              <w:rPr>
                <w:color w:val="auto"/>
                <w:spacing w:val="-3"/>
                <w:highlight w:val="none"/>
                <w:lang w:eastAsia="zh-CN"/>
              </w:rPr>
              <w:t>工作站点应支持语音对讲呼叫功能。</w:t>
            </w:r>
          </w:p>
        </w:tc>
      </w:tr>
      <w:tr w14:paraId="389AF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5" w:hRule="atLeast"/>
        </w:trPr>
        <w:tc>
          <w:tcPr>
            <w:tcW w:w="1561" w:type="dxa"/>
            <w:noWrap w:val="0"/>
            <w:vAlign w:val="center"/>
          </w:tcPr>
          <w:p w14:paraId="57FBE108">
            <w:pPr>
              <w:pStyle w:val="68"/>
              <w:spacing w:before="78" w:line="239" w:lineRule="auto"/>
              <w:jc w:val="center"/>
              <w:rPr>
                <w:rFonts w:hint="eastAsia"/>
                <w:color w:val="auto"/>
                <w:highlight w:val="none"/>
              </w:rPr>
            </w:pPr>
            <w:r>
              <w:rPr>
                <w:color w:val="auto"/>
                <w:spacing w:val="-2"/>
                <w:highlight w:val="none"/>
              </w:rPr>
              <w:t>2.1.9</w:t>
            </w:r>
          </w:p>
        </w:tc>
        <w:tc>
          <w:tcPr>
            <w:tcW w:w="7694" w:type="dxa"/>
            <w:noWrap w:val="0"/>
            <w:vAlign w:val="top"/>
          </w:tcPr>
          <w:p w14:paraId="5BF12CDD">
            <w:pPr>
              <w:pStyle w:val="68"/>
              <w:spacing w:before="34" w:line="287" w:lineRule="auto"/>
              <w:ind w:left="15" w:right="7" w:hanging="2"/>
              <w:rPr>
                <w:rFonts w:hint="eastAsia"/>
                <w:color w:val="auto"/>
                <w:highlight w:val="none"/>
                <w:lang w:eastAsia="zh-CN"/>
              </w:rPr>
            </w:pPr>
            <w:r>
              <w:rPr>
                <w:color w:val="auto"/>
                <w:spacing w:val="-1"/>
                <w:highlight w:val="none"/>
                <w:lang w:eastAsia="zh-CN"/>
              </w:rPr>
              <w:t>工作站应具有灯光提醒功能，可通过不同灯光颜色直观展示站点待机、异常、运行的状态，灯光采用LED光源有效可视长度≥400mm，便于人员查</w:t>
            </w:r>
          </w:p>
          <w:p w14:paraId="3F4D7A48">
            <w:pPr>
              <w:pStyle w:val="68"/>
              <w:spacing w:line="219" w:lineRule="auto"/>
              <w:ind w:left="10"/>
              <w:rPr>
                <w:rFonts w:hint="eastAsia"/>
                <w:color w:val="auto"/>
                <w:highlight w:val="none"/>
              </w:rPr>
            </w:pPr>
            <w:r>
              <w:rPr>
                <w:color w:val="auto"/>
                <w:spacing w:val="-6"/>
                <w:highlight w:val="none"/>
              </w:rPr>
              <w:t>看</w:t>
            </w:r>
            <w:r>
              <w:rPr>
                <w:b/>
                <w:bCs/>
                <w:color w:val="auto"/>
                <w:spacing w:val="-6"/>
                <w:highlight w:val="none"/>
              </w:rPr>
              <w:t>。</w:t>
            </w:r>
          </w:p>
        </w:tc>
      </w:tr>
      <w:tr w14:paraId="7F46C4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561" w:type="dxa"/>
            <w:noWrap w:val="0"/>
            <w:vAlign w:val="center"/>
          </w:tcPr>
          <w:p w14:paraId="46647284">
            <w:pPr>
              <w:pStyle w:val="68"/>
              <w:spacing w:before="221" w:line="239" w:lineRule="auto"/>
              <w:jc w:val="center"/>
              <w:rPr>
                <w:rFonts w:hint="eastAsia"/>
                <w:color w:val="auto"/>
                <w:highlight w:val="none"/>
              </w:rPr>
            </w:pPr>
            <w:r>
              <w:rPr>
                <w:color w:val="auto"/>
                <w:spacing w:val="-2"/>
                <w:highlight w:val="none"/>
              </w:rPr>
              <w:t>2.1.10</w:t>
            </w:r>
          </w:p>
        </w:tc>
        <w:tc>
          <w:tcPr>
            <w:tcW w:w="7694" w:type="dxa"/>
            <w:noWrap w:val="0"/>
            <w:vAlign w:val="top"/>
          </w:tcPr>
          <w:p w14:paraId="659BD5BF">
            <w:pPr>
              <w:pStyle w:val="68"/>
              <w:spacing w:before="33" w:line="272" w:lineRule="auto"/>
              <w:ind w:left="12" w:right="7"/>
              <w:rPr>
                <w:rFonts w:hint="eastAsia"/>
                <w:color w:val="auto"/>
                <w:highlight w:val="none"/>
                <w:lang w:eastAsia="zh-CN"/>
              </w:rPr>
            </w:pPr>
            <w:r>
              <w:rPr>
                <w:color w:val="auto"/>
                <w:spacing w:val="-1"/>
                <w:highlight w:val="none"/>
                <w:lang w:eastAsia="zh-CN"/>
              </w:rPr>
              <w:t>工作站点支持周转箱查询功能，支持通过日期、目的地、箱号等信息进行</w:t>
            </w:r>
            <w:r>
              <w:rPr>
                <w:color w:val="auto"/>
                <w:spacing w:val="-3"/>
                <w:highlight w:val="none"/>
                <w:lang w:eastAsia="zh-CN"/>
              </w:rPr>
              <w:t>筛选</w:t>
            </w:r>
          </w:p>
        </w:tc>
      </w:tr>
      <w:tr w14:paraId="48BDEA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1561" w:type="dxa"/>
            <w:noWrap w:val="0"/>
            <w:vAlign w:val="center"/>
          </w:tcPr>
          <w:p w14:paraId="368A85AB">
            <w:pPr>
              <w:pStyle w:val="68"/>
              <w:spacing w:before="78" w:line="239" w:lineRule="auto"/>
              <w:jc w:val="center"/>
              <w:rPr>
                <w:rFonts w:hint="eastAsia"/>
                <w:color w:val="auto"/>
                <w:highlight w:val="none"/>
              </w:rPr>
            </w:pPr>
            <w:r>
              <w:rPr>
                <w:color w:val="auto"/>
                <w:spacing w:val="-2"/>
                <w:highlight w:val="none"/>
              </w:rPr>
              <w:t>2.1.11</w:t>
            </w:r>
          </w:p>
        </w:tc>
        <w:tc>
          <w:tcPr>
            <w:tcW w:w="7694" w:type="dxa"/>
            <w:noWrap w:val="0"/>
            <w:vAlign w:val="top"/>
          </w:tcPr>
          <w:p w14:paraId="487BBD93">
            <w:pPr>
              <w:pStyle w:val="68"/>
              <w:spacing w:before="41" w:line="270" w:lineRule="auto"/>
              <w:ind w:left="11" w:right="6" w:hanging="2"/>
              <w:rPr>
                <w:rFonts w:hint="eastAsia" w:ascii="宋体" w:hAnsi="宋体" w:eastAsia="宋体" w:cs="宋体"/>
                <w:snapToGrid w:val="0"/>
                <w:color w:val="auto"/>
                <w:spacing w:val="-3"/>
                <w:sz w:val="24"/>
                <w:szCs w:val="24"/>
                <w:highlight w:val="none"/>
                <w:lang w:val="en-US" w:eastAsia="zh-CN" w:bidi="ar-SA"/>
              </w:rPr>
            </w:pPr>
            <w:r>
              <w:rPr>
                <w:rFonts w:hint="eastAsia" w:ascii="宋体" w:hAnsi="宋体" w:eastAsia="宋体" w:cs="宋体"/>
                <w:snapToGrid w:val="0"/>
                <w:color w:val="auto"/>
                <w:spacing w:val="-3"/>
                <w:sz w:val="24"/>
                <w:szCs w:val="24"/>
                <w:highlight w:val="none"/>
                <w:lang w:val="en-US" w:eastAsia="zh-CN" w:bidi="ar-SA"/>
              </w:rPr>
              <w:t>站点可根据需求后期加装远程提醒装置。提醒装置需满足以下要求：支持语音、灯光提示和手动关闭功能；</w:t>
            </w:r>
          </w:p>
          <w:p w14:paraId="36A02E58">
            <w:pPr>
              <w:pStyle w:val="68"/>
              <w:spacing w:before="41" w:line="270" w:lineRule="auto"/>
              <w:ind w:left="11" w:right="6" w:hanging="2"/>
              <w:rPr>
                <w:rFonts w:hint="eastAsia" w:ascii="宋体" w:hAnsi="宋体" w:eastAsia="宋体" w:cs="宋体"/>
                <w:snapToGrid w:val="0"/>
                <w:color w:val="auto"/>
                <w:spacing w:val="-3"/>
                <w:sz w:val="24"/>
                <w:szCs w:val="24"/>
                <w:highlight w:val="none"/>
                <w:lang w:val="en-US" w:eastAsia="zh-CN" w:bidi="ar-SA"/>
              </w:rPr>
            </w:pPr>
            <w:r>
              <w:rPr>
                <w:rFonts w:hint="eastAsia" w:ascii="宋体" w:hAnsi="宋体" w:eastAsia="宋体" w:cs="宋体"/>
                <w:snapToGrid w:val="0"/>
                <w:color w:val="auto"/>
                <w:spacing w:val="-3"/>
                <w:sz w:val="24"/>
                <w:szCs w:val="24"/>
                <w:highlight w:val="none"/>
                <w:lang w:val="en-US" w:eastAsia="zh-CN" w:bidi="ar-SA"/>
              </w:rPr>
              <w:t>支持声音大小手动调节功能；</w:t>
            </w:r>
          </w:p>
          <w:p w14:paraId="39016368">
            <w:pPr>
              <w:pStyle w:val="68"/>
              <w:spacing w:before="41" w:line="270" w:lineRule="auto"/>
              <w:ind w:left="11" w:right="6" w:hanging="2"/>
              <w:rPr>
                <w:rFonts w:hint="eastAsia" w:ascii="宋体" w:hAnsi="宋体" w:eastAsia="宋体" w:cs="宋体"/>
                <w:snapToGrid w:val="0"/>
                <w:color w:val="auto"/>
                <w:spacing w:val="-3"/>
                <w:sz w:val="24"/>
                <w:szCs w:val="24"/>
                <w:highlight w:val="none"/>
                <w:lang w:val="en-US" w:eastAsia="zh-CN" w:bidi="ar-SA"/>
              </w:rPr>
            </w:pPr>
            <w:r>
              <w:rPr>
                <w:rFonts w:hint="eastAsia" w:ascii="宋体" w:hAnsi="宋体" w:eastAsia="宋体" w:cs="宋体"/>
                <w:snapToGrid w:val="0"/>
                <w:color w:val="auto"/>
                <w:spacing w:val="-3"/>
                <w:sz w:val="24"/>
                <w:szCs w:val="24"/>
                <w:highlight w:val="none"/>
                <w:lang w:val="en-US" w:eastAsia="zh-CN" w:bidi="ar-SA"/>
              </w:rPr>
              <w:t>支持采用无线通讯方式，最大可传输距离≥50m；</w:t>
            </w:r>
          </w:p>
          <w:p w14:paraId="5B827581">
            <w:pPr>
              <w:pStyle w:val="68"/>
              <w:spacing w:before="41" w:line="270" w:lineRule="auto"/>
              <w:ind w:left="11" w:right="6" w:hanging="2"/>
              <w:rPr>
                <w:rFonts w:hint="eastAsia" w:ascii="宋体" w:hAnsi="宋体" w:eastAsia="宋体" w:cs="宋体"/>
                <w:snapToGrid w:val="0"/>
                <w:color w:val="auto"/>
                <w:spacing w:val="-3"/>
                <w:sz w:val="24"/>
                <w:szCs w:val="24"/>
                <w:highlight w:val="none"/>
                <w:lang w:val="en-US" w:eastAsia="zh-CN" w:bidi="ar-SA"/>
              </w:rPr>
            </w:pPr>
            <w:r>
              <w:rPr>
                <w:rFonts w:hint="eastAsia" w:ascii="宋体" w:hAnsi="宋体" w:eastAsia="宋体" w:cs="宋体"/>
                <w:snapToGrid w:val="0"/>
                <w:color w:val="auto"/>
                <w:spacing w:val="-3"/>
                <w:sz w:val="24"/>
                <w:szCs w:val="24"/>
                <w:highlight w:val="none"/>
                <w:lang w:val="en-US" w:eastAsia="zh-CN" w:bidi="ar-SA"/>
              </w:rPr>
              <w:t>支持公共站点一对多科室的场景需求；</w:t>
            </w:r>
          </w:p>
        </w:tc>
      </w:tr>
      <w:tr w14:paraId="47ACB5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noWrap w:val="0"/>
            <w:vAlign w:val="center"/>
          </w:tcPr>
          <w:p w14:paraId="4A03F50D">
            <w:pPr>
              <w:pStyle w:val="68"/>
              <w:spacing w:before="37" w:line="239" w:lineRule="auto"/>
              <w:jc w:val="center"/>
              <w:rPr>
                <w:rFonts w:hint="eastAsia"/>
                <w:color w:val="auto"/>
                <w:highlight w:val="none"/>
              </w:rPr>
            </w:pPr>
            <w:r>
              <w:rPr>
                <w:color w:val="auto"/>
                <w:spacing w:val="-2"/>
                <w:highlight w:val="none"/>
              </w:rPr>
              <w:t>2.1.12</w:t>
            </w:r>
          </w:p>
        </w:tc>
        <w:tc>
          <w:tcPr>
            <w:tcW w:w="7694" w:type="dxa"/>
            <w:noWrap w:val="0"/>
            <w:vAlign w:val="top"/>
          </w:tcPr>
          <w:p w14:paraId="596BA10D">
            <w:pPr>
              <w:pStyle w:val="68"/>
              <w:spacing w:before="41" w:line="270" w:lineRule="auto"/>
              <w:ind w:left="11" w:right="6" w:hanging="2"/>
              <w:rPr>
                <w:rFonts w:hint="eastAsia" w:ascii="宋体" w:hAnsi="宋体" w:eastAsia="宋体" w:cs="宋体"/>
                <w:snapToGrid w:val="0"/>
                <w:color w:val="auto"/>
                <w:spacing w:val="-3"/>
                <w:sz w:val="24"/>
                <w:szCs w:val="24"/>
                <w:highlight w:val="none"/>
                <w:lang w:val="en-US" w:eastAsia="zh-CN" w:bidi="ar-SA"/>
              </w:rPr>
            </w:pPr>
            <w:r>
              <w:rPr>
                <w:rFonts w:hint="eastAsia" w:ascii="宋体" w:hAnsi="宋体" w:eastAsia="宋体" w:cs="宋体"/>
                <w:snapToGrid w:val="0"/>
                <w:color w:val="auto"/>
                <w:spacing w:val="-3"/>
                <w:sz w:val="24"/>
                <w:szCs w:val="24"/>
                <w:highlight w:val="none"/>
                <w:lang w:val="en-US" w:eastAsia="zh-CN" w:bidi="ar-SA"/>
              </w:rPr>
              <w:t>除标准站点外还需支持单箱位站点、多箱位站点等非标定制需求；</w:t>
            </w:r>
          </w:p>
        </w:tc>
      </w:tr>
      <w:tr w14:paraId="780AD6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5" w:hRule="atLeast"/>
        </w:trPr>
        <w:tc>
          <w:tcPr>
            <w:tcW w:w="1561" w:type="dxa"/>
            <w:noWrap w:val="0"/>
            <w:vAlign w:val="center"/>
          </w:tcPr>
          <w:p w14:paraId="1AF65F05">
            <w:pPr>
              <w:pStyle w:val="68"/>
              <w:spacing w:before="79" w:line="239" w:lineRule="auto"/>
              <w:jc w:val="center"/>
              <w:rPr>
                <w:rFonts w:hint="eastAsia"/>
                <w:color w:val="auto"/>
                <w:highlight w:val="none"/>
              </w:rPr>
            </w:pPr>
            <w:r>
              <w:rPr>
                <w:color w:val="auto"/>
                <w:spacing w:val="-2"/>
                <w:highlight w:val="none"/>
              </w:rPr>
              <w:t>2.1.13</w:t>
            </w:r>
          </w:p>
        </w:tc>
        <w:tc>
          <w:tcPr>
            <w:tcW w:w="7694" w:type="dxa"/>
            <w:noWrap w:val="0"/>
            <w:vAlign w:val="top"/>
          </w:tcPr>
          <w:p w14:paraId="7672407A">
            <w:pPr>
              <w:pStyle w:val="68"/>
              <w:spacing w:before="41" w:line="270" w:lineRule="auto"/>
              <w:ind w:left="11" w:right="6" w:hanging="2"/>
              <w:rPr>
                <w:rFonts w:hint="eastAsia" w:ascii="宋体" w:hAnsi="宋体" w:eastAsia="宋体" w:cs="宋体"/>
                <w:snapToGrid w:val="0"/>
                <w:color w:val="auto"/>
                <w:spacing w:val="-3"/>
                <w:sz w:val="24"/>
                <w:szCs w:val="24"/>
                <w:highlight w:val="none"/>
                <w:lang w:val="en-US" w:eastAsia="zh-CN" w:bidi="ar-SA"/>
              </w:rPr>
            </w:pPr>
            <w:r>
              <w:rPr>
                <w:rFonts w:hint="eastAsia" w:ascii="宋体" w:hAnsi="宋体" w:eastAsia="宋体" w:cs="宋体"/>
                <w:snapToGrid w:val="0"/>
                <w:color w:val="auto"/>
                <w:spacing w:val="-3"/>
                <w:sz w:val="24"/>
                <w:szCs w:val="24"/>
                <w:highlight w:val="none"/>
                <w:lang w:val="en-US" w:eastAsia="zh-CN" w:bidi="ar-SA"/>
              </w:rPr>
              <w:t>站点需配备一体式触摸屏，屏幕不占用人员操作活动空间；屏幕尺寸≥20英寸，分辨率≥1920×1080；</w:t>
            </w:r>
          </w:p>
          <w:p w14:paraId="1459C410">
            <w:pPr>
              <w:pStyle w:val="68"/>
              <w:spacing w:before="41" w:line="270" w:lineRule="auto"/>
              <w:ind w:left="11" w:right="6" w:hanging="2"/>
              <w:rPr>
                <w:rFonts w:hint="eastAsia" w:ascii="宋体" w:hAnsi="宋体" w:eastAsia="宋体" w:cs="宋体"/>
                <w:snapToGrid w:val="0"/>
                <w:color w:val="auto"/>
                <w:spacing w:val="-3"/>
                <w:sz w:val="24"/>
                <w:szCs w:val="24"/>
                <w:highlight w:val="none"/>
                <w:lang w:val="en-US" w:eastAsia="zh-CN" w:bidi="ar-SA"/>
              </w:rPr>
            </w:pPr>
            <w:r>
              <w:rPr>
                <w:rFonts w:hint="eastAsia" w:ascii="宋体" w:hAnsi="宋体" w:eastAsia="宋体" w:cs="宋体"/>
                <w:snapToGrid w:val="0"/>
                <w:color w:val="auto"/>
                <w:spacing w:val="-3"/>
                <w:sz w:val="24"/>
                <w:szCs w:val="24"/>
                <w:highlight w:val="none"/>
                <w:lang w:val="en-US" w:eastAsia="zh-CN" w:bidi="ar-SA"/>
              </w:rPr>
              <w:t>可中文显示站点名称、站点状态、任务列表信息、箱号等内容；</w:t>
            </w:r>
          </w:p>
        </w:tc>
      </w:tr>
      <w:tr w14:paraId="6602F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561" w:type="dxa"/>
            <w:noWrap w:val="0"/>
            <w:vAlign w:val="center"/>
          </w:tcPr>
          <w:p w14:paraId="1D133647">
            <w:pPr>
              <w:pStyle w:val="68"/>
              <w:spacing w:before="222" w:line="239" w:lineRule="auto"/>
              <w:jc w:val="center"/>
              <w:rPr>
                <w:rFonts w:hint="eastAsia"/>
                <w:color w:val="auto"/>
                <w:highlight w:val="none"/>
              </w:rPr>
            </w:pPr>
            <w:r>
              <w:rPr>
                <w:color w:val="auto"/>
                <w:spacing w:val="-2"/>
                <w:highlight w:val="none"/>
              </w:rPr>
              <w:t>2.1.14</w:t>
            </w:r>
          </w:p>
        </w:tc>
        <w:tc>
          <w:tcPr>
            <w:tcW w:w="7694" w:type="dxa"/>
            <w:noWrap w:val="0"/>
            <w:vAlign w:val="top"/>
          </w:tcPr>
          <w:p w14:paraId="3C89E97A">
            <w:pPr>
              <w:pStyle w:val="68"/>
              <w:spacing w:before="41" w:line="270" w:lineRule="auto"/>
              <w:ind w:left="11" w:right="6" w:hanging="2"/>
              <w:rPr>
                <w:rFonts w:hint="eastAsia" w:ascii="宋体" w:hAnsi="宋体" w:eastAsia="宋体" w:cs="宋体"/>
                <w:snapToGrid w:val="0"/>
                <w:color w:val="auto"/>
                <w:spacing w:val="-3"/>
                <w:sz w:val="24"/>
                <w:szCs w:val="24"/>
                <w:highlight w:val="none"/>
                <w:lang w:val="en-US" w:eastAsia="zh-CN" w:bidi="ar-SA"/>
              </w:rPr>
            </w:pPr>
            <w:r>
              <w:rPr>
                <w:rFonts w:hint="eastAsia" w:ascii="宋体" w:hAnsi="宋体" w:eastAsia="宋体" w:cs="宋体"/>
                <w:snapToGrid w:val="0"/>
                <w:color w:val="auto"/>
                <w:spacing w:val="-3"/>
                <w:sz w:val="24"/>
                <w:szCs w:val="24"/>
                <w:highlight w:val="none"/>
                <w:lang w:val="en-US" w:eastAsia="zh-CN" w:bidi="ar-SA"/>
              </w:rPr>
              <w:t>站点采用RFID无线射频（或条码）识别技术，可快速读取、识别周转箱目的地，无需人工辅助扫码操作；</w:t>
            </w:r>
          </w:p>
        </w:tc>
      </w:tr>
      <w:tr w14:paraId="1D4EE0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1561" w:type="dxa"/>
            <w:noWrap w:val="0"/>
            <w:vAlign w:val="center"/>
          </w:tcPr>
          <w:p w14:paraId="7AB1B03A">
            <w:pPr>
              <w:pStyle w:val="68"/>
              <w:spacing w:before="35" w:line="239" w:lineRule="auto"/>
              <w:jc w:val="center"/>
              <w:rPr>
                <w:rFonts w:hint="eastAsia"/>
                <w:color w:val="auto"/>
                <w:highlight w:val="none"/>
              </w:rPr>
            </w:pPr>
            <w:r>
              <w:rPr>
                <w:color w:val="auto"/>
                <w:spacing w:val="-2"/>
                <w:highlight w:val="none"/>
              </w:rPr>
              <w:t>2.1.15</w:t>
            </w:r>
          </w:p>
        </w:tc>
        <w:tc>
          <w:tcPr>
            <w:tcW w:w="7694" w:type="dxa"/>
            <w:noWrap w:val="0"/>
            <w:vAlign w:val="top"/>
          </w:tcPr>
          <w:p w14:paraId="7F1748F6">
            <w:pPr>
              <w:pStyle w:val="68"/>
              <w:spacing w:before="41" w:line="270" w:lineRule="auto"/>
              <w:ind w:left="11" w:right="6" w:hanging="2"/>
              <w:rPr>
                <w:rFonts w:hint="eastAsia" w:ascii="宋体" w:hAnsi="宋体" w:eastAsia="宋体" w:cs="宋体"/>
                <w:snapToGrid w:val="0"/>
                <w:color w:val="auto"/>
                <w:spacing w:val="-3"/>
                <w:sz w:val="24"/>
                <w:szCs w:val="24"/>
                <w:highlight w:val="none"/>
                <w:lang w:val="en-US" w:eastAsia="zh-CN" w:bidi="ar-SA"/>
              </w:rPr>
            </w:pPr>
            <w:r>
              <w:rPr>
                <w:rFonts w:hint="eastAsia" w:ascii="宋体" w:hAnsi="宋体" w:eastAsia="宋体" w:cs="宋体"/>
                <w:snapToGrid w:val="0"/>
                <w:color w:val="auto"/>
                <w:spacing w:val="-3"/>
                <w:sz w:val="24"/>
                <w:szCs w:val="24"/>
                <w:highlight w:val="none"/>
                <w:lang w:val="en-US" w:eastAsia="zh-CN" w:bidi="ar-SA"/>
              </w:rPr>
              <w:t>支持周转箱误发召回和目的地修改功能；</w:t>
            </w:r>
          </w:p>
        </w:tc>
      </w:tr>
      <w:tr w14:paraId="3E21DB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561" w:type="dxa"/>
            <w:noWrap w:val="0"/>
            <w:vAlign w:val="center"/>
          </w:tcPr>
          <w:p w14:paraId="0C1DEABF">
            <w:pPr>
              <w:pStyle w:val="68"/>
              <w:spacing w:before="223" w:line="239" w:lineRule="auto"/>
              <w:jc w:val="center"/>
              <w:rPr>
                <w:rFonts w:hint="eastAsia"/>
                <w:color w:val="auto"/>
                <w:highlight w:val="none"/>
              </w:rPr>
            </w:pPr>
            <w:r>
              <w:rPr>
                <w:color w:val="auto"/>
                <w:spacing w:val="-2"/>
                <w:highlight w:val="none"/>
              </w:rPr>
              <w:t>2.1.16</w:t>
            </w:r>
          </w:p>
        </w:tc>
        <w:tc>
          <w:tcPr>
            <w:tcW w:w="7694" w:type="dxa"/>
            <w:noWrap w:val="0"/>
            <w:vAlign w:val="top"/>
          </w:tcPr>
          <w:p w14:paraId="3B567E01">
            <w:pPr>
              <w:pStyle w:val="68"/>
              <w:spacing w:before="41" w:line="270" w:lineRule="auto"/>
              <w:ind w:left="11" w:right="6" w:hanging="2"/>
              <w:rPr>
                <w:rFonts w:hint="eastAsia" w:ascii="宋体" w:hAnsi="宋体" w:eastAsia="宋体" w:cs="宋体"/>
                <w:snapToGrid w:val="0"/>
                <w:color w:val="auto"/>
                <w:spacing w:val="-3"/>
                <w:sz w:val="24"/>
                <w:szCs w:val="24"/>
                <w:highlight w:val="none"/>
                <w:lang w:val="en-US" w:eastAsia="zh-CN" w:bidi="ar-SA"/>
              </w:rPr>
            </w:pPr>
            <w:r>
              <w:rPr>
                <w:rFonts w:hint="eastAsia" w:ascii="宋体" w:hAnsi="宋体" w:eastAsia="宋体" w:cs="宋体"/>
                <w:snapToGrid w:val="0"/>
                <w:color w:val="auto"/>
                <w:spacing w:val="-3"/>
                <w:sz w:val="24"/>
                <w:szCs w:val="24"/>
                <w:highlight w:val="none"/>
                <w:lang w:val="en-US" w:eastAsia="zh-CN" w:bidi="ar-SA"/>
              </w:rPr>
              <w:t>支持优先发送功能，对于特殊加急的物品站点端控制系统可与垂直提升系统联动提升发送任务等级，优先处理该笔任务，且该功能具有加密功能。</w:t>
            </w:r>
          </w:p>
        </w:tc>
      </w:tr>
      <w:tr w14:paraId="65173F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noWrap w:val="0"/>
            <w:vAlign w:val="center"/>
          </w:tcPr>
          <w:p w14:paraId="6D4616BC">
            <w:pPr>
              <w:pStyle w:val="68"/>
              <w:spacing w:before="36" w:line="239" w:lineRule="auto"/>
              <w:jc w:val="center"/>
              <w:rPr>
                <w:rFonts w:hint="eastAsia"/>
                <w:color w:val="auto"/>
                <w:highlight w:val="none"/>
              </w:rPr>
            </w:pPr>
            <w:r>
              <w:rPr>
                <w:color w:val="auto"/>
                <w:spacing w:val="-2"/>
                <w:highlight w:val="none"/>
              </w:rPr>
              <w:t>2.1.17</w:t>
            </w:r>
          </w:p>
        </w:tc>
        <w:tc>
          <w:tcPr>
            <w:tcW w:w="7694" w:type="dxa"/>
            <w:noWrap w:val="0"/>
            <w:vAlign w:val="top"/>
          </w:tcPr>
          <w:p w14:paraId="06CCCC4B">
            <w:pPr>
              <w:pStyle w:val="68"/>
              <w:spacing w:before="41" w:line="270" w:lineRule="auto"/>
              <w:ind w:left="11" w:right="6" w:hanging="2"/>
              <w:rPr>
                <w:rFonts w:hint="eastAsia" w:ascii="宋体" w:hAnsi="宋体" w:eastAsia="宋体" w:cs="宋体"/>
                <w:snapToGrid w:val="0"/>
                <w:color w:val="auto"/>
                <w:spacing w:val="-3"/>
                <w:sz w:val="24"/>
                <w:szCs w:val="24"/>
                <w:highlight w:val="none"/>
                <w:lang w:val="en-US" w:eastAsia="zh-CN" w:bidi="ar-SA"/>
              </w:rPr>
            </w:pPr>
            <w:r>
              <w:rPr>
                <w:rFonts w:hint="eastAsia" w:ascii="宋体" w:hAnsi="宋体" w:eastAsia="宋体" w:cs="宋体"/>
                <w:snapToGrid w:val="0"/>
                <w:color w:val="auto"/>
                <w:spacing w:val="-3"/>
                <w:sz w:val="24"/>
                <w:szCs w:val="24"/>
                <w:highlight w:val="none"/>
                <w:lang w:val="en-US" w:eastAsia="zh-CN" w:bidi="ar-SA"/>
              </w:rPr>
              <w:t>可识别未盖箱盖、箱内物品超出箱体状态拒绝发箱。</w:t>
            </w:r>
          </w:p>
        </w:tc>
      </w:tr>
      <w:tr w14:paraId="2E14FD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9" w:hRule="atLeast"/>
        </w:trPr>
        <w:tc>
          <w:tcPr>
            <w:tcW w:w="1561" w:type="dxa"/>
            <w:noWrap w:val="0"/>
            <w:vAlign w:val="center"/>
          </w:tcPr>
          <w:p w14:paraId="752DCAAB">
            <w:pPr>
              <w:pStyle w:val="68"/>
              <w:spacing w:before="78" w:line="239" w:lineRule="auto"/>
              <w:jc w:val="center"/>
              <w:rPr>
                <w:rFonts w:hint="eastAsia"/>
                <w:color w:val="auto"/>
                <w:highlight w:val="none"/>
              </w:rPr>
            </w:pPr>
            <w:r>
              <w:rPr>
                <w:color w:val="auto"/>
                <w:spacing w:val="-2"/>
                <w:highlight w:val="none"/>
              </w:rPr>
              <w:t>2.1.18</w:t>
            </w:r>
          </w:p>
        </w:tc>
        <w:tc>
          <w:tcPr>
            <w:tcW w:w="7694" w:type="dxa"/>
            <w:noWrap w:val="0"/>
            <w:vAlign w:val="top"/>
          </w:tcPr>
          <w:p w14:paraId="13E1FF15">
            <w:pPr>
              <w:pStyle w:val="68"/>
              <w:spacing w:before="41" w:line="270" w:lineRule="auto"/>
              <w:ind w:left="11" w:right="6" w:hanging="2"/>
              <w:rPr>
                <w:rFonts w:hint="eastAsia" w:ascii="宋体" w:hAnsi="宋体" w:eastAsia="宋体" w:cs="宋体"/>
                <w:snapToGrid w:val="0"/>
                <w:color w:val="auto"/>
                <w:spacing w:val="-3"/>
                <w:sz w:val="24"/>
                <w:szCs w:val="24"/>
                <w:highlight w:val="none"/>
                <w:lang w:val="en-US" w:eastAsia="zh-CN" w:bidi="ar-SA"/>
              </w:rPr>
            </w:pPr>
            <w:r>
              <w:rPr>
                <w:rFonts w:hint="eastAsia" w:ascii="宋体" w:hAnsi="宋体" w:eastAsia="宋体" w:cs="宋体"/>
                <w:snapToGrid w:val="0"/>
                <w:color w:val="auto"/>
                <w:spacing w:val="-3"/>
                <w:sz w:val="24"/>
                <w:szCs w:val="24"/>
                <w:highlight w:val="none"/>
                <w:lang w:val="en-US" w:eastAsia="zh-CN" w:bidi="ar-SA"/>
              </w:rPr>
              <w:t>配备人脸识别模块，进行身份验证和登录，保障发送权限安全。人脸识别功能：用户可以通过人脸识别进行身份验证和登录，人脸注册时间≤5s，人脸登录识别时间≤5s。</w:t>
            </w:r>
          </w:p>
          <w:p w14:paraId="46463146">
            <w:pPr>
              <w:pStyle w:val="68"/>
              <w:spacing w:before="41" w:line="270" w:lineRule="auto"/>
              <w:ind w:left="11" w:right="6" w:hanging="2"/>
              <w:rPr>
                <w:rFonts w:hint="eastAsia" w:ascii="宋体" w:hAnsi="宋体" w:eastAsia="宋体" w:cs="宋体"/>
                <w:snapToGrid w:val="0"/>
                <w:color w:val="auto"/>
                <w:spacing w:val="-3"/>
                <w:sz w:val="24"/>
                <w:szCs w:val="24"/>
                <w:highlight w:val="none"/>
                <w:lang w:val="en-US" w:eastAsia="zh-CN" w:bidi="ar-SA"/>
              </w:rPr>
            </w:pPr>
            <w:r>
              <w:rPr>
                <w:rFonts w:hint="eastAsia" w:ascii="宋体" w:hAnsi="宋体" w:eastAsia="宋体" w:cs="宋体"/>
                <w:b/>
                <w:bCs/>
                <w:color w:val="auto"/>
                <w:sz w:val="24"/>
                <w:szCs w:val="24"/>
                <w:highlight w:val="none"/>
                <w:lang w:eastAsia="zh-CN"/>
              </w:rPr>
              <w:t>承诺中标后提供检测报告（承诺函格式自拟）</w:t>
            </w:r>
          </w:p>
        </w:tc>
      </w:tr>
      <w:tr w14:paraId="0CD263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561" w:type="dxa"/>
            <w:noWrap w:val="0"/>
            <w:vAlign w:val="center"/>
          </w:tcPr>
          <w:p w14:paraId="137A3C9A">
            <w:pPr>
              <w:pStyle w:val="68"/>
              <w:spacing w:before="224" w:line="239" w:lineRule="auto"/>
              <w:jc w:val="center"/>
              <w:rPr>
                <w:rFonts w:hint="eastAsia"/>
                <w:color w:val="auto"/>
                <w:highlight w:val="none"/>
              </w:rPr>
            </w:pPr>
            <w:r>
              <w:rPr>
                <w:color w:val="auto"/>
                <w:spacing w:val="-2"/>
                <w:highlight w:val="none"/>
              </w:rPr>
              <w:t>2.1.19</w:t>
            </w:r>
          </w:p>
        </w:tc>
        <w:tc>
          <w:tcPr>
            <w:tcW w:w="7694" w:type="dxa"/>
            <w:noWrap w:val="0"/>
            <w:vAlign w:val="top"/>
          </w:tcPr>
          <w:p w14:paraId="0B7EB8D6">
            <w:pPr>
              <w:pStyle w:val="68"/>
              <w:spacing w:before="41" w:line="270" w:lineRule="auto"/>
              <w:ind w:left="11" w:right="6" w:hanging="2"/>
              <w:rPr>
                <w:rFonts w:hint="eastAsia" w:ascii="宋体" w:hAnsi="宋体" w:eastAsia="宋体" w:cs="宋体"/>
                <w:snapToGrid w:val="0"/>
                <w:color w:val="auto"/>
                <w:spacing w:val="-3"/>
                <w:sz w:val="24"/>
                <w:szCs w:val="24"/>
                <w:highlight w:val="none"/>
                <w:lang w:val="en-US" w:eastAsia="zh-CN" w:bidi="ar-SA"/>
              </w:rPr>
            </w:pPr>
            <w:r>
              <w:rPr>
                <w:rFonts w:hint="eastAsia" w:ascii="宋体" w:hAnsi="宋体" w:eastAsia="宋体" w:cs="宋体"/>
                <w:snapToGrid w:val="0"/>
                <w:color w:val="auto"/>
                <w:spacing w:val="-3"/>
                <w:sz w:val="24"/>
                <w:szCs w:val="24"/>
                <w:highlight w:val="none"/>
                <w:lang w:val="en-US" w:eastAsia="zh-CN" w:bidi="ar-SA"/>
              </w:rPr>
              <w:t>接收站点具备自动回箱的功能，无需进行目的地选择操作，直接系统判断自动回箱。</w:t>
            </w:r>
          </w:p>
        </w:tc>
      </w:tr>
      <w:tr w14:paraId="71D284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561" w:type="dxa"/>
            <w:noWrap w:val="0"/>
            <w:vAlign w:val="center"/>
          </w:tcPr>
          <w:p w14:paraId="6CC5CE05">
            <w:pPr>
              <w:pStyle w:val="68"/>
              <w:spacing w:before="225" w:line="239" w:lineRule="auto"/>
              <w:jc w:val="center"/>
              <w:rPr>
                <w:rFonts w:hint="eastAsia"/>
                <w:color w:val="auto"/>
                <w:highlight w:val="none"/>
              </w:rPr>
            </w:pPr>
            <w:r>
              <w:rPr>
                <w:color w:val="auto"/>
                <w:spacing w:val="-2"/>
                <w:highlight w:val="none"/>
              </w:rPr>
              <w:t>2.1.20</w:t>
            </w:r>
          </w:p>
        </w:tc>
        <w:tc>
          <w:tcPr>
            <w:tcW w:w="7694" w:type="dxa"/>
            <w:noWrap w:val="0"/>
            <w:vAlign w:val="top"/>
          </w:tcPr>
          <w:p w14:paraId="4EE65EFD">
            <w:pPr>
              <w:pStyle w:val="68"/>
              <w:spacing w:before="41" w:line="270" w:lineRule="auto"/>
              <w:ind w:left="11" w:right="6" w:hanging="2"/>
              <w:rPr>
                <w:rFonts w:hint="eastAsia" w:ascii="宋体" w:hAnsi="宋体" w:eastAsia="宋体" w:cs="宋体"/>
                <w:snapToGrid w:val="0"/>
                <w:color w:val="auto"/>
                <w:spacing w:val="-3"/>
                <w:sz w:val="24"/>
                <w:szCs w:val="24"/>
                <w:highlight w:val="none"/>
                <w:lang w:val="en-US" w:eastAsia="zh-CN" w:bidi="ar-SA"/>
              </w:rPr>
            </w:pPr>
            <w:r>
              <w:rPr>
                <w:rFonts w:hint="eastAsia" w:ascii="宋体" w:hAnsi="宋体" w:eastAsia="宋体" w:cs="宋体"/>
                <w:snapToGrid w:val="0"/>
                <w:color w:val="auto"/>
                <w:spacing w:val="-3"/>
                <w:sz w:val="24"/>
                <w:szCs w:val="24"/>
                <w:highlight w:val="none"/>
                <w:lang w:val="en-US" w:eastAsia="zh-CN" w:bidi="ar-SA"/>
              </w:rPr>
              <w:t>接收站点支持自动识别异常周转箱，或人员误触发系统，安全防护检测的功能。</w:t>
            </w:r>
          </w:p>
        </w:tc>
      </w:tr>
      <w:tr w14:paraId="0822A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255" w:type="dxa"/>
            <w:gridSpan w:val="2"/>
            <w:noWrap w:val="0"/>
            <w:vAlign w:val="top"/>
          </w:tcPr>
          <w:p w14:paraId="0954DCF1">
            <w:pPr>
              <w:pStyle w:val="68"/>
              <w:spacing w:before="41" w:line="270" w:lineRule="auto"/>
              <w:ind w:left="11" w:right="6" w:hanging="2"/>
              <w:rPr>
                <w:rFonts w:hint="eastAsia" w:ascii="宋体" w:hAnsi="宋体" w:eastAsia="宋体" w:cs="宋体"/>
                <w:snapToGrid w:val="0"/>
                <w:color w:val="auto"/>
                <w:spacing w:val="-3"/>
                <w:sz w:val="24"/>
                <w:szCs w:val="24"/>
                <w:highlight w:val="none"/>
                <w:lang w:val="en-US" w:eastAsia="zh-CN" w:bidi="ar-SA"/>
              </w:rPr>
            </w:pPr>
            <w:r>
              <w:rPr>
                <w:rFonts w:hint="eastAsia" w:ascii="宋体" w:hAnsi="宋体" w:eastAsia="宋体" w:cs="宋体"/>
                <w:snapToGrid w:val="0"/>
                <w:color w:val="auto"/>
                <w:spacing w:val="-3"/>
                <w:sz w:val="24"/>
                <w:szCs w:val="24"/>
                <w:highlight w:val="none"/>
                <w:lang w:val="en-US" w:eastAsia="zh-CN" w:bidi="ar-SA"/>
              </w:rPr>
              <w:t>3.水平传输分拣系统</w:t>
            </w:r>
          </w:p>
        </w:tc>
      </w:tr>
      <w:tr w14:paraId="559456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561" w:type="dxa"/>
            <w:noWrap w:val="0"/>
            <w:vAlign w:val="top"/>
          </w:tcPr>
          <w:p w14:paraId="1A46A021">
            <w:pPr>
              <w:pStyle w:val="68"/>
              <w:spacing w:before="225" w:line="239" w:lineRule="auto"/>
              <w:ind w:left="611"/>
              <w:rPr>
                <w:rFonts w:hint="eastAsia"/>
                <w:color w:val="auto"/>
                <w:highlight w:val="none"/>
              </w:rPr>
            </w:pPr>
            <w:r>
              <w:rPr>
                <w:color w:val="auto"/>
                <w:spacing w:val="-4"/>
                <w:highlight w:val="none"/>
              </w:rPr>
              <w:t>3.1</w:t>
            </w:r>
          </w:p>
        </w:tc>
        <w:tc>
          <w:tcPr>
            <w:tcW w:w="7694" w:type="dxa"/>
            <w:noWrap w:val="0"/>
            <w:vAlign w:val="top"/>
          </w:tcPr>
          <w:p w14:paraId="2B77F6CD">
            <w:pPr>
              <w:pStyle w:val="68"/>
              <w:spacing w:before="41" w:line="270" w:lineRule="auto"/>
              <w:ind w:left="11" w:right="6" w:hanging="2"/>
              <w:rPr>
                <w:rFonts w:hint="eastAsia" w:ascii="宋体" w:hAnsi="宋体" w:eastAsia="宋体" w:cs="宋体"/>
                <w:snapToGrid w:val="0"/>
                <w:color w:val="auto"/>
                <w:spacing w:val="-3"/>
                <w:sz w:val="24"/>
                <w:szCs w:val="24"/>
                <w:highlight w:val="none"/>
                <w:lang w:val="en-US" w:eastAsia="zh-CN" w:bidi="ar-SA"/>
              </w:rPr>
            </w:pPr>
            <w:r>
              <w:rPr>
                <w:rFonts w:hint="eastAsia" w:ascii="宋体" w:hAnsi="宋体" w:eastAsia="宋体" w:cs="宋体"/>
                <w:snapToGrid w:val="0"/>
                <w:color w:val="auto"/>
                <w:spacing w:val="-3"/>
                <w:sz w:val="24"/>
                <w:szCs w:val="24"/>
                <w:highlight w:val="none"/>
                <w:lang w:val="en-US" w:eastAsia="zh-CN" w:bidi="ar-SA"/>
              </w:rPr>
              <w:t>水平传输分拣系统由水平传输模组、转弯机、移栽机、爬坡机等设备和电气设备组成</w:t>
            </w:r>
          </w:p>
        </w:tc>
      </w:tr>
      <w:tr w14:paraId="158F39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561" w:type="dxa"/>
            <w:noWrap w:val="0"/>
            <w:vAlign w:val="center"/>
          </w:tcPr>
          <w:p w14:paraId="02E35B7D">
            <w:pPr>
              <w:pStyle w:val="68"/>
              <w:spacing w:before="225" w:line="227" w:lineRule="auto"/>
              <w:jc w:val="center"/>
              <w:rPr>
                <w:rFonts w:hint="eastAsia"/>
                <w:strike w:val="0"/>
                <w:dstrike w:val="0"/>
                <w:color w:val="auto"/>
                <w:highlight w:val="none"/>
              </w:rPr>
            </w:pPr>
            <w:r>
              <w:rPr>
                <w:rFonts w:hint="eastAsia" w:ascii="宋体" w:hAnsi="宋体" w:eastAsia="宋体" w:cs="宋体"/>
                <w:color w:val="auto"/>
                <w:spacing w:val="-3"/>
                <w:highlight w:val="none"/>
              </w:rPr>
              <w:t>★</w:t>
            </w:r>
            <w:r>
              <w:rPr>
                <w:strike w:val="0"/>
                <w:dstrike w:val="0"/>
                <w:color w:val="auto"/>
                <w:spacing w:val="-4"/>
                <w:highlight w:val="none"/>
              </w:rPr>
              <w:t>3.2</w:t>
            </w:r>
          </w:p>
        </w:tc>
        <w:tc>
          <w:tcPr>
            <w:tcW w:w="7694" w:type="dxa"/>
            <w:noWrap w:val="0"/>
            <w:vAlign w:val="top"/>
          </w:tcPr>
          <w:p w14:paraId="773CCA89">
            <w:pPr>
              <w:pStyle w:val="68"/>
              <w:spacing w:before="41" w:line="270" w:lineRule="auto"/>
              <w:ind w:left="11" w:right="6" w:hanging="2"/>
              <w:rPr>
                <w:rFonts w:hint="eastAsia" w:ascii="宋体" w:hAnsi="宋体" w:eastAsia="宋体" w:cs="宋体"/>
                <w:strike w:val="0"/>
                <w:dstrike w:val="0"/>
                <w:snapToGrid w:val="0"/>
                <w:color w:val="auto"/>
                <w:spacing w:val="-3"/>
                <w:sz w:val="24"/>
                <w:szCs w:val="24"/>
                <w:highlight w:val="none"/>
                <w:lang w:val="en-US" w:eastAsia="zh-CN" w:bidi="ar-SA"/>
              </w:rPr>
            </w:pPr>
            <w:r>
              <w:rPr>
                <w:rFonts w:hint="eastAsia" w:ascii="宋体" w:hAnsi="宋体" w:eastAsia="宋体" w:cs="宋体"/>
                <w:strike w:val="0"/>
                <w:dstrike w:val="0"/>
                <w:snapToGrid w:val="0"/>
                <w:color w:val="auto"/>
                <w:spacing w:val="-3"/>
                <w:sz w:val="24"/>
                <w:szCs w:val="24"/>
                <w:highlight w:val="none"/>
                <w:lang w:val="en-US" w:eastAsia="zh-CN" w:bidi="ar-SA"/>
              </w:rPr>
              <w:t>水平输送模组由模组机架、电动辊筒、随动辊筒、驱动器、多楔带、护栏矫正器、安全装置等部件组成。可分为水平输送模组、转弯机、移载机、爬坡机、缓坡机、分合流等设备；用电动辊筒驱动（除爬坡机外），全部辊筒均采用304不锈钢材质，筒壁厚度≥1.5mm，辊筒轴心间距≤120mm；（提供项目现场实拍照片），</w:t>
            </w:r>
            <w:r>
              <w:rPr>
                <w:rFonts w:hint="eastAsia" w:ascii="宋体" w:hAnsi="宋体" w:eastAsia="宋体" w:cs="宋体"/>
                <w:b/>
                <w:bCs/>
                <w:color w:val="auto"/>
                <w:sz w:val="24"/>
                <w:szCs w:val="24"/>
                <w:highlight w:val="none"/>
                <w:lang w:eastAsia="zh-CN"/>
              </w:rPr>
              <w:t>承诺中标后提供检测报告（承诺函格式自拟）</w:t>
            </w:r>
            <w:r>
              <w:rPr>
                <w:rFonts w:hint="eastAsia" w:ascii="宋体" w:hAnsi="宋体" w:eastAsia="宋体" w:cs="宋体"/>
                <w:b/>
                <w:bCs/>
                <w:color w:val="auto"/>
                <w:sz w:val="24"/>
                <w:szCs w:val="24"/>
                <w:highlight w:val="none"/>
              </w:rPr>
              <w:t>。</w:t>
            </w:r>
          </w:p>
        </w:tc>
      </w:tr>
      <w:tr w14:paraId="610B4F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1" w:hRule="atLeast"/>
        </w:trPr>
        <w:tc>
          <w:tcPr>
            <w:tcW w:w="1561" w:type="dxa"/>
            <w:noWrap w:val="0"/>
            <w:vAlign w:val="center"/>
          </w:tcPr>
          <w:p w14:paraId="3A7A5C9F">
            <w:pPr>
              <w:pStyle w:val="68"/>
              <w:spacing w:before="78" w:line="239" w:lineRule="auto"/>
              <w:jc w:val="center"/>
              <w:rPr>
                <w:rFonts w:hint="eastAsia"/>
                <w:color w:val="auto"/>
                <w:highlight w:val="none"/>
              </w:rPr>
            </w:pPr>
            <w:r>
              <w:rPr>
                <w:color w:val="auto"/>
                <w:spacing w:val="-4"/>
                <w:highlight w:val="none"/>
              </w:rPr>
              <w:t>3.3</w:t>
            </w:r>
          </w:p>
        </w:tc>
        <w:tc>
          <w:tcPr>
            <w:tcW w:w="7694" w:type="dxa"/>
            <w:noWrap w:val="0"/>
            <w:vAlign w:val="top"/>
          </w:tcPr>
          <w:p w14:paraId="4EC0DF55">
            <w:pPr>
              <w:keepNext w:val="0"/>
              <w:keepLines w:val="0"/>
              <w:widowControl/>
              <w:suppressLineNumbers w:val="0"/>
              <w:jc w:val="left"/>
              <w:rPr>
                <w:rFonts w:hint="eastAsia" w:ascii="宋体" w:hAnsi="宋体" w:eastAsia="宋体" w:cs="宋体"/>
                <w:snapToGrid w:val="0"/>
                <w:color w:val="auto"/>
                <w:spacing w:val="-3"/>
                <w:sz w:val="24"/>
                <w:szCs w:val="24"/>
                <w:highlight w:val="none"/>
                <w:lang w:val="en-US" w:eastAsia="zh-CN" w:bidi="ar-SA"/>
              </w:rPr>
            </w:pPr>
            <w:r>
              <w:rPr>
                <w:rFonts w:hint="eastAsia" w:ascii="宋体" w:hAnsi="宋体" w:eastAsia="宋体" w:cs="宋体"/>
                <w:snapToGrid w:val="0"/>
                <w:color w:val="auto"/>
                <w:spacing w:val="-3"/>
                <w:sz w:val="24"/>
                <w:szCs w:val="24"/>
                <w:highlight w:val="none"/>
                <w:lang w:val="en-US" w:eastAsia="zh-CN" w:bidi="ar-SA"/>
              </w:rPr>
              <w:t>为避免长期使用导致变形，为避免长期使用导致变形，机架选用≥2.5mm 高强度冷轧碳钢材料制造，</w:t>
            </w:r>
            <w:r>
              <w:rPr>
                <w:rFonts w:hint="default" w:ascii="宋体" w:hAnsi="宋体" w:eastAsia="宋体" w:cs="宋体"/>
                <w:snapToGrid w:val="0"/>
                <w:color w:val="auto"/>
                <w:spacing w:val="-3"/>
                <w:sz w:val="24"/>
                <w:szCs w:val="24"/>
                <w:highlight w:val="none"/>
                <w:lang w:val="en-US" w:eastAsia="zh-CN" w:bidi="ar-SA"/>
              </w:rPr>
              <w:t>材料硬度≥120HB，抗拉强度≥350MPa，耐高温（800℃，30min无变形），熔点≥1000℃，表面进行防锈处理（1.喷涂膜厚：≥60um;2.外观：涂层完整，不允许明显橘皮及疙瘩，无起泡、坑洼、无明显划伤，痱子及缩孔等缺陷数少于15个/dm²，集中性缺陷少于3个/cm²；）或铝合金制造。</w:t>
            </w:r>
            <w:r>
              <w:rPr>
                <w:rFonts w:hint="eastAsia" w:ascii="宋体" w:hAnsi="宋体" w:eastAsia="宋体" w:cs="宋体"/>
                <w:snapToGrid w:val="0"/>
                <w:color w:val="auto"/>
                <w:spacing w:val="-3"/>
                <w:sz w:val="24"/>
                <w:szCs w:val="24"/>
                <w:highlight w:val="none"/>
                <w:lang w:val="en-US" w:eastAsia="zh-CN" w:bidi="ar-SA"/>
              </w:rPr>
              <w:t>机架选用铝合金材质，铝合金材质厚度≥3.5mm，铝材表面均进行阳极氧化处理，其厚度≥10微米。</w:t>
            </w:r>
          </w:p>
        </w:tc>
      </w:tr>
      <w:tr w14:paraId="7DD7AA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561" w:type="dxa"/>
            <w:noWrap w:val="0"/>
            <w:vAlign w:val="top"/>
          </w:tcPr>
          <w:p w14:paraId="25047DBF">
            <w:pPr>
              <w:pStyle w:val="68"/>
              <w:spacing w:before="221" w:line="239" w:lineRule="auto"/>
              <w:ind w:left="611"/>
              <w:rPr>
                <w:rFonts w:hint="eastAsia"/>
                <w:color w:val="auto"/>
                <w:highlight w:val="none"/>
              </w:rPr>
            </w:pPr>
            <w:r>
              <w:rPr>
                <w:color w:val="auto"/>
                <w:spacing w:val="-5"/>
                <w:highlight w:val="none"/>
              </w:rPr>
              <w:t>3.4</w:t>
            </w:r>
          </w:p>
        </w:tc>
        <w:tc>
          <w:tcPr>
            <w:tcW w:w="7694" w:type="dxa"/>
            <w:noWrap w:val="0"/>
            <w:vAlign w:val="top"/>
          </w:tcPr>
          <w:p w14:paraId="7A83FF10">
            <w:pPr>
              <w:pStyle w:val="68"/>
              <w:spacing w:before="33" w:line="272" w:lineRule="auto"/>
              <w:ind w:left="27" w:right="6" w:hanging="14"/>
              <w:rPr>
                <w:rFonts w:hint="eastAsia"/>
                <w:color w:val="auto"/>
                <w:highlight w:val="none"/>
                <w:lang w:eastAsia="zh-CN"/>
              </w:rPr>
            </w:pPr>
            <w:r>
              <w:rPr>
                <w:color w:val="auto"/>
                <w:highlight w:val="none"/>
                <w:lang w:eastAsia="zh-CN"/>
              </w:rPr>
              <w:t>为保证周转箱在运输过程中的安全稳定运行，</w:t>
            </w:r>
            <w:r>
              <w:rPr>
                <w:color w:val="auto"/>
                <w:spacing w:val="-1"/>
                <w:highlight w:val="none"/>
                <w:lang w:eastAsia="zh-CN"/>
              </w:rPr>
              <w:t>需在线体两侧设计有高度≥</w:t>
            </w:r>
            <w:r>
              <w:rPr>
                <w:color w:val="auto"/>
                <w:highlight w:val="none"/>
                <w:lang w:eastAsia="zh-CN"/>
              </w:rPr>
              <w:t xml:space="preserve"> </w:t>
            </w:r>
            <w:r>
              <w:rPr>
                <w:color w:val="auto"/>
                <w:spacing w:val="-3"/>
                <w:highlight w:val="none"/>
                <w:lang w:eastAsia="zh-CN"/>
              </w:rPr>
              <w:t>100mm的防护装置，材质为304以上不锈钢。</w:t>
            </w:r>
          </w:p>
        </w:tc>
      </w:tr>
      <w:tr w14:paraId="1947B4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561" w:type="dxa"/>
            <w:noWrap w:val="0"/>
            <w:vAlign w:val="top"/>
          </w:tcPr>
          <w:p w14:paraId="67301605">
            <w:pPr>
              <w:pStyle w:val="68"/>
              <w:spacing w:before="221" w:line="239" w:lineRule="auto"/>
              <w:ind w:left="611"/>
              <w:rPr>
                <w:rFonts w:hint="eastAsia"/>
                <w:color w:val="auto"/>
                <w:highlight w:val="none"/>
              </w:rPr>
            </w:pPr>
            <w:r>
              <w:rPr>
                <w:color w:val="auto"/>
                <w:spacing w:val="-4"/>
                <w:highlight w:val="none"/>
              </w:rPr>
              <w:t>3.5</w:t>
            </w:r>
          </w:p>
        </w:tc>
        <w:tc>
          <w:tcPr>
            <w:tcW w:w="7694" w:type="dxa"/>
            <w:noWrap w:val="0"/>
            <w:vAlign w:val="top"/>
          </w:tcPr>
          <w:p w14:paraId="3901301D">
            <w:pPr>
              <w:pStyle w:val="68"/>
              <w:spacing w:before="33" w:line="273" w:lineRule="auto"/>
              <w:ind w:left="8" w:right="16" w:firstLine="2"/>
              <w:rPr>
                <w:rFonts w:hint="eastAsia"/>
                <w:color w:val="auto"/>
                <w:highlight w:val="none"/>
                <w:lang w:eastAsia="zh-CN"/>
              </w:rPr>
            </w:pPr>
            <w:r>
              <w:rPr>
                <w:color w:val="auto"/>
                <w:spacing w:val="-1"/>
                <w:highlight w:val="none"/>
                <w:lang w:eastAsia="zh-CN"/>
              </w:rPr>
              <w:t>保证重载周转箱的平稳运行和多尺寸箱体的承载，在周转箱底部中心线位置需连续不间断结构支撑，辊筒间间隙≤80mm。</w:t>
            </w:r>
          </w:p>
        </w:tc>
      </w:tr>
      <w:tr w14:paraId="440942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561" w:type="dxa"/>
            <w:noWrap w:val="0"/>
            <w:vAlign w:val="top"/>
          </w:tcPr>
          <w:p w14:paraId="442E3CF4">
            <w:pPr>
              <w:pStyle w:val="68"/>
              <w:spacing w:before="221" w:line="239" w:lineRule="auto"/>
              <w:ind w:left="611"/>
              <w:rPr>
                <w:rFonts w:hint="eastAsia"/>
                <w:color w:val="auto"/>
                <w:highlight w:val="none"/>
              </w:rPr>
            </w:pPr>
            <w:r>
              <w:rPr>
                <w:color w:val="auto"/>
                <w:spacing w:val="-5"/>
                <w:highlight w:val="none"/>
              </w:rPr>
              <w:t>3.6</w:t>
            </w:r>
          </w:p>
        </w:tc>
        <w:tc>
          <w:tcPr>
            <w:tcW w:w="7694" w:type="dxa"/>
            <w:noWrap w:val="0"/>
            <w:vAlign w:val="top"/>
          </w:tcPr>
          <w:p w14:paraId="44FDBA30">
            <w:pPr>
              <w:pStyle w:val="68"/>
              <w:spacing w:before="33" w:line="272" w:lineRule="auto"/>
              <w:ind w:left="8" w:right="7" w:firstLine="4"/>
              <w:rPr>
                <w:rFonts w:hint="eastAsia"/>
                <w:color w:val="auto"/>
                <w:highlight w:val="none"/>
                <w:lang w:eastAsia="zh-CN"/>
              </w:rPr>
            </w:pPr>
            <w:r>
              <w:rPr>
                <w:color w:val="auto"/>
                <w:spacing w:val="-1"/>
                <w:highlight w:val="none"/>
                <w:lang w:eastAsia="zh-CN"/>
              </w:rPr>
              <w:t>为缩短后续维护保养时长，减少维护时间对物流系统正常使用影响，要求传输分拣线机架采用快拆结构，传输单元模块可实</w:t>
            </w:r>
            <w:r>
              <w:rPr>
                <w:color w:val="auto"/>
                <w:spacing w:val="-2"/>
                <w:highlight w:val="none"/>
                <w:lang w:eastAsia="zh-CN"/>
              </w:rPr>
              <w:t>现无工具化拆装维护。</w:t>
            </w:r>
          </w:p>
        </w:tc>
      </w:tr>
      <w:tr w14:paraId="01A75D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1561" w:type="dxa"/>
            <w:noWrap w:val="0"/>
            <w:vAlign w:val="top"/>
          </w:tcPr>
          <w:p w14:paraId="4A3BF5E8">
            <w:pPr>
              <w:pStyle w:val="68"/>
              <w:spacing w:before="222" w:line="239" w:lineRule="auto"/>
              <w:ind w:left="611"/>
              <w:rPr>
                <w:rFonts w:hint="eastAsia"/>
                <w:color w:val="auto"/>
                <w:highlight w:val="none"/>
              </w:rPr>
            </w:pPr>
            <w:r>
              <w:rPr>
                <w:color w:val="auto"/>
                <w:spacing w:val="-4"/>
                <w:highlight w:val="none"/>
              </w:rPr>
              <w:t>3.7</w:t>
            </w:r>
          </w:p>
        </w:tc>
        <w:tc>
          <w:tcPr>
            <w:tcW w:w="7694" w:type="dxa"/>
            <w:noWrap w:val="0"/>
            <w:vAlign w:val="top"/>
          </w:tcPr>
          <w:p w14:paraId="731B40E3">
            <w:pPr>
              <w:pStyle w:val="68"/>
              <w:spacing w:before="34" w:line="273" w:lineRule="auto"/>
              <w:ind w:left="9" w:right="7" w:firstLine="3"/>
              <w:rPr>
                <w:rFonts w:hint="eastAsia"/>
                <w:color w:val="auto"/>
                <w:highlight w:val="none"/>
                <w:lang w:eastAsia="zh-CN"/>
              </w:rPr>
            </w:pPr>
            <w:r>
              <w:rPr>
                <w:color w:val="auto"/>
                <w:spacing w:val="-1"/>
                <w:highlight w:val="none"/>
                <w:lang w:eastAsia="zh-CN"/>
              </w:rPr>
              <w:t>为减少系统水平输送线对医院建筑空间的占用，如采用平行双线布局，相邻两条水平线间距≤150mm。</w:t>
            </w:r>
          </w:p>
        </w:tc>
      </w:tr>
      <w:tr w14:paraId="70360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7" w:hRule="atLeast"/>
        </w:trPr>
        <w:tc>
          <w:tcPr>
            <w:tcW w:w="1561" w:type="dxa"/>
            <w:noWrap w:val="0"/>
            <w:vAlign w:val="center"/>
          </w:tcPr>
          <w:p w14:paraId="76F6EA00">
            <w:pPr>
              <w:pStyle w:val="68"/>
              <w:spacing w:before="78" w:line="239" w:lineRule="auto"/>
              <w:jc w:val="center"/>
              <w:rPr>
                <w:rFonts w:hint="eastAsia"/>
                <w:color w:val="auto"/>
                <w:highlight w:val="none"/>
              </w:rPr>
            </w:pPr>
            <w:r>
              <w:rPr>
                <w:color w:val="auto"/>
                <w:spacing w:val="-4"/>
                <w:highlight w:val="none"/>
              </w:rPr>
              <w:t>3.8</w:t>
            </w:r>
          </w:p>
        </w:tc>
        <w:tc>
          <w:tcPr>
            <w:tcW w:w="7694" w:type="dxa"/>
            <w:noWrap w:val="0"/>
            <w:vAlign w:val="top"/>
          </w:tcPr>
          <w:p w14:paraId="591491DB">
            <w:pPr>
              <w:pStyle w:val="68"/>
              <w:spacing w:before="36" w:line="287" w:lineRule="auto"/>
              <w:ind w:left="11" w:right="7" w:hanging="2"/>
              <w:jc w:val="both"/>
              <w:rPr>
                <w:rFonts w:hint="eastAsia"/>
                <w:color w:val="auto"/>
                <w:highlight w:val="none"/>
                <w:lang w:eastAsia="zh-CN"/>
              </w:rPr>
            </w:pPr>
            <w:r>
              <w:rPr>
                <w:color w:val="auto"/>
                <w:highlight w:val="none"/>
                <w:lang w:eastAsia="zh-CN"/>
              </w:rPr>
              <w:t>输送方式应具备节能技术，采用分布式动力结构，</w:t>
            </w:r>
            <w:r>
              <w:rPr>
                <w:color w:val="auto"/>
                <w:spacing w:val="-1"/>
                <w:highlight w:val="none"/>
                <w:lang w:eastAsia="zh-CN"/>
              </w:rPr>
              <w:t>标准单元动力段长度应≤3000mm。当有周转箱通过时输送单元运行，投标人应根据动力段分布情</w:t>
            </w:r>
            <w:r>
              <w:rPr>
                <w:color w:val="auto"/>
                <w:spacing w:val="-5"/>
                <w:highlight w:val="none"/>
                <w:lang w:eastAsia="zh-CN"/>
              </w:rPr>
              <w:t>况详细描述节能措施。</w:t>
            </w:r>
          </w:p>
          <w:p w14:paraId="3869756B">
            <w:pPr>
              <w:pStyle w:val="68"/>
              <w:spacing w:before="1" w:line="218" w:lineRule="auto"/>
              <w:ind w:left="11"/>
              <w:rPr>
                <w:rFonts w:hint="eastAsia"/>
                <w:color w:val="auto"/>
                <w:highlight w:val="none"/>
                <w:lang w:eastAsia="zh-CN"/>
              </w:rPr>
            </w:pPr>
            <w:r>
              <w:rPr>
                <w:color w:val="auto"/>
                <w:spacing w:val="-5"/>
                <w:highlight w:val="none"/>
                <w:lang w:eastAsia="zh-CN"/>
              </w:rPr>
              <w:t>若采用辊筒或电机方式技术要求：</w:t>
            </w:r>
          </w:p>
          <w:p w14:paraId="237AACCC">
            <w:pPr>
              <w:pStyle w:val="68"/>
              <w:spacing w:before="88" w:line="253" w:lineRule="auto"/>
              <w:ind w:left="19" w:right="180" w:firstLine="8"/>
              <w:rPr>
                <w:rFonts w:hint="eastAsia"/>
                <w:color w:val="auto"/>
                <w:highlight w:val="none"/>
                <w:lang w:eastAsia="zh-CN"/>
              </w:rPr>
            </w:pPr>
            <w:r>
              <w:rPr>
                <w:color w:val="auto"/>
                <w:spacing w:val="-3"/>
                <w:highlight w:val="none"/>
                <w:lang w:eastAsia="zh-CN"/>
              </w:rPr>
              <w:t>1）动力采用</w:t>
            </w:r>
            <w:r>
              <w:rPr>
                <w:color w:val="auto"/>
                <w:spacing w:val="42"/>
                <w:highlight w:val="none"/>
                <w:lang w:eastAsia="zh-CN"/>
              </w:rPr>
              <w:t xml:space="preserve"> </w:t>
            </w:r>
            <w:r>
              <w:rPr>
                <w:color w:val="auto"/>
                <w:spacing w:val="-3"/>
                <w:highlight w:val="none"/>
                <w:lang w:eastAsia="zh-CN"/>
              </w:rPr>
              <w:t>24V 直流无刷或 380V交</w:t>
            </w:r>
            <w:r>
              <w:rPr>
                <w:color w:val="auto"/>
                <w:spacing w:val="-4"/>
                <w:highlight w:val="none"/>
                <w:lang w:eastAsia="zh-CN"/>
              </w:rPr>
              <w:t>流电机技术，采用动态电子刹车，</w:t>
            </w:r>
            <w:r>
              <w:rPr>
                <w:color w:val="auto"/>
                <w:spacing w:val="-3"/>
                <w:highlight w:val="none"/>
                <w:lang w:eastAsia="zh-CN"/>
              </w:rPr>
              <w:t>能够高速有效的控制水平传输线的启动和停止。</w:t>
            </w:r>
          </w:p>
          <w:p w14:paraId="19926BF0">
            <w:pPr>
              <w:pStyle w:val="68"/>
              <w:spacing w:before="87" w:line="220" w:lineRule="auto"/>
              <w:ind w:left="13"/>
              <w:rPr>
                <w:rFonts w:hint="eastAsia"/>
                <w:color w:val="auto"/>
                <w:highlight w:val="none"/>
              </w:rPr>
            </w:pPr>
            <w:r>
              <w:rPr>
                <w:color w:val="auto"/>
                <w:spacing w:val="-2"/>
                <w:highlight w:val="none"/>
              </w:rPr>
              <w:t>2）起动电流≤4A。</w:t>
            </w:r>
          </w:p>
        </w:tc>
      </w:tr>
      <w:tr w14:paraId="15A1F6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9255" w:type="dxa"/>
            <w:gridSpan w:val="2"/>
            <w:noWrap w:val="0"/>
            <w:vAlign w:val="top"/>
          </w:tcPr>
          <w:p w14:paraId="39499EB5">
            <w:pPr>
              <w:pStyle w:val="68"/>
              <w:spacing w:before="35" w:line="219" w:lineRule="auto"/>
              <w:ind w:left="13"/>
              <w:rPr>
                <w:rFonts w:hint="eastAsia"/>
                <w:color w:val="auto"/>
                <w:highlight w:val="none"/>
              </w:rPr>
            </w:pPr>
            <w:r>
              <w:rPr>
                <w:color w:val="auto"/>
                <w:spacing w:val="-1"/>
                <w:highlight w:val="none"/>
              </w:rPr>
              <w:t>4.垂直传输分拣系统</w:t>
            </w:r>
          </w:p>
        </w:tc>
      </w:tr>
      <w:tr w14:paraId="0056E7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5" w:hRule="atLeast"/>
        </w:trPr>
        <w:tc>
          <w:tcPr>
            <w:tcW w:w="1561" w:type="dxa"/>
            <w:noWrap w:val="0"/>
            <w:vAlign w:val="center"/>
          </w:tcPr>
          <w:p w14:paraId="5BCDBC23">
            <w:pPr>
              <w:pStyle w:val="68"/>
              <w:spacing w:before="78" w:line="238" w:lineRule="auto"/>
              <w:jc w:val="center"/>
              <w:rPr>
                <w:rFonts w:hint="eastAsia"/>
                <w:color w:val="auto"/>
                <w:highlight w:val="none"/>
              </w:rPr>
            </w:pPr>
            <w:r>
              <w:rPr>
                <w:rFonts w:hint="eastAsia" w:ascii="仿宋" w:hAnsi="仿宋" w:eastAsia="仿宋" w:cs="仿宋"/>
                <w:color w:val="auto"/>
                <w:spacing w:val="-5"/>
                <w:highlight w:val="none"/>
              </w:rPr>
              <w:t>▲</w:t>
            </w:r>
            <w:r>
              <w:rPr>
                <w:color w:val="auto"/>
                <w:spacing w:val="-5"/>
                <w:highlight w:val="none"/>
              </w:rPr>
              <w:t>4.1</w:t>
            </w:r>
          </w:p>
        </w:tc>
        <w:tc>
          <w:tcPr>
            <w:tcW w:w="7694" w:type="dxa"/>
            <w:noWrap w:val="0"/>
            <w:vAlign w:val="top"/>
          </w:tcPr>
          <w:p w14:paraId="479069C7">
            <w:pPr>
              <w:pStyle w:val="68"/>
              <w:spacing w:before="35" w:line="219" w:lineRule="auto"/>
              <w:ind w:left="11"/>
              <w:rPr>
                <w:rFonts w:hint="eastAsia"/>
                <w:color w:val="auto"/>
                <w:highlight w:val="none"/>
                <w:lang w:eastAsia="zh-CN"/>
              </w:rPr>
            </w:pPr>
            <w:r>
              <w:rPr>
                <w:color w:val="auto"/>
                <w:highlight w:val="none"/>
                <w:lang w:eastAsia="zh-CN"/>
              </w:rPr>
              <w:t>垂直传输分拣系统主要由高层多箱位往复提升</w:t>
            </w:r>
            <w:r>
              <w:rPr>
                <w:color w:val="auto"/>
                <w:spacing w:val="-1"/>
                <w:highlight w:val="none"/>
                <w:lang w:eastAsia="zh-CN"/>
              </w:rPr>
              <w:t>机、低层多箱位往复提升</w:t>
            </w:r>
          </w:p>
          <w:p w14:paraId="15807E60">
            <w:pPr>
              <w:pStyle w:val="68"/>
              <w:spacing w:before="89" w:line="271" w:lineRule="auto"/>
              <w:ind w:left="10" w:right="20" w:hanging="1"/>
              <w:rPr>
                <w:rFonts w:hint="eastAsia"/>
                <w:color w:val="auto"/>
                <w:highlight w:val="none"/>
                <w:lang w:eastAsia="zh-CN"/>
              </w:rPr>
            </w:pPr>
            <w:r>
              <w:rPr>
                <w:color w:val="auto"/>
                <w:spacing w:val="-1"/>
                <w:highlight w:val="none"/>
                <w:lang w:eastAsia="zh-CN"/>
              </w:rPr>
              <w:t>机、电气控制系统组成。轿厢内增加紫外线灯、循环风消毒机或其他消毒方式，确保符合院感要求</w:t>
            </w:r>
            <w:r>
              <w:rPr>
                <w:rFonts w:hint="eastAsia"/>
                <w:color w:val="auto"/>
                <w:spacing w:val="-1"/>
                <w:highlight w:val="none"/>
                <w:lang w:eastAsia="zh-CN"/>
              </w:rPr>
              <w:t>。</w:t>
            </w:r>
          </w:p>
        </w:tc>
      </w:tr>
      <w:tr w14:paraId="75AF8D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9255" w:type="dxa"/>
            <w:gridSpan w:val="2"/>
            <w:tcBorders>
              <w:bottom w:val="single" w:color="000000" w:sz="4" w:space="0"/>
            </w:tcBorders>
            <w:noWrap w:val="0"/>
            <w:vAlign w:val="top"/>
          </w:tcPr>
          <w:p w14:paraId="160CEDE8">
            <w:pPr>
              <w:pStyle w:val="68"/>
              <w:spacing w:before="38" w:line="219" w:lineRule="auto"/>
              <w:ind w:left="13"/>
              <w:rPr>
                <w:rFonts w:hint="eastAsia"/>
                <w:color w:val="auto"/>
                <w:highlight w:val="none"/>
                <w:lang w:eastAsia="zh-CN"/>
              </w:rPr>
            </w:pPr>
            <w:r>
              <w:rPr>
                <w:color w:val="auto"/>
                <w:spacing w:val="-1"/>
                <w:highlight w:val="none"/>
                <w:lang w:eastAsia="zh-CN"/>
              </w:rPr>
              <w:t>4.2 高层多箱位往复式垂直分拣机</w:t>
            </w:r>
          </w:p>
        </w:tc>
      </w:tr>
      <w:tr w14:paraId="74D48E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5" w:hRule="atLeast"/>
        </w:trPr>
        <w:tc>
          <w:tcPr>
            <w:tcW w:w="1561" w:type="dxa"/>
            <w:tcBorders>
              <w:top w:val="single" w:color="000000" w:sz="4" w:space="0"/>
              <w:bottom w:val="single" w:color="000000" w:sz="4" w:space="0"/>
            </w:tcBorders>
            <w:noWrap w:val="0"/>
            <w:vAlign w:val="center"/>
          </w:tcPr>
          <w:p w14:paraId="091C3E82">
            <w:pPr>
              <w:pStyle w:val="68"/>
              <w:spacing w:before="78" w:line="239" w:lineRule="auto"/>
              <w:jc w:val="center"/>
              <w:rPr>
                <w:rFonts w:hint="eastAsia"/>
                <w:color w:val="auto"/>
                <w:highlight w:val="none"/>
              </w:rPr>
            </w:pPr>
            <w:r>
              <w:rPr>
                <w:color w:val="auto"/>
                <w:spacing w:val="-2"/>
                <w:highlight w:val="none"/>
              </w:rPr>
              <w:t>4.2.1</w:t>
            </w:r>
          </w:p>
        </w:tc>
        <w:tc>
          <w:tcPr>
            <w:tcW w:w="7694" w:type="dxa"/>
            <w:tcBorders>
              <w:top w:val="single" w:color="000000" w:sz="4" w:space="0"/>
              <w:bottom w:val="single" w:color="000000" w:sz="4" w:space="0"/>
            </w:tcBorders>
            <w:noWrap w:val="0"/>
            <w:vAlign w:val="top"/>
          </w:tcPr>
          <w:p w14:paraId="7433AD93">
            <w:pPr>
              <w:pStyle w:val="68"/>
              <w:spacing w:before="34" w:line="277" w:lineRule="auto"/>
              <w:ind w:left="11" w:right="6" w:firstLine="1"/>
              <w:jc w:val="both"/>
              <w:rPr>
                <w:rFonts w:hint="eastAsia"/>
                <w:color w:val="auto"/>
                <w:spacing w:val="-2"/>
                <w:highlight w:val="none"/>
                <w:lang w:eastAsia="zh-CN"/>
              </w:rPr>
            </w:pPr>
            <w:r>
              <w:rPr>
                <w:rFonts w:hint="eastAsia"/>
                <w:color w:val="auto"/>
                <w:spacing w:val="-2"/>
                <w:highlight w:val="none"/>
                <w:lang w:eastAsia="zh-CN"/>
              </w:rPr>
              <w:t>为保证其垂直分拣使用过程及售后检修过程的安全性；高层多箱位往复式垂直分拣机应采用曳引机形式，由曳引机制动器、安全钳、限速器、厢内分拣设备等部件构成。高速垂直分拣机采用轿厢和对重块的承载结构，保证垂直分拣机的安全稳定运行，要求轿厢钢丝绳数量≥5股，要求同时配置轿厢和对重块的安全钳和缓冲器。缓冲器要求采用耗能型缓冲器。</w:t>
            </w:r>
          </w:p>
          <w:p w14:paraId="17E912E2">
            <w:pPr>
              <w:pStyle w:val="68"/>
              <w:spacing w:before="34" w:line="277" w:lineRule="auto"/>
              <w:ind w:left="11" w:right="6" w:firstLine="1"/>
              <w:jc w:val="both"/>
              <w:rPr>
                <w:rFonts w:hint="eastAsia" w:eastAsia="宋体"/>
                <w:color w:val="auto"/>
                <w:spacing w:val="-2"/>
                <w:highlight w:val="none"/>
                <w:lang w:eastAsia="zh-CN"/>
              </w:rPr>
            </w:pPr>
            <w:r>
              <w:rPr>
                <w:rFonts w:hint="eastAsia" w:ascii="宋体" w:hAnsi="宋体" w:eastAsia="宋体" w:cs="宋体"/>
                <w:b/>
                <w:bCs/>
                <w:color w:val="auto"/>
                <w:sz w:val="24"/>
                <w:szCs w:val="24"/>
                <w:highlight w:val="none"/>
                <w:lang w:eastAsia="zh-CN"/>
              </w:rPr>
              <w:t>承诺中标后提供检测报告（承诺函格式自拟）</w:t>
            </w:r>
          </w:p>
        </w:tc>
      </w:tr>
      <w:tr w14:paraId="1CA702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9" w:hRule="atLeast"/>
        </w:trPr>
        <w:tc>
          <w:tcPr>
            <w:tcW w:w="1561" w:type="dxa"/>
            <w:tcBorders>
              <w:top w:val="single" w:color="000000" w:sz="4" w:space="0"/>
              <w:bottom w:val="single" w:color="000000" w:sz="4" w:space="0"/>
            </w:tcBorders>
            <w:noWrap w:val="0"/>
            <w:vAlign w:val="center"/>
          </w:tcPr>
          <w:p w14:paraId="79861EC0">
            <w:pPr>
              <w:pStyle w:val="68"/>
              <w:spacing w:before="78" w:line="238" w:lineRule="auto"/>
              <w:jc w:val="center"/>
              <w:rPr>
                <w:rFonts w:hint="eastAsia"/>
                <w:color w:val="auto"/>
                <w:highlight w:val="none"/>
              </w:rPr>
            </w:pPr>
            <w:r>
              <w:rPr>
                <w:rFonts w:hint="eastAsia" w:ascii="仿宋" w:hAnsi="仿宋" w:eastAsia="仿宋" w:cs="仿宋"/>
                <w:color w:val="auto"/>
                <w:spacing w:val="-3"/>
                <w:highlight w:val="none"/>
              </w:rPr>
              <w:t>▲</w:t>
            </w:r>
            <w:r>
              <w:rPr>
                <w:color w:val="auto"/>
                <w:spacing w:val="-3"/>
                <w:highlight w:val="none"/>
              </w:rPr>
              <w:t>4.2.2</w:t>
            </w:r>
          </w:p>
        </w:tc>
        <w:tc>
          <w:tcPr>
            <w:tcW w:w="7694" w:type="dxa"/>
            <w:tcBorders>
              <w:top w:val="single" w:color="000000" w:sz="4" w:space="0"/>
              <w:bottom w:val="single" w:color="000000" w:sz="4" w:space="0"/>
            </w:tcBorders>
            <w:noWrap w:val="0"/>
            <w:vAlign w:val="top"/>
          </w:tcPr>
          <w:p w14:paraId="5181BD4B">
            <w:pPr>
              <w:pStyle w:val="68"/>
              <w:spacing w:before="38" w:line="279" w:lineRule="auto"/>
              <w:ind w:left="10" w:right="6" w:firstLine="6"/>
              <w:rPr>
                <w:rFonts w:hint="eastAsia"/>
                <w:color w:val="auto"/>
                <w:highlight w:val="none"/>
                <w:lang w:eastAsia="zh-CN"/>
              </w:rPr>
            </w:pPr>
            <w:r>
              <w:rPr>
                <w:color w:val="auto"/>
                <w:spacing w:val="-1"/>
                <w:highlight w:val="none"/>
                <w:lang w:eastAsia="zh-CN"/>
              </w:rPr>
              <w:t>高层提升机内置输送模组为双层结构，模组可同时实现发送、接收任务，</w:t>
            </w:r>
            <w:r>
              <w:rPr>
                <w:color w:val="auto"/>
                <w:highlight w:val="none"/>
                <w:lang w:eastAsia="zh-CN"/>
              </w:rPr>
              <w:t>每层至少可容纳两个标准周转箱。</w:t>
            </w:r>
            <w:r>
              <w:rPr>
                <w:rFonts w:hint="eastAsia"/>
                <w:color w:val="auto"/>
                <w:highlight w:val="none"/>
                <w:lang w:eastAsia="zh-CN"/>
              </w:rPr>
              <w:t>在物资量发送比较大的垂直井道</w:t>
            </w:r>
            <w:r>
              <w:rPr>
                <w:color w:val="auto"/>
                <w:spacing w:val="-1"/>
                <w:highlight w:val="none"/>
                <w:lang w:eastAsia="zh-CN"/>
              </w:rPr>
              <w:t>，在土建</w:t>
            </w:r>
            <w:r>
              <w:rPr>
                <w:color w:val="auto"/>
                <w:highlight w:val="none"/>
                <w:lang w:eastAsia="zh-CN"/>
              </w:rPr>
              <w:t>结构满足的情况下可拓展至三层结构，实现多次平层</w:t>
            </w:r>
            <w:r>
              <w:rPr>
                <w:color w:val="auto"/>
                <w:spacing w:val="-1"/>
                <w:highlight w:val="none"/>
                <w:lang w:eastAsia="zh-CN"/>
              </w:rPr>
              <w:t>对接，箱位容量最高可扩展至6箱位。</w:t>
            </w:r>
          </w:p>
        </w:tc>
      </w:tr>
      <w:tr w14:paraId="1E8036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0" w:hRule="atLeast"/>
        </w:trPr>
        <w:tc>
          <w:tcPr>
            <w:tcW w:w="1561" w:type="dxa"/>
            <w:tcBorders>
              <w:top w:val="single" w:color="000000" w:sz="4" w:space="0"/>
            </w:tcBorders>
            <w:noWrap w:val="0"/>
            <w:vAlign w:val="center"/>
          </w:tcPr>
          <w:p w14:paraId="762FC659">
            <w:pPr>
              <w:pStyle w:val="68"/>
              <w:spacing w:before="222" w:line="239" w:lineRule="auto"/>
              <w:jc w:val="center"/>
              <w:rPr>
                <w:rFonts w:hint="eastAsia"/>
                <w:color w:val="auto"/>
                <w:highlight w:val="none"/>
              </w:rPr>
            </w:pPr>
            <w:r>
              <w:rPr>
                <w:color w:val="auto"/>
                <w:spacing w:val="-2"/>
                <w:highlight w:val="none"/>
              </w:rPr>
              <w:t>4.2.3</w:t>
            </w:r>
          </w:p>
        </w:tc>
        <w:tc>
          <w:tcPr>
            <w:tcW w:w="7694" w:type="dxa"/>
            <w:tcBorders>
              <w:top w:val="single" w:color="000000" w:sz="4" w:space="0"/>
            </w:tcBorders>
            <w:noWrap w:val="0"/>
            <w:vAlign w:val="top"/>
          </w:tcPr>
          <w:p w14:paraId="3030353E">
            <w:pPr>
              <w:pStyle w:val="68"/>
              <w:spacing w:before="35" w:line="271" w:lineRule="auto"/>
              <w:ind w:left="13" w:right="6" w:hanging="4"/>
              <w:rPr>
                <w:rFonts w:hint="eastAsia"/>
                <w:color w:val="auto"/>
                <w:highlight w:val="none"/>
                <w:lang w:eastAsia="zh-CN"/>
              </w:rPr>
            </w:pPr>
            <w:r>
              <w:rPr>
                <w:color w:val="auto"/>
                <w:highlight w:val="none"/>
                <w:lang w:eastAsia="zh-CN"/>
              </w:rPr>
              <w:t>在运输高峰期，用户可通过站点优先发箱功能对个别周</w:t>
            </w:r>
            <w:r>
              <w:rPr>
                <w:color w:val="auto"/>
                <w:spacing w:val="-1"/>
                <w:highlight w:val="none"/>
                <w:lang w:eastAsia="zh-CN"/>
              </w:rPr>
              <w:t>转箱提升机优先等级使其拥有优先通过权，提升特定周转箱优先派送的功能需求。</w:t>
            </w:r>
          </w:p>
        </w:tc>
      </w:tr>
      <w:tr w14:paraId="4D02F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5" w:hRule="atLeast"/>
        </w:trPr>
        <w:tc>
          <w:tcPr>
            <w:tcW w:w="1561" w:type="dxa"/>
            <w:noWrap w:val="0"/>
            <w:vAlign w:val="center"/>
          </w:tcPr>
          <w:p w14:paraId="4480497E">
            <w:pPr>
              <w:pStyle w:val="68"/>
              <w:spacing w:before="225" w:line="239" w:lineRule="auto"/>
              <w:jc w:val="center"/>
              <w:rPr>
                <w:rFonts w:hint="eastAsia"/>
                <w:color w:val="auto"/>
                <w:highlight w:val="none"/>
              </w:rPr>
            </w:pPr>
            <w:r>
              <w:rPr>
                <w:color w:val="auto"/>
                <w:spacing w:val="-2"/>
                <w:highlight w:val="none"/>
              </w:rPr>
              <w:t>4.2.4</w:t>
            </w:r>
          </w:p>
        </w:tc>
        <w:tc>
          <w:tcPr>
            <w:tcW w:w="7694" w:type="dxa"/>
            <w:noWrap w:val="0"/>
            <w:vAlign w:val="top"/>
          </w:tcPr>
          <w:p w14:paraId="47BE9DF5">
            <w:pPr>
              <w:pStyle w:val="68"/>
              <w:spacing w:before="37" w:line="272" w:lineRule="auto"/>
              <w:ind w:left="28" w:right="126" w:hanging="17"/>
              <w:rPr>
                <w:rFonts w:hint="eastAsia"/>
                <w:color w:val="auto"/>
                <w:highlight w:val="none"/>
                <w:lang w:eastAsia="zh-CN"/>
              </w:rPr>
            </w:pPr>
            <w:r>
              <w:rPr>
                <w:color w:val="auto"/>
                <w:highlight w:val="none"/>
                <w:lang w:eastAsia="zh-CN"/>
              </w:rPr>
              <w:t>垂直分拣系统在高峰时段支持单次运送4个周转</w:t>
            </w:r>
            <w:r>
              <w:rPr>
                <w:color w:val="auto"/>
                <w:spacing w:val="-1"/>
                <w:highlight w:val="none"/>
                <w:lang w:eastAsia="zh-CN"/>
              </w:rPr>
              <w:t>箱输送功能，保证高峰时</w:t>
            </w:r>
            <w:r>
              <w:rPr>
                <w:color w:val="auto"/>
                <w:spacing w:val="-4"/>
                <w:highlight w:val="none"/>
                <w:lang w:eastAsia="zh-CN"/>
              </w:rPr>
              <w:t>间段的使用效率。</w:t>
            </w:r>
          </w:p>
        </w:tc>
      </w:tr>
      <w:tr w14:paraId="36BA9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0" w:hRule="atLeast"/>
        </w:trPr>
        <w:tc>
          <w:tcPr>
            <w:tcW w:w="1561" w:type="dxa"/>
            <w:noWrap w:val="0"/>
            <w:vAlign w:val="center"/>
          </w:tcPr>
          <w:p w14:paraId="68201E1D">
            <w:pPr>
              <w:pStyle w:val="68"/>
              <w:spacing w:before="78" w:line="239" w:lineRule="auto"/>
              <w:jc w:val="center"/>
              <w:rPr>
                <w:rFonts w:hint="eastAsia"/>
                <w:color w:val="auto"/>
                <w:highlight w:val="none"/>
              </w:rPr>
            </w:pPr>
            <w:r>
              <w:rPr>
                <w:color w:val="auto"/>
                <w:spacing w:val="-2"/>
                <w:highlight w:val="none"/>
              </w:rPr>
              <w:t>4.2.5</w:t>
            </w:r>
          </w:p>
        </w:tc>
        <w:tc>
          <w:tcPr>
            <w:tcW w:w="7694" w:type="dxa"/>
            <w:noWrap w:val="0"/>
            <w:vAlign w:val="top"/>
          </w:tcPr>
          <w:p w14:paraId="40367D97">
            <w:pPr>
              <w:pStyle w:val="68"/>
              <w:spacing w:before="40" w:line="282" w:lineRule="auto"/>
              <w:ind w:left="9" w:right="6" w:firstLine="1"/>
              <w:rPr>
                <w:rFonts w:hint="eastAsia"/>
                <w:color w:val="auto"/>
                <w:highlight w:val="none"/>
                <w:lang w:eastAsia="zh-CN"/>
              </w:rPr>
            </w:pPr>
            <w:r>
              <w:rPr>
                <w:color w:val="auto"/>
                <w:highlight w:val="none"/>
                <w:lang w:eastAsia="zh-CN"/>
              </w:rPr>
              <w:t>垂直分拣停电应急平层功能：垂直提升机运行</w:t>
            </w:r>
            <w:r>
              <w:rPr>
                <w:color w:val="auto"/>
                <w:spacing w:val="-1"/>
                <w:highlight w:val="none"/>
                <w:lang w:eastAsia="zh-CN"/>
              </w:rPr>
              <w:t>时，遇突然停电后不能及时</w:t>
            </w:r>
            <w:r>
              <w:rPr>
                <w:color w:val="auto"/>
                <w:highlight w:val="none"/>
                <w:lang w:eastAsia="zh-CN"/>
              </w:rPr>
              <w:t>恢复供电，恰好这时有紧急物品在垂直提升机轿厢</w:t>
            </w:r>
            <w:r>
              <w:rPr>
                <w:color w:val="auto"/>
                <w:spacing w:val="-1"/>
                <w:highlight w:val="none"/>
                <w:lang w:eastAsia="zh-CN"/>
              </w:rPr>
              <w:t>里面，可采用垂直分拣机的应急平层系统，通过备用（UPS）控制电源，系统自动打开曳引机抱</w:t>
            </w:r>
            <w:r>
              <w:rPr>
                <w:color w:val="auto"/>
                <w:highlight w:val="none"/>
                <w:lang w:eastAsia="zh-CN"/>
              </w:rPr>
              <w:t>闸，利用主回路封星接触器能耗制动，以0.05米每秒</w:t>
            </w:r>
            <w:r>
              <w:rPr>
                <w:color w:val="auto"/>
                <w:spacing w:val="-1"/>
                <w:highlight w:val="none"/>
                <w:lang w:eastAsia="zh-CN"/>
              </w:rPr>
              <w:t>的安全速度，通过磁</w:t>
            </w:r>
            <w:r>
              <w:rPr>
                <w:color w:val="auto"/>
                <w:highlight w:val="none"/>
                <w:lang w:eastAsia="zh-CN"/>
              </w:rPr>
              <w:t>栅尺或光栅尺、激光定位反馈的实时位置数据，将</w:t>
            </w:r>
            <w:r>
              <w:rPr>
                <w:color w:val="auto"/>
                <w:spacing w:val="-1"/>
                <w:highlight w:val="none"/>
                <w:lang w:eastAsia="zh-CN"/>
              </w:rPr>
              <w:t>轿厢自动或手动平层到</w:t>
            </w:r>
            <w:r>
              <w:rPr>
                <w:color w:val="auto"/>
                <w:spacing w:val="-3"/>
                <w:highlight w:val="none"/>
                <w:lang w:eastAsia="zh-CN"/>
              </w:rPr>
              <w:t>最近的楼层，手动取出轿厢内的周转箱。</w:t>
            </w:r>
          </w:p>
        </w:tc>
      </w:tr>
      <w:tr w14:paraId="65F849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255" w:type="dxa"/>
            <w:gridSpan w:val="2"/>
            <w:noWrap w:val="0"/>
            <w:vAlign w:val="top"/>
          </w:tcPr>
          <w:p w14:paraId="0BCCD0B5">
            <w:pPr>
              <w:pStyle w:val="68"/>
              <w:spacing w:before="34" w:line="219" w:lineRule="auto"/>
              <w:ind w:left="13"/>
              <w:rPr>
                <w:rFonts w:hint="eastAsia"/>
                <w:color w:val="auto"/>
                <w:highlight w:val="none"/>
                <w:lang w:eastAsia="zh-CN"/>
              </w:rPr>
            </w:pPr>
            <w:r>
              <w:rPr>
                <w:color w:val="auto"/>
                <w:spacing w:val="-1"/>
                <w:highlight w:val="none"/>
                <w:lang w:eastAsia="zh-CN"/>
              </w:rPr>
              <w:t>4.3 低层多箱位往复式垂直分拣机</w:t>
            </w:r>
          </w:p>
        </w:tc>
      </w:tr>
      <w:tr w14:paraId="3CA54F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1561" w:type="dxa"/>
            <w:noWrap w:val="0"/>
            <w:vAlign w:val="top"/>
          </w:tcPr>
          <w:p w14:paraId="25628746">
            <w:pPr>
              <w:pStyle w:val="68"/>
              <w:spacing w:before="35" w:line="239" w:lineRule="auto"/>
              <w:ind w:left="485"/>
              <w:rPr>
                <w:rFonts w:hint="eastAsia"/>
                <w:color w:val="auto"/>
                <w:highlight w:val="none"/>
              </w:rPr>
            </w:pPr>
            <w:r>
              <w:rPr>
                <w:color w:val="auto"/>
                <w:spacing w:val="-2"/>
                <w:highlight w:val="none"/>
              </w:rPr>
              <w:t>4.3.1</w:t>
            </w:r>
          </w:p>
        </w:tc>
        <w:tc>
          <w:tcPr>
            <w:tcW w:w="7694" w:type="dxa"/>
            <w:noWrap w:val="0"/>
            <w:vAlign w:val="top"/>
          </w:tcPr>
          <w:p w14:paraId="27C78610">
            <w:pPr>
              <w:pStyle w:val="68"/>
              <w:spacing w:before="34" w:line="219" w:lineRule="auto"/>
              <w:ind w:left="8"/>
              <w:rPr>
                <w:rFonts w:hint="eastAsia"/>
                <w:color w:val="auto"/>
                <w:highlight w:val="none"/>
                <w:lang w:eastAsia="zh-CN"/>
              </w:rPr>
            </w:pPr>
            <w:r>
              <w:rPr>
                <w:color w:val="auto"/>
                <w:spacing w:val="-2"/>
                <w:highlight w:val="none"/>
                <w:lang w:eastAsia="zh-CN"/>
              </w:rPr>
              <w:t>内置模组满足至少2箱位同时输送的要求；</w:t>
            </w:r>
          </w:p>
        </w:tc>
      </w:tr>
      <w:tr w14:paraId="4C3E8A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561" w:type="dxa"/>
            <w:noWrap w:val="0"/>
            <w:vAlign w:val="top"/>
          </w:tcPr>
          <w:p w14:paraId="5F773238">
            <w:pPr>
              <w:pStyle w:val="68"/>
              <w:spacing w:before="222" w:line="239" w:lineRule="auto"/>
              <w:ind w:left="485"/>
              <w:rPr>
                <w:rFonts w:hint="eastAsia"/>
                <w:color w:val="auto"/>
                <w:highlight w:val="none"/>
              </w:rPr>
            </w:pPr>
            <w:r>
              <w:rPr>
                <w:color w:val="auto"/>
                <w:spacing w:val="-2"/>
                <w:highlight w:val="none"/>
              </w:rPr>
              <w:t>4.3.2</w:t>
            </w:r>
          </w:p>
        </w:tc>
        <w:tc>
          <w:tcPr>
            <w:tcW w:w="7694" w:type="dxa"/>
            <w:noWrap w:val="0"/>
            <w:vAlign w:val="top"/>
          </w:tcPr>
          <w:p w14:paraId="7E97CEEE">
            <w:pPr>
              <w:pStyle w:val="68"/>
              <w:spacing w:before="38" w:line="271" w:lineRule="auto"/>
              <w:ind w:left="12" w:right="6"/>
              <w:rPr>
                <w:rFonts w:hint="eastAsia"/>
                <w:color w:val="auto"/>
                <w:highlight w:val="none"/>
                <w:lang w:eastAsia="zh-CN"/>
              </w:rPr>
            </w:pPr>
            <w:r>
              <w:rPr>
                <w:color w:val="auto"/>
                <w:highlight w:val="none"/>
                <w:lang w:eastAsia="zh-CN"/>
              </w:rPr>
              <w:t>为满足特殊场景传输效率需求，可依据方案调成</w:t>
            </w:r>
            <w:r>
              <w:rPr>
                <w:color w:val="auto"/>
                <w:spacing w:val="-1"/>
                <w:highlight w:val="none"/>
                <w:lang w:eastAsia="zh-CN"/>
              </w:rPr>
              <w:t>为垂直双层4箱位或并排4</w:t>
            </w:r>
            <w:r>
              <w:rPr>
                <w:color w:val="auto"/>
                <w:spacing w:val="-8"/>
                <w:highlight w:val="none"/>
                <w:lang w:eastAsia="zh-CN"/>
              </w:rPr>
              <w:t>箱位的方案需求；</w:t>
            </w:r>
          </w:p>
        </w:tc>
      </w:tr>
      <w:tr w14:paraId="2EC917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561" w:type="dxa"/>
            <w:noWrap w:val="0"/>
            <w:vAlign w:val="top"/>
          </w:tcPr>
          <w:p w14:paraId="641A8B82">
            <w:pPr>
              <w:pStyle w:val="68"/>
              <w:spacing w:before="223" w:line="239" w:lineRule="auto"/>
              <w:ind w:left="485"/>
              <w:rPr>
                <w:rFonts w:hint="eastAsia"/>
                <w:color w:val="auto"/>
                <w:highlight w:val="none"/>
              </w:rPr>
            </w:pPr>
            <w:r>
              <w:rPr>
                <w:color w:val="auto"/>
                <w:spacing w:val="-2"/>
                <w:highlight w:val="none"/>
              </w:rPr>
              <w:t>4.3.3</w:t>
            </w:r>
          </w:p>
        </w:tc>
        <w:tc>
          <w:tcPr>
            <w:tcW w:w="7694" w:type="dxa"/>
            <w:noWrap w:val="0"/>
            <w:vAlign w:val="top"/>
          </w:tcPr>
          <w:p w14:paraId="496AB0DC">
            <w:pPr>
              <w:pStyle w:val="68"/>
              <w:spacing w:before="36" w:line="271" w:lineRule="auto"/>
              <w:ind w:left="10" w:right="7" w:firstLine="1"/>
              <w:rPr>
                <w:rFonts w:hint="eastAsia"/>
                <w:color w:val="auto"/>
                <w:spacing w:val="-3"/>
                <w:highlight w:val="none"/>
                <w:lang w:eastAsia="zh-CN"/>
              </w:rPr>
            </w:pPr>
            <w:r>
              <w:rPr>
                <w:color w:val="auto"/>
                <w:highlight w:val="none"/>
                <w:lang w:eastAsia="zh-CN"/>
              </w:rPr>
              <w:t>可采用链条或钢丝绳</w:t>
            </w:r>
            <w:r>
              <w:rPr>
                <w:rFonts w:hint="eastAsia"/>
                <w:color w:val="auto"/>
                <w:highlight w:val="none"/>
                <w:lang w:eastAsia="zh-CN"/>
              </w:rPr>
              <w:t>、同步带</w:t>
            </w:r>
            <w:r>
              <w:rPr>
                <w:color w:val="auto"/>
                <w:highlight w:val="none"/>
                <w:lang w:eastAsia="zh-CN"/>
              </w:rPr>
              <w:t>提升方式，要求具有</w:t>
            </w:r>
            <w:r>
              <w:rPr>
                <w:rFonts w:hint="eastAsia"/>
                <w:color w:val="auto"/>
                <w:highlight w:val="none"/>
                <w:lang w:eastAsia="zh-CN"/>
              </w:rPr>
              <w:t>轿厢防坠</w:t>
            </w:r>
            <w:r>
              <w:rPr>
                <w:color w:val="auto"/>
                <w:spacing w:val="-1"/>
                <w:highlight w:val="none"/>
                <w:lang w:eastAsia="zh-CN"/>
              </w:rPr>
              <w:t>装置，并配有安</w:t>
            </w:r>
            <w:r>
              <w:rPr>
                <w:color w:val="auto"/>
                <w:spacing w:val="-3"/>
                <w:highlight w:val="none"/>
                <w:lang w:eastAsia="zh-CN"/>
              </w:rPr>
              <w:t>全绳、安全销</w:t>
            </w:r>
            <w:r>
              <w:rPr>
                <w:rFonts w:hint="eastAsia"/>
                <w:color w:val="auto"/>
                <w:spacing w:val="-3"/>
                <w:highlight w:val="none"/>
                <w:lang w:eastAsia="zh-CN"/>
              </w:rPr>
              <w:t>等检修模式下的</w:t>
            </w:r>
            <w:r>
              <w:rPr>
                <w:color w:val="auto"/>
                <w:spacing w:val="-3"/>
                <w:highlight w:val="none"/>
                <w:lang w:eastAsia="zh-CN"/>
              </w:rPr>
              <w:t>安全保护机制，保护检修人员的操作安全；</w:t>
            </w:r>
          </w:p>
        </w:tc>
      </w:tr>
      <w:tr w14:paraId="3EC72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noWrap w:val="0"/>
            <w:vAlign w:val="top"/>
          </w:tcPr>
          <w:p w14:paraId="572C4A4B">
            <w:pPr>
              <w:pStyle w:val="68"/>
              <w:spacing w:before="36" w:line="239" w:lineRule="auto"/>
              <w:ind w:left="485"/>
              <w:rPr>
                <w:rFonts w:hint="eastAsia"/>
                <w:color w:val="auto"/>
                <w:highlight w:val="none"/>
              </w:rPr>
            </w:pPr>
            <w:r>
              <w:rPr>
                <w:color w:val="auto"/>
                <w:spacing w:val="-2"/>
                <w:highlight w:val="none"/>
              </w:rPr>
              <w:t>4.3.4</w:t>
            </w:r>
          </w:p>
        </w:tc>
        <w:tc>
          <w:tcPr>
            <w:tcW w:w="7694" w:type="dxa"/>
            <w:noWrap w:val="0"/>
            <w:vAlign w:val="top"/>
          </w:tcPr>
          <w:p w14:paraId="46234919">
            <w:pPr>
              <w:pStyle w:val="68"/>
              <w:spacing w:before="36" w:line="220" w:lineRule="auto"/>
              <w:ind w:left="11"/>
              <w:rPr>
                <w:rFonts w:hint="eastAsia"/>
                <w:color w:val="auto"/>
                <w:highlight w:val="none"/>
                <w:lang w:eastAsia="zh-CN"/>
              </w:rPr>
            </w:pPr>
            <w:r>
              <w:rPr>
                <w:color w:val="auto"/>
                <w:spacing w:val="-1"/>
                <w:highlight w:val="none"/>
                <w:lang w:eastAsia="zh-CN"/>
              </w:rPr>
              <w:t>支持无基坑情况下站点的正常安装使用</w:t>
            </w:r>
          </w:p>
        </w:tc>
      </w:tr>
      <w:tr w14:paraId="63BE5B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noWrap w:val="0"/>
            <w:vAlign w:val="top"/>
          </w:tcPr>
          <w:p w14:paraId="2D008407">
            <w:pPr>
              <w:pStyle w:val="68"/>
              <w:spacing w:before="36" w:line="220" w:lineRule="auto"/>
              <w:ind w:left="18"/>
              <w:rPr>
                <w:rFonts w:hint="eastAsia"/>
                <w:color w:val="auto"/>
                <w:highlight w:val="none"/>
              </w:rPr>
            </w:pPr>
            <w:r>
              <w:rPr>
                <w:b/>
                <w:bCs/>
                <w:color w:val="auto"/>
                <w:spacing w:val="-5"/>
                <w:highlight w:val="none"/>
              </w:rPr>
              <w:t>5.周转箱</w:t>
            </w:r>
          </w:p>
        </w:tc>
        <w:tc>
          <w:tcPr>
            <w:tcW w:w="7694" w:type="dxa"/>
            <w:noWrap w:val="0"/>
            <w:vAlign w:val="top"/>
          </w:tcPr>
          <w:p w14:paraId="044F72F7">
            <w:pPr>
              <w:rPr>
                <w:color w:val="auto"/>
                <w:highlight w:val="none"/>
              </w:rPr>
            </w:pPr>
          </w:p>
        </w:tc>
      </w:tr>
      <w:tr w14:paraId="00278A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561" w:type="dxa"/>
            <w:noWrap w:val="0"/>
            <w:vAlign w:val="center"/>
          </w:tcPr>
          <w:p w14:paraId="58F1A745">
            <w:pPr>
              <w:pStyle w:val="68"/>
              <w:spacing w:before="223" w:line="239" w:lineRule="auto"/>
              <w:ind w:left="611"/>
              <w:jc w:val="both"/>
              <w:rPr>
                <w:rFonts w:hint="eastAsia"/>
                <w:color w:val="auto"/>
                <w:highlight w:val="none"/>
              </w:rPr>
            </w:pPr>
            <w:r>
              <w:rPr>
                <w:color w:val="auto"/>
                <w:spacing w:val="-4"/>
                <w:highlight w:val="none"/>
              </w:rPr>
              <w:t>5.1</w:t>
            </w:r>
          </w:p>
        </w:tc>
        <w:tc>
          <w:tcPr>
            <w:tcW w:w="7694" w:type="dxa"/>
            <w:noWrap w:val="0"/>
            <w:vAlign w:val="center"/>
          </w:tcPr>
          <w:p w14:paraId="2B63719E">
            <w:pPr>
              <w:pStyle w:val="68"/>
              <w:spacing w:before="36" w:line="271" w:lineRule="auto"/>
              <w:ind w:left="29" w:right="7" w:hanging="18"/>
              <w:rPr>
                <w:rFonts w:hint="eastAsia"/>
                <w:color w:val="auto"/>
                <w:spacing w:val="-4"/>
                <w:highlight w:val="none"/>
                <w:lang w:eastAsia="zh-CN"/>
              </w:rPr>
            </w:pPr>
            <w:r>
              <w:rPr>
                <w:color w:val="auto"/>
                <w:highlight w:val="none"/>
                <w:lang w:eastAsia="zh-CN"/>
              </w:rPr>
              <w:t>周转箱采用抗冲击，具有防霉、抗菌性能，对</w:t>
            </w:r>
            <w:r>
              <w:rPr>
                <w:color w:val="auto"/>
                <w:spacing w:val="-1"/>
                <w:highlight w:val="none"/>
                <w:lang w:eastAsia="zh-CN"/>
              </w:rPr>
              <w:t>大肠杆菌、金黄色葡萄球菌</w:t>
            </w:r>
            <w:r>
              <w:rPr>
                <w:color w:val="auto"/>
                <w:spacing w:val="-4"/>
                <w:highlight w:val="none"/>
                <w:lang w:eastAsia="zh-CN"/>
              </w:rPr>
              <w:t>的抗菌率＞95%。</w:t>
            </w:r>
          </w:p>
        </w:tc>
      </w:tr>
      <w:tr w14:paraId="4A9568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noWrap w:val="0"/>
            <w:vAlign w:val="top"/>
          </w:tcPr>
          <w:p w14:paraId="27AC7947">
            <w:pPr>
              <w:pStyle w:val="68"/>
              <w:spacing w:before="36" w:line="239" w:lineRule="auto"/>
              <w:ind w:left="611"/>
              <w:rPr>
                <w:rFonts w:hint="eastAsia"/>
                <w:color w:val="auto"/>
                <w:highlight w:val="none"/>
              </w:rPr>
            </w:pPr>
            <w:r>
              <w:rPr>
                <w:color w:val="auto"/>
                <w:spacing w:val="-4"/>
                <w:highlight w:val="none"/>
              </w:rPr>
              <w:t>5.2</w:t>
            </w:r>
          </w:p>
        </w:tc>
        <w:tc>
          <w:tcPr>
            <w:tcW w:w="7694" w:type="dxa"/>
            <w:noWrap w:val="0"/>
            <w:vAlign w:val="top"/>
          </w:tcPr>
          <w:p w14:paraId="121991CA">
            <w:pPr>
              <w:pStyle w:val="68"/>
              <w:spacing w:before="36" w:line="218" w:lineRule="auto"/>
              <w:ind w:left="11"/>
              <w:rPr>
                <w:rFonts w:hint="eastAsia"/>
                <w:color w:val="auto"/>
                <w:highlight w:val="none"/>
                <w:lang w:eastAsia="zh-CN"/>
              </w:rPr>
            </w:pPr>
            <w:r>
              <w:rPr>
                <w:color w:val="auto"/>
                <w:spacing w:val="-2"/>
                <w:highlight w:val="none"/>
                <w:lang w:eastAsia="zh-CN"/>
              </w:rPr>
              <w:t>周转箱材质中铅、镉、汞、六价铬含量符合国家标准要求。</w:t>
            </w:r>
          </w:p>
        </w:tc>
      </w:tr>
      <w:tr w14:paraId="240F36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561" w:type="dxa"/>
            <w:noWrap w:val="0"/>
            <w:vAlign w:val="top"/>
          </w:tcPr>
          <w:p w14:paraId="1F58225D">
            <w:pPr>
              <w:pStyle w:val="68"/>
              <w:spacing w:before="223" w:line="239" w:lineRule="auto"/>
              <w:ind w:left="611"/>
              <w:rPr>
                <w:rFonts w:hint="eastAsia"/>
                <w:color w:val="auto"/>
                <w:highlight w:val="none"/>
              </w:rPr>
            </w:pPr>
            <w:r>
              <w:rPr>
                <w:color w:val="auto"/>
                <w:spacing w:val="-4"/>
                <w:highlight w:val="none"/>
              </w:rPr>
              <w:t>5.3</w:t>
            </w:r>
          </w:p>
        </w:tc>
        <w:tc>
          <w:tcPr>
            <w:tcW w:w="7694" w:type="dxa"/>
            <w:noWrap w:val="0"/>
            <w:vAlign w:val="top"/>
          </w:tcPr>
          <w:p w14:paraId="00B1E857">
            <w:pPr>
              <w:pStyle w:val="68"/>
              <w:spacing w:before="36" w:line="271" w:lineRule="auto"/>
              <w:ind w:left="10" w:right="6" w:firstLine="1"/>
              <w:rPr>
                <w:rFonts w:hint="eastAsia"/>
                <w:color w:val="auto"/>
                <w:highlight w:val="none"/>
                <w:lang w:eastAsia="zh-CN"/>
              </w:rPr>
            </w:pPr>
            <w:r>
              <w:rPr>
                <w:color w:val="auto"/>
                <w:highlight w:val="none"/>
                <w:lang w:eastAsia="zh-CN"/>
              </w:rPr>
              <w:t>可配备标准周转箱、标本周转箱、餐饮保温周转</w:t>
            </w:r>
            <w:r>
              <w:rPr>
                <w:color w:val="auto"/>
                <w:spacing w:val="-1"/>
                <w:highlight w:val="none"/>
                <w:lang w:eastAsia="zh-CN"/>
              </w:rPr>
              <w:t>箱、密码周转箱等多种箱体；周转箱共配置</w:t>
            </w:r>
            <w:r>
              <w:rPr>
                <w:rFonts w:hint="eastAsia"/>
                <w:color w:val="auto"/>
                <w:spacing w:val="-1"/>
                <w:highlight w:val="none"/>
                <w:lang w:eastAsia="zh-CN"/>
              </w:rPr>
              <w:t>15</w:t>
            </w:r>
            <w:r>
              <w:rPr>
                <w:color w:val="auto"/>
                <w:spacing w:val="-1"/>
                <w:highlight w:val="none"/>
                <w:lang w:eastAsia="zh-CN"/>
              </w:rPr>
              <w:t>0个，每种周转箱数</w:t>
            </w:r>
            <w:r>
              <w:rPr>
                <w:color w:val="auto"/>
                <w:spacing w:val="-2"/>
                <w:highlight w:val="none"/>
                <w:lang w:eastAsia="zh-CN"/>
              </w:rPr>
              <w:t>量配置需经过招标人同意。</w:t>
            </w:r>
          </w:p>
        </w:tc>
      </w:tr>
      <w:tr w14:paraId="424D28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noWrap w:val="0"/>
            <w:vAlign w:val="top"/>
          </w:tcPr>
          <w:p w14:paraId="21BF16A1">
            <w:pPr>
              <w:pStyle w:val="68"/>
              <w:spacing w:before="39" w:line="239" w:lineRule="auto"/>
              <w:ind w:left="611"/>
              <w:rPr>
                <w:rFonts w:hint="eastAsia"/>
                <w:color w:val="auto"/>
                <w:highlight w:val="none"/>
              </w:rPr>
            </w:pPr>
            <w:r>
              <w:rPr>
                <w:color w:val="auto"/>
                <w:spacing w:val="-4"/>
                <w:highlight w:val="none"/>
              </w:rPr>
              <w:t>5.4</w:t>
            </w:r>
          </w:p>
        </w:tc>
        <w:tc>
          <w:tcPr>
            <w:tcW w:w="7694" w:type="dxa"/>
            <w:noWrap w:val="0"/>
            <w:vAlign w:val="top"/>
          </w:tcPr>
          <w:p w14:paraId="5C7F86D0">
            <w:pPr>
              <w:pStyle w:val="68"/>
              <w:spacing w:before="39" w:line="219" w:lineRule="auto"/>
              <w:ind w:left="11"/>
              <w:rPr>
                <w:rFonts w:hint="eastAsia"/>
                <w:color w:val="auto"/>
                <w:highlight w:val="none"/>
                <w:lang w:eastAsia="zh-CN"/>
              </w:rPr>
            </w:pPr>
            <w:r>
              <w:rPr>
                <w:color w:val="auto"/>
                <w:spacing w:val="-4"/>
                <w:highlight w:val="none"/>
                <w:lang w:eastAsia="zh-CN"/>
              </w:rPr>
              <w:t>周转箱采用RFID</w:t>
            </w:r>
            <w:r>
              <w:rPr>
                <w:rFonts w:hint="eastAsia"/>
                <w:color w:val="auto"/>
                <w:spacing w:val="-4"/>
                <w:highlight w:val="none"/>
                <w:lang w:eastAsia="zh-CN"/>
              </w:rPr>
              <w:t>或条码（</w:t>
            </w:r>
            <w:r>
              <w:rPr>
                <w:color w:val="auto"/>
                <w:spacing w:val="-4"/>
                <w:highlight w:val="none"/>
                <w:lang w:eastAsia="zh-CN"/>
              </w:rPr>
              <w:t>具有防油防污的效果</w:t>
            </w:r>
            <w:r>
              <w:rPr>
                <w:rFonts w:hint="eastAsia"/>
                <w:color w:val="auto"/>
                <w:spacing w:val="-4"/>
                <w:highlight w:val="none"/>
                <w:lang w:eastAsia="zh-CN"/>
              </w:rPr>
              <w:t>）</w:t>
            </w:r>
            <w:r>
              <w:rPr>
                <w:color w:val="auto"/>
                <w:spacing w:val="-4"/>
                <w:highlight w:val="none"/>
                <w:lang w:eastAsia="zh-CN"/>
              </w:rPr>
              <w:t>；</w:t>
            </w:r>
          </w:p>
        </w:tc>
      </w:tr>
      <w:tr w14:paraId="5ADF2B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noWrap w:val="0"/>
            <w:vAlign w:val="top"/>
          </w:tcPr>
          <w:p w14:paraId="4E0EB907">
            <w:pPr>
              <w:pStyle w:val="68"/>
              <w:spacing w:before="37" w:line="239" w:lineRule="auto"/>
              <w:ind w:left="611"/>
              <w:rPr>
                <w:rFonts w:hint="eastAsia"/>
                <w:color w:val="auto"/>
                <w:highlight w:val="none"/>
              </w:rPr>
            </w:pPr>
            <w:r>
              <w:rPr>
                <w:color w:val="auto"/>
                <w:spacing w:val="-4"/>
                <w:highlight w:val="none"/>
              </w:rPr>
              <w:t>5.5</w:t>
            </w:r>
          </w:p>
        </w:tc>
        <w:tc>
          <w:tcPr>
            <w:tcW w:w="7694" w:type="dxa"/>
            <w:noWrap w:val="0"/>
            <w:vAlign w:val="top"/>
          </w:tcPr>
          <w:p w14:paraId="011D3707">
            <w:pPr>
              <w:pStyle w:val="68"/>
              <w:spacing w:before="36" w:line="214" w:lineRule="auto"/>
              <w:ind w:left="11"/>
              <w:rPr>
                <w:rFonts w:hint="eastAsia"/>
                <w:color w:val="auto"/>
                <w:spacing w:val="-1"/>
                <w:highlight w:val="none"/>
                <w:lang w:eastAsia="zh-CN"/>
              </w:rPr>
            </w:pPr>
            <w:r>
              <w:rPr>
                <w:rFonts w:hint="eastAsia"/>
                <w:color w:val="auto"/>
                <w:spacing w:val="-1"/>
                <w:highlight w:val="none"/>
                <w:lang w:eastAsia="zh-CN"/>
              </w:rPr>
              <w:t>标准周转箱不小于600*400*350（外尺寸的长宽高）；</w:t>
            </w:r>
            <w:r>
              <w:rPr>
                <w:color w:val="auto"/>
                <w:spacing w:val="-1"/>
                <w:highlight w:val="none"/>
                <w:lang w:eastAsia="zh-CN"/>
              </w:rPr>
              <w:t>周转箱载重≥50kg，容量≥45L</w:t>
            </w:r>
          </w:p>
        </w:tc>
      </w:tr>
      <w:tr w14:paraId="30B4F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5" w:hRule="atLeast"/>
        </w:trPr>
        <w:tc>
          <w:tcPr>
            <w:tcW w:w="1561" w:type="dxa"/>
            <w:noWrap w:val="0"/>
            <w:vAlign w:val="center"/>
          </w:tcPr>
          <w:p w14:paraId="4F8B117E">
            <w:pPr>
              <w:pStyle w:val="68"/>
              <w:spacing w:before="78" w:line="239" w:lineRule="auto"/>
              <w:jc w:val="center"/>
              <w:rPr>
                <w:rFonts w:hint="eastAsia"/>
                <w:color w:val="auto"/>
                <w:highlight w:val="none"/>
              </w:rPr>
            </w:pPr>
            <w:r>
              <w:rPr>
                <w:color w:val="auto"/>
                <w:spacing w:val="-4"/>
                <w:highlight w:val="none"/>
              </w:rPr>
              <w:t>5.6</w:t>
            </w:r>
          </w:p>
        </w:tc>
        <w:tc>
          <w:tcPr>
            <w:tcW w:w="7694" w:type="dxa"/>
            <w:noWrap w:val="0"/>
            <w:vAlign w:val="top"/>
          </w:tcPr>
          <w:p w14:paraId="08F45624">
            <w:pPr>
              <w:pStyle w:val="68"/>
              <w:spacing w:before="36" w:line="220" w:lineRule="auto"/>
              <w:ind w:left="12"/>
              <w:rPr>
                <w:rFonts w:hint="eastAsia"/>
                <w:color w:val="auto"/>
                <w:highlight w:val="none"/>
                <w:lang w:eastAsia="zh-CN"/>
              </w:rPr>
            </w:pPr>
            <w:r>
              <w:rPr>
                <w:color w:val="auto"/>
                <w:highlight w:val="none"/>
                <w:lang w:eastAsia="zh-CN"/>
              </w:rPr>
              <w:t>冷链输送周转箱内嵌高保温隔热缓冲层，</w:t>
            </w:r>
            <w:r>
              <w:rPr>
                <w:color w:val="auto"/>
                <w:spacing w:val="-1"/>
                <w:highlight w:val="none"/>
                <w:lang w:eastAsia="zh-CN"/>
              </w:rPr>
              <w:t>含冰晶；可选装温度记录模</w:t>
            </w:r>
          </w:p>
          <w:p w14:paraId="3407C01E">
            <w:pPr>
              <w:pStyle w:val="68"/>
              <w:spacing w:before="87" w:line="271" w:lineRule="auto"/>
              <w:ind w:left="30" w:right="7" w:hanging="20"/>
              <w:rPr>
                <w:rFonts w:hint="eastAsia"/>
                <w:color w:val="auto"/>
                <w:highlight w:val="none"/>
                <w:lang w:eastAsia="zh-CN"/>
              </w:rPr>
            </w:pPr>
            <w:r>
              <w:rPr>
                <w:color w:val="auto"/>
                <w:highlight w:val="none"/>
                <w:lang w:eastAsia="zh-CN"/>
              </w:rPr>
              <w:t>块，温度数据可上传至业务管理平台，数据可在</w:t>
            </w:r>
            <w:r>
              <w:rPr>
                <w:color w:val="auto"/>
                <w:spacing w:val="-1"/>
                <w:highlight w:val="none"/>
                <w:lang w:eastAsia="zh-CN"/>
              </w:rPr>
              <w:t>管理平台记录、追踪和导</w:t>
            </w:r>
            <w:r>
              <w:rPr>
                <w:color w:val="auto"/>
                <w:spacing w:val="-17"/>
                <w:highlight w:val="none"/>
                <w:lang w:eastAsia="zh-CN"/>
              </w:rPr>
              <w:t>出。</w:t>
            </w:r>
          </w:p>
        </w:tc>
      </w:tr>
      <w:tr w14:paraId="4CD2A2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561" w:type="dxa"/>
            <w:shd w:val="clear" w:color="auto" w:fill="FFFFFF"/>
            <w:noWrap w:val="0"/>
            <w:vAlign w:val="center"/>
          </w:tcPr>
          <w:p w14:paraId="258FE2B8">
            <w:pPr>
              <w:pStyle w:val="68"/>
              <w:spacing w:before="224" w:line="227" w:lineRule="auto"/>
              <w:jc w:val="center"/>
              <w:rPr>
                <w:rFonts w:hint="default" w:eastAsia="宋体"/>
                <w:color w:val="auto"/>
                <w:highlight w:val="none"/>
                <w:lang w:val="en-US" w:eastAsia="zh-CN"/>
              </w:rPr>
            </w:pPr>
            <w:r>
              <w:rPr>
                <w:rFonts w:hint="eastAsia" w:ascii="宋体" w:hAnsi="宋体" w:eastAsia="宋体" w:cs="宋体"/>
                <w:color w:val="auto"/>
                <w:spacing w:val="-3"/>
                <w:highlight w:val="none"/>
              </w:rPr>
              <w:t>★</w:t>
            </w:r>
            <w:r>
              <w:rPr>
                <w:color w:val="auto"/>
                <w:spacing w:val="-4"/>
                <w:highlight w:val="none"/>
              </w:rPr>
              <w:t>5.7</w:t>
            </w:r>
          </w:p>
        </w:tc>
        <w:tc>
          <w:tcPr>
            <w:tcW w:w="7694" w:type="dxa"/>
            <w:shd w:val="clear" w:color="auto" w:fill="FFFFFF"/>
            <w:noWrap w:val="0"/>
            <w:vAlign w:val="top"/>
          </w:tcPr>
          <w:p w14:paraId="37135B05">
            <w:pPr>
              <w:pStyle w:val="68"/>
              <w:spacing w:before="36" w:line="21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因消防要求，本项目</w:t>
            </w:r>
            <w:r>
              <w:rPr>
                <w:rFonts w:hint="eastAsia" w:ascii="宋体" w:hAnsi="宋体" w:eastAsia="宋体" w:cs="宋体"/>
                <w:b w:val="0"/>
                <w:bCs w:val="0"/>
                <w:color w:val="auto"/>
                <w:sz w:val="24"/>
                <w:szCs w:val="24"/>
                <w:highlight w:val="none"/>
              </w:rPr>
              <w:t>周转箱</w:t>
            </w:r>
            <w:r>
              <w:rPr>
                <w:rFonts w:hint="eastAsia" w:ascii="宋体" w:hAnsi="宋体" w:eastAsia="宋体" w:cs="宋体"/>
                <w:b w:val="0"/>
                <w:bCs w:val="0"/>
                <w:color w:val="auto"/>
                <w:sz w:val="24"/>
                <w:szCs w:val="24"/>
                <w:highlight w:val="none"/>
                <w:lang w:val="en-US" w:eastAsia="zh-CN"/>
              </w:rPr>
              <w:t>必须</w:t>
            </w:r>
            <w:r>
              <w:rPr>
                <w:rFonts w:hint="eastAsia" w:ascii="宋体" w:hAnsi="宋体" w:eastAsia="宋体" w:cs="宋体"/>
                <w:b w:val="0"/>
                <w:bCs w:val="0"/>
                <w:color w:val="auto"/>
                <w:sz w:val="24"/>
                <w:szCs w:val="24"/>
                <w:highlight w:val="none"/>
              </w:rPr>
              <w:t>采用难燃、阻燃材料 材料符合GB8</w:t>
            </w:r>
            <w:r>
              <w:rPr>
                <w:rFonts w:hint="eastAsia" w:cs="宋体"/>
                <w:b w:val="0"/>
                <w:bCs w:val="0"/>
                <w:color w:val="auto"/>
                <w:sz w:val="24"/>
                <w:szCs w:val="24"/>
                <w:highlight w:val="none"/>
                <w:lang w:val="en-US" w:eastAsia="zh-CN"/>
              </w:rPr>
              <w:t>624</w:t>
            </w:r>
            <w:r>
              <w:rPr>
                <w:rFonts w:hint="eastAsia" w:ascii="宋体" w:hAnsi="宋体" w:eastAsia="宋体" w:cs="宋体"/>
                <w:b w:val="0"/>
                <w:bCs w:val="0"/>
                <w:color w:val="auto"/>
                <w:sz w:val="24"/>
                <w:szCs w:val="24"/>
                <w:highlight w:val="none"/>
              </w:rPr>
              <w:t>达到B1及以上等级</w:t>
            </w:r>
            <w:r>
              <w:rPr>
                <w:rFonts w:hint="eastAsia" w:cs="宋体"/>
                <w:b w:val="0"/>
                <w:bCs w:val="0"/>
                <w:color w:val="auto"/>
                <w:sz w:val="24"/>
                <w:szCs w:val="24"/>
                <w:highlight w:val="none"/>
                <w:lang w:val="en-US" w:eastAsia="zh-CN"/>
              </w:rPr>
              <w:t>或GB/T2408-2021达到V1</w:t>
            </w:r>
            <w:r>
              <w:rPr>
                <w:rFonts w:hint="eastAsia" w:ascii="宋体" w:hAnsi="宋体" w:eastAsia="宋体" w:cs="宋体"/>
                <w:b w:val="0"/>
                <w:bCs w:val="0"/>
                <w:color w:val="auto"/>
                <w:sz w:val="24"/>
                <w:szCs w:val="24"/>
                <w:highlight w:val="none"/>
              </w:rPr>
              <w:t>及以上</w:t>
            </w:r>
            <w:r>
              <w:rPr>
                <w:rFonts w:hint="eastAsia" w:cs="宋体"/>
                <w:b w:val="0"/>
                <w:bCs w:val="0"/>
                <w:color w:val="auto"/>
                <w:sz w:val="24"/>
                <w:szCs w:val="24"/>
                <w:highlight w:val="none"/>
                <w:lang w:val="en-US" w:eastAsia="zh-CN"/>
              </w:rPr>
              <w:t>等级</w:t>
            </w:r>
            <w:r>
              <w:rPr>
                <w:rFonts w:hint="eastAsia" w:ascii="宋体" w:hAnsi="宋体" w:eastAsia="宋体" w:cs="宋体"/>
                <w:b w:val="0"/>
                <w:bCs w:val="0"/>
                <w:color w:val="auto"/>
                <w:sz w:val="24"/>
                <w:szCs w:val="24"/>
                <w:highlight w:val="none"/>
              </w:rPr>
              <w:t xml:space="preserve">。 </w:t>
            </w:r>
          </w:p>
          <w:p w14:paraId="554CC2C5">
            <w:pPr>
              <w:pStyle w:val="68"/>
              <w:spacing w:before="36" w:line="214" w:lineRule="auto"/>
              <w:rPr>
                <w:rFonts w:hint="eastAsia"/>
                <w:b/>
                <w:bCs/>
                <w:color w:val="auto"/>
                <w:spacing w:val="-3"/>
                <w:highlight w:val="none"/>
                <w:lang w:eastAsia="zh-CN"/>
              </w:rPr>
            </w:pPr>
            <w:r>
              <w:rPr>
                <w:rFonts w:hint="eastAsia" w:ascii="宋体" w:hAnsi="宋体" w:eastAsia="宋体" w:cs="宋体"/>
                <w:b/>
                <w:bCs/>
                <w:color w:val="auto"/>
                <w:sz w:val="24"/>
                <w:szCs w:val="24"/>
                <w:highlight w:val="none"/>
                <w:lang w:eastAsia="zh-CN"/>
              </w:rPr>
              <w:t>承诺中标后提供检测报告（承诺函格式自拟）</w:t>
            </w:r>
            <w:r>
              <w:rPr>
                <w:rFonts w:hint="eastAsia" w:ascii="宋体" w:hAnsi="宋体" w:eastAsia="宋体" w:cs="宋体"/>
                <w:b/>
                <w:bCs/>
                <w:color w:val="auto"/>
                <w:sz w:val="24"/>
                <w:szCs w:val="24"/>
                <w:highlight w:val="none"/>
              </w:rPr>
              <w:t>。</w:t>
            </w:r>
          </w:p>
        </w:tc>
      </w:tr>
      <w:tr w14:paraId="21F49C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255" w:type="dxa"/>
            <w:gridSpan w:val="2"/>
            <w:noWrap w:val="0"/>
            <w:vAlign w:val="top"/>
          </w:tcPr>
          <w:p w14:paraId="248FDFFA">
            <w:pPr>
              <w:pStyle w:val="68"/>
              <w:spacing w:before="40" w:line="220" w:lineRule="auto"/>
              <w:ind w:left="15"/>
              <w:rPr>
                <w:rFonts w:hint="eastAsia"/>
                <w:color w:val="auto"/>
                <w:highlight w:val="none"/>
              </w:rPr>
            </w:pPr>
            <w:r>
              <w:rPr>
                <w:b/>
                <w:bCs/>
                <w:color w:val="auto"/>
                <w:spacing w:val="-3"/>
                <w:highlight w:val="none"/>
              </w:rPr>
              <w:t>6.中型物流电控系统</w:t>
            </w:r>
          </w:p>
        </w:tc>
      </w:tr>
      <w:tr w14:paraId="73DD32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255" w:type="dxa"/>
            <w:gridSpan w:val="2"/>
            <w:noWrap w:val="0"/>
            <w:vAlign w:val="top"/>
          </w:tcPr>
          <w:p w14:paraId="4683328A">
            <w:pPr>
              <w:pStyle w:val="68"/>
              <w:spacing w:before="37" w:line="220" w:lineRule="auto"/>
              <w:ind w:left="15"/>
              <w:rPr>
                <w:rFonts w:hint="eastAsia"/>
                <w:color w:val="auto"/>
                <w:highlight w:val="none"/>
                <w:lang w:eastAsia="zh-CN"/>
              </w:rPr>
            </w:pPr>
            <w:r>
              <w:rPr>
                <w:color w:val="auto"/>
                <w:spacing w:val="-3"/>
                <w:highlight w:val="none"/>
                <w:lang w:eastAsia="zh-CN"/>
              </w:rPr>
              <w:t>6.1</w:t>
            </w:r>
            <w:r>
              <w:rPr>
                <w:color w:val="auto"/>
                <w:spacing w:val="41"/>
                <w:highlight w:val="none"/>
                <w:lang w:eastAsia="zh-CN"/>
              </w:rPr>
              <w:t xml:space="preserve"> </w:t>
            </w:r>
            <w:r>
              <w:rPr>
                <w:color w:val="auto"/>
                <w:spacing w:val="-3"/>
                <w:highlight w:val="none"/>
                <w:lang w:eastAsia="zh-CN"/>
              </w:rPr>
              <w:t>中型物流电控系统组成及技术条件</w:t>
            </w:r>
          </w:p>
        </w:tc>
      </w:tr>
      <w:tr w14:paraId="07CA13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561" w:type="dxa"/>
            <w:noWrap w:val="0"/>
            <w:vAlign w:val="top"/>
          </w:tcPr>
          <w:p w14:paraId="0D8013C5">
            <w:pPr>
              <w:pStyle w:val="68"/>
              <w:spacing w:before="225" w:line="239" w:lineRule="auto"/>
              <w:ind w:left="488"/>
              <w:rPr>
                <w:rFonts w:hint="eastAsia"/>
                <w:color w:val="auto"/>
                <w:highlight w:val="none"/>
              </w:rPr>
            </w:pPr>
            <w:r>
              <w:rPr>
                <w:color w:val="auto"/>
                <w:spacing w:val="-3"/>
                <w:highlight w:val="none"/>
              </w:rPr>
              <w:t>6.1.1</w:t>
            </w:r>
          </w:p>
        </w:tc>
        <w:tc>
          <w:tcPr>
            <w:tcW w:w="7694" w:type="dxa"/>
            <w:noWrap w:val="0"/>
            <w:vAlign w:val="top"/>
          </w:tcPr>
          <w:p w14:paraId="14C436CE">
            <w:pPr>
              <w:pStyle w:val="68"/>
              <w:spacing w:before="39" w:line="270" w:lineRule="auto"/>
              <w:ind w:left="11" w:right="7" w:firstLine="3"/>
              <w:rPr>
                <w:rFonts w:hint="eastAsia"/>
                <w:color w:val="auto"/>
                <w:highlight w:val="none"/>
                <w:lang w:eastAsia="zh-CN"/>
              </w:rPr>
            </w:pPr>
            <w:r>
              <w:rPr>
                <w:color w:val="auto"/>
                <w:spacing w:val="-1"/>
                <w:highlight w:val="none"/>
                <w:lang w:eastAsia="zh-CN"/>
              </w:rPr>
              <w:t>系统由分布式标准化控制柜、设备层网络、控制层网络、管理层网络及控</w:t>
            </w:r>
            <w:r>
              <w:rPr>
                <w:color w:val="auto"/>
                <w:spacing w:val="-7"/>
                <w:highlight w:val="none"/>
                <w:lang w:eastAsia="zh-CN"/>
              </w:rPr>
              <w:t>制软件组成。</w:t>
            </w:r>
          </w:p>
        </w:tc>
      </w:tr>
      <w:tr w14:paraId="674A1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9" w:hRule="atLeast"/>
        </w:trPr>
        <w:tc>
          <w:tcPr>
            <w:tcW w:w="1561" w:type="dxa"/>
            <w:noWrap w:val="0"/>
            <w:vAlign w:val="top"/>
          </w:tcPr>
          <w:p w14:paraId="63D2329B">
            <w:pPr>
              <w:spacing w:line="259" w:lineRule="auto"/>
              <w:rPr>
                <w:color w:val="auto"/>
                <w:highlight w:val="none"/>
                <w:lang w:eastAsia="zh-CN"/>
              </w:rPr>
            </w:pPr>
          </w:p>
          <w:p w14:paraId="5BE5EADA">
            <w:pPr>
              <w:spacing w:line="259" w:lineRule="auto"/>
              <w:rPr>
                <w:color w:val="auto"/>
                <w:highlight w:val="none"/>
                <w:lang w:eastAsia="zh-CN"/>
              </w:rPr>
            </w:pPr>
          </w:p>
          <w:p w14:paraId="07A91B83">
            <w:pPr>
              <w:pStyle w:val="68"/>
              <w:spacing w:before="78" w:line="239" w:lineRule="auto"/>
              <w:ind w:left="488"/>
              <w:rPr>
                <w:rFonts w:hint="eastAsia"/>
                <w:color w:val="auto"/>
                <w:highlight w:val="none"/>
              </w:rPr>
            </w:pPr>
            <w:r>
              <w:rPr>
                <w:color w:val="auto"/>
                <w:spacing w:val="-3"/>
                <w:highlight w:val="none"/>
              </w:rPr>
              <w:t>6.1.2</w:t>
            </w:r>
          </w:p>
        </w:tc>
        <w:tc>
          <w:tcPr>
            <w:tcW w:w="7694" w:type="dxa"/>
            <w:noWrap w:val="0"/>
            <w:vAlign w:val="top"/>
          </w:tcPr>
          <w:p w14:paraId="4002F9B9">
            <w:pPr>
              <w:pStyle w:val="68"/>
              <w:spacing w:before="41" w:line="252" w:lineRule="auto"/>
              <w:ind w:left="11" w:right="6" w:firstLine="16"/>
              <w:rPr>
                <w:rFonts w:hint="eastAsia"/>
                <w:color w:val="auto"/>
                <w:highlight w:val="none"/>
                <w:lang w:eastAsia="zh-CN"/>
              </w:rPr>
            </w:pPr>
            <w:r>
              <w:rPr>
                <w:color w:val="auto"/>
                <w:spacing w:val="-1"/>
                <w:highlight w:val="none"/>
                <w:lang w:eastAsia="zh-CN"/>
              </w:rPr>
              <w:t>1、控制系统除具备先进性、经济性以及安全性外，还需要具备≥10%的冗</w:t>
            </w:r>
            <w:r>
              <w:rPr>
                <w:color w:val="auto"/>
                <w:spacing w:val="-2"/>
                <w:highlight w:val="none"/>
                <w:lang w:eastAsia="zh-CN"/>
              </w:rPr>
              <w:t>余功能以应对后期系统的增加，损坏之后快速替换，布线断裂等情况。</w:t>
            </w:r>
          </w:p>
          <w:p w14:paraId="4B9A1F7E">
            <w:pPr>
              <w:pStyle w:val="68"/>
              <w:spacing w:before="91" w:line="252" w:lineRule="auto"/>
              <w:ind w:left="9" w:right="21" w:firstLine="3"/>
              <w:rPr>
                <w:rFonts w:hint="eastAsia"/>
                <w:color w:val="auto"/>
                <w:highlight w:val="none"/>
                <w:lang w:eastAsia="zh-CN"/>
              </w:rPr>
            </w:pPr>
            <w:r>
              <w:rPr>
                <w:color w:val="auto"/>
                <w:spacing w:val="11"/>
                <w:highlight w:val="none"/>
                <w:lang w:eastAsia="zh-CN"/>
              </w:rPr>
              <w:t>2、控制层网络采用工业以太网，实现各控制子模块</w:t>
            </w:r>
            <w:r>
              <w:rPr>
                <w:color w:val="auto"/>
                <w:spacing w:val="10"/>
                <w:highlight w:val="none"/>
                <w:lang w:eastAsia="zh-CN"/>
              </w:rPr>
              <w:t>如垂直多箱位分拣</w:t>
            </w:r>
            <w:r>
              <w:rPr>
                <w:color w:val="auto"/>
                <w:spacing w:val="-1"/>
                <w:highlight w:val="none"/>
                <w:lang w:eastAsia="zh-CN"/>
              </w:rPr>
              <w:t>机，ASI网管RFID</w:t>
            </w:r>
            <w:r>
              <w:rPr>
                <w:rFonts w:hint="eastAsia"/>
                <w:color w:val="auto"/>
                <w:spacing w:val="-1"/>
                <w:highlight w:val="none"/>
                <w:lang w:eastAsia="zh-CN"/>
              </w:rPr>
              <w:t>（</w:t>
            </w:r>
            <w:r>
              <w:rPr>
                <w:rFonts w:hint="eastAsia"/>
                <w:color w:val="auto"/>
                <w:spacing w:val="-1"/>
                <w:highlight w:val="none"/>
                <w:lang w:val="en-US" w:eastAsia="zh-CN"/>
              </w:rPr>
              <w:t>或条码</w:t>
            </w:r>
            <w:r>
              <w:rPr>
                <w:rFonts w:hint="eastAsia"/>
                <w:color w:val="auto"/>
                <w:spacing w:val="-1"/>
                <w:highlight w:val="none"/>
                <w:lang w:eastAsia="zh-CN"/>
              </w:rPr>
              <w:t>）</w:t>
            </w:r>
            <w:r>
              <w:rPr>
                <w:color w:val="auto"/>
                <w:spacing w:val="-1"/>
                <w:highlight w:val="none"/>
                <w:lang w:eastAsia="zh-CN"/>
              </w:rPr>
              <w:t>识别装置等数据传递。</w:t>
            </w:r>
          </w:p>
        </w:tc>
      </w:tr>
      <w:tr w14:paraId="33CD1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9255" w:type="dxa"/>
            <w:gridSpan w:val="2"/>
            <w:noWrap w:val="0"/>
            <w:vAlign w:val="top"/>
          </w:tcPr>
          <w:p w14:paraId="41D5E084">
            <w:pPr>
              <w:pStyle w:val="68"/>
              <w:spacing w:before="39" w:line="220" w:lineRule="auto"/>
              <w:ind w:left="15"/>
              <w:rPr>
                <w:rFonts w:hint="eastAsia"/>
                <w:color w:val="auto"/>
                <w:highlight w:val="none"/>
                <w:lang w:eastAsia="zh-CN"/>
              </w:rPr>
            </w:pPr>
            <w:r>
              <w:rPr>
                <w:color w:val="auto"/>
                <w:spacing w:val="-3"/>
                <w:highlight w:val="none"/>
                <w:lang w:eastAsia="zh-CN"/>
              </w:rPr>
              <w:t>6.1.3</w:t>
            </w:r>
            <w:r>
              <w:rPr>
                <w:color w:val="auto"/>
                <w:spacing w:val="35"/>
                <w:highlight w:val="none"/>
                <w:lang w:eastAsia="zh-CN"/>
              </w:rPr>
              <w:t xml:space="preserve"> </w:t>
            </w:r>
            <w:r>
              <w:rPr>
                <w:color w:val="auto"/>
                <w:spacing w:val="-3"/>
                <w:highlight w:val="none"/>
                <w:lang w:eastAsia="zh-CN"/>
              </w:rPr>
              <w:t>中型物流电控系统功能</w:t>
            </w:r>
          </w:p>
        </w:tc>
      </w:tr>
      <w:tr w14:paraId="55F3BD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1" w:hRule="atLeast"/>
        </w:trPr>
        <w:tc>
          <w:tcPr>
            <w:tcW w:w="1561" w:type="dxa"/>
            <w:noWrap w:val="0"/>
            <w:vAlign w:val="top"/>
          </w:tcPr>
          <w:p w14:paraId="72512C7B">
            <w:pPr>
              <w:spacing w:line="347" w:lineRule="auto"/>
              <w:rPr>
                <w:color w:val="auto"/>
                <w:highlight w:val="none"/>
                <w:lang w:eastAsia="zh-CN"/>
              </w:rPr>
            </w:pPr>
          </w:p>
          <w:p w14:paraId="595776AE">
            <w:pPr>
              <w:pStyle w:val="68"/>
              <w:spacing w:before="78" w:line="239" w:lineRule="auto"/>
              <w:ind w:left="368"/>
              <w:rPr>
                <w:rFonts w:hint="eastAsia"/>
                <w:color w:val="auto"/>
                <w:highlight w:val="none"/>
              </w:rPr>
            </w:pPr>
            <w:r>
              <w:rPr>
                <w:color w:val="auto"/>
                <w:spacing w:val="-2"/>
                <w:highlight w:val="none"/>
              </w:rPr>
              <w:t>6.1.3.1</w:t>
            </w:r>
          </w:p>
        </w:tc>
        <w:tc>
          <w:tcPr>
            <w:tcW w:w="7694" w:type="dxa"/>
            <w:noWrap w:val="0"/>
            <w:vAlign w:val="top"/>
          </w:tcPr>
          <w:p w14:paraId="451521CA">
            <w:pPr>
              <w:pStyle w:val="68"/>
              <w:spacing w:before="55" w:line="281" w:lineRule="auto"/>
              <w:ind w:left="9" w:right="7"/>
              <w:jc w:val="both"/>
              <w:rPr>
                <w:rFonts w:hint="eastAsia"/>
                <w:color w:val="auto"/>
                <w:highlight w:val="none"/>
                <w:lang w:eastAsia="zh-CN"/>
              </w:rPr>
            </w:pPr>
            <w:r>
              <w:rPr>
                <w:color w:val="auto"/>
                <w:highlight w:val="none"/>
                <w:lang w:eastAsia="zh-CN"/>
              </w:rPr>
              <w:t>物流模式切换功能：切换物流模式包括远程模式和</w:t>
            </w:r>
            <w:r>
              <w:rPr>
                <w:color w:val="auto"/>
                <w:spacing w:val="-1"/>
                <w:highlight w:val="none"/>
                <w:lang w:eastAsia="zh-CN"/>
              </w:rPr>
              <w:t>本地模式，当选择在远</w:t>
            </w:r>
            <w:r>
              <w:rPr>
                <w:color w:val="auto"/>
                <w:highlight w:val="none"/>
                <w:lang w:eastAsia="zh-CN"/>
              </w:rPr>
              <w:t>程模式时，设备处于自动运行状态，当选择本地模</w:t>
            </w:r>
            <w:r>
              <w:rPr>
                <w:color w:val="auto"/>
                <w:spacing w:val="-1"/>
                <w:highlight w:val="none"/>
                <w:lang w:eastAsia="zh-CN"/>
              </w:rPr>
              <w:t>式时，设备处于检修状态，对两种控制模式进行互锁。</w:t>
            </w:r>
          </w:p>
        </w:tc>
      </w:tr>
      <w:tr w14:paraId="3F8F88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6" w:hRule="atLeast"/>
        </w:trPr>
        <w:tc>
          <w:tcPr>
            <w:tcW w:w="1561" w:type="dxa"/>
            <w:noWrap w:val="0"/>
            <w:vAlign w:val="top"/>
          </w:tcPr>
          <w:p w14:paraId="73DF2AC3">
            <w:pPr>
              <w:pStyle w:val="68"/>
              <w:spacing w:before="308" w:line="239" w:lineRule="auto"/>
              <w:ind w:left="368"/>
              <w:rPr>
                <w:rFonts w:hint="eastAsia"/>
                <w:color w:val="auto"/>
                <w:highlight w:val="none"/>
              </w:rPr>
            </w:pPr>
            <w:r>
              <w:rPr>
                <w:color w:val="auto"/>
                <w:spacing w:val="-2"/>
                <w:highlight w:val="none"/>
              </w:rPr>
              <w:t>6.1.3.2</w:t>
            </w:r>
          </w:p>
        </w:tc>
        <w:tc>
          <w:tcPr>
            <w:tcW w:w="7694" w:type="dxa"/>
            <w:noWrap w:val="0"/>
            <w:vAlign w:val="top"/>
          </w:tcPr>
          <w:p w14:paraId="6CE4E615">
            <w:pPr>
              <w:pStyle w:val="68"/>
              <w:spacing w:before="121" w:line="290" w:lineRule="auto"/>
              <w:ind w:left="10" w:right="247"/>
              <w:rPr>
                <w:rFonts w:hint="eastAsia"/>
                <w:color w:val="auto"/>
                <w:highlight w:val="none"/>
                <w:lang w:eastAsia="zh-CN"/>
              </w:rPr>
            </w:pPr>
            <w:r>
              <w:rPr>
                <w:color w:val="auto"/>
                <w:highlight w:val="none"/>
                <w:lang w:eastAsia="zh-CN"/>
              </w:rPr>
              <w:t>物流节能功能：设备运行一段时间后无新的运输</w:t>
            </w:r>
            <w:r>
              <w:rPr>
                <w:color w:val="auto"/>
                <w:spacing w:val="-1"/>
                <w:highlight w:val="none"/>
                <w:lang w:eastAsia="zh-CN"/>
              </w:rPr>
              <w:t>任务时进入休眠停止状</w:t>
            </w:r>
            <w:r>
              <w:rPr>
                <w:color w:val="auto"/>
                <w:spacing w:val="-3"/>
                <w:highlight w:val="none"/>
                <w:lang w:eastAsia="zh-CN"/>
              </w:rPr>
              <w:t>态，当上游有新的任务时设备自动唤醒。</w:t>
            </w:r>
          </w:p>
        </w:tc>
      </w:tr>
      <w:tr w14:paraId="7BE513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7" w:hRule="atLeast"/>
        </w:trPr>
        <w:tc>
          <w:tcPr>
            <w:tcW w:w="1561" w:type="dxa"/>
            <w:noWrap w:val="0"/>
            <w:vAlign w:val="top"/>
          </w:tcPr>
          <w:p w14:paraId="669FEFD4">
            <w:pPr>
              <w:spacing w:line="256" w:lineRule="auto"/>
              <w:rPr>
                <w:color w:val="auto"/>
                <w:highlight w:val="none"/>
                <w:lang w:eastAsia="zh-CN"/>
              </w:rPr>
            </w:pPr>
          </w:p>
          <w:p w14:paraId="1C649C0B">
            <w:pPr>
              <w:spacing w:line="256" w:lineRule="auto"/>
              <w:rPr>
                <w:color w:val="auto"/>
                <w:highlight w:val="none"/>
                <w:lang w:eastAsia="zh-CN"/>
              </w:rPr>
            </w:pPr>
          </w:p>
          <w:p w14:paraId="2C343F86">
            <w:pPr>
              <w:pStyle w:val="68"/>
              <w:spacing w:before="78" w:line="239" w:lineRule="auto"/>
              <w:ind w:left="368"/>
              <w:rPr>
                <w:rFonts w:hint="eastAsia"/>
                <w:color w:val="auto"/>
                <w:highlight w:val="none"/>
              </w:rPr>
            </w:pPr>
            <w:r>
              <w:rPr>
                <w:color w:val="auto"/>
                <w:spacing w:val="-2"/>
                <w:highlight w:val="none"/>
              </w:rPr>
              <w:t>6.1.3.3</w:t>
            </w:r>
          </w:p>
        </w:tc>
        <w:tc>
          <w:tcPr>
            <w:tcW w:w="7694" w:type="dxa"/>
            <w:noWrap w:val="0"/>
            <w:vAlign w:val="top"/>
          </w:tcPr>
          <w:p w14:paraId="0D4D87C6">
            <w:pPr>
              <w:pStyle w:val="68"/>
              <w:spacing w:before="36" w:line="279" w:lineRule="auto"/>
              <w:ind w:left="10" w:right="6"/>
              <w:jc w:val="both"/>
              <w:rPr>
                <w:rFonts w:hint="eastAsia"/>
                <w:color w:val="auto"/>
                <w:highlight w:val="none"/>
                <w:lang w:eastAsia="zh-CN"/>
              </w:rPr>
            </w:pPr>
            <w:r>
              <w:rPr>
                <w:color w:val="auto"/>
                <w:highlight w:val="none"/>
                <w:lang w:eastAsia="zh-CN"/>
              </w:rPr>
              <w:t>物流排序功能：为降低对医院用电的系统的瞬间涌</w:t>
            </w:r>
            <w:r>
              <w:rPr>
                <w:color w:val="auto"/>
                <w:spacing w:val="-1"/>
                <w:highlight w:val="none"/>
                <w:lang w:eastAsia="zh-CN"/>
              </w:rPr>
              <w:t>入电流干扰，系统启动</w:t>
            </w:r>
            <w:r>
              <w:rPr>
                <w:color w:val="auto"/>
                <w:highlight w:val="none"/>
                <w:lang w:eastAsia="zh-CN"/>
              </w:rPr>
              <w:t>时从下游往上游以此按照顺序通过时间间隔启动（</w:t>
            </w:r>
            <w:r>
              <w:rPr>
                <w:color w:val="auto"/>
                <w:spacing w:val="-1"/>
                <w:highlight w:val="none"/>
                <w:lang w:eastAsia="zh-CN"/>
              </w:rPr>
              <w:t>间隔时间在数据采集与</w:t>
            </w:r>
            <w:r>
              <w:rPr>
                <w:color w:val="auto"/>
                <w:highlight w:val="none"/>
                <w:lang w:eastAsia="zh-CN"/>
              </w:rPr>
              <w:t>监视系统中可修改）；当系统休眠唤醒时从上游</w:t>
            </w:r>
            <w:r>
              <w:rPr>
                <w:color w:val="auto"/>
                <w:spacing w:val="-1"/>
                <w:highlight w:val="none"/>
                <w:lang w:eastAsia="zh-CN"/>
              </w:rPr>
              <w:t>往下游以此按照顺序通过</w:t>
            </w:r>
            <w:r>
              <w:rPr>
                <w:color w:val="auto"/>
                <w:spacing w:val="-5"/>
                <w:highlight w:val="none"/>
                <w:lang w:eastAsia="zh-CN"/>
              </w:rPr>
              <w:t>光电检查开关启动。</w:t>
            </w:r>
          </w:p>
        </w:tc>
      </w:tr>
      <w:tr w14:paraId="0EF671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6" w:hRule="atLeast"/>
        </w:trPr>
        <w:tc>
          <w:tcPr>
            <w:tcW w:w="1561" w:type="dxa"/>
            <w:noWrap w:val="0"/>
            <w:vAlign w:val="top"/>
          </w:tcPr>
          <w:p w14:paraId="58230666">
            <w:pPr>
              <w:spacing w:line="329" w:lineRule="auto"/>
              <w:rPr>
                <w:color w:val="auto"/>
                <w:highlight w:val="none"/>
                <w:lang w:eastAsia="zh-CN"/>
              </w:rPr>
            </w:pPr>
          </w:p>
          <w:p w14:paraId="5F7A745E">
            <w:pPr>
              <w:pStyle w:val="68"/>
              <w:spacing w:before="78" w:line="239" w:lineRule="auto"/>
              <w:ind w:left="368"/>
              <w:rPr>
                <w:rFonts w:hint="eastAsia"/>
                <w:color w:val="auto"/>
                <w:highlight w:val="none"/>
              </w:rPr>
            </w:pPr>
            <w:r>
              <w:rPr>
                <w:color w:val="auto"/>
                <w:spacing w:val="-2"/>
                <w:highlight w:val="none"/>
              </w:rPr>
              <w:t>6.1.3.4</w:t>
            </w:r>
          </w:p>
        </w:tc>
        <w:tc>
          <w:tcPr>
            <w:tcW w:w="7694" w:type="dxa"/>
            <w:noWrap w:val="0"/>
            <w:vAlign w:val="top"/>
          </w:tcPr>
          <w:p w14:paraId="2390D69D">
            <w:pPr>
              <w:pStyle w:val="68"/>
              <w:spacing w:before="35" w:line="277" w:lineRule="auto"/>
              <w:ind w:left="12" w:right="7" w:firstLine="10"/>
              <w:jc w:val="both"/>
              <w:rPr>
                <w:rFonts w:hint="eastAsia"/>
                <w:color w:val="auto"/>
                <w:highlight w:val="none"/>
                <w:lang w:eastAsia="zh-CN"/>
              </w:rPr>
            </w:pPr>
            <w:r>
              <w:rPr>
                <w:color w:val="auto"/>
                <w:spacing w:val="-1"/>
                <w:highlight w:val="none"/>
                <w:lang w:eastAsia="zh-CN"/>
              </w:rPr>
              <w:t>窗口拉锯功能：当控制系统检测到分拣口,合流口或者垂直分拣机入口处</w:t>
            </w:r>
            <w:r>
              <w:rPr>
                <w:color w:val="auto"/>
                <w:highlight w:val="none"/>
                <w:lang w:eastAsia="zh-CN"/>
              </w:rPr>
              <w:t>等两个或者两个以上周转箱紧贴着一起通过</w:t>
            </w:r>
            <w:r>
              <w:rPr>
                <w:color w:val="auto"/>
                <w:spacing w:val="-1"/>
                <w:highlight w:val="none"/>
                <w:lang w:eastAsia="zh-CN"/>
              </w:rPr>
              <w:t>时，这个时候控制系统要启用</w:t>
            </w:r>
            <w:r>
              <w:rPr>
                <w:color w:val="auto"/>
                <w:spacing w:val="-4"/>
                <w:highlight w:val="none"/>
                <w:lang w:eastAsia="zh-CN"/>
              </w:rPr>
              <w:t>窗口程序进行拉锯放行。</w:t>
            </w:r>
          </w:p>
        </w:tc>
      </w:tr>
      <w:tr w14:paraId="2CB0C8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9" w:hRule="atLeast"/>
        </w:trPr>
        <w:tc>
          <w:tcPr>
            <w:tcW w:w="1561" w:type="dxa"/>
            <w:noWrap w:val="0"/>
            <w:vAlign w:val="top"/>
          </w:tcPr>
          <w:p w14:paraId="127E8370">
            <w:pPr>
              <w:spacing w:line="257" w:lineRule="auto"/>
              <w:rPr>
                <w:color w:val="auto"/>
                <w:highlight w:val="none"/>
                <w:lang w:eastAsia="zh-CN"/>
              </w:rPr>
            </w:pPr>
          </w:p>
          <w:p w14:paraId="2D011236">
            <w:pPr>
              <w:spacing w:line="258" w:lineRule="auto"/>
              <w:rPr>
                <w:color w:val="auto"/>
                <w:highlight w:val="none"/>
                <w:lang w:eastAsia="zh-CN"/>
              </w:rPr>
            </w:pPr>
          </w:p>
          <w:p w14:paraId="206F099D">
            <w:pPr>
              <w:pStyle w:val="68"/>
              <w:spacing w:before="78" w:line="239" w:lineRule="auto"/>
              <w:ind w:left="368"/>
              <w:rPr>
                <w:rFonts w:hint="eastAsia"/>
                <w:color w:val="auto"/>
                <w:highlight w:val="none"/>
              </w:rPr>
            </w:pPr>
            <w:r>
              <w:rPr>
                <w:color w:val="auto"/>
                <w:spacing w:val="-2"/>
                <w:highlight w:val="none"/>
              </w:rPr>
              <w:t>6.1.3.5</w:t>
            </w:r>
          </w:p>
        </w:tc>
        <w:tc>
          <w:tcPr>
            <w:tcW w:w="7694" w:type="dxa"/>
            <w:noWrap w:val="0"/>
            <w:vAlign w:val="top"/>
          </w:tcPr>
          <w:p w14:paraId="2A61C5CF">
            <w:pPr>
              <w:pStyle w:val="68"/>
              <w:spacing w:before="33" w:line="280" w:lineRule="auto"/>
              <w:ind w:left="12" w:right="7" w:firstLine="1"/>
              <w:jc w:val="both"/>
              <w:rPr>
                <w:rFonts w:hint="eastAsia"/>
                <w:color w:val="auto"/>
                <w:highlight w:val="none"/>
                <w:lang w:eastAsia="zh-CN"/>
              </w:rPr>
            </w:pPr>
            <w:r>
              <w:rPr>
                <w:color w:val="auto"/>
                <w:spacing w:val="-1"/>
                <w:highlight w:val="none"/>
                <w:lang w:eastAsia="zh-CN"/>
              </w:rPr>
              <w:t>故障自恢复功能：系统故障由一级故障，二级故障，三级故障组成。三级</w:t>
            </w:r>
            <w:r>
              <w:rPr>
                <w:color w:val="auto"/>
                <w:highlight w:val="none"/>
                <w:lang w:eastAsia="zh-CN"/>
              </w:rPr>
              <w:t>故障是指不需要人参与系统自动检测，判断</w:t>
            </w:r>
            <w:r>
              <w:rPr>
                <w:color w:val="auto"/>
                <w:spacing w:val="-1"/>
                <w:highlight w:val="none"/>
                <w:lang w:eastAsia="zh-CN"/>
              </w:rPr>
              <w:t>，解除的故障；二级故障是指</w:t>
            </w:r>
            <w:r>
              <w:rPr>
                <w:color w:val="auto"/>
                <w:highlight w:val="none"/>
                <w:lang w:eastAsia="zh-CN"/>
              </w:rPr>
              <w:t>只需要运行人员确认后按复位按钮就能解除</w:t>
            </w:r>
            <w:r>
              <w:rPr>
                <w:color w:val="auto"/>
                <w:spacing w:val="-1"/>
                <w:highlight w:val="none"/>
                <w:lang w:eastAsia="zh-CN"/>
              </w:rPr>
              <w:t>的故障；一级故障是指需维护</w:t>
            </w:r>
            <w:r>
              <w:rPr>
                <w:color w:val="auto"/>
                <w:spacing w:val="-3"/>
                <w:highlight w:val="none"/>
                <w:lang w:eastAsia="zh-CN"/>
              </w:rPr>
              <w:t>人员参与情况下维修之后才能解除的故障。</w:t>
            </w:r>
          </w:p>
        </w:tc>
      </w:tr>
      <w:tr w14:paraId="53D02A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561" w:type="dxa"/>
            <w:tcBorders>
              <w:bottom w:val="single" w:color="000000" w:sz="4" w:space="0"/>
            </w:tcBorders>
            <w:noWrap w:val="0"/>
            <w:vAlign w:val="top"/>
          </w:tcPr>
          <w:p w14:paraId="274C8B78">
            <w:pPr>
              <w:pStyle w:val="68"/>
              <w:spacing w:before="223" w:line="239" w:lineRule="auto"/>
              <w:ind w:left="368"/>
              <w:rPr>
                <w:rFonts w:hint="eastAsia"/>
                <w:color w:val="auto"/>
                <w:highlight w:val="none"/>
              </w:rPr>
            </w:pPr>
            <w:r>
              <w:rPr>
                <w:color w:val="auto"/>
                <w:spacing w:val="-2"/>
                <w:highlight w:val="none"/>
              </w:rPr>
              <w:t>6.1.3.6</w:t>
            </w:r>
          </w:p>
        </w:tc>
        <w:tc>
          <w:tcPr>
            <w:tcW w:w="7694" w:type="dxa"/>
            <w:tcBorders>
              <w:bottom w:val="single" w:color="000000" w:sz="4" w:space="0"/>
            </w:tcBorders>
            <w:noWrap w:val="0"/>
            <w:vAlign w:val="top"/>
          </w:tcPr>
          <w:p w14:paraId="05073AC4">
            <w:pPr>
              <w:pStyle w:val="68"/>
              <w:spacing w:before="36" w:line="271" w:lineRule="auto"/>
              <w:ind w:left="11" w:right="7"/>
              <w:rPr>
                <w:rFonts w:hint="eastAsia"/>
                <w:color w:val="auto"/>
                <w:highlight w:val="none"/>
                <w:lang w:eastAsia="zh-CN"/>
              </w:rPr>
            </w:pPr>
            <w:r>
              <w:rPr>
                <w:color w:val="auto"/>
                <w:highlight w:val="none"/>
                <w:lang w:eastAsia="zh-CN"/>
              </w:rPr>
              <w:t>周转箱自动寻找功能：为提高医院物资输送安全</w:t>
            </w:r>
            <w:r>
              <w:rPr>
                <w:color w:val="auto"/>
                <w:spacing w:val="-1"/>
                <w:highlight w:val="none"/>
                <w:lang w:eastAsia="zh-CN"/>
              </w:rPr>
              <w:t>性系统不但要对丢失周转</w:t>
            </w:r>
            <w:r>
              <w:rPr>
                <w:color w:val="auto"/>
                <w:spacing w:val="-3"/>
                <w:highlight w:val="none"/>
                <w:lang w:eastAsia="zh-CN"/>
              </w:rPr>
              <w:t>箱有追踪及记录功能外，还需要自动寻找功能。</w:t>
            </w:r>
          </w:p>
        </w:tc>
      </w:tr>
      <w:tr w14:paraId="4BE003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0" w:hRule="atLeast"/>
        </w:trPr>
        <w:tc>
          <w:tcPr>
            <w:tcW w:w="1561" w:type="dxa"/>
            <w:tcBorders>
              <w:top w:val="single" w:color="000000" w:sz="4" w:space="0"/>
            </w:tcBorders>
            <w:noWrap w:val="0"/>
            <w:vAlign w:val="top"/>
          </w:tcPr>
          <w:p w14:paraId="1C3536D9">
            <w:pPr>
              <w:spacing w:line="325" w:lineRule="auto"/>
              <w:rPr>
                <w:color w:val="auto"/>
                <w:highlight w:val="none"/>
                <w:lang w:eastAsia="zh-CN"/>
              </w:rPr>
            </w:pPr>
          </w:p>
          <w:p w14:paraId="77D34629">
            <w:pPr>
              <w:pStyle w:val="68"/>
              <w:spacing w:before="78" w:line="239" w:lineRule="auto"/>
              <w:ind w:left="368"/>
              <w:rPr>
                <w:rFonts w:hint="eastAsia"/>
                <w:color w:val="auto"/>
                <w:highlight w:val="none"/>
              </w:rPr>
            </w:pPr>
            <w:r>
              <w:rPr>
                <w:color w:val="auto"/>
                <w:spacing w:val="-2"/>
                <w:highlight w:val="none"/>
              </w:rPr>
              <w:t>6.1.3.7</w:t>
            </w:r>
          </w:p>
        </w:tc>
        <w:tc>
          <w:tcPr>
            <w:tcW w:w="7694" w:type="dxa"/>
            <w:tcBorders>
              <w:top w:val="single" w:color="000000" w:sz="4" w:space="0"/>
            </w:tcBorders>
            <w:noWrap w:val="0"/>
            <w:vAlign w:val="top"/>
          </w:tcPr>
          <w:p w14:paraId="5021EBC8">
            <w:pPr>
              <w:pStyle w:val="68"/>
              <w:spacing w:before="29" w:line="277" w:lineRule="auto"/>
              <w:ind w:left="10" w:right="7"/>
              <w:jc w:val="both"/>
              <w:rPr>
                <w:rFonts w:hint="eastAsia"/>
                <w:color w:val="auto"/>
                <w:highlight w:val="none"/>
                <w:lang w:eastAsia="zh-CN"/>
              </w:rPr>
            </w:pPr>
            <w:r>
              <w:rPr>
                <w:color w:val="auto"/>
                <w:highlight w:val="none"/>
                <w:lang w:eastAsia="zh-CN"/>
              </w:rPr>
              <w:t>物流参数可视化功能：系统三级参数对医院开放，</w:t>
            </w:r>
            <w:r>
              <w:rPr>
                <w:color w:val="auto"/>
                <w:spacing w:val="-1"/>
                <w:highlight w:val="none"/>
                <w:lang w:eastAsia="zh-CN"/>
              </w:rPr>
              <w:t>医院可以根据自己运行</w:t>
            </w:r>
            <w:r>
              <w:rPr>
                <w:color w:val="auto"/>
                <w:highlight w:val="none"/>
                <w:lang w:eastAsia="zh-CN"/>
              </w:rPr>
              <w:t>情况进行修改，如果修改出现问题，系统需要</w:t>
            </w:r>
            <w:r>
              <w:rPr>
                <w:color w:val="auto"/>
                <w:spacing w:val="-1"/>
                <w:highlight w:val="none"/>
                <w:lang w:eastAsia="zh-CN"/>
              </w:rPr>
              <w:t>有自动回复默认参数设置功</w:t>
            </w:r>
            <w:r>
              <w:rPr>
                <w:color w:val="auto"/>
                <w:spacing w:val="-12"/>
                <w:highlight w:val="none"/>
                <w:lang w:eastAsia="zh-CN"/>
              </w:rPr>
              <w:t>能。</w:t>
            </w:r>
          </w:p>
        </w:tc>
      </w:tr>
      <w:tr w14:paraId="501F9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20" w:hRule="atLeast"/>
        </w:trPr>
        <w:tc>
          <w:tcPr>
            <w:tcW w:w="1561" w:type="dxa"/>
            <w:noWrap w:val="0"/>
            <w:vAlign w:val="top"/>
          </w:tcPr>
          <w:p w14:paraId="7916441D">
            <w:pPr>
              <w:spacing w:line="268" w:lineRule="auto"/>
              <w:rPr>
                <w:color w:val="auto"/>
                <w:highlight w:val="none"/>
                <w:lang w:eastAsia="zh-CN"/>
              </w:rPr>
            </w:pPr>
          </w:p>
          <w:p w14:paraId="7E445A3A">
            <w:pPr>
              <w:spacing w:line="268" w:lineRule="auto"/>
              <w:rPr>
                <w:color w:val="auto"/>
                <w:highlight w:val="none"/>
                <w:lang w:eastAsia="zh-CN"/>
              </w:rPr>
            </w:pPr>
          </w:p>
          <w:p w14:paraId="2E233603">
            <w:pPr>
              <w:spacing w:line="268" w:lineRule="auto"/>
              <w:rPr>
                <w:color w:val="auto"/>
                <w:highlight w:val="none"/>
                <w:lang w:eastAsia="zh-CN"/>
              </w:rPr>
            </w:pPr>
          </w:p>
          <w:p w14:paraId="65F80797">
            <w:pPr>
              <w:spacing w:line="268" w:lineRule="auto"/>
              <w:rPr>
                <w:color w:val="auto"/>
                <w:highlight w:val="none"/>
                <w:lang w:eastAsia="zh-CN"/>
              </w:rPr>
            </w:pPr>
          </w:p>
          <w:p w14:paraId="3FBB8FB1">
            <w:pPr>
              <w:pStyle w:val="68"/>
              <w:spacing w:before="78" w:line="239" w:lineRule="auto"/>
              <w:ind w:left="368"/>
              <w:rPr>
                <w:rFonts w:hint="eastAsia"/>
                <w:color w:val="auto"/>
                <w:highlight w:val="none"/>
              </w:rPr>
            </w:pPr>
            <w:r>
              <w:rPr>
                <w:color w:val="auto"/>
                <w:spacing w:val="-2"/>
                <w:highlight w:val="none"/>
              </w:rPr>
              <w:t>6.1.3.8</w:t>
            </w:r>
          </w:p>
        </w:tc>
        <w:tc>
          <w:tcPr>
            <w:tcW w:w="7694" w:type="dxa"/>
            <w:noWrap w:val="0"/>
            <w:vAlign w:val="top"/>
          </w:tcPr>
          <w:p w14:paraId="549E5203">
            <w:pPr>
              <w:pStyle w:val="68"/>
              <w:spacing w:before="34" w:line="283" w:lineRule="auto"/>
              <w:ind w:left="9" w:right="7" w:firstLine="1"/>
              <w:jc w:val="both"/>
              <w:rPr>
                <w:rFonts w:hint="eastAsia"/>
                <w:color w:val="auto"/>
                <w:highlight w:val="none"/>
                <w:lang w:eastAsia="zh-CN"/>
              </w:rPr>
            </w:pPr>
            <w:r>
              <w:rPr>
                <w:color w:val="auto"/>
                <w:highlight w:val="none"/>
                <w:lang w:eastAsia="zh-CN"/>
              </w:rPr>
              <w:t>流量自动调节功能：系统运行时，会出现某个区</w:t>
            </w:r>
            <w:r>
              <w:rPr>
                <w:color w:val="auto"/>
                <w:spacing w:val="-1"/>
                <w:highlight w:val="none"/>
                <w:lang w:eastAsia="zh-CN"/>
              </w:rPr>
              <w:t>域输送线上流量偏高而另</w:t>
            </w:r>
            <w:r>
              <w:rPr>
                <w:color w:val="auto"/>
                <w:highlight w:val="none"/>
                <w:lang w:eastAsia="zh-CN"/>
              </w:rPr>
              <w:t>外一些区域输送线上流量空闲的可能，这个时候流</w:t>
            </w:r>
            <w:r>
              <w:rPr>
                <w:color w:val="auto"/>
                <w:spacing w:val="-1"/>
                <w:highlight w:val="none"/>
                <w:lang w:eastAsia="zh-CN"/>
              </w:rPr>
              <w:t>量偏高区域的周转箱就</w:t>
            </w:r>
            <w:r>
              <w:rPr>
                <w:color w:val="auto"/>
                <w:highlight w:val="none"/>
                <w:lang w:eastAsia="zh-CN"/>
              </w:rPr>
              <w:t>会排队等待，影响运行效率。流量自调节功能是通</w:t>
            </w:r>
            <w:r>
              <w:rPr>
                <w:color w:val="auto"/>
                <w:spacing w:val="-1"/>
                <w:highlight w:val="none"/>
                <w:lang w:eastAsia="zh-CN"/>
              </w:rPr>
              <w:t>过对每个区域输送线上</w:t>
            </w:r>
            <w:r>
              <w:rPr>
                <w:color w:val="auto"/>
                <w:highlight w:val="none"/>
                <w:lang w:eastAsia="zh-CN"/>
              </w:rPr>
              <w:t>的流量进行实时监控，并将监控数据传输给控制中</w:t>
            </w:r>
            <w:r>
              <w:rPr>
                <w:color w:val="auto"/>
                <w:spacing w:val="-1"/>
                <w:highlight w:val="none"/>
                <w:lang w:eastAsia="zh-CN"/>
              </w:rPr>
              <w:t>心上位机系统。上位机</w:t>
            </w:r>
            <w:r>
              <w:rPr>
                <w:color w:val="auto"/>
                <w:highlight w:val="none"/>
                <w:lang w:eastAsia="zh-CN"/>
              </w:rPr>
              <w:t>系统根据不同区域的的流量大小及其他一些数据，</w:t>
            </w:r>
            <w:r>
              <w:rPr>
                <w:color w:val="auto"/>
                <w:spacing w:val="-1"/>
                <w:highlight w:val="none"/>
                <w:lang w:eastAsia="zh-CN"/>
              </w:rPr>
              <w:t>进行统一调度，把流量</w:t>
            </w:r>
            <w:r>
              <w:rPr>
                <w:color w:val="auto"/>
                <w:highlight w:val="none"/>
                <w:lang w:eastAsia="zh-CN"/>
              </w:rPr>
              <w:t>偏高区域的周转箱引流到合适区域的输送线上，避</w:t>
            </w:r>
            <w:r>
              <w:rPr>
                <w:color w:val="auto"/>
                <w:spacing w:val="-1"/>
                <w:highlight w:val="none"/>
                <w:lang w:eastAsia="zh-CN"/>
              </w:rPr>
              <w:t>免排队等待发生，来提</w:t>
            </w:r>
            <w:r>
              <w:rPr>
                <w:color w:val="auto"/>
                <w:spacing w:val="-3"/>
                <w:highlight w:val="none"/>
                <w:lang w:eastAsia="zh-CN"/>
              </w:rPr>
              <w:t>高整个系统的运行效率的功能。</w:t>
            </w:r>
          </w:p>
        </w:tc>
      </w:tr>
      <w:tr w14:paraId="4650F2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noWrap w:val="0"/>
            <w:vAlign w:val="top"/>
          </w:tcPr>
          <w:p w14:paraId="27A1938D">
            <w:pPr>
              <w:pStyle w:val="68"/>
              <w:spacing w:before="37" w:line="239" w:lineRule="auto"/>
              <w:ind w:left="368"/>
              <w:rPr>
                <w:rFonts w:hint="eastAsia"/>
                <w:color w:val="auto"/>
                <w:highlight w:val="none"/>
              </w:rPr>
            </w:pPr>
            <w:r>
              <w:rPr>
                <w:color w:val="auto"/>
                <w:spacing w:val="-2"/>
                <w:highlight w:val="none"/>
              </w:rPr>
              <w:t>6.1.3.9</w:t>
            </w:r>
          </w:p>
        </w:tc>
        <w:tc>
          <w:tcPr>
            <w:tcW w:w="7694" w:type="dxa"/>
            <w:noWrap w:val="0"/>
            <w:vAlign w:val="top"/>
          </w:tcPr>
          <w:p w14:paraId="501191F1">
            <w:pPr>
              <w:pStyle w:val="68"/>
              <w:spacing w:before="37" w:line="220" w:lineRule="auto"/>
              <w:ind w:left="16"/>
              <w:rPr>
                <w:rFonts w:hint="eastAsia"/>
                <w:color w:val="auto"/>
                <w:highlight w:val="none"/>
                <w:lang w:eastAsia="zh-CN"/>
              </w:rPr>
            </w:pPr>
            <w:r>
              <w:rPr>
                <w:color w:val="auto"/>
                <w:spacing w:val="-2"/>
                <w:highlight w:val="none"/>
                <w:lang w:eastAsia="zh-CN"/>
              </w:rPr>
              <w:t>智能调度防堵功能：当发生堵箱情况时，自动疏通分拣口。</w:t>
            </w:r>
          </w:p>
        </w:tc>
      </w:tr>
      <w:tr w14:paraId="260355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noWrap w:val="0"/>
            <w:vAlign w:val="top"/>
          </w:tcPr>
          <w:p w14:paraId="1C3606E7">
            <w:pPr>
              <w:pStyle w:val="68"/>
              <w:spacing w:before="78" w:line="239" w:lineRule="auto"/>
              <w:ind w:left="368"/>
              <w:rPr>
                <w:rFonts w:hint="default"/>
                <w:color w:val="auto"/>
                <w:spacing w:val="-2"/>
                <w:highlight w:val="none"/>
                <w:lang w:val="en-US" w:eastAsia="zh-CN"/>
              </w:rPr>
            </w:pPr>
            <w:r>
              <w:rPr>
                <w:color w:val="auto"/>
                <w:spacing w:val="-2"/>
                <w:highlight w:val="none"/>
                <w:lang w:eastAsia="zh-CN"/>
              </w:rPr>
              <w:t>6.1.3.</w:t>
            </w:r>
            <w:r>
              <w:rPr>
                <w:rFonts w:hint="eastAsia"/>
                <w:color w:val="auto"/>
                <w:spacing w:val="-2"/>
                <w:highlight w:val="none"/>
                <w:lang w:eastAsia="zh-CN"/>
              </w:rPr>
              <w:t>1</w:t>
            </w:r>
            <w:r>
              <w:rPr>
                <w:rFonts w:hint="eastAsia"/>
                <w:color w:val="auto"/>
                <w:spacing w:val="-2"/>
                <w:highlight w:val="none"/>
                <w:lang w:val="en-US" w:eastAsia="zh-CN"/>
              </w:rPr>
              <w:t>0</w:t>
            </w:r>
          </w:p>
        </w:tc>
        <w:tc>
          <w:tcPr>
            <w:tcW w:w="7694" w:type="dxa"/>
            <w:noWrap w:val="0"/>
            <w:vAlign w:val="top"/>
          </w:tcPr>
          <w:p w14:paraId="2E00D6D9">
            <w:pPr>
              <w:pStyle w:val="68"/>
              <w:spacing w:before="34" w:line="283" w:lineRule="auto"/>
              <w:ind w:left="9" w:right="7" w:firstLine="1"/>
              <w:jc w:val="both"/>
              <w:rPr>
                <w:rFonts w:hint="eastAsia"/>
                <w:color w:val="auto"/>
                <w:highlight w:val="none"/>
                <w:lang w:eastAsia="zh-CN"/>
              </w:rPr>
            </w:pPr>
            <w:r>
              <w:rPr>
                <w:color w:val="auto"/>
                <w:highlight w:val="none"/>
                <w:lang w:eastAsia="zh-CN"/>
              </w:rPr>
              <w:t>关键设备IoT感知</w:t>
            </w:r>
          </w:p>
          <w:p w14:paraId="25D4559D">
            <w:pPr>
              <w:pStyle w:val="68"/>
              <w:spacing w:before="34" w:line="283" w:lineRule="auto"/>
              <w:ind w:left="9" w:right="7" w:firstLine="1"/>
              <w:jc w:val="both"/>
              <w:rPr>
                <w:rFonts w:hint="eastAsia"/>
                <w:color w:val="auto"/>
                <w:highlight w:val="none"/>
                <w:lang w:eastAsia="zh-CN"/>
              </w:rPr>
            </w:pPr>
            <w:r>
              <w:rPr>
                <w:color w:val="auto"/>
                <w:highlight w:val="none"/>
                <w:lang w:eastAsia="zh-CN"/>
              </w:rPr>
              <w:t>系统在关键动力单元、转向机构及输送管路核心节点，标配符合医疗行业数据安全规范的物联网传感器，实现三轴振动、运行温度、运行时常等数据的实时采集与上传，数据传输延迟≤500ms，上传成功率≥99.9%。实现与智慧运维平台无缝对接，数据存储全程加密防护。</w:t>
            </w:r>
          </w:p>
        </w:tc>
      </w:tr>
      <w:tr w14:paraId="0CFE5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noWrap w:val="0"/>
            <w:vAlign w:val="top"/>
          </w:tcPr>
          <w:p w14:paraId="58D89387">
            <w:pPr>
              <w:pStyle w:val="68"/>
              <w:spacing w:before="78" w:line="239" w:lineRule="auto"/>
              <w:ind w:left="368"/>
              <w:rPr>
                <w:rFonts w:hint="default"/>
                <w:color w:val="auto"/>
                <w:spacing w:val="-2"/>
                <w:highlight w:val="none"/>
                <w:lang w:val="en-US" w:eastAsia="zh-CN"/>
              </w:rPr>
            </w:pPr>
            <w:r>
              <w:rPr>
                <w:color w:val="auto"/>
                <w:spacing w:val="-2"/>
                <w:highlight w:val="none"/>
                <w:lang w:eastAsia="zh-CN"/>
              </w:rPr>
              <w:t>6.1.3.</w:t>
            </w:r>
            <w:r>
              <w:rPr>
                <w:rFonts w:hint="eastAsia"/>
                <w:color w:val="auto"/>
                <w:spacing w:val="-2"/>
                <w:highlight w:val="none"/>
                <w:lang w:eastAsia="zh-CN"/>
              </w:rPr>
              <w:t>1</w:t>
            </w:r>
            <w:r>
              <w:rPr>
                <w:rFonts w:hint="eastAsia"/>
                <w:color w:val="auto"/>
                <w:spacing w:val="-2"/>
                <w:highlight w:val="none"/>
                <w:lang w:val="en-US" w:eastAsia="zh-CN"/>
              </w:rPr>
              <w:t>1</w:t>
            </w:r>
          </w:p>
        </w:tc>
        <w:tc>
          <w:tcPr>
            <w:tcW w:w="7694" w:type="dxa"/>
            <w:noWrap w:val="0"/>
            <w:vAlign w:val="top"/>
          </w:tcPr>
          <w:p w14:paraId="3B1EDBAC">
            <w:pPr>
              <w:pStyle w:val="68"/>
              <w:spacing w:before="34" w:line="283" w:lineRule="auto"/>
              <w:ind w:left="9" w:right="7" w:firstLine="1"/>
              <w:jc w:val="both"/>
              <w:rPr>
                <w:rFonts w:hint="eastAsia"/>
                <w:color w:val="auto"/>
                <w:highlight w:val="none"/>
                <w:lang w:eastAsia="zh-CN"/>
              </w:rPr>
            </w:pPr>
            <w:r>
              <w:rPr>
                <w:color w:val="auto"/>
                <w:highlight w:val="none"/>
                <w:lang w:eastAsia="zh-CN"/>
              </w:rPr>
              <w:t>高精准度预测性维护</w:t>
            </w:r>
          </w:p>
          <w:p w14:paraId="011D26EC">
            <w:pPr>
              <w:pStyle w:val="68"/>
              <w:spacing w:before="34" w:line="283" w:lineRule="auto"/>
              <w:ind w:left="9" w:right="7" w:firstLine="1"/>
              <w:jc w:val="both"/>
              <w:rPr>
                <w:rFonts w:hint="eastAsia"/>
                <w:color w:val="auto"/>
                <w:highlight w:val="none"/>
                <w:lang w:eastAsia="zh-CN"/>
              </w:rPr>
            </w:pPr>
            <w:r>
              <w:rPr>
                <w:color w:val="auto"/>
                <w:highlight w:val="none"/>
                <w:lang w:eastAsia="zh-CN"/>
              </w:rPr>
              <w:t>基于全量运行数据，结合物流设备运行特性算法，系统自动生成设备健康状态报告，可显示各部件运行风险等级。针对核心部件，具备剩余寿命精准预测能力，预测周期可灵活调整（1-90天），故障预警准确率≥90%，重大故障提前预警时间≥24小时。</w:t>
            </w:r>
          </w:p>
        </w:tc>
      </w:tr>
      <w:tr w14:paraId="6D1BC5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noWrap w:val="0"/>
            <w:vAlign w:val="top"/>
          </w:tcPr>
          <w:p w14:paraId="68079031">
            <w:pPr>
              <w:pStyle w:val="68"/>
              <w:spacing w:before="78" w:line="239" w:lineRule="auto"/>
              <w:ind w:left="368"/>
              <w:rPr>
                <w:rFonts w:hint="default"/>
                <w:color w:val="auto"/>
                <w:spacing w:val="-2"/>
                <w:highlight w:val="none"/>
                <w:lang w:val="en-US" w:eastAsia="zh-CN"/>
              </w:rPr>
            </w:pPr>
            <w:r>
              <w:rPr>
                <w:color w:val="auto"/>
                <w:spacing w:val="-2"/>
                <w:highlight w:val="none"/>
                <w:lang w:eastAsia="zh-CN"/>
              </w:rPr>
              <w:t>6.1.3.</w:t>
            </w:r>
            <w:r>
              <w:rPr>
                <w:rFonts w:hint="eastAsia"/>
                <w:color w:val="auto"/>
                <w:spacing w:val="-2"/>
                <w:highlight w:val="none"/>
                <w:lang w:eastAsia="zh-CN"/>
              </w:rPr>
              <w:t>1</w:t>
            </w:r>
            <w:r>
              <w:rPr>
                <w:rFonts w:hint="eastAsia"/>
                <w:color w:val="auto"/>
                <w:spacing w:val="-2"/>
                <w:highlight w:val="none"/>
                <w:lang w:val="en-US" w:eastAsia="zh-CN"/>
              </w:rPr>
              <w:t>2</w:t>
            </w:r>
          </w:p>
        </w:tc>
        <w:tc>
          <w:tcPr>
            <w:tcW w:w="7694" w:type="dxa"/>
            <w:noWrap w:val="0"/>
            <w:vAlign w:val="top"/>
          </w:tcPr>
          <w:p w14:paraId="39A4BE80">
            <w:pPr>
              <w:pStyle w:val="68"/>
              <w:spacing w:before="34" w:line="283" w:lineRule="auto"/>
              <w:ind w:left="9" w:right="7" w:firstLine="1"/>
              <w:jc w:val="both"/>
              <w:rPr>
                <w:rFonts w:hint="eastAsia"/>
                <w:color w:val="auto"/>
                <w:highlight w:val="none"/>
                <w:lang w:eastAsia="zh-CN"/>
              </w:rPr>
            </w:pPr>
            <w:r>
              <w:rPr>
                <w:color w:val="auto"/>
                <w:highlight w:val="none"/>
                <w:lang w:eastAsia="zh-CN"/>
              </w:rPr>
              <w:t>维护计划自主</w:t>
            </w:r>
          </w:p>
          <w:p w14:paraId="6E38A452">
            <w:pPr>
              <w:pStyle w:val="68"/>
              <w:spacing w:before="34" w:line="283" w:lineRule="auto"/>
              <w:ind w:left="9" w:right="7" w:firstLine="1"/>
              <w:jc w:val="both"/>
              <w:rPr>
                <w:rFonts w:hint="eastAsia"/>
                <w:color w:val="auto"/>
                <w:highlight w:val="none"/>
                <w:lang w:eastAsia="zh-CN"/>
              </w:rPr>
            </w:pPr>
            <w:r>
              <w:rPr>
                <w:color w:val="auto"/>
                <w:highlight w:val="none"/>
                <w:lang w:eastAsia="zh-CN"/>
              </w:rPr>
              <w:t>根据设备及系统故障预警平台可实现维护计划自动生成、维护记录追溯及维护效果评估，形成“数据采集-分析预警-维护执行-效果闭环”的全流程运维体系。</w:t>
            </w:r>
          </w:p>
        </w:tc>
      </w:tr>
      <w:tr w14:paraId="05D9F5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9255" w:type="dxa"/>
            <w:gridSpan w:val="2"/>
            <w:shd w:val="clear" w:color="auto" w:fill="FFFFFF"/>
            <w:noWrap w:val="0"/>
            <w:vAlign w:val="top"/>
          </w:tcPr>
          <w:p w14:paraId="4CEFE019">
            <w:pPr>
              <w:pStyle w:val="68"/>
              <w:spacing w:before="38" w:line="220" w:lineRule="auto"/>
              <w:ind w:left="19"/>
              <w:rPr>
                <w:rFonts w:hint="eastAsia"/>
                <w:color w:val="auto"/>
                <w:highlight w:val="none"/>
                <w:lang w:eastAsia="zh-CN"/>
              </w:rPr>
            </w:pPr>
            <w:r>
              <w:rPr>
                <w:b/>
                <w:bCs/>
                <w:color w:val="auto"/>
                <w:spacing w:val="-3"/>
                <w:highlight w:val="none"/>
                <w:lang w:eastAsia="zh-CN"/>
              </w:rPr>
              <w:t>7．中型物流设备监控系统</w:t>
            </w:r>
          </w:p>
        </w:tc>
      </w:tr>
      <w:tr w14:paraId="7399F9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shd w:val="clear" w:color="auto" w:fill="FFFFFF"/>
            <w:noWrap w:val="0"/>
            <w:vAlign w:val="top"/>
          </w:tcPr>
          <w:p w14:paraId="597CAE4A">
            <w:pPr>
              <w:pStyle w:val="68"/>
              <w:spacing w:before="40" w:line="239" w:lineRule="auto"/>
              <w:ind w:left="612"/>
              <w:rPr>
                <w:rFonts w:hint="eastAsia"/>
                <w:color w:val="auto"/>
                <w:highlight w:val="none"/>
              </w:rPr>
            </w:pPr>
            <w:r>
              <w:rPr>
                <w:color w:val="auto"/>
                <w:spacing w:val="-4"/>
                <w:highlight w:val="none"/>
              </w:rPr>
              <w:t>7.1</w:t>
            </w:r>
          </w:p>
        </w:tc>
        <w:tc>
          <w:tcPr>
            <w:tcW w:w="7694" w:type="dxa"/>
            <w:shd w:val="clear" w:color="auto" w:fill="FFFFFF"/>
            <w:noWrap w:val="0"/>
            <w:vAlign w:val="top"/>
          </w:tcPr>
          <w:p w14:paraId="5E9AE811">
            <w:pPr>
              <w:pStyle w:val="68"/>
              <w:spacing w:before="40" w:line="220" w:lineRule="auto"/>
              <w:ind w:left="11"/>
              <w:rPr>
                <w:rFonts w:hint="eastAsia"/>
                <w:color w:val="auto"/>
                <w:highlight w:val="none"/>
                <w:lang w:eastAsia="zh-CN"/>
              </w:rPr>
            </w:pPr>
            <w:r>
              <w:rPr>
                <w:color w:val="auto"/>
                <w:spacing w:val="-2"/>
                <w:highlight w:val="none"/>
                <w:lang w:eastAsia="zh-CN"/>
              </w:rPr>
              <w:t>监控系统用户管理模块支持自主登录、登出、新增及删除账户权限。</w:t>
            </w:r>
          </w:p>
        </w:tc>
      </w:tr>
      <w:tr w14:paraId="5C869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5" w:hRule="atLeast"/>
        </w:trPr>
        <w:tc>
          <w:tcPr>
            <w:tcW w:w="1561" w:type="dxa"/>
            <w:shd w:val="clear" w:color="auto" w:fill="FFFFFF"/>
            <w:noWrap w:val="0"/>
            <w:vAlign w:val="top"/>
          </w:tcPr>
          <w:p w14:paraId="49E5FF91">
            <w:pPr>
              <w:spacing w:line="332" w:lineRule="auto"/>
              <w:rPr>
                <w:color w:val="auto"/>
                <w:highlight w:val="none"/>
                <w:lang w:eastAsia="zh-CN"/>
              </w:rPr>
            </w:pPr>
          </w:p>
          <w:p w14:paraId="4977779D">
            <w:pPr>
              <w:pStyle w:val="68"/>
              <w:spacing w:before="78" w:line="239" w:lineRule="auto"/>
              <w:ind w:left="612"/>
              <w:rPr>
                <w:rFonts w:hint="eastAsia"/>
                <w:color w:val="auto"/>
                <w:highlight w:val="none"/>
              </w:rPr>
            </w:pPr>
            <w:r>
              <w:rPr>
                <w:color w:val="auto"/>
                <w:spacing w:val="-4"/>
                <w:highlight w:val="none"/>
              </w:rPr>
              <w:t>7.2</w:t>
            </w:r>
          </w:p>
        </w:tc>
        <w:tc>
          <w:tcPr>
            <w:tcW w:w="7694" w:type="dxa"/>
            <w:shd w:val="clear" w:color="auto" w:fill="FFFFFF"/>
            <w:noWrap w:val="0"/>
            <w:vAlign w:val="top"/>
          </w:tcPr>
          <w:p w14:paraId="5CF281E3">
            <w:pPr>
              <w:pStyle w:val="68"/>
              <w:spacing w:before="38" w:line="276" w:lineRule="auto"/>
              <w:ind w:left="10" w:right="7" w:firstLine="2"/>
              <w:jc w:val="both"/>
              <w:rPr>
                <w:rFonts w:hint="eastAsia"/>
                <w:color w:val="auto"/>
                <w:highlight w:val="none"/>
                <w:lang w:eastAsia="zh-CN"/>
              </w:rPr>
            </w:pPr>
            <w:r>
              <w:rPr>
                <w:color w:val="auto"/>
                <w:spacing w:val="-1"/>
                <w:highlight w:val="none"/>
                <w:lang w:eastAsia="zh-CN"/>
              </w:rPr>
              <w:t>为保证监控系统操作的时效性和安全性，系统监控设备运行状态切换的响</w:t>
            </w:r>
            <w:r>
              <w:rPr>
                <w:color w:val="auto"/>
                <w:highlight w:val="none"/>
                <w:lang w:eastAsia="zh-CN"/>
              </w:rPr>
              <w:t>应时间≤3s，即在设备正常运行状态下，在主界</w:t>
            </w:r>
            <w:r>
              <w:rPr>
                <w:color w:val="auto"/>
                <w:spacing w:val="-1"/>
                <w:highlight w:val="none"/>
                <w:lang w:eastAsia="zh-CN"/>
              </w:rPr>
              <w:t>面中，选择运输机设备，</w:t>
            </w:r>
            <w:r>
              <w:rPr>
                <w:color w:val="auto"/>
                <w:spacing w:val="-4"/>
                <w:highlight w:val="none"/>
                <w:lang w:eastAsia="zh-CN"/>
              </w:rPr>
              <w:t>点击暂停的过程响应时间。</w:t>
            </w:r>
          </w:p>
        </w:tc>
      </w:tr>
      <w:tr w14:paraId="516981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8" w:hRule="atLeast"/>
        </w:trPr>
        <w:tc>
          <w:tcPr>
            <w:tcW w:w="1561" w:type="dxa"/>
            <w:shd w:val="clear" w:color="auto" w:fill="FFFFFF"/>
            <w:noWrap w:val="0"/>
            <w:vAlign w:val="top"/>
          </w:tcPr>
          <w:p w14:paraId="37C5765F">
            <w:pPr>
              <w:pStyle w:val="68"/>
              <w:spacing w:before="225" w:line="239" w:lineRule="auto"/>
              <w:ind w:left="612"/>
              <w:rPr>
                <w:rFonts w:hint="eastAsia"/>
                <w:color w:val="auto"/>
                <w:highlight w:val="none"/>
              </w:rPr>
            </w:pPr>
            <w:r>
              <w:rPr>
                <w:color w:val="auto"/>
                <w:spacing w:val="-4"/>
                <w:highlight w:val="none"/>
              </w:rPr>
              <w:t>7.3</w:t>
            </w:r>
          </w:p>
        </w:tc>
        <w:tc>
          <w:tcPr>
            <w:tcW w:w="7694" w:type="dxa"/>
            <w:shd w:val="clear" w:color="auto" w:fill="FFFFFF"/>
            <w:noWrap w:val="0"/>
            <w:vAlign w:val="top"/>
          </w:tcPr>
          <w:p w14:paraId="0DA171FA">
            <w:pPr>
              <w:pStyle w:val="68"/>
              <w:spacing w:before="38" w:line="273" w:lineRule="auto"/>
              <w:ind w:left="13" w:right="7" w:hanging="2"/>
              <w:rPr>
                <w:rFonts w:hint="eastAsia"/>
                <w:color w:val="auto"/>
                <w:highlight w:val="none"/>
                <w:lang w:eastAsia="zh-CN"/>
              </w:rPr>
            </w:pPr>
            <w:r>
              <w:rPr>
                <w:color w:val="auto"/>
                <w:highlight w:val="none"/>
                <w:lang w:eastAsia="zh-CN"/>
              </w:rPr>
              <w:t>监控系统可实现站点运行状态监控、包括堵箱</w:t>
            </w:r>
            <w:r>
              <w:rPr>
                <w:color w:val="auto"/>
                <w:spacing w:val="-1"/>
                <w:highlight w:val="none"/>
                <w:lang w:eastAsia="zh-CN"/>
              </w:rPr>
              <w:t>、急停，通过不同颜色标识</w:t>
            </w:r>
            <w:r>
              <w:rPr>
                <w:color w:val="auto"/>
                <w:spacing w:val="-3"/>
                <w:highlight w:val="none"/>
                <w:lang w:eastAsia="zh-CN"/>
              </w:rPr>
              <w:t>不同的状态，并显示站点的有/无箱状态。</w:t>
            </w:r>
          </w:p>
        </w:tc>
      </w:tr>
      <w:tr w14:paraId="194FB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 w:hRule="atLeast"/>
        </w:trPr>
        <w:tc>
          <w:tcPr>
            <w:tcW w:w="1561" w:type="dxa"/>
            <w:shd w:val="clear" w:color="auto" w:fill="FFFFFF"/>
            <w:noWrap w:val="0"/>
            <w:vAlign w:val="top"/>
          </w:tcPr>
          <w:p w14:paraId="6EDAF9D8">
            <w:pPr>
              <w:pStyle w:val="68"/>
              <w:spacing w:before="226" w:line="239" w:lineRule="auto"/>
              <w:ind w:left="612"/>
              <w:rPr>
                <w:rFonts w:hint="eastAsia"/>
                <w:color w:val="auto"/>
                <w:highlight w:val="none"/>
              </w:rPr>
            </w:pPr>
            <w:r>
              <w:rPr>
                <w:color w:val="auto"/>
                <w:spacing w:val="-4"/>
                <w:highlight w:val="none"/>
              </w:rPr>
              <w:t>7.4</w:t>
            </w:r>
          </w:p>
        </w:tc>
        <w:tc>
          <w:tcPr>
            <w:tcW w:w="7694" w:type="dxa"/>
            <w:shd w:val="clear" w:color="auto" w:fill="FFFFFF"/>
            <w:noWrap w:val="0"/>
            <w:vAlign w:val="top"/>
          </w:tcPr>
          <w:p w14:paraId="6C4B3C57">
            <w:pPr>
              <w:pStyle w:val="68"/>
              <w:spacing w:before="38" w:line="272" w:lineRule="auto"/>
              <w:ind w:left="33" w:right="7" w:hanging="22"/>
              <w:rPr>
                <w:rFonts w:hint="eastAsia"/>
                <w:color w:val="auto"/>
                <w:highlight w:val="none"/>
                <w:lang w:eastAsia="zh-CN"/>
              </w:rPr>
            </w:pPr>
            <w:r>
              <w:rPr>
                <w:color w:val="auto"/>
                <w:highlight w:val="none"/>
                <w:lang w:eastAsia="zh-CN"/>
              </w:rPr>
              <w:t>监控系统可实现输送机运行状态监控、包括输</w:t>
            </w:r>
            <w:r>
              <w:rPr>
                <w:color w:val="auto"/>
                <w:spacing w:val="-1"/>
                <w:highlight w:val="none"/>
                <w:lang w:eastAsia="zh-CN"/>
              </w:rPr>
              <w:t>送机上的运行箱子轨迹，不</w:t>
            </w:r>
            <w:r>
              <w:rPr>
                <w:color w:val="auto"/>
                <w:spacing w:val="-6"/>
                <w:highlight w:val="none"/>
                <w:lang w:eastAsia="zh-CN"/>
              </w:rPr>
              <w:t>同状态通过不同颜色体现。</w:t>
            </w:r>
          </w:p>
        </w:tc>
      </w:tr>
      <w:tr w14:paraId="01759C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561" w:type="dxa"/>
            <w:shd w:val="clear" w:color="auto" w:fill="FFFFFF"/>
            <w:noWrap w:val="0"/>
            <w:vAlign w:val="top"/>
          </w:tcPr>
          <w:p w14:paraId="29EE99D7">
            <w:pPr>
              <w:pStyle w:val="68"/>
              <w:spacing w:before="221" w:line="239" w:lineRule="auto"/>
              <w:ind w:left="612"/>
              <w:rPr>
                <w:rFonts w:hint="eastAsia"/>
                <w:color w:val="auto"/>
                <w:highlight w:val="none"/>
              </w:rPr>
            </w:pPr>
            <w:r>
              <w:rPr>
                <w:color w:val="auto"/>
                <w:spacing w:val="-4"/>
                <w:highlight w:val="none"/>
              </w:rPr>
              <w:t>7.5</w:t>
            </w:r>
          </w:p>
        </w:tc>
        <w:tc>
          <w:tcPr>
            <w:tcW w:w="7694" w:type="dxa"/>
            <w:shd w:val="clear" w:color="auto" w:fill="FFFFFF"/>
            <w:noWrap w:val="0"/>
            <w:vAlign w:val="top"/>
          </w:tcPr>
          <w:p w14:paraId="664481D2">
            <w:pPr>
              <w:pStyle w:val="68"/>
              <w:spacing w:before="33" w:line="273" w:lineRule="auto"/>
              <w:ind w:left="11" w:right="7"/>
              <w:rPr>
                <w:rFonts w:hint="eastAsia"/>
                <w:color w:val="auto"/>
                <w:highlight w:val="none"/>
                <w:lang w:eastAsia="zh-CN"/>
              </w:rPr>
            </w:pPr>
            <w:r>
              <w:rPr>
                <w:color w:val="auto"/>
                <w:highlight w:val="none"/>
                <w:lang w:eastAsia="zh-CN"/>
              </w:rPr>
              <w:t>监控系统可实现移栽机运行状态监控、包括移</w:t>
            </w:r>
            <w:r>
              <w:rPr>
                <w:color w:val="auto"/>
                <w:spacing w:val="-1"/>
                <w:highlight w:val="none"/>
                <w:lang w:eastAsia="zh-CN"/>
              </w:rPr>
              <w:t>栽机上的箱子运行轨迹，移</w:t>
            </w:r>
            <w:r>
              <w:rPr>
                <w:color w:val="auto"/>
                <w:spacing w:val="-3"/>
                <w:highlight w:val="none"/>
                <w:lang w:eastAsia="zh-CN"/>
              </w:rPr>
              <w:t>栽动作示意，不同状态通过不同颜色体现。</w:t>
            </w:r>
          </w:p>
        </w:tc>
      </w:tr>
      <w:tr w14:paraId="52582C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1561" w:type="dxa"/>
            <w:shd w:val="clear" w:color="auto" w:fill="FFFFFF"/>
            <w:noWrap w:val="0"/>
            <w:vAlign w:val="top"/>
          </w:tcPr>
          <w:p w14:paraId="510DF1C8">
            <w:pPr>
              <w:pStyle w:val="68"/>
              <w:spacing w:before="34" w:line="239" w:lineRule="auto"/>
              <w:ind w:left="612"/>
              <w:rPr>
                <w:rFonts w:hint="eastAsia"/>
                <w:color w:val="auto"/>
                <w:highlight w:val="none"/>
              </w:rPr>
            </w:pPr>
            <w:r>
              <w:rPr>
                <w:color w:val="auto"/>
                <w:spacing w:val="-4"/>
                <w:highlight w:val="none"/>
              </w:rPr>
              <w:t>7.6</w:t>
            </w:r>
          </w:p>
        </w:tc>
        <w:tc>
          <w:tcPr>
            <w:tcW w:w="7694" w:type="dxa"/>
            <w:shd w:val="clear" w:color="auto" w:fill="FFFFFF"/>
            <w:noWrap w:val="0"/>
            <w:vAlign w:val="top"/>
          </w:tcPr>
          <w:p w14:paraId="69E40326">
            <w:pPr>
              <w:pStyle w:val="68"/>
              <w:spacing w:before="33" w:line="219" w:lineRule="auto"/>
              <w:ind w:left="11"/>
              <w:rPr>
                <w:rFonts w:hint="eastAsia"/>
                <w:color w:val="auto"/>
                <w:highlight w:val="none"/>
                <w:lang w:eastAsia="zh-CN"/>
              </w:rPr>
            </w:pPr>
            <w:r>
              <w:rPr>
                <w:color w:val="auto"/>
                <w:spacing w:val="-3"/>
                <w:highlight w:val="none"/>
                <w:lang w:eastAsia="zh-CN"/>
              </w:rPr>
              <w:t>监控系统可实现垂直分拣机图形化界面监控。</w:t>
            </w:r>
          </w:p>
        </w:tc>
      </w:tr>
      <w:tr w14:paraId="27D176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shd w:val="clear" w:color="auto" w:fill="FFFFFF"/>
            <w:noWrap w:val="0"/>
            <w:vAlign w:val="top"/>
          </w:tcPr>
          <w:p w14:paraId="39F82207">
            <w:pPr>
              <w:pStyle w:val="68"/>
              <w:spacing w:before="37" w:line="239" w:lineRule="auto"/>
              <w:ind w:left="612"/>
              <w:rPr>
                <w:rFonts w:hint="eastAsia"/>
                <w:color w:val="auto"/>
                <w:highlight w:val="none"/>
              </w:rPr>
            </w:pPr>
            <w:r>
              <w:rPr>
                <w:color w:val="auto"/>
                <w:spacing w:val="-4"/>
                <w:highlight w:val="none"/>
              </w:rPr>
              <w:t>7.7</w:t>
            </w:r>
          </w:p>
        </w:tc>
        <w:tc>
          <w:tcPr>
            <w:tcW w:w="7694" w:type="dxa"/>
            <w:shd w:val="clear" w:color="auto" w:fill="FFFFFF"/>
            <w:noWrap w:val="0"/>
            <w:vAlign w:val="top"/>
          </w:tcPr>
          <w:p w14:paraId="1F7C297E">
            <w:pPr>
              <w:pStyle w:val="68"/>
              <w:spacing w:before="36" w:line="220" w:lineRule="auto"/>
              <w:ind w:left="11"/>
              <w:rPr>
                <w:rFonts w:hint="eastAsia"/>
                <w:color w:val="auto"/>
                <w:highlight w:val="none"/>
                <w:lang w:eastAsia="zh-CN"/>
              </w:rPr>
            </w:pPr>
            <w:r>
              <w:rPr>
                <w:color w:val="auto"/>
                <w:spacing w:val="-1"/>
                <w:highlight w:val="none"/>
                <w:lang w:eastAsia="zh-CN"/>
              </w:rPr>
              <w:t>监控系统可实现轿厢模组运行状态监控、包</w:t>
            </w:r>
            <w:r>
              <w:rPr>
                <w:color w:val="auto"/>
                <w:spacing w:val="-2"/>
                <w:highlight w:val="none"/>
                <w:lang w:eastAsia="zh-CN"/>
              </w:rPr>
              <w:t>括上下运行轨迹，有无装箱。</w:t>
            </w:r>
          </w:p>
        </w:tc>
      </w:tr>
      <w:tr w14:paraId="53F94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255" w:type="dxa"/>
            <w:gridSpan w:val="2"/>
            <w:noWrap w:val="0"/>
            <w:vAlign w:val="top"/>
          </w:tcPr>
          <w:p w14:paraId="47859D0C">
            <w:pPr>
              <w:pStyle w:val="68"/>
              <w:spacing w:before="34" w:line="219" w:lineRule="auto"/>
              <w:ind w:left="14"/>
              <w:rPr>
                <w:rFonts w:hint="eastAsia"/>
                <w:color w:val="auto"/>
                <w:highlight w:val="none"/>
              </w:rPr>
            </w:pPr>
            <w:r>
              <w:rPr>
                <w:b/>
                <w:bCs/>
                <w:color w:val="auto"/>
                <w:spacing w:val="-4"/>
                <w:highlight w:val="none"/>
              </w:rPr>
              <w:t>8．上位机系统</w:t>
            </w:r>
          </w:p>
        </w:tc>
      </w:tr>
      <w:tr w14:paraId="0EBB86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561" w:type="dxa"/>
            <w:noWrap w:val="0"/>
            <w:vAlign w:val="top"/>
          </w:tcPr>
          <w:p w14:paraId="456F0D3F">
            <w:pPr>
              <w:pStyle w:val="68"/>
              <w:spacing w:before="33" w:line="272" w:lineRule="auto"/>
              <w:ind w:left="547" w:right="58" w:hanging="480"/>
              <w:rPr>
                <w:rFonts w:hint="eastAsia"/>
                <w:color w:val="auto"/>
                <w:highlight w:val="none"/>
              </w:rPr>
            </w:pPr>
            <w:r>
              <w:rPr>
                <w:color w:val="auto"/>
                <w:spacing w:val="-4"/>
                <w:highlight w:val="none"/>
              </w:rPr>
              <w:t>8.1</w:t>
            </w:r>
            <w:r>
              <w:rPr>
                <w:color w:val="auto"/>
                <w:spacing w:val="16"/>
                <w:highlight w:val="none"/>
              </w:rPr>
              <w:t xml:space="preserve"> </w:t>
            </w:r>
            <w:r>
              <w:rPr>
                <w:color w:val="auto"/>
                <w:spacing w:val="-4"/>
                <w:highlight w:val="none"/>
              </w:rPr>
              <w:t>系统组成</w:t>
            </w:r>
            <w:r>
              <w:rPr>
                <w:color w:val="auto"/>
                <w:spacing w:val="-3"/>
                <w:highlight w:val="none"/>
              </w:rPr>
              <w:t>描述</w:t>
            </w:r>
          </w:p>
        </w:tc>
        <w:tc>
          <w:tcPr>
            <w:tcW w:w="7694" w:type="dxa"/>
            <w:noWrap w:val="0"/>
            <w:vAlign w:val="top"/>
          </w:tcPr>
          <w:p w14:paraId="0522ADC9">
            <w:pPr>
              <w:pStyle w:val="68"/>
              <w:spacing w:before="34" w:line="219" w:lineRule="auto"/>
              <w:ind w:left="12"/>
              <w:rPr>
                <w:rFonts w:hint="eastAsia"/>
                <w:color w:val="auto"/>
                <w:highlight w:val="none"/>
                <w:lang w:eastAsia="zh-CN"/>
              </w:rPr>
            </w:pPr>
            <w:r>
              <w:rPr>
                <w:color w:val="auto"/>
                <w:spacing w:val="-2"/>
                <w:highlight w:val="none"/>
                <w:lang w:eastAsia="zh-CN"/>
              </w:rPr>
              <w:t>上位机系统由系统硬件、操作系统、数据库及系统软件组成。</w:t>
            </w:r>
          </w:p>
        </w:tc>
      </w:tr>
      <w:tr w14:paraId="2A6A6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255" w:type="dxa"/>
            <w:gridSpan w:val="2"/>
            <w:noWrap w:val="0"/>
            <w:vAlign w:val="top"/>
          </w:tcPr>
          <w:p w14:paraId="315CD013">
            <w:pPr>
              <w:pStyle w:val="68"/>
              <w:spacing w:before="37" w:line="219" w:lineRule="auto"/>
              <w:ind w:left="14"/>
              <w:rPr>
                <w:rFonts w:hint="eastAsia"/>
                <w:color w:val="auto"/>
                <w:highlight w:val="none"/>
              </w:rPr>
            </w:pPr>
            <w:r>
              <w:rPr>
                <w:color w:val="auto"/>
                <w:spacing w:val="-1"/>
                <w:highlight w:val="none"/>
              </w:rPr>
              <w:t>8.2 上位机系统硬件</w:t>
            </w:r>
          </w:p>
        </w:tc>
      </w:tr>
      <w:tr w14:paraId="53032B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5" w:hRule="atLeast"/>
        </w:trPr>
        <w:tc>
          <w:tcPr>
            <w:tcW w:w="1561" w:type="dxa"/>
            <w:noWrap w:val="0"/>
            <w:vAlign w:val="center"/>
          </w:tcPr>
          <w:p w14:paraId="70EC4D9C">
            <w:pPr>
              <w:pStyle w:val="68"/>
              <w:spacing w:before="78" w:line="239" w:lineRule="auto"/>
              <w:jc w:val="center"/>
              <w:rPr>
                <w:rFonts w:hint="eastAsia"/>
                <w:color w:val="auto"/>
                <w:highlight w:val="none"/>
              </w:rPr>
            </w:pPr>
            <w:r>
              <w:rPr>
                <w:color w:val="auto"/>
                <w:spacing w:val="-3"/>
                <w:highlight w:val="none"/>
              </w:rPr>
              <w:t>8.2.1</w:t>
            </w:r>
          </w:p>
        </w:tc>
        <w:tc>
          <w:tcPr>
            <w:tcW w:w="7694" w:type="dxa"/>
            <w:noWrap w:val="0"/>
            <w:vAlign w:val="top"/>
          </w:tcPr>
          <w:p w14:paraId="4DA52F67">
            <w:pPr>
              <w:pStyle w:val="68"/>
              <w:spacing w:before="34" w:line="220" w:lineRule="auto"/>
              <w:ind w:left="13"/>
              <w:rPr>
                <w:rFonts w:hint="eastAsia"/>
                <w:color w:val="auto"/>
                <w:highlight w:val="none"/>
                <w:lang w:eastAsia="zh-CN"/>
              </w:rPr>
            </w:pPr>
            <w:r>
              <w:rPr>
                <w:b/>
                <w:bCs/>
                <w:color w:val="auto"/>
                <w:highlight w:val="none"/>
                <w:lang w:eastAsia="zh-CN"/>
              </w:rPr>
              <w:t>工作站</w:t>
            </w:r>
            <w:r>
              <w:rPr>
                <w:color w:val="auto"/>
                <w:highlight w:val="none"/>
                <w:lang w:eastAsia="zh-CN"/>
              </w:rPr>
              <w:t>：CPU≥十二核、i7；内存≥16G DDR5 4</w:t>
            </w:r>
            <w:r>
              <w:rPr>
                <w:color w:val="auto"/>
                <w:spacing w:val="-1"/>
                <w:highlight w:val="none"/>
                <w:lang w:eastAsia="zh-CN"/>
              </w:rPr>
              <w:t>800MHz；硬盘≥256G+2T</w:t>
            </w:r>
          </w:p>
          <w:p w14:paraId="365DC056">
            <w:pPr>
              <w:pStyle w:val="68"/>
              <w:spacing w:before="89" w:line="287" w:lineRule="auto"/>
              <w:ind w:left="11" w:right="27" w:firstLine="4"/>
              <w:rPr>
                <w:rFonts w:hint="eastAsia"/>
                <w:color w:val="auto"/>
                <w:highlight w:val="none"/>
                <w:lang w:eastAsia="zh-CN"/>
              </w:rPr>
            </w:pPr>
            <w:r>
              <w:rPr>
                <w:color w:val="auto"/>
                <w:spacing w:val="-1"/>
                <w:highlight w:val="none"/>
                <w:lang w:eastAsia="zh-CN"/>
              </w:rPr>
              <w:t>7200转；显卡≥T600显卡；屏液晶显示器≥23寸；抗菌键盘；光电抗菌鼠</w:t>
            </w:r>
            <w:r>
              <w:rPr>
                <w:color w:val="auto"/>
                <w:spacing w:val="-12"/>
                <w:highlight w:val="none"/>
                <w:lang w:eastAsia="zh-CN"/>
              </w:rPr>
              <w:t>标。</w:t>
            </w:r>
          </w:p>
          <w:p w14:paraId="0A8FEF48">
            <w:pPr>
              <w:pStyle w:val="68"/>
              <w:spacing w:line="219" w:lineRule="auto"/>
              <w:ind w:left="13"/>
              <w:rPr>
                <w:rFonts w:hint="eastAsia"/>
                <w:strike/>
                <w:dstrike w:val="0"/>
                <w:color w:val="auto"/>
                <w:highlight w:val="none"/>
              </w:rPr>
            </w:pPr>
            <w:r>
              <w:rPr>
                <w:strike w:val="0"/>
                <w:dstrike w:val="0"/>
                <w:color w:val="auto"/>
                <w:spacing w:val="-3"/>
                <w:highlight w:val="none"/>
              </w:rPr>
              <w:t>工控 PC、业务 PC 操作系统：Windows</w:t>
            </w:r>
            <w:r>
              <w:rPr>
                <w:strike w:val="0"/>
                <w:dstrike w:val="0"/>
                <w:color w:val="auto"/>
                <w:spacing w:val="43"/>
                <w:highlight w:val="none"/>
              </w:rPr>
              <w:t xml:space="preserve"> </w:t>
            </w:r>
            <w:r>
              <w:rPr>
                <w:strike w:val="0"/>
                <w:dstrike w:val="0"/>
                <w:color w:val="auto"/>
                <w:spacing w:val="-3"/>
                <w:highlight w:val="none"/>
              </w:rPr>
              <w:t>中文版；</w:t>
            </w:r>
          </w:p>
          <w:p w14:paraId="540BE77D">
            <w:pPr>
              <w:pStyle w:val="68"/>
              <w:spacing w:before="88" w:line="220" w:lineRule="auto"/>
              <w:ind w:left="10"/>
              <w:rPr>
                <w:rFonts w:hint="eastAsia"/>
                <w:color w:val="auto"/>
                <w:highlight w:val="none"/>
              </w:rPr>
            </w:pPr>
            <w:r>
              <w:rPr>
                <w:b/>
                <w:bCs/>
                <w:color w:val="auto"/>
                <w:spacing w:val="-1"/>
                <w:highlight w:val="none"/>
              </w:rPr>
              <w:t>服务器操作系统</w:t>
            </w:r>
            <w:r>
              <w:rPr>
                <w:color w:val="auto"/>
                <w:spacing w:val="-1"/>
                <w:highlight w:val="none"/>
              </w:rPr>
              <w:t>：Windows SERVER ；</w:t>
            </w:r>
          </w:p>
          <w:p w14:paraId="6A86E906">
            <w:pPr>
              <w:pStyle w:val="68"/>
              <w:spacing w:before="88" w:line="214" w:lineRule="auto"/>
              <w:ind w:left="12"/>
              <w:rPr>
                <w:rFonts w:hint="eastAsia"/>
                <w:color w:val="auto"/>
                <w:highlight w:val="none"/>
              </w:rPr>
            </w:pPr>
            <w:r>
              <w:rPr>
                <w:b/>
                <w:bCs/>
                <w:color w:val="auto"/>
                <w:spacing w:val="-1"/>
                <w:highlight w:val="none"/>
              </w:rPr>
              <w:t>数据库</w:t>
            </w:r>
            <w:r>
              <w:rPr>
                <w:color w:val="auto"/>
                <w:spacing w:val="-1"/>
                <w:highlight w:val="none"/>
              </w:rPr>
              <w:t>：SQL SERVER</w:t>
            </w:r>
            <w:r>
              <w:rPr>
                <w:color w:val="auto"/>
                <w:spacing w:val="29"/>
                <w:highlight w:val="none"/>
              </w:rPr>
              <w:t xml:space="preserve"> </w:t>
            </w:r>
            <w:r>
              <w:rPr>
                <w:color w:val="auto"/>
                <w:spacing w:val="-1"/>
                <w:highlight w:val="none"/>
              </w:rPr>
              <w:t>中文标准版或 orac</w:t>
            </w:r>
            <w:r>
              <w:rPr>
                <w:color w:val="auto"/>
                <w:spacing w:val="-2"/>
                <w:highlight w:val="none"/>
              </w:rPr>
              <w:t>le 11g</w:t>
            </w:r>
            <w:r>
              <w:rPr>
                <w:color w:val="auto"/>
                <w:spacing w:val="14"/>
                <w:highlight w:val="none"/>
              </w:rPr>
              <w:t xml:space="preserve"> </w:t>
            </w:r>
            <w:r>
              <w:rPr>
                <w:color w:val="auto"/>
                <w:spacing w:val="-2"/>
                <w:highlight w:val="none"/>
              </w:rPr>
              <w:t>企业版或 mysql。</w:t>
            </w:r>
          </w:p>
        </w:tc>
      </w:tr>
      <w:tr w14:paraId="0DE4D4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255" w:type="dxa"/>
            <w:gridSpan w:val="2"/>
            <w:noWrap w:val="0"/>
            <w:vAlign w:val="top"/>
          </w:tcPr>
          <w:p w14:paraId="37027B0A">
            <w:pPr>
              <w:pStyle w:val="68"/>
              <w:spacing w:before="36" w:line="220" w:lineRule="auto"/>
              <w:ind w:left="14"/>
              <w:rPr>
                <w:rFonts w:hint="eastAsia"/>
                <w:color w:val="auto"/>
                <w:highlight w:val="none"/>
              </w:rPr>
            </w:pPr>
            <w:r>
              <w:rPr>
                <w:color w:val="auto"/>
                <w:spacing w:val="-3"/>
                <w:highlight w:val="none"/>
              </w:rPr>
              <w:t>8.3</w:t>
            </w:r>
            <w:r>
              <w:rPr>
                <w:color w:val="auto"/>
                <w:spacing w:val="14"/>
                <w:highlight w:val="none"/>
              </w:rPr>
              <w:t xml:space="preserve"> </w:t>
            </w:r>
            <w:r>
              <w:rPr>
                <w:color w:val="auto"/>
                <w:spacing w:val="-3"/>
                <w:highlight w:val="none"/>
              </w:rPr>
              <w:t>系统软件</w:t>
            </w:r>
          </w:p>
        </w:tc>
      </w:tr>
      <w:tr w14:paraId="3BAA1E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561" w:type="dxa"/>
            <w:noWrap w:val="0"/>
            <w:vAlign w:val="top"/>
          </w:tcPr>
          <w:p w14:paraId="78ECFBCE">
            <w:pPr>
              <w:rPr>
                <w:color w:val="auto"/>
                <w:highlight w:val="none"/>
              </w:rPr>
            </w:pPr>
          </w:p>
        </w:tc>
        <w:tc>
          <w:tcPr>
            <w:tcW w:w="7694" w:type="dxa"/>
            <w:noWrap w:val="0"/>
            <w:vAlign w:val="top"/>
          </w:tcPr>
          <w:p w14:paraId="232B13BA">
            <w:pPr>
              <w:pStyle w:val="68"/>
              <w:spacing w:before="36" w:line="271" w:lineRule="auto"/>
              <w:ind w:left="11" w:right="7" w:firstLine="3"/>
              <w:rPr>
                <w:rFonts w:hint="eastAsia"/>
                <w:color w:val="auto"/>
                <w:highlight w:val="none"/>
                <w:lang w:eastAsia="zh-CN"/>
              </w:rPr>
            </w:pPr>
            <w:r>
              <w:rPr>
                <w:color w:val="auto"/>
                <w:spacing w:val="-1"/>
                <w:highlight w:val="none"/>
                <w:lang w:eastAsia="zh-CN"/>
              </w:rPr>
              <w:t>系统软件中型物流智慧调度控制平台、中型物流信息管理平台、中型物流</w:t>
            </w:r>
            <w:r>
              <w:rPr>
                <w:color w:val="auto"/>
                <w:spacing w:val="-5"/>
                <w:highlight w:val="none"/>
                <w:lang w:eastAsia="zh-CN"/>
              </w:rPr>
              <w:t>移动端信息平台组成。</w:t>
            </w:r>
          </w:p>
        </w:tc>
      </w:tr>
      <w:tr w14:paraId="6EF8BB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noWrap w:val="0"/>
            <w:vAlign w:val="top"/>
          </w:tcPr>
          <w:p w14:paraId="4BA7C88B">
            <w:pPr>
              <w:pStyle w:val="68"/>
              <w:spacing w:before="39" w:line="239" w:lineRule="auto"/>
              <w:ind w:left="487"/>
              <w:rPr>
                <w:rFonts w:hint="eastAsia"/>
                <w:color w:val="auto"/>
                <w:highlight w:val="none"/>
              </w:rPr>
            </w:pPr>
            <w:r>
              <w:rPr>
                <w:color w:val="auto"/>
                <w:spacing w:val="-2"/>
                <w:highlight w:val="none"/>
              </w:rPr>
              <w:t>8.3.1</w:t>
            </w:r>
          </w:p>
        </w:tc>
        <w:tc>
          <w:tcPr>
            <w:tcW w:w="7694" w:type="dxa"/>
            <w:noWrap w:val="0"/>
            <w:vAlign w:val="top"/>
          </w:tcPr>
          <w:p w14:paraId="77DA0583">
            <w:pPr>
              <w:pStyle w:val="68"/>
              <w:spacing w:before="39" w:line="220" w:lineRule="auto"/>
              <w:ind w:left="33"/>
              <w:rPr>
                <w:rFonts w:hint="eastAsia"/>
                <w:color w:val="auto"/>
                <w:highlight w:val="none"/>
                <w:lang w:eastAsia="zh-CN"/>
              </w:rPr>
            </w:pPr>
            <w:r>
              <w:rPr>
                <w:color w:val="auto"/>
                <w:spacing w:val="-3"/>
                <w:highlight w:val="none"/>
                <w:lang w:eastAsia="zh-CN"/>
              </w:rPr>
              <w:t>中型物流智慧调度控制平台</w:t>
            </w:r>
          </w:p>
        </w:tc>
      </w:tr>
      <w:tr w14:paraId="1DA473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5" w:hRule="atLeast"/>
        </w:trPr>
        <w:tc>
          <w:tcPr>
            <w:tcW w:w="1561" w:type="dxa"/>
            <w:noWrap w:val="0"/>
            <w:vAlign w:val="top"/>
          </w:tcPr>
          <w:p w14:paraId="5DF8A15E">
            <w:pPr>
              <w:spacing w:line="331" w:lineRule="auto"/>
              <w:rPr>
                <w:color w:val="auto"/>
                <w:highlight w:val="none"/>
                <w:lang w:eastAsia="zh-CN"/>
              </w:rPr>
            </w:pPr>
          </w:p>
          <w:p w14:paraId="21320EC5">
            <w:pPr>
              <w:pStyle w:val="68"/>
              <w:spacing w:before="78" w:line="239" w:lineRule="auto"/>
              <w:ind w:left="367"/>
              <w:rPr>
                <w:rFonts w:hint="eastAsia"/>
                <w:color w:val="auto"/>
                <w:highlight w:val="none"/>
              </w:rPr>
            </w:pPr>
            <w:r>
              <w:rPr>
                <w:color w:val="auto"/>
                <w:spacing w:val="-2"/>
                <w:highlight w:val="none"/>
              </w:rPr>
              <w:t>8.3.1.1</w:t>
            </w:r>
          </w:p>
        </w:tc>
        <w:tc>
          <w:tcPr>
            <w:tcW w:w="7694" w:type="dxa"/>
            <w:noWrap w:val="0"/>
            <w:vAlign w:val="top"/>
          </w:tcPr>
          <w:p w14:paraId="73F92E7E">
            <w:pPr>
              <w:pStyle w:val="68"/>
              <w:spacing w:before="38" w:line="276" w:lineRule="auto"/>
              <w:ind w:left="10" w:right="7" w:firstLine="4"/>
              <w:jc w:val="both"/>
              <w:rPr>
                <w:rFonts w:hint="eastAsia"/>
                <w:color w:val="auto"/>
                <w:highlight w:val="none"/>
                <w:lang w:eastAsia="zh-CN"/>
              </w:rPr>
            </w:pPr>
            <w:r>
              <w:rPr>
                <w:color w:val="auto"/>
                <w:spacing w:val="-1"/>
                <w:highlight w:val="none"/>
                <w:lang w:eastAsia="zh-CN"/>
              </w:rPr>
              <w:t>具有设备监控显示功能：提供物流数据监控界面，可以在软件系统界面查</w:t>
            </w:r>
            <w:r>
              <w:rPr>
                <w:color w:val="auto"/>
                <w:highlight w:val="none"/>
                <w:lang w:eastAsia="zh-CN"/>
              </w:rPr>
              <w:t>看接入系统的设备连接情况，当天收发箱统计情</w:t>
            </w:r>
            <w:r>
              <w:rPr>
                <w:color w:val="auto"/>
                <w:spacing w:val="-1"/>
                <w:highlight w:val="none"/>
                <w:lang w:eastAsia="zh-CN"/>
              </w:rPr>
              <w:t>况，数据峰谷值曲线分析</w:t>
            </w:r>
            <w:r>
              <w:rPr>
                <w:color w:val="auto"/>
                <w:spacing w:val="-2"/>
                <w:highlight w:val="none"/>
                <w:lang w:eastAsia="zh-CN"/>
              </w:rPr>
              <w:t>情况，输送线体上系统对物流箱指派任务监控情况。</w:t>
            </w:r>
          </w:p>
        </w:tc>
      </w:tr>
      <w:tr w14:paraId="7ECC21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1561" w:type="dxa"/>
            <w:noWrap w:val="0"/>
            <w:vAlign w:val="top"/>
          </w:tcPr>
          <w:p w14:paraId="236899F9">
            <w:pPr>
              <w:pStyle w:val="68"/>
              <w:spacing w:before="224" w:line="239" w:lineRule="auto"/>
              <w:ind w:left="367"/>
              <w:rPr>
                <w:rFonts w:hint="eastAsia"/>
                <w:color w:val="auto"/>
                <w:highlight w:val="none"/>
              </w:rPr>
            </w:pPr>
            <w:r>
              <w:rPr>
                <w:color w:val="auto"/>
                <w:spacing w:val="-2"/>
                <w:highlight w:val="none"/>
              </w:rPr>
              <w:t>8.3.1.2</w:t>
            </w:r>
          </w:p>
        </w:tc>
        <w:tc>
          <w:tcPr>
            <w:tcW w:w="7694" w:type="dxa"/>
            <w:noWrap w:val="0"/>
            <w:vAlign w:val="top"/>
          </w:tcPr>
          <w:p w14:paraId="6BA54D60">
            <w:pPr>
              <w:pStyle w:val="68"/>
              <w:spacing w:before="38" w:line="271" w:lineRule="auto"/>
              <w:ind w:left="20" w:right="7" w:hanging="5"/>
              <w:rPr>
                <w:rFonts w:hint="eastAsia"/>
                <w:color w:val="auto"/>
                <w:highlight w:val="none"/>
                <w:lang w:eastAsia="zh-CN"/>
              </w:rPr>
            </w:pPr>
            <w:r>
              <w:rPr>
                <w:color w:val="auto"/>
                <w:spacing w:val="-1"/>
                <w:highlight w:val="none"/>
                <w:lang w:eastAsia="zh-CN"/>
              </w:rPr>
              <w:t>具有发箱数据监控功能，可直观展示总发箱数、已发箱数、在途箱数等信</w:t>
            </w:r>
            <w:r>
              <w:rPr>
                <w:color w:val="auto"/>
                <w:spacing w:val="-19"/>
                <w:highlight w:val="none"/>
                <w:lang w:eastAsia="zh-CN"/>
              </w:rPr>
              <w:t>息；</w:t>
            </w:r>
          </w:p>
        </w:tc>
      </w:tr>
      <w:tr w14:paraId="7F7AB3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561" w:type="dxa"/>
            <w:noWrap w:val="0"/>
            <w:vAlign w:val="top"/>
          </w:tcPr>
          <w:p w14:paraId="6F9145F6">
            <w:pPr>
              <w:pStyle w:val="68"/>
              <w:spacing w:before="225" w:line="239" w:lineRule="auto"/>
              <w:ind w:left="367"/>
              <w:rPr>
                <w:rFonts w:hint="eastAsia"/>
                <w:color w:val="auto"/>
                <w:highlight w:val="none"/>
              </w:rPr>
            </w:pPr>
            <w:r>
              <w:rPr>
                <w:color w:val="auto"/>
                <w:spacing w:val="-2"/>
                <w:highlight w:val="none"/>
              </w:rPr>
              <w:t>8.3.1.3</w:t>
            </w:r>
          </w:p>
        </w:tc>
        <w:tc>
          <w:tcPr>
            <w:tcW w:w="7694" w:type="dxa"/>
            <w:noWrap w:val="0"/>
            <w:vAlign w:val="center"/>
          </w:tcPr>
          <w:p w14:paraId="769C9AB1">
            <w:pPr>
              <w:pStyle w:val="68"/>
              <w:spacing w:before="38" w:line="270" w:lineRule="auto"/>
              <w:ind w:left="13" w:right="7" w:firstLine="1"/>
              <w:jc w:val="both"/>
              <w:rPr>
                <w:rFonts w:hint="eastAsia"/>
                <w:color w:val="auto"/>
                <w:highlight w:val="none"/>
                <w:lang w:eastAsia="zh-CN"/>
              </w:rPr>
            </w:pPr>
            <w:r>
              <w:rPr>
                <w:color w:val="auto"/>
                <w:spacing w:val="-1"/>
                <w:highlight w:val="none"/>
                <w:lang w:eastAsia="zh-CN"/>
              </w:rPr>
              <w:t>具有系统启动和停止功能，</w:t>
            </w:r>
            <w:r>
              <w:rPr>
                <w:rFonts w:hint="eastAsia"/>
                <w:color w:val="auto"/>
                <w:spacing w:val="-1"/>
                <w:highlight w:val="none"/>
                <w:lang w:eastAsia="zh-CN"/>
              </w:rPr>
              <w:t>并具备一键清箱功能；</w:t>
            </w:r>
          </w:p>
        </w:tc>
      </w:tr>
      <w:tr w14:paraId="4695F5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noWrap w:val="0"/>
            <w:vAlign w:val="top"/>
          </w:tcPr>
          <w:p w14:paraId="339BD31C">
            <w:pPr>
              <w:pStyle w:val="68"/>
              <w:spacing w:before="38" w:line="239" w:lineRule="auto"/>
              <w:ind w:left="367"/>
              <w:rPr>
                <w:rFonts w:hint="eastAsia"/>
                <w:color w:val="auto"/>
                <w:highlight w:val="none"/>
              </w:rPr>
            </w:pPr>
            <w:r>
              <w:rPr>
                <w:color w:val="auto"/>
                <w:spacing w:val="-2"/>
                <w:highlight w:val="none"/>
              </w:rPr>
              <w:t>8.3.1.4</w:t>
            </w:r>
          </w:p>
        </w:tc>
        <w:tc>
          <w:tcPr>
            <w:tcW w:w="7694" w:type="dxa"/>
            <w:noWrap w:val="0"/>
            <w:vAlign w:val="top"/>
          </w:tcPr>
          <w:p w14:paraId="39DBE90E">
            <w:pPr>
              <w:pStyle w:val="68"/>
              <w:spacing w:before="37" w:line="220" w:lineRule="auto"/>
              <w:ind w:left="15"/>
              <w:rPr>
                <w:rFonts w:hint="eastAsia"/>
                <w:color w:val="auto"/>
                <w:highlight w:val="none"/>
                <w:lang w:eastAsia="zh-CN"/>
              </w:rPr>
            </w:pPr>
            <w:r>
              <w:rPr>
                <w:color w:val="auto"/>
                <w:spacing w:val="-3"/>
                <w:highlight w:val="none"/>
                <w:lang w:eastAsia="zh-CN"/>
              </w:rPr>
              <w:t>具有系统节点数据查询、新增、修改、删除功能，参数可配置；</w:t>
            </w:r>
          </w:p>
        </w:tc>
      </w:tr>
      <w:tr w14:paraId="5F8D19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561" w:type="dxa"/>
            <w:noWrap w:val="0"/>
            <w:vAlign w:val="top"/>
          </w:tcPr>
          <w:p w14:paraId="0912BCE4">
            <w:pPr>
              <w:pStyle w:val="68"/>
              <w:spacing w:before="225" w:line="239" w:lineRule="auto"/>
              <w:ind w:left="367"/>
              <w:rPr>
                <w:rFonts w:hint="eastAsia"/>
                <w:color w:val="auto"/>
                <w:highlight w:val="none"/>
              </w:rPr>
            </w:pPr>
            <w:r>
              <w:rPr>
                <w:color w:val="auto"/>
                <w:spacing w:val="-2"/>
                <w:highlight w:val="none"/>
              </w:rPr>
              <w:t>8.3.1.5</w:t>
            </w:r>
          </w:p>
        </w:tc>
        <w:tc>
          <w:tcPr>
            <w:tcW w:w="7694" w:type="dxa"/>
            <w:noWrap w:val="0"/>
            <w:vAlign w:val="top"/>
          </w:tcPr>
          <w:p w14:paraId="3E5D0152">
            <w:pPr>
              <w:pStyle w:val="68"/>
              <w:spacing w:before="39" w:line="270" w:lineRule="auto"/>
              <w:ind w:left="24" w:right="7" w:hanging="9"/>
              <w:rPr>
                <w:rFonts w:hint="eastAsia"/>
                <w:color w:val="auto"/>
                <w:highlight w:val="none"/>
                <w:lang w:eastAsia="zh-CN"/>
              </w:rPr>
            </w:pPr>
            <w:r>
              <w:rPr>
                <w:color w:val="auto"/>
                <w:spacing w:val="-1"/>
                <w:highlight w:val="none"/>
                <w:lang w:eastAsia="zh-CN"/>
              </w:rPr>
              <w:t>具有提升机任务管理功能，包含数据过滤查询，手动创建任务、修改和删</w:t>
            </w:r>
            <w:r>
              <w:rPr>
                <w:color w:val="auto"/>
                <w:spacing w:val="-4"/>
                <w:highlight w:val="none"/>
                <w:lang w:eastAsia="zh-CN"/>
              </w:rPr>
              <w:t>除功能，提升系统使用效率和售后维护使用效率；</w:t>
            </w:r>
          </w:p>
        </w:tc>
      </w:tr>
      <w:tr w14:paraId="53AA5F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561" w:type="dxa"/>
            <w:noWrap w:val="0"/>
            <w:vAlign w:val="top"/>
          </w:tcPr>
          <w:p w14:paraId="32042E97">
            <w:pPr>
              <w:pStyle w:val="68"/>
              <w:spacing w:before="225" w:line="239" w:lineRule="auto"/>
              <w:ind w:left="367"/>
              <w:rPr>
                <w:rFonts w:hint="eastAsia"/>
                <w:color w:val="auto"/>
                <w:highlight w:val="none"/>
              </w:rPr>
            </w:pPr>
            <w:r>
              <w:rPr>
                <w:color w:val="auto"/>
                <w:spacing w:val="-2"/>
                <w:highlight w:val="none"/>
              </w:rPr>
              <w:t>8.3.1.6</w:t>
            </w:r>
          </w:p>
        </w:tc>
        <w:tc>
          <w:tcPr>
            <w:tcW w:w="7694" w:type="dxa"/>
            <w:noWrap w:val="0"/>
            <w:vAlign w:val="top"/>
          </w:tcPr>
          <w:p w14:paraId="5B10082B">
            <w:pPr>
              <w:pStyle w:val="68"/>
              <w:spacing w:before="38" w:line="271" w:lineRule="auto"/>
              <w:ind w:left="9" w:right="7" w:firstLine="5"/>
              <w:rPr>
                <w:rFonts w:hint="eastAsia"/>
                <w:color w:val="auto"/>
                <w:highlight w:val="none"/>
                <w:lang w:eastAsia="zh-CN"/>
              </w:rPr>
            </w:pPr>
            <w:r>
              <w:rPr>
                <w:color w:val="auto"/>
                <w:spacing w:val="-1"/>
                <w:highlight w:val="none"/>
                <w:lang w:eastAsia="zh-CN"/>
              </w:rPr>
              <w:t>具有分析报表功能，可按照日期查询运行分析数据，生成数据趋势图和数</w:t>
            </w:r>
            <w:r>
              <w:rPr>
                <w:color w:val="auto"/>
                <w:spacing w:val="-8"/>
                <w:highlight w:val="none"/>
                <w:lang w:eastAsia="zh-CN"/>
              </w:rPr>
              <w:t>据报表导出功能；</w:t>
            </w:r>
          </w:p>
        </w:tc>
      </w:tr>
      <w:tr w14:paraId="4C3E90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1561" w:type="dxa"/>
            <w:noWrap w:val="0"/>
            <w:vAlign w:val="top"/>
          </w:tcPr>
          <w:p w14:paraId="429C9CDE">
            <w:pPr>
              <w:pStyle w:val="68"/>
              <w:spacing w:before="38" w:line="239" w:lineRule="auto"/>
              <w:ind w:left="487"/>
              <w:rPr>
                <w:rFonts w:hint="eastAsia"/>
                <w:color w:val="auto"/>
                <w:highlight w:val="none"/>
              </w:rPr>
            </w:pPr>
            <w:r>
              <w:rPr>
                <w:color w:val="auto"/>
                <w:spacing w:val="-2"/>
                <w:highlight w:val="none"/>
              </w:rPr>
              <w:t>8.3.2</w:t>
            </w:r>
          </w:p>
        </w:tc>
        <w:tc>
          <w:tcPr>
            <w:tcW w:w="7694" w:type="dxa"/>
            <w:noWrap w:val="0"/>
            <w:vAlign w:val="top"/>
          </w:tcPr>
          <w:p w14:paraId="5DE085B2">
            <w:pPr>
              <w:pStyle w:val="68"/>
              <w:spacing w:before="38" w:line="220" w:lineRule="auto"/>
              <w:ind w:left="33"/>
              <w:rPr>
                <w:rFonts w:hint="eastAsia"/>
                <w:color w:val="auto"/>
                <w:highlight w:val="none"/>
              </w:rPr>
            </w:pPr>
            <w:r>
              <w:rPr>
                <w:color w:val="auto"/>
                <w:spacing w:val="-3"/>
                <w:highlight w:val="none"/>
              </w:rPr>
              <w:t>中型物流信息管理平台</w:t>
            </w:r>
          </w:p>
        </w:tc>
      </w:tr>
      <w:tr w14:paraId="121141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1561" w:type="dxa"/>
            <w:noWrap w:val="0"/>
            <w:vAlign w:val="top"/>
          </w:tcPr>
          <w:p w14:paraId="48DCC78B">
            <w:pPr>
              <w:pStyle w:val="68"/>
              <w:spacing w:before="225" w:line="239" w:lineRule="auto"/>
              <w:ind w:left="367"/>
              <w:rPr>
                <w:rFonts w:hint="eastAsia"/>
                <w:color w:val="auto"/>
                <w:highlight w:val="none"/>
              </w:rPr>
            </w:pPr>
            <w:r>
              <w:rPr>
                <w:color w:val="auto"/>
                <w:spacing w:val="-2"/>
                <w:highlight w:val="none"/>
              </w:rPr>
              <w:t>8.3.2.1</w:t>
            </w:r>
          </w:p>
        </w:tc>
        <w:tc>
          <w:tcPr>
            <w:tcW w:w="7694" w:type="dxa"/>
            <w:noWrap w:val="0"/>
            <w:vAlign w:val="top"/>
          </w:tcPr>
          <w:p w14:paraId="0A1195D4">
            <w:pPr>
              <w:pStyle w:val="68"/>
              <w:spacing w:before="41" w:line="270" w:lineRule="auto"/>
              <w:ind w:left="14" w:right="7" w:hanging="5"/>
              <w:rPr>
                <w:rFonts w:hint="eastAsia"/>
                <w:color w:val="auto"/>
                <w:highlight w:val="none"/>
                <w:lang w:eastAsia="zh-CN"/>
              </w:rPr>
            </w:pPr>
            <w:r>
              <w:rPr>
                <w:color w:val="auto"/>
                <w:highlight w:val="none"/>
                <w:lang w:eastAsia="zh-CN"/>
              </w:rPr>
              <w:t>采用用户名密码的登录方式，可自动带入医院代码</w:t>
            </w:r>
            <w:r>
              <w:rPr>
                <w:color w:val="auto"/>
                <w:spacing w:val="-1"/>
                <w:highlight w:val="none"/>
                <w:lang w:eastAsia="zh-CN"/>
              </w:rPr>
              <w:t>，输入用户名密码登录</w:t>
            </w:r>
            <w:r>
              <w:rPr>
                <w:color w:val="auto"/>
                <w:spacing w:val="-4"/>
                <w:highlight w:val="none"/>
                <w:lang w:eastAsia="zh-CN"/>
              </w:rPr>
              <w:t>系统，登录时间≤8秒；</w:t>
            </w:r>
          </w:p>
        </w:tc>
      </w:tr>
      <w:tr w14:paraId="71814A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1561" w:type="dxa"/>
            <w:noWrap w:val="0"/>
            <w:vAlign w:val="top"/>
          </w:tcPr>
          <w:p w14:paraId="7F7DD3C3">
            <w:pPr>
              <w:spacing w:before="4" w:line="99" w:lineRule="exact"/>
              <w:ind w:firstLine="4"/>
              <w:rPr>
                <w:color w:val="auto"/>
                <w:highlight w:val="none"/>
              </w:rPr>
            </w:pPr>
            <w:r>
              <w:rPr>
                <w:color w:val="auto"/>
                <w:position w:val="-1"/>
                <w:highlight w:val="none"/>
              </w:rPr>
              <mc:AlternateContent>
                <mc:Choice Requires="wps">
                  <w:drawing>
                    <wp:inline distT="0" distB="0" distL="114300" distR="114300">
                      <wp:extent cx="983615" cy="62865"/>
                      <wp:effectExtent l="0" t="0" r="6985" b="13335"/>
                      <wp:docPr id="2" name="任意多边形 2"/>
                      <wp:cNvGraphicFramePr/>
                      <a:graphic xmlns:a="http://schemas.openxmlformats.org/drawingml/2006/main">
                        <a:graphicData uri="http://schemas.microsoft.com/office/word/2010/wordprocessingShape">
                          <wps:wsp>
                            <wps:cNvSpPr/>
                            <wps:spPr>
                              <a:xfrm>
                                <a:off x="0" y="0"/>
                                <a:ext cx="983615" cy="62865"/>
                              </a:xfrm>
                              <a:custGeom>
                                <a:avLst/>
                                <a:gdLst/>
                                <a:ahLst/>
                                <a:cxnLst/>
                                <a:pathLst>
                                  <a:path w="1548" h="98">
                                    <a:moveTo>
                                      <a:pt x="0" y="98"/>
                                    </a:moveTo>
                                    <a:lnTo>
                                      <a:pt x="1548" y="98"/>
                                    </a:lnTo>
                                    <a:lnTo>
                                      <a:pt x="1548" y="0"/>
                                    </a:lnTo>
                                    <a:lnTo>
                                      <a:pt x="0" y="0"/>
                                    </a:lnTo>
                                    <a:lnTo>
                                      <a:pt x="0" y="98"/>
                                    </a:lnTo>
                                    <a:close/>
                                  </a:path>
                                </a:pathLst>
                              </a:custGeom>
                              <a:solidFill>
                                <a:srgbClr val="FFFFFF"/>
                              </a:solidFill>
                              <a:ln>
                                <a:noFill/>
                              </a:ln>
                            </wps:spPr>
                            <wps:bodyPr upright="1"/>
                          </wps:wsp>
                        </a:graphicData>
                      </a:graphic>
                    </wp:inline>
                  </w:drawing>
                </mc:Choice>
                <mc:Fallback>
                  <w:pict>
                    <v:shape id="_x0000_s1026" o:spid="_x0000_s1026" o:spt="100" style="height:4.95pt;width:77.45pt;" fillcolor="#FFFFFF" filled="t" stroked="f" coordsize="1548,98" o:gfxdata="UEsDBAoAAAAAAIdO4kAAAAAAAAAAAAAAAAAEAAAAZHJzL1BLAwQUAAAACACHTuJAk+Kq+NYAAAAD&#10;AQAADwAAAGRycy9kb3ducmV2LnhtbE2PT0vDQBDF74LfYRnBm920+KeJ2RQRiohgNRbpcZods8Hs&#10;bNzdtvHbu/Wil4HHe7z3m3Ix2l7syYfOsYLpJANB3Djdcatg/ba8mIMIEVlj75gUfFOARXV6UmKh&#10;3YFfaV/HVqQSDgUqMDEOhZShMWQxTNxAnLwP5y3GJH0rtcdDKre9nGXZtbTYcVowONC9oeaz3lkF&#10;w/zu8Wuz1ON7/fyyWT0ZP1s/3Ch1fjbNbkFEGuNfGI74CR2qxLR1O9ZB9ArSI/H3Hr2ryxzEVkGe&#10;g6xK+Z+9+gFQSwMEFAAAAAgAh07iQBk/DfUTAgAAfAQAAA4AAABkcnMvZTJvRG9jLnhtbK1UzW4T&#10;MRC+I/EOlu9kk0CiEGXTA1G4IKjU8gCO15u1ZHss28kmd+7cOSJeAlXwNC3iMTr2/iRtD/TAHtZj&#10;z+w3830z3sXFQSuyF85LMDkdDYaUCMOhkGab08/X61czSnxgpmAKjMjpUXh6sXz5YlHbuRhDBaoQ&#10;jiCI8fPa5rQKwc6zzPNKaOYHYIVBZwlOs4Bbt80Kx2pE1yobD4fTrAZXWAdceI+nq8ZJW0T3HEAo&#10;S8nFCvhOCxMaVCcUC0jJV9J6ukzVlqXg4VNZehGIyikyDemNSdDexHe2XLD51jFbSd6WwJ5TwiNO&#10;mkmDSXuoFQuM7Jx8AqUld+ChDAMOOmuIJEWQxWj4SJurilmRuKDU3vai+/8Hyz/uLx2RRU7HlBim&#10;seG3Nzd/vny9+/Ht7++fd7++k3EUqbZ+jrFX9tK1O49mZHwonY4rciGHJOyxF1YcAuF4+Hb2ejqa&#10;UMLRNR3PppMImZ2+5Tsf3gtIOGz/wYemLUVnsaqz+MF0pmUhHsfc0SQ1TvPkDU5vFROmbmjYi2tI&#10;EeFUHDqb9Ce3MudhDQzW2kd2/m61Ca6PS3OEfDp3tzZhOGudJP+IeZKPK/CiKTZyTKL1vBHsXDgP&#10;ShZrqVTk69128045smc4+Ov0tKQfhCkTgw3Ez5o08SSL3W76G60NFEcckp11clvhDRolpOjBoUwl&#10;tRcoTv35PiGdfhrLe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JPiqvjWAAAAAwEAAA8AAAAAAAAA&#10;AQAgAAAAIgAAAGRycy9kb3ducmV2LnhtbFBLAQIUABQAAAAIAIdO4kAZPw31EwIAAHwEAAAOAAAA&#10;AAAAAAEAIAAAACUBAABkcnMvZTJvRG9jLnhtbFBLBQYAAAAABgAGAFkBAACqBQAAAAA=&#10;" path="m0,98l1548,98,1548,0,0,0,0,98xe">
                      <v:fill on="t" focussize="0,0"/>
                      <v:stroke on="f"/>
                      <v:imagedata o:title=""/>
                      <o:lock v:ext="edit" aspectratio="f"/>
                      <w10:wrap type="none"/>
                      <w10:anchorlock/>
                    </v:shape>
                  </w:pict>
                </mc:Fallback>
              </mc:AlternateContent>
            </w:r>
          </w:p>
          <w:p w14:paraId="5FDBA68E">
            <w:pPr>
              <w:pStyle w:val="68"/>
              <w:spacing w:before="33" w:line="239" w:lineRule="auto"/>
              <w:ind w:left="367"/>
              <w:rPr>
                <w:rFonts w:hint="eastAsia"/>
                <w:color w:val="auto"/>
                <w:highlight w:val="none"/>
              </w:rPr>
            </w:pPr>
            <w:r>
              <w:rPr>
                <w:color w:val="auto"/>
                <w:spacing w:val="-2"/>
                <w:highlight w:val="none"/>
              </w:rPr>
              <w:t>8.3.2.2</w:t>
            </w:r>
          </w:p>
          <w:p w14:paraId="480DD122">
            <w:pPr>
              <w:spacing w:before="27" w:line="93" w:lineRule="exact"/>
              <w:ind w:firstLine="4"/>
              <w:rPr>
                <w:color w:val="auto"/>
                <w:highlight w:val="none"/>
              </w:rPr>
            </w:pPr>
            <w:r>
              <w:rPr>
                <w:color w:val="auto"/>
                <w:position w:val="-2"/>
                <w:highlight w:val="none"/>
              </w:rPr>
              <mc:AlternateContent>
                <mc:Choice Requires="wps">
                  <w:drawing>
                    <wp:inline distT="0" distB="0" distL="114300" distR="114300">
                      <wp:extent cx="983615" cy="62865"/>
                      <wp:effectExtent l="0" t="0" r="6985" b="13335"/>
                      <wp:docPr id="3" name="任意多边形 3"/>
                      <wp:cNvGraphicFramePr/>
                      <a:graphic xmlns:a="http://schemas.openxmlformats.org/drawingml/2006/main">
                        <a:graphicData uri="http://schemas.microsoft.com/office/word/2010/wordprocessingShape">
                          <wps:wsp>
                            <wps:cNvSpPr/>
                            <wps:spPr>
                              <a:xfrm>
                                <a:off x="0" y="0"/>
                                <a:ext cx="983615" cy="62865"/>
                              </a:xfrm>
                              <a:custGeom>
                                <a:avLst/>
                                <a:gdLst/>
                                <a:ahLst/>
                                <a:cxnLst/>
                                <a:pathLst>
                                  <a:path w="1548" h="98">
                                    <a:moveTo>
                                      <a:pt x="0" y="98"/>
                                    </a:moveTo>
                                    <a:lnTo>
                                      <a:pt x="1548" y="98"/>
                                    </a:lnTo>
                                    <a:lnTo>
                                      <a:pt x="1548" y="0"/>
                                    </a:lnTo>
                                    <a:lnTo>
                                      <a:pt x="0" y="0"/>
                                    </a:lnTo>
                                    <a:lnTo>
                                      <a:pt x="0" y="98"/>
                                    </a:lnTo>
                                    <a:close/>
                                  </a:path>
                                </a:pathLst>
                              </a:custGeom>
                              <a:solidFill>
                                <a:srgbClr val="FFFFFF"/>
                              </a:solidFill>
                              <a:ln>
                                <a:noFill/>
                              </a:ln>
                            </wps:spPr>
                            <wps:bodyPr upright="1"/>
                          </wps:wsp>
                        </a:graphicData>
                      </a:graphic>
                    </wp:inline>
                  </w:drawing>
                </mc:Choice>
                <mc:Fallback>
                  <w:pict>
                    <v:shape id="_x0000_s1026" o:spid="_x0000_s1026" o:spt="100" style="height:4.95pt;width:77.45pt;" fillcolor="#FFFFFF" filled="t" stroked="f" coordsize="1548,98" o:gfxdata="UEsDBAoAAAAAAIdO4kAAAAAAAAAAAAAAAAAEAAAAZHJzL1BLAwQUAAAACACHTuJAk+Kq+NYAAAAD&#10;AQAADwAAAGRycy9kb3ducmV2LnhtbE2PT0vDQBDF74LfYRnBm920+KeJ2RQRiohgNRbpcZods8Hs&#10;bNzdtvHbu/Wil4HHe7z3m3Ix2l7syYfOsYLpJANB3Djdcatg/ba8mIMIEVlj75gUfFOARXV6UmKh&#10;3YFfaV/HVqQSDgUqMDEOhZShMWQxTNxAnLwP5y3GJH0rtcdDKre9nGXZtbTYcVowONC9oeaz3lkF&#10;w/zu8Wuz1ON7/fyyWT0ZP1s/3Ch1fjbNbkFEGuNfGI74CR2qxLR1O9ZB9ArSI/H3Hr2ryxzEVkGe&#10;g6xK+Z+9+gFQSwMEFAAAAAgAh07iQDfp4tYTAgAAfAQAAA4AAABkcnMvZTJvRG9jLnhtbK1UzY7T&#10;MBC+I/EOlu80/aFVqZrugapcEKy0ywO4jtNYsj2W7TbtnTt3joiXQCt4GhbxGIydn5bdA3sgh3js&#10;mXwz3zfjLK+OWpGDcF6CyeloMKREGA6FNLucfrjdvJhT4gMzBVNgRE5PwtOr1fNny9ouxBgqUIVw&#10;BEGMX9Q2p1UIdpFlnldCMz8AKww6S3CaBdy6XVY4ViO6Vtl4OJxlNbjCOuDCezxdN07aIrqnAEJZ&#10;Si7WwPdamNCgOqFYQEq+ktbTVaq2LAUP78vSi0BUTpFpSG9MgvY2vrPVki12jtlK8rYE9pQSHnDS&#10;TBpM2kOtWWBk7+QjKC25Aw9lGHDQWUMkKYIsRsMH2txUzIrEBaX2thfd/z9Y/u5w7YgscjqhxDCN&#10;Df95d/fr46f7r59///h2//0LmUSRausXGHtjr12782hGxsfS6bgiF3JMwp56YcUxEI6Hr+aT2WhK&#10;CUfXbDyfTSNkdv6W7314IyDhsMNbH5q2FJ3Fqs7iR9OZloV4HHNHk9Q4zdOXOL1VTJi6oeEgbiFF&#10;hHNx6GzSn93KXIY1MFhrH9n5u9UmuD4uzRHy6dzd2oThrHWS/CPmUT6uwIum2MgxidbzRrBL4Two&#10;WWykUpGvd7vta+XIgeHgb9LTkv4rTJkYbCB+1qSJJ1nsdtPfaG2hOOGQ7K2Tuwpv0CghRQ8OZSqp&#10;vUBx6i/3Cen801j9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JPiqvjWAAAAAwEAAA8AAAAAAAAA&#10;AQAgAAAAIgAAAGRycy9kb3ducmV2LnhtbFBLAQIUABQAAAAIAIdO4kA36eLWEwIAAHwEAAAOAAAA&#10;AAAAAAEAIAAAACUBAABkcnMvZTJvRG9jLnhtbFBLBQYAAAAABgAGAFkBAACqBQAAAAA=&#10;" path="m0,98l1548,98,1548,0,0,0,0,98xe">
                      <v:fill on="t" focussize="0,0"/>
                      <v:stroke on="f"/>
                      <v:imagedata o:title=""/>
                      <o:lock v:ext="edit" aspectratio="f"/>
                      <w10:wrap type="none"/>
                      <w10:anchorlock/>
                    </v:shape>
                  </w:pict>
                </mc:Fallback>
              </mc:AlternateContent>
            </w:r>
          </w:p>
        </w:tc>
        <w:tc>
          <w:tcPr>
            <w:tcW w:w="7694" w:type="dxa"/>
            <w:noWrap w:val="0"/>
            <w:vAlign w:val="top"/>
          </w:tcPr>
          <w:p w14:paraId="28372D61">
            <w:pPr>
              <w:pStyle w:val="68"/>
              <w:spacing w:before="38" w:line="220" w:lineRule="auto"/>
              <w:ind w:left="15"/>
              <w:rPr>
                <w:rFonts w:hint="eastAsia"/>
                <w:color w:val="auto"/>
                <w:highlight w:val="none"/>
                <w:lang w:eastAsia="zh-CN"/>
              </w:rPr>
            </w:pPr>
            <w:r>
              <w:rPr>
                <w:color w:val="auto"/>
                <w:spacing w:val="-1"/>
                <w:highlight w:val="none"/>
                <w:lang w:eastAsia="zh-CN"/>
              </w:rPr>
              <w:t>具有基础信息管理模块，包含维保数据、项目基础数据、冷链数据维护功</w:t>
            </w:r>
          </w:p>
          <w:p w14:paraId="2999F6DA">
            <w:pPr>
              <w:pStyle w:val="68"/>
              <w:spacing w:before="37" w:line="220" w:lineRule="auto"/>
              <w:ind w:left="19"/>
              <w:rPr>
                <w:rFonts w:hint="eastAsia"/>
                <w:color w:val="auto"/>
                <w:highlight w:val="none"/>
                <w:lang w:eastAsia="zh-CN"/>
              </w:rPr>
            </w:pPr>
            <w:r>
              <w:rPr>
                <w:color w:val="auto"/>
                <w:spacing w:val="-7"/>
                <w:highlight w:val="none"/>
                <w:lang w:eastAsia="zh-CN"/>
              </w:rPr>
              <w:t>能和用户信息管理功能；</w:t>
            </w:r>
          </w:p>
        </w:tc>
      </w:tr>
      <w:tr w14:paraId="71065A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1561" w:type="dxa"/>
            <w:noWrap w:val="0"/>
            <w:vAlign w:val="center"/>
          </w:tcPr>
          <w:p w14:paraId="17999D55">
            <w:pPr>
              <w:pStyle w:val="68"/>
              <w:spacing w:before="78" w:line="238" w:lineRule="auto"/>
              <w:jc w:val="center"/>
              <w:rPr>
                <w:rFonts w:hint="eastAsia"/>
                <w:color w:val="auto"/>
                <w:highlight w:val="none"/>
              </w:rPr>
            </w:pPr>
            <w:r>
              <w:rPr>
                <w:rFonts w:hint="eastAsia" w:ascii="仿宋" w:hAnsi="仿宋" w:eastAsia="仿宋" w:cs="仿宋"/>
                <w:color w:val="auto"/>
                <w:spacing w:val="-3"/>
                <w:highlight w:val="none"/>
              </w:rPr>
              <w:t>▲</w:t>
            </w:r>
            <w:r>
              <w:rPr>
                <w:color w:val="auto"/>
                <w:spacing w:val="-3"/>
                <w:highlight w:val="none"/>
              </w:rPr>
              <w:t>8.3.2.3</w:t>
            </w:r>
          </w:p>
        </w:tc>
        <w:tc>
          <w:tcPr>
            <w:tcW w:w="7694" w:type="dxa"/>
            <w:noWrap w:val="0"/>
            <w:vAlign w:val="top"/>
          </w:tcPr>
          <w:p w14:paraId="5062DECE">
            <w:pPr>
              <w:pStyle w:val="68"/>
              <w:spacing w:before="35" w:line="279" w:lineRule="auto"/>
              <w:ind w:left="8" w:right="4" w:firstLine="6"/>
              <w:jc w:val="both"/>
              <w:rPr>
                <w:rFonts w:hint="eastAsia" w:ascii="宋体" w:hAnsi="宋体" w:eastAsia="宋体" w:cs="宋体"/>
                <w:b w:val="0"/>
                <w:bCs w:val="0"/>
                <w:color w:val="auto"/>
                <w:sz w:val="24"/>
                <w:szCs w:val="24"/>
                <w:highlight w:val="none"/>
              </w:rPr>
            </w:pPr>
            <w:r>
              <w:rPr>
                <w:color w:val="auto"/>
                <w:spacing w:val="-1"/>
                <w:highlight w:val="none"/>
                <w:lang w:eastAsia="zh-CN"/>
              </w:rPr>
              <w:t>系统配置运维电话，售后运维电话提醒系统，需要实现发生故障，在系统</w:t>
            </w:r>
            <w:r>
              <w:rPr>
                <w:color w:val="auto"/>
                <w:spacing w:val="7"/>
                <w:highlight w:val="none"/>
                <w:lang w:eastAsia="zh-CN"/>
              </w:rPr>
              <w:t>默认时间内售后人员未响应，需要自动拨打电话提醒处理</w:t>
            </w:r>
            <w:r>
              <w:rPr>
                <w:rFonts w:hint="eastAsia"/>
                <w:color w:val="auto"/>
                <w:spacing w:val="7"/>
                <w:highlight w:val="none"/>
                <w:lang w:eastAsia="zh-CN"/>
              </w:rPr>
              <w:t>。</w:t>
            </w:r>
            <w:r>
              <w:rPr>
                <w:rFonts w:hint="eastAsia" w:ascii="宋体" w:hAnsi="宋体" w:eastAsia="宋体" w:cs="宋体"/>
                <w:b w:val="0"/>
                <w:bCs w:val="0"/>
                <w:color w:val="auto"/>
                <w:sz w:val="24"/>
                <w:szCs w:val="24"/>
                <w:highlight w:val="none"/>
              </w:rPr>
              <w:t xml:space="preserve"> </w:t>
            </w:r>
          </w:p>
          <w:p w14:paraId="1CEB59E8">
            <w:pPr>
              <w:pStyle w:val="68"/>
              <w:spacing w:before="35" w:line="279" w:lineRule="auto"/>
              <w:ind w:left="8" w:right="4" w:firstLine="6"/>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3"/>
                <w:szCs w:val="23"/>
                <w:highlight w:val="none"/>
                <w:vertAlign w:val="baseline"/>
                <w:lang w:eastAsia="zh-CN"/>
              </w:rPr>
              <w:t>承诺中标后提供检测报告（</w:t>
            </w:r>
            <w:r>
              <w:rPr>
                <w:rFonts w:hint="eastAsia" w:ascii="宋体" w:hAnsi="宋体" w:eastAsia="宋体" w:cs="宋体"/>
                <w:b/>
                <w:bCs/>
                <w:color w:val="auto"/>
                <w:sz w:val="23"/>
                <w:szCs w:val="23"/>
                <w:highlight w:val="none"/>
                <w:vertAlign w:val="baseline"/>
                <w:lang w:val="en-US" w:eastAsia="zh-CN"/>
              </w:rPr>
              <w:t>承诺函</w:t>
            </w:r>
            <w:r>
              <w:rPr>
                <w:rFonts w:hint="eastAsia" w:ascii="宋体" w:hAnsi="宋体" w:eastAsia="宋体" w:cs="宋体"/>
                <w:b/>
                <w:bCs/>
                <w:color w:val="auto"/>
                <w:sz w:val="23"/>
                <w:szCs w:val="23"/>
                <w:highlight w:val="none"/>
                <w:vertAlign w:val="baseline"/>
                <w:lang w:eastAsia="zh-CN"/>
              </w:rPr>
              <w:t>格式自拟）</w:t>
            </w:r>
          </w:p>
        </w:tc>
      </w:tr>
      <w:tr w14:paraId="15C8C8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561" w:type="dxa"/>
            <w:noWrap w:val="0"/>
            <w:vAlign w:val="center"/>
          </w:tcPr>
          <w:p w14:paraId="5ABA3709">
            <w:pPr>
              <w:pStyle w:val="68"/>
              <w:spacing w:before="222" w:line="239" w:lineRule="auto"/>
              <w:jc w:val="center"/>
              <w:rPr>
                <w:rFonts w:hint="eastAsia"/>
                <w:color w:val="auto"/>
                <w:highlight w:val="none"/>
              </w:rPr>
            </w:pPr>
            <w:r>
              <w:rPr>
                <w:color w:val="auto"/>
                <w:spacing w:val="-2"/>
                <w:highlight w:val="none"/>
              </w:rPr>
              <w:t>8.3.2.4</w:t>
            </w:r>
          </w:p>
        </w:tc>
        <w:tc>
          <w:tcPr>
            <w:tcW w:w="7694" w:type="dxa"/>
            <w:noWrap w:val="0"/>
            <w:vAlign w:val="top"/>
          </w:tcPr>
          <w:p w14:paraId="2B84352B">
            <w:pPr>
              <w:pStyle w:val="68"/>
              <w:spacing w:before="38" w:line="271" w:lineRule="auto"/>
              <w:ind w:left="55" w:right="7" w:hanging="44"/>
              <w:rPr>
                <w:rFonts w:hint="eastAsia"/>
                <w:color w:val="auto"/>
                <w:highlight w:val="none"/>
                <w:lang w:eastAsia="zh-CN"/>
              </w:rPr>
            </w:pPr>
            <w:r>
              <w:rPr>
                <w:color w:val="auto"/>
                <w:highlight w:val="none"/>
                <w:lang w:eastAsia="zh-CN"/>
              </w:rPr>
              <w:t>周转箱超时到达电话提醒系统，系统需要具备</w:t>
            </w:r>
            <w:r>
              <w:rPr>
                <w:color w:val="auto"/>
                <w:spacing w:val="-1"/>
                <w:highlight w:val="none"/>
                <w:lang w:eastAsia="zh-CN"/>
              </w:rPr>
              <w:t>周转箱在默认时间内未到达</w:t>
            </w:r>
            <w:r>
              <w:rPr>
                <w:color w:val="auto"/>
                <w:spacing w:val="-4"/>
                <w:highlight w:val="none"/>
                <w:lang w:eastAsia="zh-CN"/>
              </w:rPr>
              <w:t>目的站点，需要自动拨打电话给售后人员，通知处理。</w:t>
            </w:r>
          </w:p>
        </w:tc>
      </w:tr>
      <w:tr w14:paraId="57436B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7" w:hRule="atLeast"/>
        </w:trPr>
        <w:tc>
          <w:tcPr>
            <w:tcW w:w="1561" w:type="dxa"/>
            <w:noWrap w:val="0"/>
            <w:vAlign w:val="center"/>
          </w:tcPr>
          <w:p w14:paraId="598ADC87">
            <w:pPr>
              <w:pStyle w:val="68"/>
              <w:spacing w:before="78" w:line="239" w:lineRule="auto"/>
              <w:jc w:val="center"/>
              <w:rPr>
                <w:rFonts w:hint="eastAsia"/>
                <w:color w:val="auto"/>
                <w:highlight w:val="none"/>
              </w:rPr>
            </w:pPr>
            <w:r>
              <w:rPr>
                <w:color w:val="auto"/>
                <w:spacing w:val="-2"/>
                <w:highlight w:val="none"/>
              </w:rPr>
              <w:t>8.3.2.5</w:t>
            </w:r>
          </w:p>
        </w:tc>
        <w:tc>
          <w:tcPr>
            <w:tcW w:w="7694" w:type="dxa"/>
            <w:noWrap w:val="0"/>
            <w:vAlign w:val="top"/>
          </w:tcPr>
          <w:p w14:paraId="0487485F">
            <w:pPr>
              <w:pStyle w:val="68"/>
              <w:spacing w:before="36" w:line="279" w:lineRule="auto"/>
              <w:ind w:left="11" w:right="7" w:firstLine="8"/>
              <w:jc w:val="both"/>
              <w:rPr>
                <w:rFonts w:hint="eastAsia"/>
                <w:color w:val="auto"/>
                <w:highlight w:val="none"/>
              </w:rPr>
            </w:pPr>
            <w:r>
              <w:rPr>
                <w:color w:val="auto"/>
                <w:spacing w:val="-1"/>
                <w:highlight w:val="none"/>
                <w:lang w:eastAsia="zh-CN"/>
              </w:rPr>
              <w:t>能耗管理系统，子系统通过智能电表检测实时能耗数据，控制中心对每个</w:t>
            </w:r>
            <w:r>
              <w:rPr>
                <w:color w:val="auto"/>
                <w:highlight w:val="none"/>
                <w:lang w:eastAsia="zh-CN"/>
              </w:rPr>
              <w:t>子系统的能耗数据进行采集和记录，分析历史</w:t>
            </w:r>
            <w:r>
              <w:rPr>
                <w:color w:val="auto"/>
                <w:spacing w:val="-1"/>
                <w:highlight w:val="none"/>
                <w:lang w:eastAsia="zh-CN"/>
              </w:rPr>
              <w:t>能耗数据及时间段能耗数据</w:t>
            </w:r>
            <w:r>
              <w:rPr>
                <w:color w:val="auto"/>
                <w:highlight w:val="none"/>
                <w:lang w:eastAsia="zh-CN"/>
              </w:rPr>
              <w:t>等分布，通过远程运维系统的大数据分析智能</w:t>
            </w:r>
            <w:r>
              <w:rPr>
                <w:color w:val="auto"/>
                <w:spacing w:val="-1"/>
                <w:highlight w:val="none"/>
                <w:lang w:eastAsia="zh-CN"/>
              </w:rPr>
              <w:t>管控能耗，节能减排。</w:t>
            </w:r>
            <w:r>
              <w:rPr>
                <w:color w:val="auto"/>
                <w:spacing w:val="-1"/>
                <w:highlight w:val="none"/>
              </w:rPr>
              <w:t>提供</w:t>
            </w:r>
            <w:r>
              <w:rPr>
                <w:color w:val="auto"/>
                <w:spacing w:val="-2"/>
                <w:highlight w:val="none"/>
              </w:rPr>
              <w:t>该功能图片。</w:t>
            </w:r>
          </w:p>
        </w:tc>
      </w:tr>
      <w:tr w14:paraId="489C7D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561" w:type="dxa"/>
            <w:noWrap w:val="0"/>
            <w:vAlign w:val="center"/>
          </w:tcPr>
          <w:p w14:paraId="2F672E0F">
            <w:pPr>
              <w:pStyle w:val="68"/>
              <w:spacing w:before="39" w:line="239" w:lineRule="auto"/>
              <w:jc w:val="center"/>
              <w:rPr>
                <w:rFonts w:hint="eastAsia"/>
                <w:color w:val="auto"/>
                <w:highlight w:val="none"/>
              </w:rPr>
            </w:pPr>
            <w:r>
              <w:rPr>
                <w:color w:val="auto"/>
                <w:spacing w:val="-3"/>
                <w:highlight w:val="none"/>
              </w:rPr>
              <w:t>8.3.3</w:t>
            </w:r>
          </w:p>
        </w:tc>
        <w:tc>
          <w:tcPr>
            <w:tcW w:w="7694" w:type="dxa"/>
            <w:noWrap w:val="0"/>
            <w:vAlign w:val="top"/>
          </w:tcPr>
          <w:p w14:paraId="36511171">
            <w:pPr>
              <w:pStyle w:val="68"/>
              <w:spacing w:before="38" w:line="220" w:lineRule="auto"/>
              <w:ind w:left="33"/>
              <w:rPr>
                <w:rFonts w:hint="eastAsia"/>
                <w:color w:val="auto"/>
                <w:highlight w:val="none"/>
                <w:lang w:eastAsia="zh-CN"/>
              </w:rPr>
            </w:pPr>
            <w:r>
              <w:rPr>
                <w:color w:val="auto"/>
                <w:spacing w:val="-3"/>
                <w:highlight w:val="none"/>
                <w:lang w:eastAsia="zh-CN"/>
              </w:rPr>
              <w:t>中型物流移动端信息平台</w:t>
            </w:r>
          </w:p>
        </w:tc>
      </w:tr>
      <w:tr w14:paraId="4C81BF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1" w:hRule="atLeast"/>
        </w:trPr>
        <w:tc>
          <w:tcPr>
            <w:tcW w:w="1561" w:type="dxa"/>
            <w:tcBorders>
              <w:bottom w:val="single" w:color="auto" w:sz="4" w:space="0"/>
            </w:tcBorders>
            <w:noWrap w:val="0"/>
            <w:vAlign w:val="center"/>
          </w:tcPr>
          <w:p w14:paraId="62655C8F">
            <w:pPr>
              <w:pStyle w:val="68"/>
              <w:spacing w:before="78" w:line="238" w:lineRule="auto"/>
              <w:jc w:val="center"/>
              <w:rPr>
                <w:rFonts w:hint="eastAsia"/>
                <w:color w:val="auto"/>
                <w:highlight w:val="none"/>
              </w:rPr>
            </w:pPr>
            <w:r>
              <w:rPr>
                <w:rFonts w:hint="eastAsia" w:ascii="仿宋" w:hAnsi="仿宋" w:eastAsia="仿宋" w:cs="仿宋"/>
                <w:color w:val="auto"/>
                <w:spacing w:val="-3"/>
                <w:highlight w:val="none"/>
              </w:rPr>
              <w:t>▲</w:t>
            </w:r>
            <w:r>
              <w:rPr>
                <w:color w:val="auto"/>
                <w:spacing w:val="-3"/>
                <w:highlight w:val="none"/>
              </w:rPr>
              <w:t>8.3.3.1</w:t>
            </w:r>
          </w:p>
        </w:tc>
        <w:tc>
          <w:tcPr>
            <w:tcW w:w="7694" w:type="dxa"/>
            <w:tcBorders>
              <w:bottom w:val="single" w:color="auto" w:sz="4" w:space="0"/>
            </w:tcBorders>
            <w:noWrap w:val="0"/>
            <w:vAlign w:val="top"/>
          </w:tcPr>
          <w:p w14:paraId="208AFEE5">
            <w:pPr>
              <w:pStyle w:val="68"/>
              <w:spacing w:before="34" w:line="288" w:lineRule="auto"/>
              <w:ind w:left="11" w:right="7" w:hanging="2"/>
              <w:jc w:val="both"/>
              <w:rPr>
                <w:color w:val="auto"/>
                <w:spacing w:val="-12"/>
                <w:highlight w:val="none"/>
                <w:lang w:eastAsia="zh-CN"/>
              </w:rPr>
            </w:pPr>
            <w:r>
              <w:rPr>
                <w:color w:val="auto"/>
                <w:spacing w:val="-1"/>
                <w:highlight w:val="none"/>
                <w:lang w:eastAsia="zh-CN"/>
              </w:rPr>
              <w:t>平台登录采用手机验证码方式登录，发送验证码响应时间≤5s，登录延时</w:t>
            </w:r>
            <w:r>
              <w:rPr>
                <w:color w:val="auto"/>
                <w:highlight w:val="none"/>
                <w:lang w:eastAsia="zh-CN"/>
              </w:rPr>
              <w:t>≤3s。平台端包含以下功能模块，预计到箱</w:t>
            </w:r>
            <w:r>
              <w:rPr>
                <w:color w:val="auto"/>
                <w:spacing w:val="-1"/>
                <w:highlight w:val="none"/>
                <w:lang w:eastAsia="zh-CN"/>
              </w:rPr>
              <w:t>查询，药箱追溯，运力系统分</w:t>
            </w:r>
            <w:r>
              <w:rPr>
                <w:color w:val="auto"/>
                <w:highlight w:val="none"/>
                <w:lang w:eastAsia="zh-CN"/>
              </w:rPr>
              <w:t>析，到箱签收，申述处理，设备状态查询，</w:t>
            </w:r>
            <w:r>
              <w:rPr>
                <w:color w:val="auto"/>
                <w:spacing w:val="-1"/>
                <w:highlight w:val="none"/>
                <w:lang w:eastAsia="zh-CN"/>
              </w:rPr>
              <w:t>异常分析，设备维保，维保分</w:t>
            </w:r>
            <w:r>
              <w:rPr>
                <w:color w:val="auto"/>
                <w:spacing w:val="-12"/>
                <w:highlight w:val="none"/>
                <w:lang w:eastAsia="zh-CN"/>
              </w:rPr>
              <w:t>析。</w:t>
            </w:r>
          </w:p>
          <w:p w14:paraId="4DAD72D3">
            <w:pPr>
              <w:pStyle w:val="68"/>
              <w:spacing w:before="34" w:line="288" w:lineRule="auto"/>
              <w:ind w:left="11" w:right="7" w:hanging="2"/>
              <w:jc w:val="both"/>
              <w:rPr>
                <w:rFonts w:hint="eastAsia"/>
                <w:color w:val="auto"/>
                <w:highlight w:val="none"/>
                <w:lang w:eastAsia="zh-CN"/>
              </w:rPr>
            </w:pPr>
            <w:r>
              <w:rPr>
                <w:rFonts w:hint="eastAsia" w:ascii="宋体" w:hAnsi="宋体" w:eastAsia="宋体" w:cs="宋体"/>
                <w:b/>
                <w:bCs/>
                <w:color w:val="auto"/>
                <w:sz w:val="23"/>
                <w:szCs w:val="23"/>
                <w:highlight w:val="none"/>
                <w:vertAlign w:val="baseline"/>
                <w:lang w:eastAsia="zh-CN"/>
              </w:rPr>
              <w:t>承诺中标后提供检测报告（</w:t>
            </w:r>
            <w:r>
              <w:rPr>
                <w:rFonts w:hint="eastAsia" w:ascii="宋体" w:hAnsi="宋体" w:eastAsia="宋体" w:cs="宋体"/>
                <w:b/>
                <w:bCs/>
                <w:color w:val="auto"/>
                <w:sz w:val="23"/>
                <w:szCs w:val="23"/>
                <w:highlight w:val="none"/>
                <w:vertAlign w:val="baseline"/>
                <w:lang w:val="en-US" w:eastAsia="zh-CN"/>
              </w:rPr>
              <w:t>承诺函</w:t>
            </w:r>
            <w:r>
              <w:rPr>
                <w:rFonts w:hint="eastAsia" w:ascii="宋体" w:hAnsi="宋体" w:eastAsia="宋体" w:cs="宋体"/>
                <w:b/>
                <w:bCs/>
                <w:color w:val="auto"/>
                <w:sz w:val="23"/>
                <w:szCs w:val="23"/>
                <w:highlight w:val="none"/>
                <w:vertAlign w:val="baseline"/>
                <w:lang w:eastAsia="zh-CN"/>
              </w:rPr>
              <w:t>格式自拟）</w:t>
            </w:r>
          </w:p>
        </w:tc>
      </w:tr>
      <w:tr w14:paraId="09BDAF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9255" w:type="dxa"/>
            <w:gridSpan w:val="2"/>
            <w:tcBorders>
              <w:top w:val="single" w:color="auto" w:sz="4" w:space="0"/>
              <w:bottom w:val="single" w:color="auto" w:sz="4" w:space="0"/>
            </w:tcBorders>
            <w:noWrap w:val="0"/>
            <w:vAlign w:val="center"/>
          </w:tcPr>
          <w:p w14:paraId="305B13D7">
            <w:pPr>
              <w:pStyle w:val="68"/>
              <w:spacing w:before="34" w:line="288" w:lineRule="auto"/>
              <w:ind w:left="11" w:right="7" w:hanging="2"/>
              <w:jc w:val="both"/>
              <w:rPr>
                <w:rFonts w:hint="default" w:eastAsia="宋体"/>
                <w:color w:val="auto"/>
                <w:highlight w:val="none"/>
                <w:lang w:val="en-US" w:eastAsia="zh-CN"/>
              </w:rPr>
            </w:pPr>
            <w:r>
              <w:rPr>
                <w:rFonts w:hint="eastAsia"/>
                <w:b/>
                <w:bCs/>
                <w:color w:val="auto"/>
                <w:spacing w:val="-3"/>
                <w:highlight w:val="none"/>
                <w:lang w:val="en-US" w:eastAsia="zh-CN"/>
              </w:rPr>
              <w:t>9</w:t>
            </w:r>
            <w:r>
              <w:rPr>
                <w:b/>
                <w:bCs/>
                <w:color w:val="auto"/>
                <w:spacing w:val="-3"/>
                <w:highlight w:val="none"/>
              </w:rPr>
              <w:t>.</w:t>
            </w:r>
            <w:r>
              <w:rPr>
                <w:rFonts w:hint="eastAsia"/>
                <w:b/>
                <w:bCs/>
                <w:color w:val="auto"/>
                <w:spacing w:val="14"/>
                <w:highlight w:val="none"/>
                <w:lang w:val="en-US" w:eastAsia="zh-CN"/>
              </w:rPr>
              <w:t>物流传输消防系统</w:t>
            </w:r>
          </w:p>
        </w:tc>
      </w:tr>
      <w:tr w14:paraId="10A044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1" w:hRule="atLeast"/>
        </w:trPr>
        <w:tc>
          <w:tcPr>
            <w:tcW w:w="1561" w:type="dxa"/>
            <w:tcBorders>
              <w:top w:val="single" w:color="auto" w:sz="4" w:space="0"/>
            </w:tcBorders>
            <w:noWrap w:val="0"/>
            <w:vAlign w:val="center"/>
          </w:tcPr>
          <w:p w14:paraId="6AE3BD94">
            <w:pPr>
              <w:spacing w:line="360" w:lineRule="auto"/>
              <w:ind w:firstLine="480" w:firstLineChars="200"/>
              <w:rPr>
                <w:rFonts w:hint="default" w:ascii="仿宋" w:hAnsi="仿宋" w:eastAsia="仿宋" w:cs="仿宋"/>
                <w:color w:val="auto"/>
                <w:spacing w:val="-3"/>
                <w:highlight w:val="none"/>
                <w:lang w:val="en-US" w:eastAsia="zh-CN"/>
              </w:rPr>
            </w:pPr>
            <w:r>
              <w:rPr>
                <w:rFonts w:hint="eastAsia" w:ascii="宋体" w:hAnsi="宋体" w:eastAsia="宋体" w:cs="宋体"/>
                <w:color w:val="auto"/>
                <w:sz w:val="24"/>
                <w:szCs w:val="24"/>
                <w:highlight w:val="none"/>
                <w:lang w:val="en-US" w:eastAsia="zh-CN"/>
              </w:rPr>
              <w:t>9.1</w:t>
            </w:r>
          </w:p>
        </w:tc>
        <w:tc>
          <w:tcPr>
            <w:tcW w:w="7694" w:type="dxa"/>
            <w:tcBorders>
              <w:top w:val="single" w:color="auto" w:sz="4" w:space="0"/>
            </w:tcBorders>
            <w:noWrap w:val="0"/>
            <w:vAlign w:val="top"/>
          </w:tcPr>
          <w:p w14:paraId="5C862BF4">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工作站的出入口，均安装自动防火门，保证周转箱出入能自动开启或关 </w:t>
            </w:r>
          </w:p>
          <w:p w14:paraId="721BA154">
            <w:pPr>
              <w:spacing w:line="360" w:lineRule="auto"/>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val="en-US" w:eastAsia="zh-CN"/>
              </w:rPr>
              <w:t>闭，防火门材料厚度、防火等级、耐火等级等条件需满足消防规范要求。</w:t>
            </w:r>
          </w:p>
        </w:tc>
      </w:tr>
    </w:tbl>
    <w:p w14:paraId="5B374B4D">
      <w:pPr>
        <w:rPr>
          <w:color w:val="auto"/>
          <w:highlight w:val="none"/>
          <w:lang w:eastAsia="zh-CN"/>
        </w:rPr>
      </w:pPr>
    </w:p>
    <w:p w14:paraId="789AC24D">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箱式物流接驳机器人</w:t>
      </w:r>
    </w:p>
    <w:tbl>
      <w:tblPr>
        <w:tblStyle w:val="31"/>
        <w:tblW w:w="93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1336"/>
        <w:gridCol w:w="7111"/>
      </w:tblGrid>
      <w:tr w14:paraId="15FC9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3" w:type="dxa"/>
            <w:gridSpan w:val="3"/>
            <w:noWrap w:val="0"/>
            <w:vAlign w:val="top"/>
          </w:tcPr>
          <w:p w14:paraId="0FBC5D36">
            <w:pPr>
              <w:widowControl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整体要求</w:t>
            </w:r>
          </w:p>
        </w:tc>
      </w:tr>
      <w:tr w14:paraId="43D38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727710CF">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8447" w:type="dxa"/>
            <w:gridSpan w:val="2"/>
            <w:noWrap w:val="0"/>
            <w:vAlign w:val="center"/>
          </w:tcPr>
          <w:p w14:paraId="4015B929">
            <w:pPr>
              <w:widowControl w:val="0"/>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产品的功能参数及软硬件配置应满足买方要求。软硬件均为最新型号、最新产品。</w:t>
            </w:r>
          </w:p>
        </w:tc>
      </w:tr>
      <w:tr w14:paraId="236C1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noWrap w:val="0"/>
            <w:vAlign w:val="center"/>
          </w:tcPr>
          <w:p w14:paraId="4EA54282">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8447" w:type="dxa"/>
            <w:gridSpan w:val="2"/>
            <w:noWrap w:val="0"/>
            <w:vAlign w:val="top"/>
          </w:tcPr>
          <w:p w14:paraId="24498AE0">
            <w:pPr>
              <w:widowControl w:val="0"/>
              <w:spacing w:line="360" w:lineRule="auto"/>
              <w:jc w:val="both"/>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医用箱式接驳机器人系统集成激光、视觉、超声等多传感器融合技术，实现自主地图构建、自主路径规划、自主导航、自主充电和安全保护功能，适应高动态的任务调整和环境变化，实现在医院区域间的自主行走和物品搬运。医用箱式接驳机器人在控制系统的调度下，可应用于消毒供应室、手术室、中心药房、检验科、耗材库等科室，实现药品、耗材、敷料、手术器械、标本等物品的运输。</w:t>
            </w:r>
          </w:p>
        </w:tc>
      </w:tr>
      <w:tr w14:paraId="537A9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3" w:type="dxa"/>
            <w:gridSpan w:val="3"/>
            <w:noWrap w:val="0"/>
            <w:vAlign w:val="center"/>
          </w:tcPr>
          <w:p w14:paraId="5EAD96D2">
            <w:pPr>
              <w:widowControl w:val="0"/>
              <w:spacing w:line="360" w:lineRule="auto"/>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设备主要性能及参数要求</w:t>
            </w:r>
          </w:p>
        </w:tc>
      </w:tr>
      <w:tr w14:paraId="40345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3" w:type="dxa"/>
            <w:gridSpan w:val="3"/>
            <w:noWrap w:val="0"/>
            <w:vAlign w:val="center"/>
          </w:tcPr>
          <w:p w14:paraId="6299182B">
            <w:pPr>
              <w:widowControl w:val="0"/>
              <w:spacing w:line="360" w:lineRule="auto"/>
              <w:jc w:val="both"/>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eastAsia="zh-CN"/>
              </w:rPr>
              <w:t>机器人主体</w:t>
            </w:r>
          </w:p>
        </w:tc>
      </w:tr>
      <w:tr w14:paraId="3DD0F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restart"/>
            <w:noWrap w:val="0"/>
            <w:vAlign w:val="center"/>
          </w:tcPr>
          <w:p w14:paraId="3FF4D564">
            <w:pPr>
              <w:widowControl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2.1.1</w:t>
            </w:r>
          </w:p>
        </w:tc>
        <w:tc>
          <w:tcPr>
            <w:tcW w:w="1336" w:type="dxa"/>
            <w:vMerge w:val="restart"/>
            <w:noWrap w:val="0"/>
            <w:vAlign w:val="center"/>
          </w:tcPr>
          <w:p w14:paraId="5091F09B">
            <w:pPr>
              <w:widowControl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基础功能</w:t>
            </w:r>
          </w:p>
        </w:tc>
        <w:tc>
          <w:tcPr>
            <w:tcW w:w="7111" w:type="dxa"/>
            <w:noWrap w:val="0"/>
            <w:vAlign w:val="top"/>
          </w:tcPr>
          <w:p w14:paraId="58343E24">
            <w:pPr>
              <w:widowControl w:val="0"/>
              <w:shd w:val="clear" w:color="auto" w:fill="FFFFFF"/>
              <w:kinsoku/>
              <w:autoSpaceDE/>
              <w:autoSpaceDN/>
              <w:adjustRightInd/>
              <w:snapToGrid/>
              <w:spacing w:line="360" w:lineRule="auto"/>
              <w:jc w:val="both"/>
              <w:textAlignment w:val="auto"/>
              <w:rPr>
                <w:rFonts w:hint="eastAsia" w:ascii="宋体" w:hAnsi="宋体" w:eastAsia="宋体" w:cs="宋体"/>
                <w:color w:val="auto"/>
                <w:sz w:val="24"/>
                <w:szCs w:val="24"/>
                <w:highlight w:val="none"/>
                <w:shd w:val="clear" w:color="auto" w:fill="auto"/>
                <w:lang w:val="en-US" w:eastAsia="zh-CN"/>
              </w:rPr>
            </w:pPr>
            <w:r>
              <w:rPr>
                <w:rFonts w:ascii="宋体" w:hAnsi="宋体" w:eastAsia="宋体" w:cs="宋体"/>
                <w:sz w:val="24"/>
                <w:szCs w:val="24"/>
                <w:highlight w:val="green"/>
              </w:rPr>
              <w:t>所有</w:t>
            </w:r>
            <w:r>
              <w:rPr>
                <w:rFonts w:hint="eastAsia" w:ascii="宋体" w:hAnsi="宋体" w:eastAsia="宋体" w:cs="宋体"/>
                <w:color w:val="auto"/>
                <w:sz w:val="24"/>
                <w:szCs w:val="24"/>
                <w:highlight w:val="green"/>
                <w:shd w:val="clear" w:color="auto" w:fill="auto"/>
                <w:lang w:eastAsia="zh-CN"/>
              </w:rPr>
              <w:t>机器人</w:t>
            </w:r>
            <w:r>
              <w:rPr>
                <w:rFonts w:ascii="宋体" w:hAnsi="宋体" w:eastAsia="宋体" w:cs="宋体"/>
                <w:sz w:val="24"/>
                <w:szCs w:val="24"/>
                <w:highlight w:val="green"/>
              </w:rPr>
              <w:t>的具体尺寸</w:t>
            </w:r>
            <w:r>
              <w:rPr>
                <w:rFonts w:hint="eastAsia" w:ascii="宋体" w:hAnsi="宋体" w:cs="宋体"/>
                <w:sz w:val="24"/>
                <w:szCs w:val="24"/>
                <w:highlight w:val="green"/>
                <w:lang w:val="en-US" w:eastAsia="zh-CN"/>
              </w:rPr>
              <w:t>需满足现场实际使用需求</w:t>
            </w:r>
            <w:r>
              <w:rPr>
                <w:rFonts w:ascii="宋体" w:hAnsi="宋体" w:eastAsia="宋体" w:cs="宋体"/>
                <w:sz w:val="24"/>
                <w:szCs w:val="24"/>
                <w:highlight w:val="green"/>
              </w:rPr>
              <w:t>，</w:t>
            </w:r>
            <w:r>
              <w:rPr>
                <w:rFonts w:hint="eastAsia" w:ascii="宋体" w:hAnsi="宋体" w:eastAsia="宋体" w:cs="宋体"/>
                <w:color w:val="auto"/>
                <w:sz w:val="24"/>
                <w:szCs w:val="24"/>
                <w:highlight w:val="green"/>
                <w:shd w:val="clear" w:color="auto" w:fill="auto"/>
                <w:lang w:eastAsia="zh-CN"/>
              </w:rPr>
              <w:t>机器人</w:t>
            </w:r>
            <w:r>
              <w:rPr>
                <w:rFonts w:ascii="宋体" w:hAnsi="宋体" w:eastAsia="宋体" w:cs="宋体"/>
                <w:sz w:val="24"/>
                <w:szCs w:val="24"/>
                <w:highlight w:val="green"/>
              </w:rPr>
              <w:t>正式进场前，须提前报送院方完成资料与实物核验，经院方审核确认无误后方可进场。</w:t>
            </w:r>
          </w:p>
        </w:tc>
      </w:tr>
      <w:tr w14:paraId="016E7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3C8931E6">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3527D9B9">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top"/>
          </w:tcPr>
          <w:p w14:paraId="0881A9A3">
            <w:pPr>
              <w:widowControl w:val="0"/>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单台机器人的载重能力≥100kg；</w:t>
            </w:r>
          </w:p>
        </w:tc>
      </w:tr>
      <w:tr w14:paraId="57BBC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5F7DB146">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29C586CA">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top"/>
          </w:tcPr>
          <w:p w14:paraId="6320CAFF">
            <w:pPr>
              <w:widowControl w:val="0"/>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机器人上层滚筒线可用于和中型站点及其他接驳平台进行无缝对接，实现料箱的无人化自动接驳运输。</w:t>
            </w:r>
          </w:p>
        </w:tc>
      </w:tr>
      <w:tr w14:paraId="3611A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28C36F92">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41360DDB">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top"/>
          </w:tcPr>
          <w:p w14:paraId="247C5899">
            <w:pPr>
              <w:widowControl w:val="0"/>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机器人采用原地转向，运行的最高速度≥1.2m/s；</w:t>
            </w:r>
          </w:p>
        </w:tc>
      </w:tr>
      <w:tr w14:paraId="6E22A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545189B9">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6FA8554A">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top"/>
          </w:tcPr>
          <w:p w14:paraId="731CDC79">
            <w:pPr>
              <w:widowControl w:val="0"/>
              <w:spacing w:line="360" w:lineRule="auto"/>
              <w:jc w:val="both"/>
              <w:rPr>
                <w:color w:val="auto"/>
                <w:highlight w:val="none"/>
                <w:lang w:eastAsia="zh-CN"/>
              </w:rPr>
            </w:pPr>
            <w:r>
              <w:rPr>
                <w:rFonts w:hint="eastAsia" w:ascii="宋体" w:hAnsi="宋体" w:eastAsia="宋体" w:cs="宋体"/>
                <w:color w:val="auto"/>
                <w:sz w:val="24"/>
                <w:szCs w:val="24"/>
                <w:highlight w:val="none"/>
                <w:lang w:eastAsia="zh-CN"/>
              </w:rPr>
              <w:t>机器人满载爬坡角度≥8°；</w:t>
            </w:r>
          </w:p>
        </w:tc>
      </w:tr>
      <w:tr w14:paraId="0835D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5D5CD952">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4790134D">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top"/>
          </w:tcPr>
          <w:p w14:paraId="22C23056">
            <w:pPr>
              <w:widowControl w:val="0"/>
              <w:spacing w:line="360" w:lineRule="auto"/>
              <w:jc w:val="both"/>
              <w:rPr>
                <w:color w:val="auto"/>
                <w:highlight w:val="none"/>
                <w:lang w:eastAsia="zh-CN"/>
              </w:rPr>
            </w:pPr>
            <w:r>
              <w:rPr>
                <w:rFonts w:hint="eastAsia" w:ascii="宋体" w:hAnsi="宋体" w:eastAsia="宋体" w:cs="宋体"/>
                <w:color w:val="auto"/>
                <w:sz w:val="24"/>
                <w:szCs w:val="24"/>
                <w:highlight w:val="none"/>
                <w:lang w:eastAsia="zh-CN"/>
              </w:rPr>
              <w:t>机器人越障高度≤20mm，越缝宽度≤40mm；</w:t>
            </w:r>
          </w:p>
        </w:tc>
      </w:tr>
      <w:tr w14:paraId="0629A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7D82FBDF">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7F231EB0">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top"/>
          </w:tcPr>
          <w:p w14:paraId="12721B6E">
            <w:pPr>
              <w:widowControl w:val="0"/>
              <w:spacing w:line="360" w:lineRule="auto"/>
              <w:jc w:val="both"/>
              <w:rPr>
                <w:color w:val="auto"/>
                <w:highlight w:val="none"/>
                <w:lang w:eastAsia="zh-CN"/>
              </w:rPr>
            </w:pPr>
            <w:r>
              <w:rPr>
                <w:rFonts w:hint="eastAsia" w:ascii="宋体" w:hAnsi="宋体" w:eastAsia="宋体" w:cs="宋体"/>
                <w:color w:val="auto"/>
                <w:sz w:val="24"/>
                <w:szCs w:val="24"/>
                <w:highlight w:val="none"/>
                <w:lang w:eastAsia="zh-CN"/>
              </w:rPr>
              <w:t>机器人具备双向运行功能，前后双向导航、避障等运动性能一致，在空间不足区域无需调头，提高运送效率及脱困能力；</w:t>
            </w:r>
          </w:p>
        </w:tc>
      </w:tr>
      <w:tr w14:paraId="79838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2AD87EC9">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1D0E7AFD">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top"/>
          </w:tcPr>
          <w:p w14:paraId="3D618E87">
            <w:pPr>
              <w:widowControl w:val="0"/>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机器人自带物料防盗安全保护装置，可在机器人负载时自动升起，起到安全防护作用。</w:t>
            </w:r>
          </w:p>
        </w:tc>
      </w:tr>
      <w:tr w14:paraId="6EA46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7BD6BB73">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5C11A43D">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top"/>
          </w:tcPr>
          <w:p w14:paraId="1C34FD7E">
            <w:pPr>
              <w:widowControl w:val="0"/>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机器人支持RFID刷卡</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或条码</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的权限方式取箱，提高货物运输安全等级；</w:t>
            </w:r>
          </w:p>
        </w:tc>
      </w:tr>
      <w:tr w14:paraId="09749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0284998B">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49915DF7">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top"/>
          </w:tcPr>
          <w:p w14:paraId="47C0ED52">
            <w:pPr>
              <w:widowControl w:val="0"/>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在机器人车体安装急停按钮，若发生紧急异常情况，工作人员可按下该按钮，机器人即停止运行，恢复之后可继续执行前序任务。急停按钮优先于其他所有操作；</w:t>
            </w:r>
          </w:p>
        </w:tc>
      </w:tr>
      <w:tr w14:paraId="529C3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4B838114">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3A23C197">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top"/>
          </w:tcPr>
          <w:p w14:paraId="56C155F3">
            <w:pPr>
              <w:widowControl w:val="0"/>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机器人支持Wi-Fi、4G或5G通讯，满足医院网络多样性的要求；</w:t>
            </w:r>
          </w:p>
        </w:tc>
      </w:tr>
      <w:tr w14:paraId="4A7E9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268F9847">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1FE29890">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top"/>
          </w:tcPr>
          <w:p w14:paraId="699EB4DF">
            <w:pPr>
              <w:widowControl w:val="0"/>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机器人采用静音设计，符合医院的应用场景，运行噪声小于45dB。</w:t>
            </w:r>
          </w:p>
        </w:tc>
      </w:tr>
      <w:tr w14:paraId="6121B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6" w:type="dxa"/>
            <w:vMerge w:val="restart"/>
            <w:noWrap w:val="0"/>
            <w:vAlign w:val="center"/>
          </w:tcPr>
          <w:p w14:paraId="429C78AC">
            <w:pPr>
              <w:widowControl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eastAsia="zh-CN"/>
              </w:rPr>
              <w:t>2</w:t>
            </w:r>
          </w:p>
        </w:tc>
        <w:tc>
          <w:tcPr>
            <w:tcW w:w="1336" w:type="dxa"/>
            <w:vMerge w:val="restart"/>
            <w:noWrap w:val="0"/>
            <w:vAlign w:val="center"/>
          </w:tcPr>
          <w:p w14:paraId="3BD4AB3C">
            <w:pPr>
              <w:widowControl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导航避障</w:t>
            </w:r>
          </w:p>
        </w:tc>
        <w:tc>
          <w:tcPr>
            <w:tcW w:w="7111" w:type="dxa"/>
            <w:noWrap w:val="0"/>
            <w:vAlign w:val="top"/>
          </w:tcPr>
          <w:p w14:paraId="13E14E6A">
            <w:pPr>
              <w:widowControl w:val="0"/>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机器人采用激光导航技术，多传感器融合定位技术实现自主避障。整机不少于3种传感器，包含但不限于激光雷达、视觉摄像头、超声波雷达、IMU等。</w:t>
            </w:r>
          </w:p>
        </w:tc>
      </w:tr>
      <w:tr w14:paraId="28886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310756EB">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center"/>
          </w:tcPr>
          <w:p w14:paraId="06D62130">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top"/>
          </w:tcPr>
          <w:p w14:paraId="2A63D186">
            <w:pPr>
              <w:widowControl w:val="0"/>
              <w:spacing w:line="360" w:lineRule="auto"/>
              <w:jc w:val="both"/>
              <w:rPr>
                <w:color w:val="auto"/>
                <w:highlight w:val="none"/>
                <w:lang w:eastAsia="zh-CN"/>
              </w:rPr>
            </w:pPr>
            <w:r>
              <w:rPr>
                <w:rFonts w:hint="eastAsia" w:ascii="宋体" w:hAnsi="宋体" w:eastAsia="宋体" w:cs="宋体"/>
                <w:color w:val="auto"/>
                <w:sz w:val="24"/>
                <w:szCs w:val="24"/>
                <w:highlight w:val="none"/>
                <w:lang w:eastAsia="zh-CN"/>
              </w:rPr>
              <w:t>机器人前后双激光雷达配置，前后中线对称布置，单个激光雷达扫描范围≥210°，机身周围360°全方位安全探测，有效探测距离≥10m。</w:t>
            </w:r>
          </w:p>
        </w:tc>
      </w:tr>
      <w:tr w14:paraId="6277A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2E2DABF8">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center"/>
          </w:tcPr>
          <w:p w14:paraId="0BDD7982">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top"/>
          </w:tcPr>
          <w:p w14:paraId="7ED02307">
            <w:pPr>
              <w:widowControl w:val="0"/>
              <w:spacing w:line="360" w:lineRule="auto"/>
              <w:jc w:val="both"/>
              <w:rPr>
                <w:color w:val="auto"/>
                <w:highlight w:val="none"/>
                <w:lang w:eastAsia="zh-CN"/>
              </w:rPr>
            </w:pPr>
            <w:r>
              <w:rPr>
                <w:rFonts w:hint="eastAsia" w:ascii="宋体" w:hAnsi="宋体" w:eastAsia="宋体" w:cs="宋体"/>
                <w:color w:val="auto"/>
                <w:sz w:val="24"/>
                <w:szCs w:val="24"/>
                <w:highlight w:val="none"/>
                <w:lang w:eastAsia="zh-CN"/>
              </w:rPr>
              <w:t>机器人前后、上下部位各布置≥1组深度摄像头，总数量≥4组，前后对称布置。</w:t>
            </w:r>
          </w:p>
        </w:tc>
      </w:tr>
      <w:tr w14:paraId="1850F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70F6C018">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center"/>
          </w:tcPr>
          <w:p w14:paraId="0CCB4F81">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top"/>
          </w:tcPr>
          <w:p w14:paraId="2DF06A9F">
            <w:pPr>
              <w:widowControl w:val="0"/>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机器人和站点对接时定位误差小于30mm。</w:t>
            </w:r>
          </w:p>
        </w:tc>
      </w:tr>
      <w:tr w14:paraId="38AE1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56578538">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32D93A40">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top"/>
          </w:tcPr>
          <w:p w14:paraId="3E9E377C">
            <w:pPr>
              <w:widowControl w:val="0"/>
              <w:spacing w:line="360"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机器人运动时行进定位精度：≤20cm，重复定位精度：≤3cm。</w:t>
            </w:r>
          </w:p>
        </w:tc>
      </w:tr>
      <w:tr w14:paraId="75196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restart"/>
            <w:noWrap w:val="0"/>
            <w:vAlign w:val="center"/>
          </w:tcPr>
          <w:p w14:paraId="49705266">
            <w:pPr>
              <w:widowControl w:val="0"/>
              <w:spacing w:line="360" w:lineRule="auto"/>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2.1.3</w:t>
            </w:r>
          </w:p>
        </w:tc>
        <w:tc>
          <w:tcPr>
            <w:tcW w:w="1336" w:type="dxa"/>
            <w:vMerge w:val="restart"/>
            <w:noWrap w:val="0"/>
            <w:vAlign w:val="center"/>
          </w:tcPr>
          <w:p w14:paraId="53DC35E6">
            <w:pPr>
              <w:widowControl w:val="0"/>
              <w:spacing w:line="360" w:lineRule="auto"/>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电池管理</w:t>
            </w:r>
          </w:p>
        </w:tc>
        <w:tc>
          <w:tcPr>
            <w:tcW w:w="7111" w:type="dxa"/>
            <w:noWrap w:val="0"/>
            <w:vAlign w:val="top"/>
          </w:tcPr>
          <w:p w14:paraId="3A61AE4F">
            <w:pPr>
              <w:widowControl w:val="0"/>
              <w:spacing w:line="360" w:lineRule="auto"/>
              <w:jc w:val="both"/>
              <w:rPr>
                <w:color w:val="auto"/>
                <w:highlight w:val="none"/>
                <w:lang w:eastAsia="zh-CN"/>
              </w:rPr>
            </w:pPr>
            <w:r>
              <w:rPr>
                <w:rFonts w:hint="eastAsia" w:ascii="宋体" w:hAnsi="宋体" w:eastAsia="宋体" w:cs="宋体"/>
                <w:color w:val="auto"/>
                <w:sz w:val="24"/>
                <w:szCs w:val="24"/>
                <w:highlight w:val="none"/>
              </w:rPr>
              <w:t>电</w:t>
            </w:r>
            <w:r>
              <w:rPr>
                <w:rFonts w:hint="eastAsia" w:ascii="宋体" w:hAnsi="宋体" w:eastAsia="宋体" w:cs="宋体"/>
                <w:strike w:val="0"/>
                <w:dstrike w:val="0"/>
                <w:color w:val="auto"/>
                <w:sz w:val="24"/>
                <w:szCs w:val="24"/>
                <w:highlight w:val="none"/>
              </w:rPr>
              <w:t>池</w:t>
            </w:r>
            <w:r>
              <w:rPr>
                <w:rFonts w:hint="eastAsia" w:ascii="宋体" w:hAnsi="宋体" w:eastAsia="宋体" w:cs="宋体"/>
                <w:color w:val="auto"/>
                <w:sz w:val="24"/>
                <w:szCs w:val="24"/>
                <w:highlight w:val="none"/>
              </w:rPr>
              <w:t xml:space="preserve">容量 ≥ </w:t>
            </w:r>
            <w:r>
              <w:rPr>
                <w:rFonts w:hint="eastAsia" w:ascii="宋体" w:hAnsi="宋体" w:eastAsia="宋体" w:cs="宋体"/>
                <w:color w:val="auto"/>
                <w:sz w:val="24"/>
                <w:szCs w:val="24"/>
                <w:highlight w:val="none"/>
                <w:lang w:eastAsia="zh-CN"/>
              </w:rPr>
              <w:t>35</w:t>
            </w:r>
            <w:r>
              <w:rPr>
                <w:rFonts w:hint="eastAsia" w:ascii="宋体" w:hAnsi="宋体" w:eastAsia="宋体" w:cs="宋体"/>
                <w:color w:val="auto"/>
                <w:sz w:val="24"/>
                <w:szCs w:val="24"/>
                <w:highlight w:val="none"/>
              </w:rPr>
              <w:t>Ah</w:t>
            </w:r>
            <w:r>
              <w:rPr>
                <w:rFonts w:hint="eastAsia" w:ascii="宋体" w:hAnsi="宋体" w:eastAsia="宋体" w:cs="宋体"/>
                <w:color w:val="auto"/>
                <w:sz w:val="24"/>
                <w:szCs w:val="24"/>
                <w:highlight w:val="none"/>
                <w:lang w:eastAsia="zh-CN"/>
              </w:rPr>
              <w:t>；</w:t>
            </w:r>
          </w:p>
        </w:tc>
      </w:tr>
      <w:tr w14:paraId="29C3A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7D4981D3">
            <w:pPr>
              <w:widowControl w:val="0"/>
              <w:spacing w:line="360" w:lineRule="auto"/>
              <w:jc w:val="center"/>
              <w:rPr>
                <w:rFonts w:hint="eastAsia" w:ascii="宋体" w:hAnsi="宋体" w:eastAsia="宋体" w:cs="宋体"/>
                <w:color w:val="auto"/>
                <w:kern w:val="2"/>
                <w:sz w:val="24"/>
                <w:szCs w:val="24"/>
                <w:highlight w:val="none"/>
                <w:lang w:eastAsia="zh-CN"/>
              </w:rPr>
            </w:pPr>
          </w:p>
        </w:tc>
        <w:tc>
          <w:tcPr>
            <w:tcW w:w="1336" w:type="dxa"/>
            <w:vMerge w:val="continue"/>
            <w:noWrap w:val="0"/>
            <w:vAlign w:val="center"/>
          </w:tcPr>
          <w:p w14:paraId="48CA354D">
            <w:pPr>
              <w:widowControl w:val="0"/>
              <w:spacing w:line="360" w:lineRule="auto"/>
              <w:jc w:val="center"/>
              <w:rPr>
                <w:rFonts w:hint="eastAsia" w:ascii="宋体" w:hAnsi="宋体" w:eastAsia="宋体" w:cs="宋体"/>
                <w:color w:val="auto"/>
                <w:kern w:val="2"/>
                <w:sz w:val="24"/>
                <w:szCs w:val="24"/>
                <w:highlight w:val="none"/>
                <w:lang w:eastAsia="zh-CN"/>
              </w:rPr>
            </w:pPr>
          </w:p>
        </w:tc>
        <w:tc>
          <w:tcPr>
            <w:tcW w:w="7111" w:type="dxa"/>
            <w:noWrap w:val="0"/>
            <w:vAlign w:val="top"/>
          </w:tcPr>
          <w:p w14:paraId="63DA6200">
            <w:pPr>
              <w:widowControl w:val="0"/>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kern w:val="24"/>
                <w:sz w:val="24"/>
                <w:szCs w:val="24"/>
                <w:highlight w:val="none"/>
                <w:lang w:eastAsia="zh-CN"/>
              </w:rPr>
              <w:t>机器人采用磷酸铁锂电池，连续工作</w:t>
            </w:r>
            <w:r>
              <w:rPr>
                <w:rFonts w:hint="eastAsia" w:ascii="宋体" w:hAnsi="宋体" w:eastAsia="宋体" w:cs="宋体"/>
                <w:color w:val="auto"/>
                <w:sz w:val="24"/>
                <w:szCs w:val="24"/>
                <w:highlight w:val="none"/>
                <w:lang w:eastAsia="zh-CN"/>
              </w:rPr>
              <w:t>≥8</w:t>
            </w:r>
            <w:r>
              <w:rPr>
                <w:rFonts w:hint="eastAsia" w:ascii="宋体" w:hAnsi="宋体" w:eastAsia="宋体" w:cs="宋体"/>
                <w:color w:val="auto"/>
                <w:kern w:val="24"/>
                <w:sz w:val="24"/>
                <w:szCs w:val="24"/>
                <w:highlight w:val="none"/>
                <w:lang w:eastAsia="zh-CN"/>
              </w:rPr>
              <w:t>小时</w:t>
            </w:r>
            <w:r>
              <w:rPr>
                <w:rFonts w:hint="eastAsia" w:ascii="宋体" w:hAnsi="宋体" w:eastAsia="宋体" w:cs="宋体"/>
                <w:color w:val="auto"/>
                <w:sz w:val="24"/>
                <w:szCs w:val="24"/>
                <w:highlight w:val="none"/>
                <w:lang w:eastAsia="zh-CN"/>
              </w:rPr>
              <w:t>；</w:t>
            </w:r>
          </w:p>
        </w:tc>
      </w:tr>
      <w:tr w14:paraId="26D59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33D7FD3D">
            <w:pPr>
              <w:widowControl w:val="0"/>
              <w:spacing w:line="360" w:lineRule="auto"/>
              <w:jc w:val="center"/>
              <w:rPr>
                <w:rFonts w:hint="eastAsia" w:ascii="宋体" w:hAnsi="宋体" w:eastAsia="宋体" w:cs="宋体"/>
                <w:color w:val="auto"/>
                <w:kern w:val="2"/>
                <w:sz w:val="24"/>
                <w:szCs w:val="24"/>
                <w:highlight w:val="none"/>
                <w:lang w:eastAsia="zh-CN"/>
              </w:rPr>
            </w:pPr>
          </w:p>
        </w:tc>
        <w:tc>
          <w:tcPr>
            <w:tcW w:w="1336" w:type="dxa"/>
            <w:vMerge w:val="continue"/>
            <w:noWrap w:val="0"/>
            <w:vAlign w:val="center"/>
          </w:tcPr>
          <w:p w14:paraId="54683106">
            <w:pPr>
              <w:widowControl w:val="0"/>
              <w:spacing w:line="360" w:lineRule="auto"/>
              <w:jc w:val="center"/>
              <w:rPr>
                <w:rFonts w:hint="eastAsia" w:ascii="宋体" w:hAnsi="宋体" w:eastAsia="宋体" w:cs="宋体"/>
                <w:color w:val="auto"/>
                <w:kern w:val="2"/>
                <w:sz w:val="24"/>
                <w:szCs w:val="24"/>
                <w:highlight w:val="none"/>
                <w:lang w:eastAsia="zh-CN"/>
              </w:rPr>
            </w:pPr>
          </w:p>
        </w:tc>
        <w:tc>
          <w:tcPr>
            <w:tcW w:w="7111" w:type="dxa"/>
            <w:noWrap w:val="0"/>
            <w:vAlign w:val="top"/>
          </w:tcPr>
          <w:p w14:paraId="4C95FD55">
            <w:pPr>
              <w:widowControl w:val="0"/>
              <w:spacing w:line="360" w:lineRule="auto"/>
              <w:jc w:val="both"/>
              <w:rPr>
                <w:rFonts w:hint="eastAsia" w:ascii="宋体" w:hAnsi="宋体" w:eastAsia="宋体" w:cs="宋体"/>
                <w:color w:val="auto"/>
                <w:kern w:val="24"/>
                <w:sz w:val="24"/>
                <w:szCs w:val="24"/>
                <w:highlight w:val="none"/>
                <w:lang w:eastAsia="zh-CN"/>
              </w:rPr>
            </w:pPr>
            <w:r>
              <w:rPr>
                <w:rFonts w:hint="eastAsia" w:ascii="宋体" w:hAnsi="宋体" w:eastAsia="宋体" w:cs="宋体"/>
                <w:color w:val="auto"/>
                <w:kern w:val="24"/>
                <w:sz w:val="24"/>
                <w:szCs w:val="24"/>
                <w:highlight w:val="none"/>
                <w:lang w:eastAsia="zh-CN"/>
              </w:rPr>
              <w:t>机器人一次充电时长≤4h；</w:t>
            </w:r>
          </w:p>
        </w:tc>
      </w:tr>
      <w:tr w14:paraId="72942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1AACA7E9">
            <w:pPr>
              <w:widowControl w:val="0"/>
              <w:spacing w:line="360" w:lineRule="auto"/>
              <w:jc w:val="center"/>
              <w:rPr>
                <w:rFonts w:hint="eastAsia" w:ascii="宋体" w:hAnsi="宋体" w:eastAsia="宋体" w:cs="宋体"/>
                <w:color w:val="auto"/>
                <w:kern w:val="2"/>
                <w:sz w:val="24"/>
                <w:szCs w:val="24"/>
                <w:highlight w:val="none"/>
                <w:lang w:eastAsia="zh-CN"/>
              </w:rPr>
            </w:pPr>
          </w:p>
        </w:tc>
        <w:tc>
          <w:tcPr>
            <w:tcW w:w="1336" w:type="dxa"/>
            <w:vMerge w:val="continue"/>
            <w:noWrap w:val="0"/>
            <w:vAlign w:val="center"/>
          </w:tcPr>
          <w:p w14:paraId="638CA787">
            <w:pPr>
              <w:widowControl w:val="0"/>
              <w:spacing w:line="360" w:lineRule="auto"/>
              <w:jc w:val="center"/>
              <w:rPr>
                <w:rFonts w:hint="eastAsia" w:ascii="宋体" w:hAnsi="宋体" w:eastAsia="宋体" w:cs="宋体"/>
                <w:color w:val="auto"/>
                <w:kern w:val="2"/>
                <w:sz w:val="24"/>
                <w:szCs w:val="24"/>
                <w:highlight w:val="none"/>
                <w:lang w:eastAsia="zh-CN"/>
              </w:rPr>
            </w:pPr>
          </w:p>
        </w:tc>
        <w:tc>
          <w:tcPr>
            <w:tcW w:w="7111" w:type="dxa"/>
            <w:noWrap w:val="0"/>
            <w:vAlign w:val="top"/>
          </w:tcPr>
          <w:p w14:paraId="18FA8CE8">
            <w:pPr>
              <w:widowControl w:val="0"/>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机器人具有自动充电、手动充电两种充电模式；</w:t>
            </w:r>
          </w:p>
        </w:tc>
      </w:tr>
      <w:tr w14:paraId="37992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3DFA5399">
            <w:pPr>
              <w:widowControl w:val="0"/>
              <w:spacing w:line="360" w:lineRule="auto"/>
              <w:jc w:val="center"/>
              <w:rPr>
                <w:rFonts w:hint="eastAsia" w:ascii="宋体" w:hAnsi="宋体" w:eastAsia="宋体" w:cs="宋体"/>
                <w:color w:val="auto"/>
                <w:kern w:val="2"/>
                <w:sz w:val="24"/>
                <w:szCs w:val="24"/>
                <w:highlight w:val="none"/>
                <w:lang w:eastAsia="zh-CN"/>
              </w:rPr>
            </w:pPr>
          </w:p>
        </w:tc>
        <w:tc>
          <w:tcPr>
            <w:tcW w:w="1336" w:type="dxa"/>
            <w:vMerge w:val="continue"/>
            <w:noWrap w:val="0"/>
            <w:vAlign w:val="top"/>
          </w:tcPr>
          <w:p w14:paraId="302E2FE4">
            <w:pPr>
              <w:widowControl w:val="0"/>
              <w:spacing w:line="360" w:lineRule="auto"/>
              <w:jc w:val="center"/>
              <w:rPr>
                <w:rFonts w:hint="eastAsia" w:ascii="宋体" w:hAnsi="宋体" w:eastAsia="宋体" w:cs="宋体"/>
                <w:color w:val="auto"/>
                <w:kern w:val="2"/>
                <w:sz w:val="24"/>
                <w:szCs w:val="24"/>
                <w:highlight w:val="none"/>
                <w:lang w:eastAsia="zh-CN"/>
              </w:rPr>
            </w:pPr>
          </w:p>
        </w:tc>
        <w:tc>
          <w:tcPr>
            <w:tcW w:w="7111" w:type="dxa"/>
            <w:noWrap w:val="0"/>
            <w:vAlign w:val="top"/>
          </w:tcPr>
          <w:p w14:paraId="50A09E08">
            <w:pPr>
              <w:pStyle w:val="12"/>
              <w:widowControl w:val="0"/>
              <w:ind w:left="0" w:leftChars="0" w:firstLine="0" w:firstLineChars="0"/>
              <w:jc w:val="left"/>
              <w:rPr>
                <w:rFonts w:hint="default"/>
                <w:color w:val="auto"/>
                <w:highlight w:val="none"/>
                <w:lang w:val="en-US" w:eastAsia="zh-CN"/>
              </w:rPr>
            </w:pPr>
            <w:r>
              <w:rPr>
                <w:rFonts w:hint="eastAsia" w:ascii="宋体" w:hAnsi="宋体" w:eastAsia="宋体" w:cs="宋体"/>
                <w:color w:val="auto"/>
                <w:sz w:val="24"/>
                <w:szCs w:val="24"/>
                <w:highlight w:val="none"/>
                <w:lang w:eastAsia="zh-CN"/>
              </w:rPr>
              <w:t>充电桩的尺寸：</w:t>
            </w:r>
            <w:r>
              <w:rPr>
                <w:rFonts w:hint="eastAsia" w:ascii="宋体" w:hAnsi="宋体" w:eastAsia="宋体" w:cs="宋体"/>
                <w:color w:val="auto"/>
                <w:sz w:val="24"/>
                <w:szCs w:val="24"/>
                <w:highlight w:val="none"/>
                <w:lang w:val="en-US" w:eastAsia="zh-CN"/>
              </w:rPr>
              <w:t>符合现场要求</w:t>
            </w:r>
          </w:p>
        </w:tc>
      </w:tr>
      <w:tr w14:paraId="1C5DA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71A562E6">
            <w:pPr>
              <w:widowControl w:val="0"/>
              <w:spacing w:line="360" w:lineRule="auto"/>
              <w:jc w:val="center"/>
              <w:rPr>
                <w:rFonts w:hint="eastAsia" w:ascii="宋体" w:hAnsi="宋体" w:eastAsia="宋体" w:cs="宋体"/>
                <w:color w:val="auto"/>
                <w:kern w:val="2"/>
                <w:sz w:val="24"/>
                <w:szCs w:val="24"/>
                <w:highlight w:val="none"/>
                <w:lang w:eastAsia="zh-CN"/>
              </w:rPr>
            </w:pPr>
          </w:p>
        </w:tc>
        <w:tc>
          <w:tcPr>
            <w:tcW w:w="1336" w:type="dxa"/>
            <w:vMerge w:val="continue"/>
            <w:noWrap w:val="0"/>
            <w:vAlign w:val="top"/>
          </w:tcPr>
          <w:p w14:paraId="4311B34A">
            <w:pPr>
              <w:widowControl w:val="0"/>
              <w:spacing w:line="360" w:lineRule="auto"/>
              <w:jc w:val="center"/>
              <w:rPr>
                <w:rFonts w:hint="eastAsia" w:ascii="宋体" w:hAnsi="宋体" w:eastAsia="宋体" w:cs="宋体"/>
                <w:color w:val="auto"/>
                <w:kern w:val="2"/>
                <w:sz w:val="24"/>
                <w:szCs w:val="24"/>
                <w:highlight w:val="none"/>
                <w:lang w:eastAsia="zh-CN"/>
              </w:rPr>
            </w:pPr>
          </w:p>
        </w:tc>
        <w:tc>
          <w:tcPr>
            <w:tcW w:w="7111" w:type="dxa"/>
            <w:noWrap w:val="0"/>
            <w:vAlign w:val="top"/>
          </w:tcPr>
          <w:p w14:paraId="50BB20B2">
            <w:pPr>
              <w:widowControl w:val="0"/>
              <w:spacing w:line="360"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无机器人充电时充电桩不导电，具备自动保护功能；</w:t>
            </w:r>
          </w:p>
        </w:tc>
      </w:tr>
      <w:tr w14:paraId="556B3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0DBB19DA">
            <w:pPr>
              <w:widowControl w:val="0"/>
              <w:spacing w:line="360" w:lineRule="auto"/>
              <w:jc w:val="center"/>
              <w:rPr>
                <w:rFonts w:hint="eastAsia" w:ascii="宋体" w:hAnsi="宋体" w:eastAsia="宋体" w:cs="宋体"/>
                <w:color w:val="auto"/>
                <w:kern w:val="2"/>
                <w:sz w:val="24"/>
                <w:szCs w:val="24"/>
                <w:highlight w:val="none"/>
                <w:lang w:eastAsia="zh-CN"/>
              </w:rPr>
            </w:pPr>
          </w:p>
        </w:tc>
        <w:tc>
          <w:tcPr>
            <w:tcW w:w="1336" w:type="dxa"/>
            <w:vMerge w:val="continue"/>
            <w:noWrap w:val="0"/>
            <w:vAlign w:val="top"/>
          </w:tcPr>
          <w:p w14:paraId="5D950390">
            <w:pPr>
              <w:widowControl w:val="0"/>
              <w:spacing w:line="360" w:lineRule="auto"/>
              <w:jc w:val="center"/>
              <w:rPr>
                <w:rFonts w:hint="eastAsia" w:ascii="宋体" w:hAnsi="宋体" w:eastAsia="宋体" w:cs="宋体"/>
                <w:color w:val="auto"/>
                <w:kern w:val="2"/>
                <w:sz w:val="24"/>
                <w:szCs w:val="24"/>
                <w:highlight w:val="none"/>
                <w:lang w:eastAsia="zh-CN"/>
              </w:rPr>
            </w:pPr>
          </w:p>
        </w:tc>
        <w:tc>
          <w:tcPr>
            <w:tcW w:w="7111" w:type="dxa"/>
            <w:noWrap w:val="0"/>
            <w:vAlign w:val="top"/>
          </w:tcPr>
          <w:p w14:paraId="027B5C91">
            <w:pPr>
              <w:widowControl w:val="0"/>
              <w:spacing w:line="360" w:lineRule="auto"/>
              <w:jc w:val="both"/>
              <w:rPr>
                <w:color w:val="auto"/>
                <w:highlight w:val="none"/>
                <w:lang w:eastAsia="zh-CN"/>
              </w:rPr>
            </w:pPr>
            <w:r>
              <w:rPr>
                <w:rFonts w:hint="eastAsia" w:ascii="宋体" w:hAnsi="宋体" w:eastAsia="宋体" w:cs="宋体"/>
                <w:color w:val="auto"/>
                <w:sz w:val="24"/>
                <w:szCs w:val="24"/>
                <w:highlight w:val="none"/>
                <w:lang w:eastAsia="zh-CN"/>
              </w:rPr>
              <w:t>充电电极两组，对称前后布置，任意一组均可实现机器人自动充电；</w:t>
            </w:r>
          </w:p>
        </w:tc>
      </w:tr>
      <w:tr w14:paraId="5AF0F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trPr>
        <w:tc>
          <w:tcPr>
            <w:tcW w:w="936" w:type="dxa"/>
            <w:vMerge w:val="continue"/>
            <w:noWrap w:val="0"/>
            <w:vAlign w:val="center"/>
          </w:tcPr>
          <w:p w14:paraId="1369C10F">
            <w:pPr>
              <w:widowControl w:val="0"/>
              <w:spacing w:line="360" w:lineRule="auto"/>
              <w:jc w:val="center"/>
              <w:rPr>
                <w:rFonts w:hint="eastAsia" w:ascii="宋体" w:hAnsi="宋体" w:eastAsia="宋体" w:cs="宋体"/>
                <w:color w:val="auto"/>
                <w:kern w:val="2"/>
                <w:sz w:val="24"/>
                <w:szCs w:val="24"/>
                <w:highlight w:val="none"/>
                <w:lang w:eastAsia="zh-CN"/>
              </w:rPr>
            </w:pPr>
          </w:p>
        </w:tc>
        <w:tc>
          <w:tcPr>
            <w:tcW w:w="1336" w:type="dxa"/>
            <w:vMerge w:val="continue"/>
            <w:noWrap w:val="0"/>
            <w:vAlign w:val="top"/>
          </w:tcPr>
          <w:p w14:paraId="599B2F33">
            <w:pPr>
              <w:widowControl w:val="0"/>
              <w:spacing w:line="360" w:lineRule="auto"/>
              <w:jc w:val="center"/>
              <w:rPr>
                <w:rFonts w:hint="eastAsia" w:ascii="宋体" w:hAnsi="宋体" w:eastAsia="宋体" w:cs="宋体"/>
                <w:color w:val="auto"/>
                <w:kern w:val="2"/>
                <w:sz w:val="24"/>
                <w:szCs w:val="24"/>
                <w:highlight w:val="none"/>
                <w:lang w:eastAsia="zh-CN"/>
              </w:rPr>
            </w:pPr>
          </w:p>
        </w:tc>
        <w:tc>
          <w:tcPr>
            <w:tcW w:w="7111" w:type="dxa"/>
            <w:noWrap w:val="0"/>
            <w:vAlign w:val="top"/>
          </w:tcPr>
          <w:p w14:paraId="3721A912">
            <w:pPr>
              <w:widowControl w:val="0"/>
              <w:spacing w:line="360"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当机器人在运行过程中，检测到电量过低，或机器人处于空闲状态，系统将会自动调度机器人前往充电区域自动充电，无需人为操作。</w:t>
            </w:r>
          </w:p>
        </w:tc>
      </w:tr>
      <w:tr w14:paraId="4A964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9383" w:type="dxa"/>
            <w:gridSpan w:val="3"/>
            <w:noWrap w:val="0"/>
            <w:vAlign w:val="center"/>
          </w:tcPr>
          <w:p w14:paraId="06B80297">
            <w:pPr>
              <w:widowControl w:val="0"/>
              <w:spacing w:line="360" w:lineRule="auto"/>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2.2</w:t>
            </w:r>
            <w:r>
              <w:rPr>
                <w:rFonts w:hint="eastAsia" w:ascii="宋体" w:hAnsi="宋体" w:eastAsia="宋体" w:cs="宋体"/>
                <w:b/>
                <w:color w:val="auto"/>
                <w:sz w:val="24"/>
                <w:szCs w:val="24"/>
                <w:highlight w:val="none"/>
                <w:lang w:eastAsia="zh-CN"/>
              </w:rPr>
              <w:t>智能</w:t>
            </w:r>
            <w:r>
              <w:rPr>
                <w:rFonts w:hint="eastAsia" w:ascii="宋体" w:hAnsi="宋体" w:eastAsia="宋体" w:cs="宋体"/>
                <w:b/>
                <w:color w:val="auto"/>
                <w:sz w:val="24"/>
                <w:szCs w:val="24"/>
                <w:highlight w:val="none"/>
              </w:rPr>
              <w:t>调度控制系统</w:t>
            </w:r>
          </w:p>
        </w:tc>
      </w:tr>
      <w:tr w14:paraId="472AE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trPr>
        <w:tc>
          <w:tcPr>
            <w:tcW w:w="936" w:type="dxa"/>
            <w:vMerge w:val="restart"/>
            <w:noWrap w:val="0"/>
            <w:vAlign w:val="center"/>
          </w:tcPr>
          <w:p w14:paraId="0328ABC0">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2.2.1</w:t>
            </w:r>
          </w:p>
        </w:tc>
        <w:tc>
          <w:tcPr>
            <w:tcW w:w="1336" w:type="dxa"/>
            <w:vMerge w:val="restart"/>
            <w:noWrap w:val="0"/>
            <w:vAlign w:val="center"/>
          </w:tcPr>
          <w:p w14:paraId="03E3F604">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调度监控</w:t>
            </w:r>
          </w:p>
        </w:tc>
        <w:tc>
          <w:tcPr>
            <w:tcW w:w="7111" w:type="dxa"/>
            <w:noWrap w:val="0"/>
            <w:vAlign w:val="center"/>
          </w:tcPr>
          <w:p w14:paraId="05608CA1">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调度系统对区域内不同类型的机器人进行交通管制，对区域和点位进入机器人容量进行管控，避免在狭窄区域，单行道区域发生交通堵塞</w:t>
            </w:r>
            <w:r>
              <w:rPr>
                <w:rFonts w:hint="eastAsia" w:ascii="宋体" w:hAnsi="宋体" w:eastAsia="宋体" w:cs="宋体"/>
                <w:color w:val="auto"/>
                <w:sz w:val="24"/>
                <w:szCs w:val="24"/>
                <w:highlight w:val="none"/>
                <w:lang w:val="en-US" w:eastAsia="zh-CN"/>
              </w:rPr>
              <w:t>的情</w:t>
            </w:r>
            <w:r>
              <w:rPr>
                <w:rFonts w:hint="eastAsia" w:ascii="宋体" w:hAnsi="宋体" w:eastAsia="宋体" w:cs="宋体"/>
                <w:color w:val="auto"/>
                <w:sz w:val="24"/>
                <w:szCs w:val="24"/>
                <w:highlight w:val="none"/>
                <w:lang w:eastAsia="zh-CN"/>
              </w:rPr>
              <w:t>况。</w:t>
            </w:r>
          </w:p>
        </w:tc>
      </w:tr>
      <w:tr w14:paraId="5A53F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65166279">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0C69B8E2">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05058EAF">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可通过调度系统远程创建目的地，创建任务并将指定的机器人调度到目的位置。</w:t>
            </w:r>
          </w:p>
        </w:tc>
      </w:tr>
      <w:tr w14:paraId="48755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6EBC8024">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3922A438">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4BE45D0F">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机器人后台服务可以显示机器人名称、与服务器连接状态、运行状态，任务码、电量显示、报警内容、设备编号等，并可根据设备的不同状态显示不同的颜色，提示维护人员注意。</w:t>
            </w:r>
          </w:p>
        </w:tc>
      </w:tr>
      <w:tr w14:paraId="0E7D6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618A3454">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39515E09">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4E42CAC9">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在客户端、服务器系统环境及网络正常情况下，客户端发送指令到创建任务的时间≤500ms。</w:t>
            </w:r>
          </w:p>
        </w:tc>
      </w:tr>
      <w:tr w14:paraId="6FBFD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2E15872E">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5D3263DA">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2741C67A">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在客户端、服务器系统环境及网络正常情况下，主任务到路由生成的时间≤500ms。</w:t>
            </w:r>
          </w:p>
        </w:tc>
      </w:tr>
      <w:tr w14:paraId="4DCF0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738B9BED">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62462F0D">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3B573F9E">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可通过调度系统，实时查看机器人运行位置。</w:t>
            </w:r>
          </w:p>
        </w:tc>
      </w:tr>
      <w:tr w14:paraId="4469B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0477344F">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2F7C8350">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1CFE50FC">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在客户端、服务器系统环境及网络正常情况下，狭窄通道会车等待完成后启动的时间≤1000ms。</w:t>
            </w:r>
          </w:p>
        </w:tc>
      </w:tr>
      <w:tr w14:paraId="63CB9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5E08D29B">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69C6FAA9">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65270704">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在客户端、服务器系统环境及网络正常情况下，系统路径生成的时间≤500ms。</w:t>
            </w:r>
          </w:p>
        </w:tc>
      </w:tr>
      <w:tr w14:paraId="7DFD8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0DFF5C77">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4A320099">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035FC404">
            <w:pPr>
              <w:widowControl w:val="0"/>
              <w:spacing w:line="360"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可通过调度系统，</w:t>
            </w:r>
            <w:r>
              <w:rPr>
                <w:rFonts w:hint="eastAsia" w:ascii="宋体" w:hAnsi="宋体" w:eastAsia="宋体" w:cs="宋体"/>
                <w:color w:val="auto"/>
                <w:sz w:val="24"/>
                <w:szCs w:val="24"/>
                <w:highlight w:val="none"/>
                <w:lang w:eastAsia="zh-CN" w:bidi="ar"/>
              </w:rPr>
              <w:t>查询每台机器人任务执行情况，包括执行任务的机器人名称、任务类型、起始位置、目的位置。任务状态、开始和结束时间、用时时长、是否超时、创建人、取货人信息等。</w:t>
            </w:r>
          </w:p>
        </w:tc>
      </w:tr>
      <w:tr w14:paraId="06D7C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644699F8">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2A6497AC">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44C09EAB">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可以对机器人环境的网络进行监控记录，系统可输出包括丢包率和延时率等参数，并可绘制网络质量曲线图，协助判断网络质量。</w:t>
            </w:r>
          </w:p>
        </w:tc>
      </w:tr>
      <w:tr w14:paraId="04D85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restart"/>
            <w:noWrap w:val="0"/>
            <w:vAlign w:val="center"/>
          </w:tcPr>
          <w:p w14:paraId="0D07D0FE">
            <w:pPr>
              <w:widowControl w:val="0"/>
              <w:spacing w:line="360" w:lineRule="auto"/>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2.2.2</w:t>
            </w:r>
          </w:p>
        </w:tc>
        <w:tc>
          <w:tcPr>
            <w:tcW w:w="1336" w:type="dxa"/>
            <w:vMerge w:val="restart"/>
            <w:noWrap w:val="0"/>
            <w:vAlign w:val="center"/>
          </w:tcPr>
          <w:p w14:paraId="5D4FAA68">
            <w:pPr>
              <w:widowControl w:val="0"/>
              <w:spacing w:line="360"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rPr>
              <w:t>系统设置</w:t>
            </w:r>
          </w:p>
        </w:tc>
        <w:tc>
          <w:tcPr>
            <w:tcW w:w="7111" w:type="dxa"/>
            <w:noWrap w:val="0"/>
            <w:vAlign w:val="center"/>
          </w:tcPr>
          <w:p w14:paraId="144ED5A1">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系统可通过短信的方式自动发送机器人故障、物资运送信息、任务执行信息等信息给相关人员。</w:t>
            </w:r>
          </w:p>
        </w:tc>
      </w:tr>
      <w:tr w14:paraId="7B4F9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284ABBAD">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59D3C8D3">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3DB185DD">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系统具备模拟任务测试功能，所有接入到系统的机器人将按照作业点位进行自动呼车，自动交管会车，自动到达目的地下货，不断循环，测试系统配置的正确性和系统能承受的最大压力，简化测试人员测试操作，提高测试效率，缩短交付周期。</w:t>
            </w:r>
          </w:p>
        </w:tc>
      </w:tr>
      <w:tr w14:paraId="67550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restart"/>
            <w:noWrap w:val="0"/>
            <w:vAlign w:val="center"/>
          </w:tcPr>
          <w:p w14:paraId="45E6C65E">
            <w:pPr>
              <w:widowControl w:val="0"/>
              <w:spacing w:line="360" w:lineRule="auto"/>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2.2.3</w:t>
            </w:r>
          </w:p>
        </w:tc>
        <w:tc>
          <w:tcPr>
            <w:tcW w:w="1336" w:type="dxa"/>
            <w:vMerge w:val="restart"/>
            <w:noWrap w:val="0"/>
            <w:vAlign w:val="center"/>
          </w:tcPr>
          <w:p w14:paraId="040A63C2">
            <w:pPr>
              <w:widowControl w:val="0"/>
              <w:spacing w:line="360" w:lineRule="auto"/>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梯控系统</w:t>
            </w:r>
          </w:p>
        </w:tc>
        <w:tc>
          <w:tcPr>
            <w:tcW w:w="7111" w:type="dxa"/>
            <w:noWrap w:val="0"/>
            <w:vAlign w:val="center"/>
          </w:tcPr>
          <w:p w14:paraId="65EB5AF4">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机器人梯控系统采用Wifi、Lora技术进行通讯；</w:t>
            </w:r>
          </w:p>
        </w:tc>
      </w:tr>
      <w:tr w14:paraId="64AC7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37455AE2">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0EEC785B">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2E21A5EE">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机器人可实现自主乘梯功能，且不影响电梯的安全运行。</w:t>
            </w:r>
          </w:p>
        </w:tc>
      </w:tr>
      <w:tr w14:paraId="0434F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698C9C08">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0B90C74C">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4E371711">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机器人可以获取电梯的运行状态，自主有序排队上下电梯，不会同时驶入电梯造成拥挤。</w:t>
            </w:r>
          </w:p>
        </w:tc>
      </w:tr>
      <w:tr w14:paraId="2BBB1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65D6FE45">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2511CB86">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0510F74A">
            <w:pPr>
              <w:widowControl w:val="0"/>
              <w:kinsoku/>
              <w:autoSpaceDE/>
              <w:autoSpaceDN/>
              <w:adjustRightInd/>
              <w:snapToGrid/>
              <w:spacing w:line="360" w:lineRule="auto"/>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eastAsia="zh-CN"/>
              </w:rPr>
              <w:t>系统支持与多种电梯对接，可控制梯控系统对电梯进行呼叫，请求开门，状态监控，获取电梯楼层信息，梯门状态等</w:t>
            </w:r>
            <w:r>
              <w:rPr>
                <w:rFonts w:hint="eastAsia" w:ascii="宋体" w:hAnsi="宋体" w:eastAsia="宋体" w:cs="宋体"/>
                <w:b w:val="0"/>
                <w:bCs w:val="0"/>
                <w:color w:val="auto"/>
                <w:sz w:val="24"/>
                <w:szCs w:val="24"/>
                <w:highlight w:val="none"/>
              </w:rPr>
              <w:t xml:space="preserve"> </w:t>
            </w:r>
          </w:p>
          <w:p w14:paraId="7A779C6F">
            <w:pPr>
              <w:widowControl w:val="0"/>
              <w:kinsoku/>
              <w:autoSpaceDE/>
              <w:autoSpaceDN/>
              <w:adjustRightInd/>
              <w:snapToGrid/>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3"/>
                <w:szCs w:val="23"/>
                <w:highlight w:val="none"/>
                <w:vertAlign w:val="baseline"/>
                <w:lang w:eastAsia="zh-CN"/>
              </w:rPr>
              <w:t>承诺中标后提供检测报告（</w:t>
            </w:r>
            <w:r>
              <w:rPr>
                <w:rFonts w:hint="eastAsia" w:ascii="宋体" w:hAnsi="宋体" w:eastAsia="宋体" w:cs="宋体"/>
                <w:b/>
                <w:bCs/>
                <w:color w:val="auto"/>
                <w:sz w:val="23"/>
                <w:szCs w:val="23"/>
                <w:highlight w:val="none"/>
                <w:vertAlign w:val="baseline"/>
                <w:lang w:val="en-US" w:eastAsia="zh-CN"/>
              </w:rPr>
              <w:t>承诺函</w:t>
            </w:r>
            <w:r>
              <w:rPr>
                <w:rFonts w:hint="eastAsia" w:ascii="宋体" w:hAnsi="宋体" w:eastAsia="宋体" w:cs="宋体"/>
                <w:b/>
                <w:bCs/>
                <w:color w:val="auto"/>
                <w:sz w:val="23"/>
                <w:szCs w:val="23"/>
                <w:highlight w:val="none"/>
                <w:vertAlign w:val="baseline"/>
                <w:lang w:eastAsia="zh-CN"/>
              </w:rPr>
              <w:t>格式自拟）</w:t>
            </w:r>
          </w:p>
        </w:tc>
      </w:tr>
      <w:tr w14:paraId="7B2BC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315253DA">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4A49E69E">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0A60B1A2">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cs="宋体"/>
                <w:strike w:val="0"/>
                <w:dstrike w:val="0"/>
                <w:color w:val="auto"/>
                <w:sz w:val="24"/>
                <w:szCs w:val="24"/>
                <w:highlight w:val="none"/>
                <w:lang w:val="en-US" w:eastAsia="zh-CN"/>
              </w:rPr>
              <w:t>完成</w:t>
            </w:r>
            <w:r>
              <w:rPr>
                <w:rFonts w:hint="eastAsia" w:ascii="宋体" w:hAnsi="宋体" w:eastAsia="宋体" w:cs="宋体"/>
                <w:color w:val="auto"/>
                <w:sz w:val="24"/>
                <w:szCs w:val="24"/>
                <w:highlight w:val="none"/>
                <w:lang w:eastAsia="zh-CN"/>
              </w:rPr>
              <w:t>电梯控制功能，电梯可自主接收机器人乘梯需求，完成机器人乘梯任务；机器人进出电梯时，电梯控制系统能保持电梯门处于打开状态；机器人完成乘梯任务，电梯控制系统应自动释放电梯资源，电梯进入待命状态；</w:t>
            </w:r>
          </w:p>
        </w:tc>
      </w:tr>
      <w:tr w14:paraId="16525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restart"/>
            <w:noWrap w:val="0"/>
            <w:vAlign w:val="center"/>
          </w:tcPr>
          <w:p w14:paraId="08AB2F73">
            <w:pPr>
              <w:widowControl w:val="0"/>
              <w:spacing w:line="360" w:lineRule="auto"/>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2.2.4</w:t>
            </w:r>
          </w:p>
        </w:tc>
        <w:tc>
          <w:tcPr>
            <w:tcW w:w="1336" w:type="dxa"/>
            <w:vMerge w:val="restart"/>
            <w:noWrap w:val="0"/>
            <w:vAlign w:val="center"/>
          </w:tcPr>
          <w:p w14:paraId="7A6225FA">
            <w:pPr>
              <w:widowControl w:val="0"/>
              <w:spacing w:line="360" w:lineRule="auto"/>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门控系统</w:t>
            </w:r>
          </w:p>
        </w:tc>
        <w:tc>
          <w:tcPr>
            <w:tcW w:w="7111" w:type="dxa"/>
            <w:noWrap w:val="0"/>
            <w:vAlign w:val="center"/>
          </w:tcPr>
          <w:p w14:paraId="573A8FCC">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支持接收机器人过门指令，机器人过门过程中，自动门实时响应机器人的过门动作；</w:t>
            </w:r>
          </w:p>
        </w:tc>
      </w:tr>
      <w:tr w14:paraId="72328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01ABA66E">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6AEC3193">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0CADEC0B">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机器人门控系统采用Wifi、Lora的通讯方式；</w:t>
            </w:r>
          </w:p>
        </w:tc>
      </w:tr>
      <w:tr w14:paraId="1D226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14B4E1BC">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0A01AF4D">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600EE277">
            <w:pPr>
              <w:widowControl w:val="0"/>
              <w:kinsoku/>
              <w:autoSpaceDE/>
              <w:autoSpaceDN/>
              <w:adjustRightInd/>
              <w:snapToGrid/>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系统支持查看门控在线、离线状态，对门控做统一监控管理。</w:t>
            </w:r>
          </w:p>
          <w:p w14:paraId="1645B40F">
            <w:pPr>
              <w:widowControl w:val="0"/>
              <w:kinsoku/>
              <w:autoSpaceDE/>
              <w:autoSpaceDN/>
              <w:adjustRightInd/>
              <w:snapToGrid/>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eastAsia="zh-CN"/>
              </w:rPr>
              <w:t>承诺中标后提供检测报告（承诺函格式自拟）</w:t>
            </w:r>
          </w:p>
        </w:tc>
      </w:tr>
      <w:tr w14:paraId="78322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7AA3E641">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575FD93E">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24A845C5">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可以对门控进行远程开、关门操作。</w:t>
            </w:r>
          </w:p>
        </w:tc>
      </w:tr>
      <w:tr w14:paraId="7613C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restart"/>
            <w:noWrap w:val="0"/>
            <w:vAlign w:val="center"/>
          </w:tcPr>
          <w:p w14:paraId="2BBEE7F0">
            <w:pPr>
              <w:widowControl w:val="0"/>
              <w:spacing w:line="360" w:lineRule="auto"/>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2.2.5</w:t>
            </w:r>
          </w:p>
        </w:tc>
        <w:tc>
          <w:tcPr>
            <w:tcW w:w="1336" w:type="dxa"/>
            <w:vMerge w:val="restart"/>
            <w:noWrap w:val="0"/>
            <w:vAlign w:val="center"/>
          </w:tcPr>
          <w:p w14:paraId="178AEB7F">
            <w:pPr>
              <w:widowControl w:val="0"/>
              <w:spacing w:line="360" w:lineRule="auto"/>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分析报表</w:t>
            </w:r>
          </w:p>
        </w:tc>
        <w:tc>
          <w:tcPr>
            <w:tcW w:w="7111" w:type="dxa"/>
            <w:noWrap w:val="0"/>
            <w:vAlign w:val="center"/>
          </w:tcPr>
          <w:p w14:paraId="57F16EF7">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可通过不少于8种查询条件查询每台机器人任务执行情况，包括执行任务的机器人名称、任务类型、起始位置、目的位置、任务状态、开始和结束时间、用时时长、是否超时、创建人、取货人信息等。</w:t>
            </w:r>
          </w:p>
        </w:tc>
      </w:tr>
      <w:tr w14:paraId="3F63E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7A8AD6F1">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4340FB66">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79524709">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支持通过不少于8种不同条件对机器人预设路径信息进行查询。</w:t>
            </w:r>
          </w:p>
        </w:tc>
      </w:tr>
      <w:tr w14:paraId="18A56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4930090E">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0006671A">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3ECC1501">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系统支持通过时间范围查询每天配送任务趟次数据清单，数据清单包括日期，当天任务数，当天任务开始时间，当天任务结束时间，持续工作时长，按任务书与时间线绘制任务曲线变化图。</w:t>
            </w:r>
          </w:p>
        </w:tc>
      </w:tr>
      <w:tr w14:paraId="72FC1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1243BDD3">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025AF794">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5DDF0EA7">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系统支持通过配送目的地，时间范围为查询条件，查询科室每日任务配送趟次，包括配送科室名称，日期，配送趟次，时间与持续工作时长，选择每条科室每天配送数据，可以绘制该科室当日任务数曲线变化图；</w:t>
            </w:r>
          </w:p>
        </w:tc>
      </w:tr>
      <w:tr w14:paraId="7280D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0D3B968E">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77437987">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2187AFDF">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系统支持通过月份统计每台机器人效率分析，包括月份，机器人，任务总数，工作时长，有效工作时长，平均每笔任务耗时，设备效率比；</w:t>
            </w:r>
          </w:p>
        </w:tc>
      </w:tr>
      <w:tr w14:paraId="5077E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330658FB">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top"/>
          </w:tcPr>
          <w:p w14:paraId="0CFF1563">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286F106E">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可查询所有机器人运行里程数，充电次数，执行任务总数，并形成报表。</w:t>
            </w:r>
          </w:p>
        </w:tc>
      </w:tr>
      <w:tr w14:paraId="623DB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383" w:type="dxa"/>
            <w:gridSpan w:val="3"/>
            <w:noWrap w:val="0"/>
            <w:vAlign w:val="center"/>
          </w:tcPr>
          <w:p w14:paraId="52A77B77">
            <w:pPr>
              <w:widowControl w:val="0"/>
              <w:spacing w:line="360" w:lineRule="auto"/>
              <w:jc w:val="both"/>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eastAsia="zh-CN"/>
              </w:rPr>
              <w:t>3移动端智能交互系统</w:t>
            </w:r>
          </w:p>
        </w:tc>
      </w:tr>
      <w:tr w14:paraId="3BC82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36" w:type="dxa"/>
            <w:vMerge w:val="restart"/>
            <w:noWrap w:val="0"/>
            <w:vAlign w:val="center"/>
          </w:tcPr>
          <w:p w14:paraId="4528BB6A">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2.3.1</w:t>
            </w:r>
          </w:p>
        </w:tc>
        <w:tc>
          <w:tcPr>
            <w:tcW w:w="1336" w:type="dxa"/>
            <w:vMerge w:val="restart"/>
            <w:noWrap w:val="0"/>
            <w:vAlign w:val="center"/>
          </w:tcPr>
          <w:p w14:paraId="035BE011">
            <w:pPr>
              <w:widowControl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呼叫功能</w:t>
            </w:r>
          </w:p>
        </w:tc>
        <w:tc>
          <w:tcPr>
            <w:tcW w:w="7111" w:type="dxa"/>
            <w:noWrap w:val="0"/>
            <w:vAlign w:val="center"/>
          </w:tcPr>
          <w:p w14:paraId="69B58664">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可通过平板、手机、呼叫器等多种不同的方式呼叫机器人；</w:t>
            </w:r>
          </w:p>
        </w:tc>
      </w:tr>
      <w:tr w14:paraId="67398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936" w:type="dxa"/>
            <w:vMerge w:val="continue"/>
            <w:noWrap w:val="0"/>
            <w:vAlign w:val="center"/>
          </w:tcPr>
          <w:p w14:paraId="469E41CC">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center"/>
          </w:tcPr>
          <w:p w14:paraId="07C189E9">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0C7DB38B">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可以通过移动端APP灵活设置机器人的呼叫点位，无需复杂的系统配置；</w:t>
            </w:r>
          </w:p>
        </w:tc>
      </w:tr>
      <w:tr w14:paraId="0630C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936" w:type="dxa"/>
            <w:vMerge w:val="continue"/>
            <w:noWrap w:val="0"/>
            <w:vAlign w:val="center"/>
          </w:tcPr>
          <w:p w14:paraId="173DB921">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center"/>
          </w:tcPr>
          <w:p w14:paraId="5640C9CE">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2AF6812C">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在同一个站点，能够根据需要选择不同类型的机器人来运输物资；</w:t>
            </w:r>
          </w:p>
        </w:tc>
      </w:tr>
      <w:tr w14:paraId="6FA7F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restart"/>
            <w:noWrap w:val="0"/>
            <w:vAlign w:val="center"/>
          </w:tcPr>
          <w:p w14:paraId="24C88C01">
            <w:pPr>
              <w:widowControl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2.3.2</w:t>
            </w:r>
          </w:p>
        </w:tc>
        <w:tc>
          <w:tcPr>
            <w:tcW w:w="1336" w:type="dxa"/>
            <w:vMerge w:val="restart"/>
            <w:noWrap w:val="0"/>
            <w:vAlign w:val="center"/>
          </w:tcPr>
          <w:p w14:paraId="57107F93">
            <w:pPr>
              <w:widowControl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任务功能</w:t>
            </w:r>
          </w:p>
        </w:tc>
        <w:tc>
          <w:tcPr>
            <w:tcW w:w="7111" w:type="dxa"/>
            <w:noWrap w:val="0"/>
            <w:vAlign w:val="center"/>
          </w:tcPr>
          <w:p w14:paraId="023D1DB6">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可通过移动端查看配送任务清单，包括机器人名称，发出位置，到达位置，开始时间，结束时间，任务完成状态等；</w:t>
            </w:r>
          </w:p>
        </w:tc>
      </w:tr>
      <w:tr w14:paraId="2AD51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Merge w:val="continue"/>
            <w:noWrap w:val="0"/>
            <w:vAlign w:val="center"/>
          </w:tcPr>
          <w:p w14:paraId="5358DF82">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center"/>
          </w:tcPr>
          <w:p w14:paraId="4A4DC844">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4A230A6C">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可通过移动端查看收货任务清单，包括机器人名称，发出位置，到达位置，开始时间，结束时间，任务完成状态等；</w:t>
            </w:r>
          </w:p>
        </w:tc>
      </w:tr>
      <w:tr w14:paraId="44224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936" w:type="dxa"/>
            <w:vMerge w:val="continue"/>
            <w:noWrap w:val="0"/>
            <w:vAlign w:val="center"/>
          </w:tcPr>
          <w:p w14:paraId="581FCAE1">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center"/>
          </w:tcPr>
          <w:p w14:paraId="18A25323">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41F83E72">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可通过移动端查询特定时间段内收货与配送任务清单。</w:t>
            </w:r>
          </w:p>
        </w:tc>
      </w:tr>
      <w:tr w14:paraId="1F6D9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trPr>
        <w:tc>
          <w:tcPr>
            <w:tcW w:w="936" w:type="dxa"/>
            <w:noWrap w:val="0"/>
            <w:vAlign w:val="center"/>
          </w:tcPr>
          <w:p w14:paraId="35FD2C2C">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2.3.3</w:t>
            </w:r>
          </w:p>
        </w:tc>
        <w:tc>
          <w:tcPr>
            <w:tcW w:w="1336" w:type="dxa"/>
            <w:noWrap w:val="0"/>
            <w:vAlign w:val="center"/>
          </w:tcPr>
          <w:p w14:paraId="2F3883C5">
            <w:pPr>
              <w:widowControl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报警功能</w:t>
            </w:r>
          </w:p>
        </w:tc>
        <w:tc>
          <w:tcPr>
            <w:tcW w:w="7111" w:type="dxa"/>
            <w:noWrap w:val="0"/>
            <w:vAlign w:val="center"/>
          </w:tcPr>
          <w:p w14:paraId="529F0C32">
            <w:pPr>
              <w:widowControl w:val="0"/>
              <w:kinsoku/>
              <w:autoSpaceDE/>
              <w:autoSpaceDN/>
              <w:adjustRightInd/>
              <w:snapToGrid/>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实时推送系统内设备当前报警信息，包括发生报警的机器人名称，发生报警的位置，报警信息描述，报警发生的时间。</w:t>
            </w:r>
          </w:p>
          <w:p w14:paraId="128F5F90">
            <w:pPr>
              <w:widowControl w:val="0"/>
              <w:kinsoku/>
              <w:autoSpaceDE/>
              <w:autoSpaceDN/>
              <w:adjustRightInd/>
              <w:snapToGrid/>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eastAsia="zh-CN"/>
              </w:rPr>
              <w:t>承诺中标后提供检测报告（承诺函格式自拟）</w:t>
            </w:r>
          </w:p>
        </w:tc>
      </w:tr>
      <w:tr w14:paraId="48114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936" w:type="dxa"/>
            <w:vMerge w:val="restart"/>
            <w:noWrap w:val="0"/>
            <w:vAlign w:val="center"/>
          </w:tcPr>
          <w:p w14:paraId="49F3FAAD">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2.3.4</w:t>
            </w:r>
          </w:p>
        </w:tc>
        <w:tc>
          <w:tcPr>
            <w:tcW w:w="1336" w:type="dxa"/>
            <w:vMerge w:val="restart"/>
            <w:noWrap w:val="0"/>
            <w:vAlign w:val="center"/>
          </w:tcPr>
          <w:p w14:paraId="44D1A092">
            <w:pPr>
              <w:widowControl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个人中心</w:t>
            </w:r>
          </w:p>
        </w:tc>
        <w:tc>
          <w:tcPr>
            <w:tcW w:w="7111" w:type="dxa"/>
            <w:noWrap w:val="0"/>
            <w:vAlign w:val="center"/>
          </w:tcPr>
          <w:p w14:paraId="1721F33B">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可以设置当前移动设备常用指定发车的目的科室、呼车科室；</w:t>
            </w:r>
          </w:p>
        </w:tc>
      </w:tr>
      <w:tr w14:paraId="289E6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atLeast"/>
        </w:trPr>
        <w:tc>
          <w:tcPr>
            <w:tcW w:w="936" w:type="dxa"/>
            <w:vMerge w:val="continue"/>
            <w:noWrap w:val="0"/>
            <w:vAlign w:val="center"/>
          </w:tcPr>
          <w:p w14:paraId="445433C3">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center"/>
          </w:tcPr>
          <w:p w14:paraId="76704D9B">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608DE50F">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可通过移动端App查看当前系统设备统计与任务执行数据，包括设备总数，运行设备数，待机设备数，充电设备数，异常设备数，周期内任务变化趋势分析图，异常情况统计分析图；</w:t>
            </w:r>
          </w:p>
        </w:tc>
      </w:tr>
      <w:tr w14:paraId="3AAC2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trPr>
        <w:tc>
          <w:tcPr>
            <w:tcW w:w="936" w:type="dxa"/>
            <w:vMerge w:val="continue"/>
            <w:noWrap w:val="0"/>
            <w:vAlign w:val="center"/>
          </w:tcPr>
          <w:p w14:paraId="3BCAC7E7">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center"/>
          </w:tcPr>
          <w:p w14:paraId="657AF371">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159A9698">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可以设置登录服务器的项目号，服务器通讯地址和端口号，显示语言支持中文，英文等多种语言；</w:t>
            </w:r>
          </w:p>
        </w:tc>
      </w:tr>
      <w:tr w14:paraId="58E09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936" w:type="dxa"/>
            <w:vMerge w:val="continue"/>
            <w:noWrap w:val="0"/>
            <w:vAlign w:val="center"/>
          </w:tcPr>
          <w:p w14:paraId="382063A6">
            <w:pPr>
              <w:widowControl w:val="0"/>
              <w:spacing w:line="360" w:lineRule="auto"/>
              <w:jc w:val="center"/>
              <w:rPr>
                <w:rFonts w:hint="eastAsia" w:ascii="宋体" w:hAnsi="宋体" w:eastAsia="宋体" w:cs="宋体"/>
                <w:color w:val="auto"/>
                <w:sz w:val="24"/>
                <w:szCs w:val="24"/>
                <w:highlight w:val="none"/>
                <w:lang w:eastAsia="zh-CN"/>
              </w:rPr>
            </w:pPr>
          </w:p>
        </w:tc>
        <w:tc>
          <w:tcPr>
            <w:tcW w:w="1336" w:type="dxa"/>
            <w:vMerge w:val="continue"/>
            <w:noWrap w:val="0"/>
            <w:vAlign w:val="center"/>
          </w:tcPr>
          <w:p w14:paraId="3A2332A3">
            <w:pPr>
              <w:widowControl w:val="0"/>
              <w:spacing w:line="360" w:lineRule="auto"/>
              <w:jc w:val="center"/>
              <w:rPr>
                <w:rFonts w:hint="eastAsia" w:ascii="宋体" w:hAnsi="宋体" w:eastAsia="宋体" w:cs="宋体"/>
                <w:color w:val="auto"/>
                <w:sz w:val="24"/>
                <w:szCs w:val="24"/>
                <w:highlight w:val="none"/>
                <w:lang w:eastAsia="zh-CN"/>
              </w:rPr>
            </w:pPr>
          </w:p>
        </w:tc>
        <w:tc>
          <w:tcPr>
            <w:tcW w:w="7111" w:type="dxa"/>
            <w:noWrap w:val="0"/>
            <w:vAlign w:val="center"/>
          </w:tcPr>
          <w:p w14:paraId="5B5A1D8A">
            <w:pPr>
              <w:widowControl w:val="0"/>
              <w:kinsoku/>
              <w:autoSpaceDE/>
              <w:autoSpaceDN/>
              <w:adjustRightInd/>
              <w:snapToGrid/>
              <w:spacing w:line="360" w:lineRule="auto"/>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移动端设备可以自动获取服务器上最新的软件版本，并下载与安装更新。</w:t>
            </w:r>
          </w:p>
        </w:tc>
      </w:tr>
    </w:tbl>
    <w:p w14:paraId="0994D525">
      <w:pPr>
        <w:rPr>
          <w:rFonts w:hint="eastAsia"/>
          <w:color w:val="auto"/>
          <w:highlight w:val="none"/>
          <w:lang w:val="en-US" w:eastAsia="zh-CN"/>
        </w:rPr>
      </w:pPr>
    </w:p>
    <w:p w14:paraId="3211C29D">
      <w:pPr>
        <w:rPr>
          <w:rFonts w:hint="eastAsia"/>
          <w:color w:val="auto"/>
          <w:highlight w:val="none"/>
          <w:lang w:val="en-US" w:eastAsia="zh-CN"/>
        </w:rPr>
      </w:pPr>
    </w:p>
    <w:p w14:paraId="0963D7D0">
      <w:pPr>
        <w:keepNext w:val="0"/>
        <w:keepLines w:val="0"/>
        <w:widowControl/>
        <w:suppressLineNumbers w:val="0"/>
        <w:ind w:firstLine="482" w:firstLineChars="200"/>
        <w:jc w:val="left"/>
        <w:rPr>
          <w:color w:val="auto"/>
          <w:highlight w:val="none"/>
        </w:rPr>
      </w:pPr>
      <w:r>
        <w:rPr>
          <w:rFonts w:hint="eastAsia" w:ascii="宋体" w:hAnsi="宋体" w:eastAsia="宋体" w:cs="宋体"/>
          <w:b/>
          <w:bCs/>
          <w:snapToGrid w:val="0"/>
          <w:color w:val="auto"/>
          <w:kern w:val="0"/>
          <w:sz w:val="24"/>
          <w:szCs w:val="24"/>
          <w:highlight w:val="none"/>
          <w:lang w:val="en-US" w:eastAsia="zh-CN" w:bidi="ar"/>
        </w:rPr>
        <w:t>中标人须在中标后，提供由取得计量认证合格证书（CMA）的产品质量检验机构，或由国家认证认可监督管理委员会批准设立并授权的国家认可机构（CNAS）认证的检测机构出具的、具有法律效力的正规检测报告，检测内容及指标须满足招标文件和图纸中相应参数及国家现行相关规范要求。</w:t>
      </w:r>
    </w:p>
    <w:p w14:paraId="2C95C73B">
      <w:pPr>
        <w:rPr>
          <w:rFonts w:hint="eastAsia"/>
          <w:color w:val="auto"/>
          <w:highlight w:val="none"/>
          <w:lang w:val="en-US" w:eastAsia="zh-CN"/>
        </w:rPr>
      </w:pPr>
    </w:p>
    <w:p w14:paraId="2A21FD1A">
      <w:pPr>
        <w:rPr>
          <w:rFonts w:hint="eastAsia" w:ascii="宋体" w:hAnsi="宋体" w:eastAsia="宋体" w:cs="宋体"/>
          <w:b/>
          <w:bCs/>
          <w:color w:val="auto"/>
          <w:sz w:val="23"/>
          <w:szCs w:val="23"/>
          <w:highlight w:val="none"/>
        </w:rPr>
      </w:pPr>
      <w:r>
        <w:rPr>
          <w:rFonts w:hint="eastAsia" w:ascii="宋体" w:hAnsi="宋体" w:eastAsia="宋体" w:cs="宋体"/>
          <w:color w:val="auto"/>
          <w:sz w:val="23"/>
          <w:szCs w:val="23"/>
          <w:highlight w:val="none"/>
        </w:rPr>
        <w:br w:type="page"/>
      </w:r>
    </w:p>
    <w:p w14:paraId="263AD172">
      <w:pPr>
        <w:widowControl/>
        <w:kinsoku w:val="0"/>
        <w:autoSpaceDE w:val="0"/>
        <w:autoSpaceDN w:val="0"/>
        <w:adjustRightInd w:val="0"/>
        <w:snapToGrid w:val="0"/>
        <w:spacing w:line="420" w:lineRule="exact"/>
        <w:ind w:firstLine="466" w:firstLineChars="200"/>
        <w:jc w:val="left"/>
        <w:textAlignment w:val="baseline"/>
        <w:rPr>
          <w:rFonts w:hint="eastAsia" w:ascii="宋体" w:hAnsi="宋体" w:eastAsia="宋体" w:cs="宋体"/>
          <w:b/>
          <w:bCs/>
          <w:snapToGrid w:val="0"/>
          <w:color w:val="auto"/>
          <w:spacing w:val="1"/>
          <w:kern w:val="0"/>
          <w:sz w:val="23"/>
          <w:szCs w:val="23"/>
          <w:highlight w:val="none"/>
          <w:lang w:val="en-US" w:eastAsia="zh-CN"/>
        </w:rPr>
      </w:pPr>
      <w:r>
        <w:rPr>
          <w:rFonts w:hint="eastAsia" w:ascii="宋体" w:hAnsi="宋体" w:eastAsia="宋体" w:cs="宋体"/>
          <w:b/>
          <w:bCs/>
          <w:snapToGrid w:val="0"/>
          <w:color w:val="auto"/>
          <w:spacing w:val="1"/>
          <w:kern w:val="0"/>
          <w:sz w:val="23"/>
          <w:szCs w:val="23"/>
          <w:highlight w:val="none"/>
          <w:lang w:val="en-US" w:eastAsia="zh-CN"/>
        </w:rPr>
        <w:t>参考品牌</w:t>
      </w:r>
    </w:p>
    <w:tbl>
      <w:tblPr>
        <w:tblStyle w:val="30"/>
        <w:tblW w:w="844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0"/>
        <w:gridCol w:w="2051"/>
        <w:gridCol w:w="5618"/>
      </w:tblGrid>
      <w:tr w14:paraId="54A9B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80" w:type="dxa"/>
            <w:tcBorders>
              <w:top w:val="single" w:color="000000" w:sz="4" w:space="0"/>
              <w:left w:val="single" w:color="000000" w:sz="4" w:space="0"/>
              <w:bottom w:val="single" w:color="000000" w:sz="4" w:space="0"/>
              <w:right w:val="single" w:color="000000" w:sz="4" w:space="0"/>
            </w:tcBorders>
            <w:noWrap/>
            <w:vAlign w:val="center"/>
          </w:tcPr>
          <w:p w14:paraId="06E8CC2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51E6A7E6">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材料（设备）名称</w:t>
            </w:r>
          </w:p>
        </w:tc>
        <w:tc>
          <w:tcPr>
            <w:tcW w:w="5618" w:type="dxa"/>
            <w:tcBorders>
              <w:top w:val="single" w:color="000000" w:sz="4" w:space="0"/>
              <w:left w:val="single" w:color="000000" w:sz="4" w:space="0"/>
              <w:bottom w:val="single" w:color="000000" w:sz="4" w:space="0"/>
              <w:right w:val="single" w:color="000000" w:sz="4" w:space="0"/>
            </w:tcBorders>
            <w:noWrap w:val="0"/>
            <w:vAlign w:val="center"/>
          </w:tcPr>
          <w:p w14:paraId="530C3A68">
            <w:pPr>
              <w:keepNext w:val="0"/>
              <w:keepLines w:val="0"/>
              <w:widowControl/>
              <w:suppressLineNumbers w:val="0"/>
              <w:jc w:val="center"/>
              <w:textAlignment w:val="center"/>
              <w:rPr>
                <w:rFonts w:hint="default" w:ascii="宋体" w:hAnsi="宋体" w:eastAsia="宋体" w:cs="宋体"/>
                <w:b/>
                <w:bCs/>
                <w:i w:val="0"/>
                <w:iCs w:val="0"/>
                <w:color w:val="auto"/>
                <w:sz w:val="20"/>
                <w:szCs w:val="20"/>
                <w:highlight w:val="none"/>
                <w:u w:val="none"/>
                <w:lang w:val="en-US" w:eastAsia="zh-CN"/>
              </w:rPr>
            </w:pPr>
            <w:r>
              <w:rPr>
                <w:rFonts w:hint="eastAsia" w:ascii="宋体" w:hAnsi="宋体" w:cs="宋体"/>
                <w:b/>
                <w:bCs/>
                <w:i w:val="0"/>
                <w:iCs w:val="0"/>
                <w:color w:val="auto"/>
                <w:sz w:val="20"/>
                <w:szCs w:val="20"/>
                <w:highlight w:val="none"/>
                <w:u w:val="none"/>
                <w:lang w:val="en-US" w:eastAsia="zh-CN"/>
              </w:rPr>
              <w:t>参考品牌</w:t>
            </w:r>
          </w:p>
        </w:tc>
      </w:tr>
      <w:tr w14:paraId="512FE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26B9E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0943B3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驱动电机</w:t>
            </w:r>
          </w:p>
        </w:tc>
        <w:tc>
          <w:tcPr>
            <w:tcW w:w="5618" w:type="dxa"/>
            <w:tcBorders>
              <w:top w:val="single" w:color="000000" w:sz="4" w:space="0"/>
              <w:left w:val="single" w:color="000000" w:sz="4" w:space="0"/>
              <w:bottom w:val="single" w:color="000000" w:sz="4" w:space="0"/>
              <w:right w:val="single" w:color="000000" w:sz="4" w:space="0"/>
            </w:tcBorders>
            <w:noWrap w:val="0"/>
            <w:vAlign w:val="center"/>
          </w:tcPr>
          <w:p w14:paraId="472772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中大、科菱、精研</w:t>
            </w:r>
          </w:p>
        </w:tc>
      </w:tr>
      <w:tr w14:paraId="56596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34A35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7B56BB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PLC</w:t>
            </w:r>
          </w:p>
        </w:tc>
        <w:tc>
          <w:tcPr>
            <w:tcW w:w="5618" w:type="dxa"/>
            <w:tcBorders>
              <w:top w:val="single" w:color="000000" w:sz="4" w:space="0"/>
              <w:left w:val="single" w:color="000000" w:sz="4" w:space="0"/>
              <w:bottom w:val="single" w:color="000000" w:sz="4" w:space="0"/>
              <w:right w:val="single" w:color="000000" w:sz="4" w:space="0"/>
            </w:tcBorders>
            <w:noWrap w:val="0"/>
            <w:vAlign w:val="center"/>
          </w:tcPr>
          <w:p w14:paraId="739EF1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西门子、三菱、施耐德</w:t>
            </w:r>
          </w:p>
        </w:tc>
      </w:tr>
      <w:tr w14:paraId="34038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FD9C1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082D033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变频器</w:t>
            </w:r>
          </w:p>
        </w:tc>
        <w:tc>
          <w:tcPr>
            <w:tcW w:w="5618" w:type="dxa"/>
            <w:tcBorders>
              <w:top w:val="single" w:color="000000" w:sz="4" w:space="0"/>
              <w:left w:val="single" w:color="000000" w:sz="4" w:space="0"/>
              <w:bottom w:val="single" w:color="000000" w:sz="4" w:space="0"/>
              <w:right w:val="single" w:color="000000" w:sz="4" w:space="0"/>
            </w:tcBorders>
            <w:noWrap w:val="0"/>
            <w:vAlign w:val="center"/>
          </w:tcPr>
          <w:p w14:paraId="682920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ABB,施耐德、西门子</w:t>
            </w:r>
          </w:p>
        </w:tc>
      </w:tr>
      <w:tr w14:paraId="02E34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13942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5A1F7B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曳引机</w:t>
            </w:r>
          </w:p>
        </w:tc>
        <w:tc>
          <w:tcPr>
            <w:tcW w:w="5618" w:type="dxa"/>
            <w:tcBorders>
              <w:top w:val="single" w:color="000000" w:sz="4" w:space="0"/>
              <w:left w:val="single" w:color="000000" w:sz="4" w:space="0"/>
              <w:bottom w:val="single" w:color="000000" w:sz="4" w:space="0"/>
              <w:right w:val="single" w:color="000000" w:sz="4" w:space="0"/>
            </w:tcBorders>
            <w:noWrap w:val="0"/>
            <w:vAlign w:val="center"/>
          </w:tcPr>
          <w:p w14:paraId="301E3D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法西、三菱、通润</w:t>
            </w:r>
          </w:p>
        </w:tc>
      </w:tr>
      <w:tr w14:paraId="671F7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03F9D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43621F7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snapToGrid w:val="0"/>
                <w:color w:val="auto"/>
                <w:spacing w:val="-3"/>
                <w:sz w:val="24"/>
                <w:szCs w:val="24"/>
                <w:highlight w:val="none"/>
                <w:lang w:val="en-US" w:eastAsia="zh-CN" w:bidi="ar-SA"/>
              </w:rPr>
              <w:t>电动辊筒</w:t>
            </w:r>
          </w:p>
        </w:tc>
        <w:tc>
          <w:tcPr>
            <w:tcW w:w="5618" w:type="dxa"/>
            <w:tcBorders>
              <w:top w:val="single" w:color="000000" w:sz="4" w:space="0"/>
              <w:left w:val="single" w:color="000000" w:sz="4" w:space="0"/>
              <w:bottom w:val="single" w:color="000000" w:sz="4" w:space="0"/>
              <w:right w:val="single" w:color="000000" w:sz="4" w:space="0"/>
            </w:tcBorders>
            <w:noWrap w:val="0"/>
            <w:vAlign w:val="center"/>
          </w:tcPr>
          <w:p w14:paraId="2E7818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德马、英特诺、伊东</w:t>
            </w:r>
          </w:p>
        </w:tc>
      </w:tr>
      <w:tr w14:paraId="67A3B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FBE18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5B6E85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随</w:t>
            </w:r>
            <w:r>
              <w:rPr>
                <w:rFonts w:hint="eastAsia" w:ascii="宋体" w:hAnsi="宋体" w:eastAsia="宋体" w:cs="宋体"/>
                <w:i w:val="0"/>
                <w:iCs w:val="0"/>
                <w:color w:val="auto"/>
                <w:kern w:val="0"/>
                <w:sz w:val="24"/>
                <w:szCs w:val="24"/>
                <w:highlight w:val="none"/>
                <w:u w:val="none"/>
                <w:lang w:val="en-US" w:eastAsia="zh-CN" w:bidi="ar"/>
              </w:rPr>
              <w:t>动</w:t>
            </w:r>
            <w:r>
              <w:rPr>
                <w:rFonts w:hint="eastAsia" w:ascii="宋体" w:hAnsi="宋体" w:eastAsia="宋体" w:cs="宋体"/>
                <w:snapToGrid w:val="0"/>
                <w:color w:val="auto"/>
                <w:spacing w:val="-3"/>
                <w:sz w:val="24"/>
                <w:szCs w:val="24"/>
                <w:highlight w:val="none"/>
                <w:lang w:val="en-US" w:eastAsia="zh-CN" w:bidi="ar-SA"/>
              </w:rPr>
              <w:t>辊筒</w:t>
            </w:r>
          </w:p>
        </w:tc>
        <w:tc>
          <w:tcPr>
            <w:tcW w:w="5618" w:type="dxa"/>
            <w:tcBorders>
              <w:top w:val="single" w:color="000000" w:sz="4" w:space="0"/>
              <w:left w:val="single" w:color="000000" w:sz="4" w:space="0"/>
              <w:bottom w:val="single" w:color="000000" w:sz="4" w:space="0"/>
              <w:right w:val="single" w:color="000000" w:sz="4" w:space="0"/>
            </w:tcBorders>
            <w:noWrap w:val="0"/>
            <w:vAlign w:val="center"/>
          </w:tcPr>
          <w:p w14:paraId="3088B5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德马、英特诺、伊东</w:t>
            </w:r>
          </w:p>
        </w:tc>
      </w:tr>
      <w:tr w14:paraId="033FB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6DE59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0C12FB2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传感器</w:t>
            </w:r>
          </w:p>
        </w:tc>
        <w:tc>
          <w:tcPr>
            <w:tcW w:w="5618" w:type="dxa"/>
            <w:tcBorders>
              <w:top w:val="single" w:color="000000" w:sz="4" w:space="0"/>
              <w:left w:val="single" w:color="000000" w:sz="4" w:space="0"/>
              <w:bottom w:val="single" w:color="000000" w:sz="4" w:space="0"/>
              <w:right w:val="single" w:color="000000" w:sz="4" w:space="0"/>
            </w:tcBorders>
            <w:noWrap w:val="0"/>
            <w:vAlign w:val="center"/>
          </w:tcPr>
          <w:p w14:paraId="0E4243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Sick、欧姆龙、博世</w:t>
            </w:r>
          </w:p>
        </w:tc>
      </w:tr>
      <w:tr w14:paraId="69EBE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B1CA7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538C02F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低压电器</w:t>
            </w:r>
          </w:p>
        </w:tc>
        <w:tc>
          <w:tcPr>
            <w:tcW w:w="5618" w:type="dxa"/>
            <w:tcBorders>
              <w:top w:val="single" w:color="000000" w:sz="4" w:space="0"/>
              <w:left w:val="single" w:color="000000" w:sz="4" w:space="0"/>
              <w:bottom w:val="single" w:color="000000" w:sz="4" w:space="0"/>
              <w:right w:val="single" w:color="000000" w:sz="4" w:space="0"/>
            </w:tcBorders>
            <w:noWrap w:val="0"/>
            <w:vAlign w:val="center"/>
          </w:tcPr>
          <w:p w14:paraId="016E17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ABB、西门子、施耐德</w:t>
            </w:r>
          </w:p>
        </w:tc>
      </w:tr>
      <w:tr w14:paraId="17A7B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80" w:type="dxa"/>
            <w:tcBorders>
              <w:top w:val="single" w:color="000000" w:sz="4" w:space="0"/>
              <w:left w:val="single" w:color="000000" w:sz="4" w:space="0"/>
              <w:bottom w:val="single" w:color="000000" w:sz="4" w:space="0"/>
              <w:right w:val="single" w:color="000000" w:sz="4" w:space="0"/>
            </w:tcBorders>
            <w:noWrap/>
            <w:vAlign w:val="center"/>
          </w:tcPr>
          <w:p w14:paraId="3FAB195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64DC9035">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多楔带</w:t>
            </w:r>
          </w:p>
        </w:tc>
        <w:tc>
          <w:tcPr>
            <w:tcW w:w="5618" w:type="dxa"/>
            <w:tcBorders>
              <w:top w:val="single" w:color="000000" w:sz="4" w:space="0"/>
              <w:left w:val="single" w:color="000000" w:sz="4" w:space="0"/>
              <w:bottom w:val="single" w:color="000000" w:sz="4" w:space="0"/>
              <w:right w:val="single" w:color="000000" w:sz="4" w:space="0"/>
            </w:tcBorders>
            <w:noWrap w:val="0"/>
            <w:vAlign w:val="center"/>
          </w:tcPr>
          <w:p w14:paraId="6442AE2F">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哈金森、远洋、翔拓</w:t>
            </w:r>
          </w:p>
        </w:tc>
      </w:tr>
      <w:tr w14:paraId="46766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80" w:type="dxa"/>
            <w:tcBorders>
              <w:top w:val="single" w:color="000000" w:sz="4" w:space="0"/>
              <w:left w:val="single" w:color="000000" w:sz="4" w:space="0"/>
              <w:bottom w:val="single" w:color="000000" w:sz="4" w:space="0"/>
              <w:right w:val="single" w:color="000000" w:sz="4" w:space="0"/>
            </w:tcBorders>
            <w:noWrap/>
            <w:vAlign w:val="center"/>
          </w:tcPr>
          <w:p w14:paraId="5FD3BB9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5CBC2266">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条码阅读器</w:t>
            </w:r>
          </w:p>
        </w:tc>
        <w:tc>
          <w:tcPr>
            <w:tcW w:w="5618" w:type="dxa"/>
            <w:tcBorders>
              <w:top w:val="single" w:color="000000" w:sz="4" w:space="0"/>
              <w:left w:val="single" w:color="000000" w:sz="4" w:space="0"/>
              <w:bottom w:val="single" w:color="000000" w:sz="4" w:space="0"/>
              <w:right w:val="single" w:color="000000" w:sz="4" w:space="0"/>
            </w:tcBorders>
            <w:noWrap w:val="0"/>
            <w:vAlign w:val="center"/>
          </w:tcPr>
          <w:p w14:paraId="7597A29A">
            <w:pPr>
              <w:keepNext w:val="0"/>
              <w:keepLines w:val="0"/>
              <w:widowControl/>
              <w:suppressLineNumbers w:val="0"/>
              <w:jc w:val="center"/>
              <w:textAlignment w:val="center"/>
              <w:rPr>
                <w:rFonts w:hint="eastAsia" w:ascii="宋体" w:hAnsi="宋体" w:cs="宋体"/>
                <w:color w:val="auto"/>
                <w:kern w:val="0"/>
                <w:sz w:val="24"/>
                <w:highlight w:val="none"/>
              </w:rPr>
            </w:pPr>
            <w:r>
              <w:rPr>
                <w:rFonts w:hint="eastAsia" w:ascii="宋体" w:hAnsi="宋体" w:eastAsia="宋体" w:cs="宋体"/>
                <w:i w:val="0"/>
                <w:iCs w:val="0"/>
                <w:color w:val="auto"/>
                <w:kern w:val="0"/>
                <w:sz w:val="24"/>
                <w:szCs w:val="24"/>
                <w:highlight w:val="none"/>
                <w:u w:val="none"/>
                <w:lang w:val="en-US" w:eastAsia="zh-CN" w:bidi="ar"/>
              </w:rPr>
              <w:t>SICK、LEWZE、DATALOGIC</w:t>
            </w:r>
          </w:p>
        </w:tc>
      </w:tr>
      <w:tr w14:paraId="0994B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BCD2794">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11</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088EA4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铜芯电缆</w:t>
            </w:r>
          </w:p>
        </w:tc>
        <w:tc>
          <w:tcPr>
            <w:tcW w:w="5618" w:type="dxa"/>
            <w:tcBorders>
              <w:top w:val="single" w:color="000000" w:sz="4" w:space="0"/>
              <w:left w:val="single" w:color="000000" w:sz="4" w:space="0"/>
              <w:bottom w:val="single" w:color="000000" w:sz="4" w:space="0"/>
              <w:right w:val="single" w:color="000000" w:sz="4" w:space="0"/>
            </w:tcBorders>
            <w:noWrap w:val="0"/>
            <w:vAlign w:val="center"/>
          </w:tcPr>
          <w:p w14:paraId="5F57ED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color w:val="auto"/>
                <w:kern w:val="0"/>
                <w:sz w:val="24"/>
                <w:highlight w:val="none"/>
              </w:rPr>
              <w:t>上上、远东、中策</w:t>
            </w:r>
            <w:r>
              <w:rPr>
                <w:rFonts w:hint="eastAsia" w:ascii="宋体" w:hAnsi="宋体" w:cs="宋体"/>
                <w:color w:val="auto"/>
                <w:kern w:val="0"/>
                <w:sz w:val="24"/>
                <w:highlight w:val="none"/>
                <w:lang w:val="en-US" w:eastAsia="zh-CN"/>
              </w:rPr>
              <w:t>(永通)</w:t>
            </w:r>
          </w:p>
        </w:tc>
      </w:tr>
      <w:tr w14:paraId="5E72D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F98C0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2</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567AD05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摄像头</w:t>
            </w:r>
          </w:p>
        </w:tc>
        <w:tc>
          <w:tcPr>
            <w:tcW w:w="5618" w:type="dxa"/>
            <w:tcBorders>
              <w:top w:val="single" w:color="000000" w:sz="4" w:space="0"/>
              <w:left w:val="single" w:color="000000" w:sz="4" w:space="0"/>
              <w:bottom w:val="single" w:color="000000" w:sz="4" w:space="0"/>
              <w:right w:val="single" w:color="000000" w:sz="4" w:space="0"/>
            </w:tcBorders>
            <w:noWrap w:val="0"/>
            <w:vAlign w:val="center"/>
          </w:tcPr>
          <w:p w14:paraId="61CBC41E">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海康威视、大华、</w:t>
            </w:r>
            <w:r>
              <w:rPr>
                <w:rFonts w:hint="eastAsia" w:ascii="宋体" w:hAnsi="宋体" w:cs="宋体"/>
                <w:i w:val="0"/>
                <w:iCs w:val="0"/>
                <w:strike w:val="0"/>
                <w:dstrike w:val="0"/>
                <w:color w:val="auto"/>
                <w:kern w:val="0"/>
                <w:sz w:val="24"/>
                <w:szCs w:val="24"/>
                <w:highlight w:val="none"/>
                <w:u w:val="none"/>
                <w:lang w:val="en-US" w:eastAsia="zh-CN" w:bidi="ar"/>
              </w:rPr>
              <w:t>宇视</w:t>
            </w:r>
          </w:p>
        </w:tc>
      </w:tr>
    </w:tbl>
    <w:p w14:paraId="6432B184">
      <w:pPr>
        <w:spacing w:line="300" w:lineRule="exact"/>
        <w:ind w:firstLine="420"/>
        <w:jc w:val="left"/>
        <w:rPr>
          <w:rFonts w:ascii="宋体" w:hAnsi="宋体" w:cs="宋体"/>
          <w:b/>
          <w:bCs/>
          <w:color w:val="auto"/>
          <w:sz w:val="23"/>
          <w:szCs w:val="23"/>
          <w:highlight w:val="none"/>
        </w:rPr>
      </w:pPr>
    </w:p>
    <w:p w14:paraId="61C7BB6B">
      <w:pPr>
        <w:rPr>
          <w:rFonts w:hint="eastAsia" w:ascii="宋体" w:hAnsi="宋体" w:eastAsia="宋体" w:cs="宋体"/>
          <w:color w:val="auto"/>
          <w:sz w:val="23"/>
          <w:szCs w:val="23"/>
          <w:highlight w:val="none"/>
          <w:lang w:val="en-US" w:eastAsia="zh-CN"/>
        </w:rPr>
      </w:pPr>
    </w:p>
    <w:p w14:paraId="18404548">
      <w:pPr>
        <w:spacing w:before="318" w:line="225" w:lineRule="auto"/>
        <w:jc w:val="both"/>
        <w:outlineLvl w:val="0"/>
        <w:rPr>
          <w:rStyle w:val="36"/>
          <w:rFonts w:hint="eastAsia" w:ascii="宋体" w:hAnsi="宋体" w:eastAsia="宋体" w:cs="宋体"/>
          <w:b w:val="0"/>
          <w:bCs w:val="0"/>
          <w:color w:val="auto"/>
          <w:sz w:val="23"/>
          <w:szCs w:val="23"/>
          <w:highlight w:val="none"/>
          <w:lang w:val="en-US" w:eastAsia="zh-CN"/>
        </w:rPr>
      </w:pPr>
      <w:r>
        <w:rPr>
          <w:rStyle w:val="36"/>
          <w:rFonts w:hint="eastAsia" w:ascii="宋体" w:hAnsi="宋体" w:eastAsia="宋体" w:cs="宋体"/>
          <w:b w:val="0"/>
          <w:bCs w:val="0"/>
          <w:color w:val="auto"/>
          <w:sz w:val="23"/>
          <w:szCs w:val="23"/>
          <w:highlight w:val="none"/>
          <w:lang w:val="en-US" w:eastAsia="zh-CN"/>
        </w:rPr>
        <w:t>注：投标产品品牌可以选择任意参考品牌之一或同等档次及以上的产品，正式供货前需招标人确认。</w:t>
      </w:r>
    </w:p>
    <w:p w14:paraId="684EA4F1">
      <w:pP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br w:type="page"/>
      </w:r>
    </w:p>
    <w:p w14:paraId="6CDA6A23">
      <w:pPr>
        <w:spacing w:before="318" w:line="225" w:lineRule="auto"/>
        <w:ind w:left="2735" w:firstLine="310" w:firstLineChars="100"/>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第六章 投标文件格式</w:t>
      </w:r>
    </w:p>
    <w:p w14:paraId="6E3CCF16">
      <w:pPr>
        <w:spacing w:line="343" w:lineRule="auto"/>
        <w:jc w:val="both"/>
        <w:rPr>
          <w:rFonts w:hint="eastAsia" w:ascii="宋体" w:hAnsi="宋体" w:eastAsia="宋体" w:cs="宋体"/>
          <w:color w:val="auto"/>
          <w:highlight w:val="none"/>
        </w:rPr>
      </w:pPr>
    </w:p>
    <w:p w14:paraId="45B47346">
      <w:pPr>
        <w:spacing w:before="91" w:line="222"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目   录</w:t>
      </w:r>
    </w:p>
    <w:p w14:paraId="331E9845">
      <w:pPr>
        <w:pStyle w:val="20"/>
        <w:rPr>
          <w:rFonts w:hint="eastAsia" w:ascii="宋体" w:hAnsi="宋体" w:cs="宋体"/>
          <w:color w:val="auto"/>
          <w:highlight w:val="none"/>
        </w:rPr>
      </w:pPr>
    </w:p>
    <w:p w14:paraId="62320502">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一、投标函(格式一)</w:t>
      </w:r>
    </w:p>
    <w:p w14:paraId="6054306D">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二、法定代表人身份证明(格式二)</w:t>
      </w:r>
    </w:p>
    <w:p w14:paraId="73FE30B2">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三、法定代表人授权委托书(格式三)</w:t>
      </w:r>
    </w:p>
    <w:p w14:paraId="49D7BC58">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四、联合体协议书(采用联合体投标的提供，格式自拟)（若有）</w:t>
      </w:r>
    </w:p>
    <w:p w14:paraId="28F0E99C">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五、投标保证金缴纳证明材料</w:t>
      </w:r>
    </w:p>
    <w:p w14:paraId="52CEEA67">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六、投标报价表(格式四)</w:t>
      </w:r>
    </w:p>
    <w:p w14:paraId="411EDAAD">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七、实质性响应招标文件及评审打分的资料及格式(见格式五、格式六)</w:t>
      </w:r>
    </w:p>
    <w:p w14:paraId="6FFDFB52">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八、投标人基本情况表(见格式七)</w:t>
      </w:r>
    </w:p>
    <w:p w14:paraId="4C7C2E14">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九、中小企业声明函（见格式八）（若有）</w:t>
      </w:r>
    </w:p>
    <w:p w14:paraId="63905699">
      <w:pPr>
        <w:spacing w:line="360" w:lineRule="auto"/>
        <w:ind w:left="-2" w:leftChars="-1" w:firstLine="283" w:firstLineChars="118"/>
        <w:jc w:val="both"/>
        <w:outlineLvl w:val="0"/>
        <w:rPr>
          <w:rFonts w:hint="eastAsia" w:ascii="宋体" w:hAnsi="宋体" w:eastAsia="宋体" w:cs="宋体"/>
          <w:color w:val="auto"/>
          <w:highlight w:val="none"/>
        </w:rPr>
      </w:pPr>
      <w:r>
        <w:rPr>
          <w:rFonts w:hint="eastAsia" w:ascii="宋体" w:hAnsi="宋体" w:eastAsia="宋体" w:cs="宋体"/>
          <w:color w:val="auto"/>
          <w:sz w:val="24"/>
          <w:szCs w:val="24"/>
          <w:highlight w:val="none"/>
        </w:rPr>
        <w:t>十、投标承诺书（见格式九）</w:t>
      </w:r>
    </w:p>
    <w:p w14:paraId="248E258F">
      <w:pPr>
        <w:spacing w:line="360" w:lineRule="auto"/>
        <w:ind w:left="-2" w:leftChars="-1" w:firstLine="247"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highlight w:val="none"/>
        </w:rPr>
        <w:t>十</w:t>
      </w:r>
      <w:r>
        <w:rPr>
          <w:rFonts w:hint="eastAsia" w:ascii="宋体" w:hAnsi="宋体" w:eastAsia="宋体" w:cs="宋体"/>
          <w:color w:val="auto"/>
          <w:sz w:val="24"/>
          <w:szCs w:val="24"/>
          <w:highlight w:val="none"/>
        </w:rPr>
        <w:t>一、投标人须知前附表规定的构成投标文件的其他材料</w:t>
      </w:r>
    </w:p>
    <w:p w14:paraId="78EB25DA">
      <w:pPr>
        <w:pStyle w:val="20"/>
        <w:rPr>
          <w:rFonts w:hint="eastAsia" w:ascii="宋体" w:hAnsi="宋体" w:cs="宋体"/>
          <w:color w:val="auto"/>
          <w:highlight w:val="none"/>
        </w:rPr>
      </w:pPr>
    </w:p>
    <w:p w14:paraId="311EF0EC">
      <w:pPr>
        <w:spacing w:line="360" w:lineRule="auto"/>
        <w:jc w:val="both"/>
        <w:rPr>
          <w:rFonts w:hint="eastAsia" w:ascii="宋体" w:hAnsi="宋体" w:eastAsia="宋体" w:cs="宋体"/>
          <w:color w:val="auto"/>
          <w:highlight w:val="none"/>
        </w:rPr>
        <w:sectPr>
          <w:footerReference r:id="rId16" w:type="default"/>
          <w:pgSz w:w="11907" w:h="16840"/>
          <w:pgMar w:top="1418" w:right="1559" w:bottom="1418" w:left="1474" w:header="0" w:footer="723" w:gutter="0"/>
          <w:cols w:space="720" w:num="1"/>
        </w:sectPr>
      </w:pPr>
    </w:p>
    <w:p w14:paraId="05328292">
      <w:pPr>
        <w:spacing w:before="310" w:line="221" w:lineRule="auto"/>
        <w:ind w:left="281"/>
        <w:jc w:val="both"/>
        <w:rPr>
          <w:rFonts w:hint="eastAsia" w:ascii="宋体" w:hAnsi="宋体" w:eastAsia="宋体" w:cs="宋体"/>
          <w:color w:val="auto"/>
          <w:sz w:val="28"/>
          <w:szCs w:val="28"/>
          <w:highlight w:val="none"/>
        </w:rPr>
      </w:pPr>
      <w:bookmarkStart w:id="62" w:name="_bookmark15"/>
      <w:bookmarkEnd w:id="62"/>
      <w:r>
        <w:rPr>
          <w:rFonts w:hint="eastAsia" w:ascii="宋体" w:hAnsi="宋体" w:eastAsia="宋体" w:cs="宋体"/>
          <w:color w:val="auto"/>
          <w:sz w:val="28"/>
          <w:szCs w:val="28"/>
          <w:highlight w:val="none"/>
        </w:rPr>
        <w:t>格式一：投标函</w:t>
      </w:r>
    </w:p>
    <w:p w14:paraId="440FD816">
      <w:pPr>
        <w:tabs>
          <w:tab w:val="left" w:pos="3955"/>
        </w:tabs>
        <w:spacing w:before="298" w:line="337" w:lineRule="auto"/>
        <w:ind w:left="237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建设项目货物投标函</w:t>
      </w:r>
    </w:p>
    <w:p w14:paraId="4C0C71FE">
      <w:pPr>
        <w:spacing w:line="372" w:lineRule="auto"/>
        <w:jc w:val="both"/>
        <w:rPr>
          <w:rFonts w:hint="eastAsia" w:ascii="宋体" w:hAnsi="宋体" w:eastAsia="宋体" w:cs="宋体"/>
          <w:color w:val="auto"/>
          <w:highlight w:val="none"/>
        </w:rPr>
      </w:pPr>
    </w:p>
    <w:p w14:paraId="20A7EFEB">
      <w:pPr>
        <w:tabs>
          <w:tab w:val="left" w:pos="2775"/>
        </w:tabs>
        <w:spacing w:before="74" w:line="229" w:lineRule="auto"/>
        <w:ind w:left="23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(招标人)：</w:t>
      </w:r>
    </w:p>
    <w:p w14:paraId="12ED0268">
      <w:pPr>
        <w:spacing w:before="185" w:line="369"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我方已全面阅读和研究了</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建设项目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建设项目全部内容进行投标。最终报价为人民币(大写)</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元，品牌</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，产地</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，交货期</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(日历天/月)，质量标准</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，税率：</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53A1A8A4">
      <w:pPr>
        <w:spacing w:before="3" w:line="374" w:lineRule="auto"/>
        <w:ind w:right="63" w:firstLine="48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我方将严格按照有关建设工程招标投标法规及招标文件的规定参加投标，并理解贵方不一定接受最低标价的投标，对定标结果也没有解释义务。如由我方中标，在接到你方发出的中标通知书</w:t>
      </w:r>
      <w:r>
        <w:rPr>
          <w:rFonts w:hint="eastAsia" w:ascii="宋体" w:hAnsi="宋体" w:eastAsia="宋体" w:cs="宋体"/>
          <w:color w:val="auto"/>
          <w:sz w:val="23"/>
          <w:szCs w:val="23"/>
          <w:highlight w:val="none"/>
          <w:lang w:eastAsia="zh-CN"/>
        </w:rPr>
        <w:t>七天</w:t>
      </w:r>
      <w:r>
        <w:rPr>
          <w:rFonts w:hint="eastAsia" w:ascii="宋体" w:hAnsi="宋体" w:eastAsia="宋体" w:cs="宋体"/>
          <w:color w:val="auto"/>
          <w:sz w:val="23"/>
          <w:szCs w:val="23"/>
          <w:highlight w:val="none"/>
        </w:rPr>
        <w:t>内递交委托合同价</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的履约保证金，并按中标通知书、招标文件和本投标函的约定与你方签订委托合同，履行规定的一切责任和义务。</w:t>
      </w:r>
    </w:p>
    <w:p w14:paraId="38730356">
      <w:pPr>
        <w:spacing w:before="1" w:line="375" w:lineRule="auto"/>
        <w:ind w:left="5" w:right="63" w:firstLine="54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我们同意从投标之日起在</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天的有效期内恪守本招标文件，在此期限期满之前的任何时间，本投标函全部条款内容对我方具有约束力。</w:t>
      </w:r>
    </w:p>
    <w:p w14:paraId="04F613F5">
      <w:pPr>
        <w:spacing w:before="2" w:line="374" w:lineRule="auto"/>
        <w:ind w:left="1" w:right="63" w:firstLine="54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在合同协议书正式签署生效之前，本投标函连同你方的中标通知书将构成我们双方之间共同遵守的文件，对双方具有约束力。</w:t>
      </w:r>
    </w:p>
    <w:p w14:paraId="5C4C9A15">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投标单位：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435E960E">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w:t>
      </w:r>
      <w:r>
        <w:rPr>
          <w:rFonts w:hint="eastAsia" w:ascii="宋体" w:hAnsi="宋体" w:eastAsia="宋体" w:cs="宋体"/>
          <w:color w:val="auto"/>
          <w:sz w:val="23"/>
          <w:szCs w:val="23"/>
          <w:highlight w:val="none"/>
          <w:lang w:eastAsia="zh-CN"/>
        </w:rPr>
        <w:t>人</w:t>
      </w:r>
      <w:r>
        <w:rPr>
          <w:rFonts w:hint="eastAsia" w:ascii="宋体" w:hAnsi="宋体" w:eastAsia="宋体" w:cs="宋体"/>
          <w:color w:val="auto"/>
          <w:sz w:val="23"/>
          <w:szCs w:val="23"/>
          <w:highlight w:val="none"/>
        </w:rPr>
        <w:t>或委托代理人：(签字或盖章)</w:t>
      </w:r>
    </w:p>
    <w:p w14:paraId="027BDC73">
      <w:pPr>
        <w:spacing w:before="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联系人：</w:t>
      </w:r>
      <w:r>
        <w:rPr>
          <w:rFonts w:hint="eastAsia" w:ascii="宋体" w:hAnsi="宋体" w:eastAsia="宋体" w:cs="宋体"/>
          <w:color w:val="auto"/>
          <w:sz w:val="23"/>
          <w:szCs w:val="23"/>
          <w:highlight w:val="none"/>
          <w:u w:val="single"/>
        </w:rPr>
        <w:t xml:space="preserve">               </w:t>
      </w:r>
    </w:p>
    <w:p w14:paraId="7AE3C057">
      <w:pPr>
        <w:spacing w:before="18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联系地址：</w:t>
      </w:r>
      <w:r>
        <w:rPr>
          <w:rFonts w:hint="eastAsia" w:ascii="宋体" w:hAnsi="宋体" w:eastAsia="宋体" w:cs="宋体"/>
          <w:color w:val="auto"/>
          <w:sz w:val="23"/>
          <w:szCs w:val="23"/>
          <w:highlight w:val="none"/>
          <w:u w:val="single"/>
        </w:rPr>
        <w:t xml:space="preserve">              </w:t>
      </w:r>
    </w:p>
    <w:p w14:paraId="269002B9">
      <w:pPr>
        <w:spacing w:before="182"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p>
    <w:p w14:paraId="09432483">
      <w:pPr>
        <w:tabs>
          <w:tab w:val="left" w:pos="6005"/>
        </w:tabs>
        <w:spacing w:before="178" w:line="384" w:lineRule="auto"/>
        <w:ind w:right="63"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邮编：</w:t>
      </w:r>
      <w:r>
        <w:rPr>
          <w:rFonts w:hint="eastAsia" w:ascii="宋体" w:hAnsi="宋体" w:eastAsia="宋体" w:cs="宋体"/>
          <w:color w:val="auto"/>
          <w:sz w:val="23"/>
          <w:szCs w:val="23"/>
          <w:highlight w:val="none"/>
          <w:u w:val="single"/>
        </w:rPr>
        <w:t xml:space="preserve">               </w:t>
      </w:r>
    </w:p>
    <w:p w14:paraId="660D9BEE">
      <w:pPr>
        <w:tabs>
          <w:tab w:val="left" w:pos="6005"/>
        </w:tabs>
        <w:spacing w:before="178" w:line="384" w:lineRule="auto"/>
        <w:ind w:left="5271" w:right="63" w:hanging="59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42B2FEEB">
      <w:pPr>
        <w:jc w:val="both"/>
        <w:rPr>
          <w:rFonts w:hint="eastAsia" w:ascii="宋体" w:hAnsi="宋体" w:eastAsia="宋体" w:cs="宋体"/>
          <w:color w:val="auto"/>
          <w:highlight w:val="none"/>
        </w:rPr>
        <w:sectPr>
          <w:footerReference r:id="rId17" w:type="default"/>
          <w:pgSz w:w="11907" w:h="16840"/>
          <w:pgMar w:top="1418" w:right="1559" w:bottom="1418" w:left="1474" w:header="0" w:footer="723" w:gutter="0"/>
          <w:cols w:space="720" w:num="1"/>
        </w:sectPr>
      </w:pPr>
    </w:p>
    <w:p w14:paraId="6184F55C">
      <w:pPr>
        <w:spacing w:before="310" w:line="221" w:lineRule="auto"/>
        <w:ind w:left="92"/>
        <w:jc w:val="both"/>
        <w:outlineLvl w:val="1"/>
        <w:rPr>
          <w:rFonts w:hint="eastAsia" w:ascii="宋体" w:hAnsi="宋体" w:eastAsia="宋体" w:cs="宋体"/>
          <w:color w:val="auto"/>
          <w:sz w:val="28"/>
          <w:szCs w:val="28"/>
          <w:highlight w:val="none"/>
        </w:rPr>
      </w:pPr>
      <w:bookmarkStart w:id="63" w:name="_bookmark16"/>
      <w:bookmarkEnd w:id="63"/>
      <w:r>
        <w:rPr>
          <w:rFonts w:hint="eastAsia" w:ascii="宋体" w:hAnsi="宋体" w:eastAsia="宋体" w:cs="宋体"/>
          <w:color w:val="auto"/>
          <w:sz w:val="28"/>
          <w:szCs w:val="28"/>
          <w:highlight w:val="none"/>
        </w:rPr>
        <w:t>格式二：法定代表人身份证明</w:t>
      </w:r>
    </w:p>
    <w:p w14:paraId="051A41B8">
      <w:pPr>
        <w:spacing w:line="337" w:lineRule="auto"/>
        <w:jc w:val="both"/>
        <w:rPr>
          <w:rFonts w:hint="eastAsia" w:ascii="宋体" w:hAnsi="宋体" w:eastAsia="宋体" w:cs="宋体"/>
          <w:color w:val="auto"/>
          <w:highlight w:val="none"/>
        </w:rPr>
      </w:pPr>
    </w:p>
    <w:p w14:paraId="73FD3FA9">
      <w:pPr>
        <w:spacing w:line="338" w:lineRule="auto"/>
        <w:jc w:val="both"/>
        <w:rPr>
          <w:rFonts w:hint="eastAsia" w:ascii="宋体" w:hAnsi="宋体" w:eastAsia="宋体" w:cs="宋体"/>
          <w:color w:val="auto"/>
          <w:highlight w:val="none"/>
        </w:rPr>
      </w:pPr>
    </w:p>
    <w:p w14:paraId="5832D25B">
      <w:pPr>
        <w:spacing w:before="75" w:line="228" w:lineRule="auto"/>
        <w:ind w:left="321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法定代表人身份证明</w:t>
      </w:r>
    </w:p>
    <w:p w14:paraId="041072B3">
      <w:pPr>
        <w:spacing w:line="290" w:lineRule="auto"/>
        <w:jc w:val="both"/>
        <w:rPr>
          <w:rFonts w:hint="eastAsia" w:ascii="宋体" w:hAnsi="宋体" w:eastAsia="宋体" w:cs="宋体"/>
          <w:color w:val="auto"/>
          <w:highlight w:val="none"/>
        </w:rPr>
      </w:pPr>
    </w:p>
    <w:p w14:paraId="509EB0F1">
      <w:pPr>
        <w:spacing w:line="290" w:lineRule="auto"/>
        <w:jc w:val="both"/>
        <w:rPr>
          <w:rFonts w:hint="eastAsia" w:ascii="宋体" w:hAnsi="宋体" w:eastAsia="宋体" w:cs="宋体"/>
          <w:color w:val="auto"/>
          <w:highlight w:val="none"/>
        </w:rPr>
      </w:pPr>
    </w:p>
    <w:p w14:paraId="449E2668">
      <w:pPr>
        <w:spacing w:line="291" w:lineRule="auto"/>
        <w:jc w:val="both"/>
        <w:rPr>
          <w:rFonts w:hint="eastAsia" w:ascii="宋体" w:hAnsi="宋体" w:eastAsia="宋体" w:cs="宋体"/>
          <w:color w:val="auto"/>
          <w:highlight w:val="none"/>
        </w:rPr>
      </w:pPr>
    </w:p>
    <w:p w14:paraId="4D941620">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投标人名称：</w:t>
      </w:r>
      <w:r>
        <w:rPr>
          <w:rFonts w:hint="eastAsia" w:ascii="宋体" w:hAnsi="宋体" w:eastAsia="宋体" w:cs="宋体"/>
          <w:color w:val="auto"/>
          <w:sz w:val="23"/>
          <w:szCs w:val="23"/>
          <w:highlight w:val="none"/>
          <w:u w:val="single"/>
        </w:rPr>
        <w:t xml:space="preserve">                                         </w:t>
      </w:r>
    </w:p>
    <w:p w14:paraId="25608728">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单位性质：</w:t>
      </w:r>
      <w:r>
        <w:rPr>
          <w:rFonts w:hint="eastAsia" w:ascii="宋体" w:hAnsi="宋体" w:eastAsia="宋体" w:cs="宋体"/>
          <w:color w:val="auto"/>
          <w:sz w:val="23"/>
          <w:szCs w:val="23"/>
          <w:highlight w:val="none"/>
          <w:u w:val="single"/>
        </w:rPr>
        <w:t xml:space="preserve">                                         </w:t>
      </w:r>
    </w:p>
    <w:p w14:paraId="0CFEEE9E">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地址：</w:t>
      </w:r>
      <w:r>
        <w:rPr>
          <w:rFonts w:hint="eastAsia" w:ascii="宋体" w:hAnsi="宋体" w:eastAsia="宋体" w:cs="宋体"/>
          <w:color w:val="auto"/>
          <w:sz w:val="23"/>
          <w:szCs w:val="23"/>
          <w:highlight w:val="none"/>
          <w:u w:val="single"/>
        </w:rPr>
        <w:t xml:space="preserve">                                         </w:t>
      </w:r>
    </w:p>
    <w:p w14:paraId="29042628">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成立时间：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5BB87553">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经营期限：</w:t>
      </w:r>
      <w:r>
        <w:rPr>
          <w:rFonts w:hint="eastAsia" w:ascii="宋体" w:hAnsi="宋体" w:eastAsia="宋体" w:cs="宋体"/>
          <w:color w:val="auto"/>
          <w:sz w:val="23"/>
          <w:szCs w:val="23"/>
          <w:highlight w:val="none"/>
          <w:u w:val="single"/>
        </w:rPr>
        <w:t xml:space="preserve">                                         </w:t>
      </w:r>
    </w:p>
    <w:p w14:paraId="52581CB0">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姓名：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性别：</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年龄：</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职务：</w:t>
      </w:r>
      <w:r>
        <w:rPr>
          <w:rFonts w:hint="eastAsia" w:ascii="宋体" w:hAnsi="宋体" w:eastAsia="宋体" w:cs="宋体"/>
          <w:color w:val="auto"/>
          <w:sz w:val="23"/>
          <w:szCs w:val="23"/>
          <w:highlight w:val="none"/>
          <w:u w:val="single"/>
        </w:rPr>
        <w:t xml:space="preserve">   </w:t>
      </w:r>
    </w:p>
    <w:p w14:paraId="65E121C4">
      <w:pPr>
        <w:spacing w:line="440" w:lineRule="exact"/>
        <w:ind w:left="105" w:leftChars="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系(投标人名称)的法定代表人。特此证明。</w:t>
      </w:r>
    </w:p>
    <w:p w14:paraId="27956DF1">
      <w:pPr>
        <w:spacing w:line="259" w:lineRule="auto"/>
        <w:jc w:val="both"/>
        <w:rPr>
          <w:rFonts w:hint="eastAsia" w:ascii="宋体" w:hAnsi="宋体" w:eastAsia="宋体" w:cs="宋体"/>
          <w:color w:val="auto"/>
          <w:highlight w:val="none"/>
        </w:rPr>
      </w:pPr>
    </w:p>
    <w:p w14:paraId="5D4D9240">
      <w:pPr>
        <w:spacing w:line="259" w:lineRule="auto"/>
        <w:jc w:val="both"/>
        <w:rPr>
          <w:rFonts w:hint="eastAsia" w:ascii="宋体" w:hAnsi="宋体" w:eastAsia="宋体" w:cs="宋体"/>
          <w:color w:val="auto"/>
          <w:highlight w:val="none"/>
        </w:rPr>
      </w:pPr>
    </w:p>
    <w:p w14:paraId="5F64E6FB">
      <w:pPr>
        <w:spacing w:line="260" w:lineRule="auto"/>
        <w:jc w:val="both"/>
        <w:rPr>
          <w:rFonts w:hint="eastAsia" w:ascii="宋体" w:hAnsi="宋体" w:eastAsia="宋体" w:cs="宋体"/>
          <w:color w:val="auto"/>
          <w:highlight w:val="none"/>
        </w:rPr>
      </w:pPr>
    </w:p>
    <w:p w14:paraId="42B7FE7E">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05325CB1">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255ABD96">
      <w:pPr>
        <w:tabs>
          <w:tab w:val="left" w:pos="6144"/>
        </w:tabs>
        <w:spacing w:before="75" w:line="384" w:lineRule="auto"/>
        <w:ind w:left="5053" w:hanging="467"/>
        <w:jc w:val="both"/>
        <w:rPr>
          <w:rFonts w:hint="eastAsia" w:ascii="宋体" w:hAnsi="宋体" w:eastAsia="宋体" w:cs="宋体"/>
          <w:color w:val="auto"/>
          <w:sz w:val="23"/>
          <w:szCs w:val="23"/>
          <w:highlight w:val="none"/>
        </w:rPr>
      </w:pPr>
    </w:p>
    <w:p w14:paraId="5359478F">
      <w:pPr>
        <w:jc w:val="both"/>
        <w:rPr>
          <w:rFonts w:hint="eastAsia" w:ascii="宋体" w:hAnsi="宋体" w:eastAsia="宋体" w:cs="宋体"/>
          <w:color w:val="auto"/>
          <w:highlight w:val="none"/>
        </w:rPr>
      </w:pPr>
    </w:p>
    <w:p w14:paraId="3EEA5BF7">
      <w:pPr>
        <w:spacing w:line="140" w:lineRule="exact"/>
        <w:jc w:val="both"/>
        <w:rPr>
          <w:rFonts w:hint="eastAsia" w:ascii="宋体" w:hAnsi="宋体" w:eastAsia="宋体" w:cs="宋体"/>
          <w:color w:val="auto"/>
          <w:highlight w:val="none"/>
        </w:rPr>
      </w:pPr>
    </w:p>
    <w:tbl>
      <w:tblPr>
        <w:tblStyle w:val="48"/>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14:paraId="7874F89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9" w:hRule="atLeast"/>
        </w:trPr>
        <w:tc>
          <w:tcPr>
            <w:tcW w:w="7303" w:type="dxa"/>
          </w:tcPr>
          <w:p w14:paraId="77E9726F">
            <w:pPr>
              <w:spacing w:line="257" w:lineRule="auto"/>
              <w:jc w:val="both"/>
              <w:rPr>
                <w:rFonts w:hint="eastAsia" w:ascii="宋体" w:hAnsi="宋体" w:eastAsia="宋体" w:cs="宋体"/>
                <w:color w:val="auto"/>
                <w:highlight w:val="none"/>
              </w:rPr>
            </w:pPr>
          </w:p>
          <w:p w14:paraId="320A0ADB">
            <w:pPr>
              <w:spacing w:line="258" w:lineRule="auto"/>
              <w:jc w:val="both"/>
              <w:rPr>
                <w:rFonts w:hint="eastAsia" w:ascii="宋体" w:hAnsi="宋体" w:eastAsia="宋体" w:cs="宋体"/>
                <w:color w:val="auto"/>
                <w:highlight w:val="none"/>
              </w:rPr>
            </w:pPr>
          </w:p>
          <w:p w14:paraId="2ECEA6E6">
            <w:pPr>
              <w:spacing w:before="74" w:line="228" w:lineRule="auto"/>
              <w:ind w:left="2458"/>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w:t>
            </w:r>
            <w:r>
              <w:rPr>
                <w:rFonts w:hint="eastAsia" w:ascii="宋体" w:hAnsi="宋体" w:eastAsia="宋体" w:cs="宋体"/>
                <w:color w:val="auto"/>
                <w:sz w:val="23"/>
                <w:szCs w:val="23"/>
                <w:highlight w:val="none"/>
                <w:lang w:eastAsia="zh-CN"/>
              </w:rPr>
              <w:t>复印件</w:t>
            </w:r>
          </w:p>
        </w:tc>
      </w:tr>
    </w:tbl>
    <w:p w14:paraId="40DD8E96">
      <w:pPr>
        <w:jc w:val="both"/>
        <w:rPr>
          <w:rFonts w:hint="eastAsia" w:ascii="宋体" w:hAnsi="宋体" w:eastAsia="宋体" w:cs="宋体"/>
          <w:color w:val="auto"/>
          <w:highlight w:val="none"/>
        </w:rPr>
      </w:pPr>
    </w:p>
    <w:p w14:paraId="4911346D">
      <w:pPr>
        <w:jc w:val="both"/>
        <w:rPr>
          <w:rFonts w:hint="eastAsia" w:ascii="宋体" w:hAnsi="宋体" w:eastAsia="宋体" w:cs="宋体"/>
          <w:color w:val="auto"/>
          <w:highlight w:val="none"/>
        </w:rPr>
        <w:sectPr>
          <w:footerReference r:id="rId18" w:type="default"/>
          <w:pgSz w:w="11907" w:h="16840"/>
          <w:pgMar w:top="1418" w:right="1559" w:bottom="1418" w:left="1474" w:header="0" w:footer="723" w:gutter="0"/>
          <w:cols w:space="720" w:num="1"/>
        </w:sectPr>
      </w:pPr>
    </w:p>
    <w:p w14:paraId="055DCC77">
      <w:pPr>
        <w:spacing w:before="310" w:line="221" w:lineRule="auto"/>
        <w:ind w:left="388"/>
        <w:jc w:val="both"/>
        <w:rPr>
          <w:rFonts w:hint="eastAsia" w:ascii="宋体" w:hAnsi="宋体" w:eastAsia="宋体" w:cs="宋体"/>
          <w:color w:val="auto"/>
          <w:sz w:val="28"/>
          <w:szCs w:val="28"/>
          <w:highlight w:val="none"/>
        </w:rPr>
      </w:pPr>
      <w:bookmarkStart w:id="64" w:name="_bookmark17"/>
      <w:bookmarkEnd w:id="64"/>
      <w:r>
        <w:rPr>
          <w:rFonts w:hint="eastAsia" w:ascii="宋体" w:hAnsi="宋体" w:eastAsia="宋体" w:cs="宋体"/>
          <w:color w:val="auto"/>
          <w:sz w:val="28"/>
          <w:szCs w:val="28"/>
          <w:highlight w:val="none"/>
        </w:rPr>
        <w:t>格式三：法定代表人授权委托书</w:t>
      </w:r>
    </w:p>
    <w:p w14:paraId="38B68299">
      <w:pPr>
        <w:spacing w:line="328" w:lineRule="auto"/>
        <w:jc w:val="both"/>
        <w:rPr>
          <w:rFonts w:hint="eastAsia" w:ascii="宋体" w:hAnsi="宋体" w:eastAsia="宋体" w:cs="宋体"/>
          <w:color w:val="auto"/>
          <w:highlight w:val="none"/>
        </w:rPr>
      </w:pPr>
    </w:p>
    <w:p w14:paraId="098C63FB">
      <w:pPr>
        <w:spacing w:line="328" w:lineRule="auto"/>
        <w:jc w:val="both"/>
        <w:rPr>
          <w:rFonts w:hint="eastAsia" w:ascii="宋体" w:hAnsi="宋体" w:eastAsia="宋体" w:cs="宋体"/>
          <w:color w:val="auto"/>
          <w:highlight w:val="none"/>
        </w:rPr>
      </w:pPr>
    </w:p>
    <w:p w14:paraId="18A1F593">
      <w:pPr>
        <w:spacing w:before="75" w:line="227" w:lineRule="auto"/>
        <w:jc w:val="center"/>
        <w:outlineLvl w:val="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法定代表人授权委托书</w:t>
      </w:r>
    </w:p>
    <w:p w14:paraId="19F8795B">
      <w:pPr>
        <w:spacing w:line="386" w:lineRule="auto"/>
        <w:jc w:val="both"/>
        <w:rPr>
          <w:rFonts w:hint="eastAsia" w:ascii="宋体" w:hAnsi="宋体" w:eastAsia="宋体" w:cs="宋体"/>
          <w:color w:val="auto"/>
          <w:highlight w:val="none"/>
        </w:rPr>
      </w:pPr>
    </w:p>
    <w:p w14:paraId="0D1EDB62">
      <w:pPr>
        <w:spacing w:before="75" w:line="375" w:lineRule="auto"/>
        <w:ind w:firstLine="5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本人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(姓名)系</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(投标人名称)的法定代表人，现委托</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(姓名)为我方代理人。代理人根据授权，以我方名义签署、澄清、说明、补正、递交、撤回、修改</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(项目及标段名称)的投标文件、签订合同和处理有关事宜，其法律后果由我方承担。</w:t>
      </w:r>
    </w:p>
    <w:p w14:paraId="427E58EC">
      <w:pPr>
        <w:spacing w:line="375"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委托期限</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20743B5B">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代理人无转委托权。</w:t>
      </w:r>
    </w:p>
    <w:p w14:paraId="2D370E9D">
      <w:pPr>
        <w:spacing w:before="181" w:line="227" w:lineRule="auto"/>
        <w:ind w:left="36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附：委托代理人身份证明</w:t>
      </w:r>
    </w:p>
    <w:p w14:paraId="184C0557">
      <w:pPr>
        <w:spacing w:line="285" w:lineRule="auto"/>
        <w:jc w:val="both"/>
        <w:rPr>
          <w:rFonts w:hint="eastAsia" w:ascii="宋体" w:hAnsi="宋体" w:eastAsia="宋体" w:cs="宋体"/>
          <w:color w:val="auto"/>
          <w:highlight w:val="none"/>
        </w:rPr>
      </w:pPr>
    </w:p>
    <w:p w14:paraId="6F0D5543">
      <w:pPr>
        <w:spacing w:line="286" w:lineRule="auto"/>
        <w:jc w:val="both"/>
        <w:rPr>
          <w:rFonts w:hint="eastAsia" w:ascii="宋体" w:hAnsi="宋体" w:eastAsia="宋体" w:cs="宋体"/>
          <w:color w:val="auto"/>
          <w:highlight w:val="none"/>
        </w:rPr>
      </w:pPr>
    </w:p>
    <w:p w14:paraId="23907122">
      <w:pPr>
        <w:spacing w:before="76" w:line="376" w:lineRule="auto"/>
        <w:ind w:left="35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(盖单位公章)</w:t>
      </w:r>
    </w:p>
    <w:p w14:paraId="710B2D5B">
      <w:pPr>
        <w:spacing w:line="227" w:lineRule="auto"/>
        <w:ind w:left="34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(签字或盖章)</w:t>
      </w:r>
    </w:p>
    <w:p w14:paraId="5398257D">
      <w:pPr>
        <w:spacing w:before="185" w:line="374"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4372E014">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(签字)</w:t>
      </w:r>
    </w:p>
    <w:p w14:paraId="5D72EC42">
      <w:pPr>
        <w:spacing w:before="184" w:line="227" w:lineRule="auto"/>
        <w:ind w:left="3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手机号码：</w:t>
      </w:r>
      <w:r>
        <w:rPr>
          <w:rFonts w:hint="eastAsia" w:ascii="宋体" w:hAnsi="宋体" w:eastAsia="宋体" w:cs="宋体"/>
          <w:color w:val="auto"/>
          <w:sz w:val="23"/>
          <w:szCs w:val="23"/>
          <w:highlight w:val="none"/>
          <w:u w:val="single"/>
        </w:rPr>
        <w:t xml:space="preserve">                  </w:t>
      </w:r>
    </w:p>
    <w:p w14:paraId="615AA090">
      <w:pPr>
        <w:spacing w:before="183" w:line="228"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4937E302">
      <w:pPr>
        <w:spacing w:line="285" w:lineRule="auto"/>
        <w:jc w:val="both"/>
        <w:rPr>
          <w:rFonts w:hint="eastAsia" w:ascii="宋体" w:hAnsi="宋体" w:eastAsia="宋体" w:cs="宋体"/>
          <w:color w:val="auto"/>
          <w:highlight w:val="none"/>
        </w:rPr>
      </w:pPr>
    </w:p>
    <w:p w14:paraId="0C1630BF">
      <w:pPr>
        <w:spacing w:line="286" w:lineRule="auto"/>
        <w:jc w:val="both"/>
        <w:rPr>
          <w:rFonts w:hint="eastAsia" w:ascii="宋体" w:hAnsi="宋体" w:eastAsia="宋体" w:cs="宋体"/>
          <w:color w:val="auto"/>
          <w:highlight w:val="none"/>
        </w:rPr>
      </w:pPr>
    </w:p>
    <w:p w14:paraId="5CE90CEB">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41D1310C">
      <w:pPr>
        <w:jc w:val="both"/>
        <w:rPr>
          <w:rFonts w:hint="eastAsia" w:ascii="宋体" w:hAnsi="宋体" w:eastAsia="宋体" w:cs="宋体"/>
          <w:color w:val="auto"/>
          <w:highlight w:val="none"/>
        </w:rPr>
      </w:pPr>
    </w:p>
    <w:p w14:paraId="57F83D7A">
      <w:pPr>
        <w:jc w:val="both"/>
        <w:rPr>
          <w:rFonts w:hint="eastAsia" w:ascii="宋体" w:hAnsi="宋体" w:eastAsia="宋体" w:cs="宋体"/>
          <w:color w:val="auto"/>
          <w:highlight w:val="none"/>
        </w:rPr>
      </w:pPr>
    </w:p>
    <w:p w14:paraId="3F95ABAA">
      <w:pPr>
        <w:spacing w:line="105" w:lineRule="exact"/>
        <w:jc w:val="both"/>
        <w:rPr>
          <w:rFonts w:hint="eastAsia" w:ascii="宋体" w:hAnsi="宋体" w:eastAsia="宋体" w:cs="宋体"/>
          <w:color w:val="auto"/>
          <w:highlight w:val="none"/>
        </w:rPr>
      </w:pPr>
    </w:p>
    <w:tbl>
      <w:tblPr>
        <w:tblStyle w:val="48"/>
        <w:tblW w:w="7233" w:type="dxa"/>
        <w:tblInd w:w="80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14:paraId="69E3D8DD">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08" w:hRule="atLeast"/>
        </w:trPr>
        <w:tc>
          <w:tcPr>
            <w:tcW w:w="7233" w:type="dxa"/>
          </w:tcPr>
          <w:p w14:paraId="3BE069B7">
            <w:pPr>
              <w:spacing w:line="256" w:lineRule="auto"/>
              <w:jc w:val="both"/>
              <w:rPr>
                <w:rFonts w:hint="eastAsia" w:ascii="宋体" w:hAnsi="宋体" w:eastAsia="宋体" w:cs="宋体"/>
                <w:color w:val="auto"/>
                <w:highlight w:val="none"/>
              </w:rPr>
            </w:pPr>
          </w:p>
          <w:p w14:paraId="35EC2C00">
            <w:pPr>
              <w:spacing w:line="257" w:lineRule="auto"/>
              <w:jc w:val="both"/>
              <w:rPr>
                <w:rFonts w:hint="eastAsia" w:ascii="宋体" w:hAnsi="宋体" w:eastAsia="宋体" w:cs="宋体"/>
                <w:color w:val="auto"/>
                <w:highlight w:val="none"/>
              </w:rPr>
            </w:pPr>
          </w:p>
          <w:p w14:paraId="5268C57B">
            <w:pPr>
              <w:spacing w:before="75" w:line="228" w:lineRule="auto"/>
              <w:ind w:left="242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委托代理人身份证</w:t>
            </w:r>
            <w:r>
              <w:rPr>
                <w:rFonts w:hint="eastAsia" w:ascii="宋体" w:hAnsi="宋体" w:eastAsia="宋体" w:cs="宋体"/>
                <w:color w:val="auto"/>
                <w:sz w:val="23"/>
                <w:szCs w:val="23"/>
                <w:highlight w:val="none"/>
                <w:lang w:eastAsia="zh-CN"/>
              </w:rPr>
              <w:t>复印件</w:t>
            </w:r>
          </w:p>
        </w:tc>
      </w:tr>
    </w:tbl>
    <w:p w14:paraId="3FA0C495">
      <w:pPr>
        <w:spacing w:line="480" w:lineRule="auto"/>
        <w:jc w:val="center"/>
        <w:outlineLvl w:val="0"/>
        <w:rPr>
          <w:rFonts w:hint="eastAsia" w:ascii="宋体" w:hAnsi="宋体" w:eastAsia="宋体" w:cs="宋体"/>
          <w:color w:val="auto"/>
          <w:highlight w:val="none"/>
        </w:rPr>
      </w:pPr>
      <w:r>
        <w:rPr>
          <w:rFonts w:hint="eastAsia" w:ascii="宋体" w:hAnsi="宋体" w:eastAsia="宋体" w:cs="宋体"/>
          <w:color w:val="auto"/>
          <w:highlight w:val="none"/>
        </w:rPr>
        <w:br w:type="page"/>
      </w:r>
      <w:r>
        <w:rPr>
          <w:rFonts w:hint="eastAsia" w:ascii="宋体" w:hAnsi="宋体" w:eastAsia="宋体" w:cs="宋体"/>
          <w:b/>
          <w:bCs/>
          <w:color w:val="auto"/>
          <w:sz w:val="36"/>
          <w:szCs w:val="36"/>
          <w:highlight w:val="none"/>
        </w:rPr>
        <w:t>投标保证金缴纳证明资料</w:t>
      </w:r>
    </w:p>
    <w:p w14:paraId="16A8C77E">
      <w:pPr>
        <w:widowControl w:val="0"/>
        <w:tabs>
          <w:tab w:val="left" w:pos="312"/>
        </w:tabs>
        <w:spacing w:before="120" w:beforeLines="50" w:after="120" w:afterLines="50"/>
        <w:jc w:val="both"/>
        <w:rPr>
          <w:rFonts w:hint="eastAsia" w:ascii="宋体" w:hAnsi="宋体" w:eastAsia="宋体" w:cs="宋体"/>
          <w:bCs/>
          <w:color w:val="auto"/>
          <w:highlight w:val="none"/>
        </w:rPr>
      </w:pPr>
      <w:r>
        <w:rPr>
          <w:rFonts w:hint="eastAsia" w:ascii="宋体" w:hAnsi="宋体" w:eastAsia="宋体" w:cs="宋体"/>
          <w:bCs/>
          <w:color w:val="auto"/>
          <w:highlight w:val="none"/>
        </w:rPr>
        <w:t>1.采用转账形式缴纳的，提供银行转账凭证（记录）及基本账户开户证明。</w:t>
      </w:r>
    </w:p>
    <w:p w14:paraId="2F2FEDB4">
      <w:pPr>
        <w:widowControl w:val="0"/>
        <w:tabs>
          <w:tab w:val="left" w:pos="312"/>
        </w:tabs>
        <w:spacing w:before="120" w:beforeLines="50" w:after="120" w:afterLines="50"/>
        <w:jc w:val="both"/>
        <w:rPr>
          <w:rFonts w:hint="eastAsia" w:ascii="宋体" w:hAnsi="宋体" w:eastAsia="宋体" w:cs="宋体"/>
          <w:bCs/>
          <w:color w:val="auto"/>
          <w:highlight w:val="none"/>
        </w:rPr>
      </w:pPr>
      <w:r>
        <w:rPr>
          <w:rFonts w:hint="eastAsia" w:ascii="宋体" w:hAnsi="宋体" w:eastAsia="宋体" w:cs="宋体"/>
          <w:bCs/>
          <w:color w:val="auto"/>
          <w:highlight w:val="none"/>
        </w:rPr>
        <w:t>2.采用银行保函或投标保险保单或担保保函的，提供保函、购买保险或办理保函、担保等保证金相关费用从投标人基本账户转出的凭证、基本账户开户证明。</w:t>
      </w:r>
    </w:p>
    <w:p w14:paraId="5D850815">
      <w:pPr>
        <w:rPr>
          <w:rFonts w:hint="eastAsia" w:ascii="宋体" w:hAnsi="宋体" w:eastAsia="宋体" w:cs="宋体"/>
          <w:color w:val="auto"/>
          <w:highlight w:val="none"/>
        </w:rPr>
      </w:pPr>
    </w:p>
    <w:p w14:paraId="46553504">
      <w:pPr>
        <w:jc w:val="both"/>
        <w:rPr>
          <w:rFonts w:hint="eastAsia" w:ascii="宋体" w:hAnsi="宋体" w:eastAsia="宋体" w:cs="宋体"/>
          <w:color w:val="auto"/>
          <w:highlight w:val="none"/>
        </w:rPr>
      </w:pPr>
    </w:p>
    <w:p w14:paraId="19AF4C98">
      <w:pPr>
        <w:jc w:val="both"/>
        <w:rPr>
          <w:rFonts w:hint="eastAsia" w:ascii="宋体" w:hAnsi="宋体" w:eastAsia="宋体" w:cs="宋体"/>
          <w:color w:val="auto"/>
          <w:highlight w:val="none"/>
        </w:rPr>
        <w:sectPr>
          <w:footerReference r:id="rId19" w:type="default"/>
          <w:pgSz w:w="11907" w:h="16840"/>
          <w:pgMar w:top="1418" w:right="1559" w:bottom="1418" w:left="1474" w:header="0" w:footer="723" w:gutter="0"/>
          <w:cols w:space="720" w:num="1"/>
        </w:sectPr>
      </w:pPr>
    </w:p>
    <w:p w14:paraId="16759400">
      <w:pPr>
        <w:spacing w:before="163" w:line="221" w:lineRule="auto"/>
        <w:ind w:left="617"/>
        <w:jc w:val="both"/>
        <w:outlineLvl w:val="1"/>
        <w:rPr>
          <w:rFonts w:hint="eastAsia" w:ascii="宋体" w:hAnsi="宋体" w:eastAsia="宋体" w:cs="宋体"/>
          <w:color w:val="auto"/>
          <w:sz w:val="28"/>
          <w:szCs w:val="28"/>
          <w:highlight w:val="none"/>
        </w:rPr>
      </w:pPr>
      <w:bookmarkStart w:id="65" w:name="_bookmark18"/>
      <w:bookmarkEnd w:id="65"/>
      <w:r>
        <w:rPr>
          <w:rFonts w:hint="eastAsia" w:ascii="宋体" w:hAnsi="宋体" w:eastAsia="宋体" w:cs="宋体"/>
          <w:color w:val="auto"/>
          <w:sz w:val="28"/>
          <w:szCs w:val="28"/>
          <w:highlight w:val="none"/>
        </w:rPr>
        <w:t>格式四：投标报价表</w:t>
      </w:r>
    </w:p>
    <w:p w14:paraId="5A61FE7B">
      <w:pPr>
        <w:spacing w:before="246" w:line="224" w:lineRule="auto"/>
        <w:ind w:left="6702"/>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投标报价表</w:t>
      </w:r>
    </w:p>
    <w:p w14:paraId="5F725204">
      <w:pPr>
        <w:spacing w:before="130" w:line="229" w:lineRule="auto"/>
        <w:ind w:left="1185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单位：人民币元</w:t>
      </w:r>
    </w:p>
    <w:p w14:paraId="21894AC9">
      <w:pPr>
        <w:spacing w:line="98" w:lineRule="auto"/>
        <w:jc w:val="both"/>
        <w:rPr>
          <w:rFonts w:hint="eastAsia" w:ascii="宋体" w:hAnsi="宋体" w:eastAsia="宋体" w:cs="宋体"/>
          <w:color w:val="auto"/>
          <w:sz w:val="2"/>
          <w:highlight w:val="none"/>
        </w:rPr>
      </w:pPr>
    </w:p>
    <w:tbl>
      <w:tblPr>
        <w:tblStyle w:val="48"/>
        <w:tblW w:w="484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28"/>
        <w:gridCol w:w="2263"/>
        <w:gridCol w:w="1995"/>
        <w:gridCol w:w="1098"/>
        <w:gridCol w:w="1926"/>
        <w:gridCol w:w="2118"/>
        <w:gridCol w:w="2860"/>
      </w:tblGrid>
      <w:tr w14:paraId="78A0EC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421" w:type="pct"/>
            <w:vAlign w:val="center"/>
          </w:tcPr>
          <w:p w14:paraId="33424D43">
            <w:pPr>
              <w:spacing w:before="176" w:line="193" w:lineRule="auto"/>
              <w:ind w:left="394"/>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845" w:type="pct"/>
            <w:vAlign w:val="center"/>
          </w:tcPr>
          <w:p w14:paraId="2E038535">
            <w:pPr>
              <w:spacing w:before="177" w:line="192" w:lineRule="auto"/>
              <w:ind w:left="893"/>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745" w:type="pct"/>
            <w:vAlign w:val="center"/>
          </w:tcPr>
          <w:p w14:paraId="0B18FBAB">
            <w:pPr>
              <w:spacing w:before="178" w:line="190" w:lineRule="auto"/>
              <w:ind w:left="39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410" w:type="pct"/>
            <w:vAlign w:val="center"/>
          </w:tcPr>
          <w:p w14:paraId="30AE3B2C">
            <w:pPr>
              <w:spacing w:before="177" w:line="192" w:lineRule="auto"/>
              <w:ind w:left="453"/>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719" w:type="pct"/>
            <w:vAlign w:val="center"/>
          </w:tcPr>
          <w:p w14:paraId="577DB607">
            <w:pPr>
              <w:spacing w:before="178" w:line="190" w:lineRule="auto"/>
              <w:ind w:left="715"/>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791" w:type="pct"/>
            <w:vAlign w:val="center"/>
          </w:tcPr>
          <w:p w14:paraId="3C4481A6">
            <w:pPr>
              <w:spacing w:before="178" w:line="190" w:lineRule="auto"/>
              <w:ind w:left="404"/>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6</w:t>
            </w:r>
          </w:p>
        </w:tc>
        <w:tc>
          <w:tcPr>
            <w:tcW w:w="1067" w:type="pct"/>
            <w:vAlign w:val="center"/>
          </w:tcPr>
          <w:p w14:paraId="76CFF12D">
            <w:pPr>
              <w:spacing w:before="176" w:line="191" w:lineRule="auto"/>
              <w:ind w:left="551"/>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7</w:t>
            </w:r>
          </w:p>
        </w:tc>
      </w:tr>
      <w:tr w14:paraId="2B259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4" w:hRule="atLeast"/>
        </w:trPr>
        <w:tc>
          <w:tcPr>
            <w:tcW w:w="421" w:type="pct"/>
            <w:vAlign w:val="center"/>
          </w:tcPr>
          <w:p w14:paraId="3985A333">
            <w:pPr>
              <w:spacing w:before="65" w:line="229"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项号</w:t>
            </w:r>
          </w:p>
        </w:tc>
        <w:tc>
          <w:tcPr>
            <w:tcW w:w="845" w:type="pct"/>
            <w:vAlign w:val="center"/>
          </w:tcPr>
          <w:p w14:paraId="5B154F5B">
            <w:pPr>
              <w:spacing w:before="65" w:line="401" w:lineRule="exact"/>
              <w:jc w:val="center"/>
              <w:rPr>
                <w:rFonts w:hint="eastAsia" w:ascii="宋体" w:hAnsi="宋体" w:eastAsia="宋体" w:cs="宋体"/>
                <w:color w:val="auto"/>
                <w:sz w:val="20"/>
                <w:szCs w:val="20"/>
                <w:highlight w:val="none"/>
              </w:rPr>
            </w:pPr>
            <w:r>
              <w:rPr>
                <w:rFonts w:hint="eastAsia" w:ascii="宋体" w:hAnsi="宋体" w:eastAsia="宋体" w:cs="宋体"/>
                <w:color w:val="auto"/>
                <w:position w:val="14"/>
                <w:sz w:val="20"/>
                <w:szCs w:val="20"/>
                <w:highlight w:val="none"/>
              </w:rPr>
              <w:t>货物名称</w:t>
            </w:r>
          </w:p>
          <w:p w14:paraId="1C27153A">
            <w:pPr>
              <w:spacing w:line="228"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型号规格</w:t>
            </w:r>
          </w:p>
        </w:tc>
        <w:tc>
          <w:tcPr>
            <w:tcW w:w="745" w:type="pct"/>
            <w:vAlign w:val="center"/>
          </w:tcPr>
          <w:p w14:paraId="22048488">
            <w:pPr>
              <w:spacing w:before="65" w:line="379" w:lineRule="auto"/>
              <w:ind w:right="59"/>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产地(品牌)</w:t>
            </w:r>
          </w:p>
        </w:tc>
        <w:tc>
          <w:tcPr>
            <w:tcW w:w="410" w:type="pct"/>
            <w:vAlign w:val="center"/>
          </w:tcPr>
          <w:p w14:paraId="1340F3A8">
            <w:pPr>
              <w:spacing w:before="66" w:line="228"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数量</w:t>
            </w:r>
          </w:p>
        </w:tc>
        <w:tc>
          <w:tcPr>
            <w:tcW w:w="719" w:type="pct"/>
            <w:shd w:val="clear" w:color="auto" w:fill="auto"/>
            <w:vAlign w:val="center"/>
          </w:tcPr>
          <w:p w14:paraId="51A2CA45">
            <w:pPr>
              <w:spacing w:before="65" w:line="379" w:lineRule="auto"/>
              <w:ind w:right="109" w:rightChars="0"/>
              <w:jc w:val="center"/>
              <w:rPr>
                <w:rFonts w:hint="eastAsia" w:ascii="宋体" w:hAnsi="宋体" w:eastAsia="宋体" w:cs="宋体"/>
                <w:snapToGrid w:val="0"/>
                <w:color w:val="auto"/>
                <w:sz w:val="20"/>
                <w:szCs w:val="20"/>
                <w:highlight w:val="none"/>
                <w:lang w:val="en-US" w:eastAsia="zh-CN" w:bidi="ar-SA"/>
              </w:rPr>
            </w:pPr>
            <w:r>
              <w:rPr>
                <w:rFonts w:hint="eastAsia" w:ascii="宋体" w:hAnsi="宋体" w:eastAsia="宋体" w:cs="宋体"/>
                <w:color w:val="auto"/>
                <w:sz w:val="20"/>
                <w:szCs w:val="20"/>
                <w:highlight w:val="none"/>
              </w:rPr>
              <w:t>综合单价(含税)</w:t>
            </w:r>
          </w:p>
        </w:tc>
        <w:tc>
          <w:tcPr>
            <w:tcW w:w="791" w:type="pct"/>
            <w:shd w:val="clear" w:color="auto" w:fill="auto"/>
            <w:vAlign w:val="center"/>
          </w:tcPr>
          <w:p w14:paraId="6B32EE9F">
            <w:pPr>
              <w:spacing w:before="65" w:line="227" w:lineRule="auto"/>
              <w:jc w:val="center"/>
              <w:rPr>
                <w:rFonts w:hint="eastAsia" w:ascii="宋体" w:hAnsi="宋体" w:eastAsia="宋体" w:cs="宋体"/>
                <w:snapToGrid w:val="0"/>
                <w:color w:val="auto"/>
                <w:sz w:val="20"/>
                <w:szCs w:val="20"/>
                <w:highlight w:val="none"/>
                <w:lang w:val="en-US" w:eastAsia="zh-CN" w:bidi="ar-SA"/>
              </w:rPr>
            </w:pPr>
            <w:r>
              <w:rPr>
                <w:rFonts w:hint="eastAsia" w:ascii="宋体" w:hAnsi="宋体" w:eastAsia="宋体" w:cs="宋体"/>
                <w:color w:val="auto"/>
                <w:sz w:val="20"/>
                <w:szCs w:val="20"/>
                <w:highlight w:val="none"/>
              </w:rPr>
              <w:t>总价</w:t>
            </w:r>
          </w:p>
        </w:tc>
        <w:tc>
          <w:tcPr>
            <w:tcW w:w="1067" w:type="pct"/>
            <w:shd w:val="clear" w:color="auto" w:fill="auto"/>
            <w:vAlign w:val="center"/>
          </w:tcPr>
          <w:p w14:paraId="0942412E">
            <w:pPr>
              <w:spacing w:before="65" w:line="230" w:lineRule="auto"/>
              <w:jc w:val="center"/>
              <w:rPr>
                <w:rFonts w:hint="eastAsia" w:ascii="宋体" w:hAnsi="宋体" w:eastAsia="宋体" w:cs="宋体"/>
                <w:snapToGrid w:val="0"/>
                <w:color w:val="auto"/>
                <w:sz w:val="20"/>
                <w:szCs w:val="20"/>
                <w:highlight w:val="none"/>
                <w:lang w:val="en-US" w:eastAsia="zh-CN" w:bidi="ar-SA"/>
              </w:rPr>
            </w:pPr>
            <w:r>
              <w:rPr>
                <w:rFonts w:hint="eastAsia" w:ascii="宋体" w:hAnsi="宋体" w:eastAsia="宋体" w:cs="宋体"/>
                <w:color w:val="auto"/>
                <w:sz w:val="20"/>
                <w:szCs w:val="20"/>
                <w:highlight w:val="none"/>
              </w:rPr>
              <w:t>备注</w:t>
            </w:r>
          </w:p>
        </w:tc>
      </w:tr>
      <w:tr w14:paraId="41A733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421" w:type="pct"/>
          </w:tcPr>
          <w:p w14:paraId="61A80895">
            <w:pPr>
              <w:jc w:val="both"/>
              <w:rPr>
                <w:rFonts w:hint="eastAsia" w:ascii="宋体" w:hAnsi="宋体" w:eastAsia="宋体" w:cs="宋体"/>
                <w:color w:val="auto"/>
                <w:highlight w:val="none"/>
              </w:rPr>
            </w:pPr>
          </w:p>
        </w:tc>
        <w:tc>
          <w:tcPr>
            <w:tcW w:w="845" w:type="pct"/>
          </w:tcPr>
          <w:p w14:paraId="0FDF1FD6">
            <w:pPr>
              <w:jc w:val="both"/>
              <w:rPr>
                <w:rFonts w:hint="eastAsia" w:ascii="宋体" w:hAnsi="宋体" w:eastAsia="宋体" w:cs="宋体"/>
                <w:color w:val="auto"/>
                <w:highlight w:val="none"/>
              </w:rPr>
            </w:pPr>
          </w:p>
        </w:tc>
        <w:tc>
          <w:tcPr>
            <w:tcW w:w="745" w:type="pct"/>
          </w:tcPr>
          <w:p w14:paraId="3196AACD">
            <w:pPr>
              <w:jc w:val="both"/>
              <w:rPr>
                <w:rFonts w:hint="eastAsia" w:ascii="宋体" w:hAnsi="宋体" w:eastAsia="宋体" w:cs="宋体"/>
                <w:color w:val="auto"/>
                <w:highlight w:val="none"/>
              </w:rPr>
            </w:pPr>
          </w:p>
        </w:tc>
        <w:tc>
          <w:tcPr>
            <w:tcW w:w="410" w:type="pct"/>
          </w:tcPr>
          <w:p w14:paraId="66E7CA7C">
            <w:pPr>
              <w:jc w:val="both"/>
              <w:rPr>
                <w:rFonts w:hint="eastAsia" w:ascii="宋体" w:hAnsi="宋体" w:eastAsia="宋体" w:cs="宋体"/>
                <w:color w:val="auto"/>
                <w:highlight w:val="none"/>
              </w:rPr>
            </w:pPr>
          </w:p>
        </w:tc>
        <w:tc>
          <w:tcPr>
            <w:tcW w:w="719" w:type="pct"/>
          </w:tcPr>
          <w:p w14:paraId="46F261AA">
            <w:pPr>
              <w:jc w:val="both"/>
              <w:rPr>
                <w:rFonts w:hint="eastAsia" w:ascii="宋体" w:hAnsi="宋体" w:eastAsia="宋体" w:cs="宋体"/>
                <w:color w:val="auto"/>
                <w:highlight w:val="none"/>
              </w:rPr>
            </w:pPr>
          </w:p>
        </w:tc>
        <w:tc>
          <w:tcPr>
            <w:tcW w:w="791" w:type="pct"/>
          </w:tcPr>
          <w:p w14:paraId="333200A5">
            <w:pPr>
              <w:jc w:val="both"/>
              <w:rPr>
                <w:rFonts w:hint="eastAsia" w:ascii="宋体" w:hAnsi="宋体" w:eastAsia="宋体" w:cs="宋体"/>
                <w:color w:val="auto"/>
                <w:highlight w:val="none"/>
              </w:rPr>
            </w:pPr>
          </w:p>
        </w:tc>
        <w:tc>
          <w:tcPr>
            <w:tcW w:w="1067" w:type="pct"/>
          </w:tcPr>
          <w:p w14:paraId="77AEB33B">
            <w:pPr>
              <w:jc w:val="both"/>
              <w:rPr>
                <w:rFonts w:hint="eastAsia" w:ascii="宋体" w:hAnsi="宋体" w:eastAsia="宋体" w:cs="宋体"/>
                <w:color w:val="auto"/>
                <w:highlight w:val="none"/>
              </w:rPr>
            </w:pPr>
          </w:p>
        </w:tc>
      </w:tr>
      <w:tr w14:paraId="1F6A21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421" w:type="pct"/>
          </w:tcPr>
          <w:p w14:paraId="7C4B7D3C">
            <w:pPr>
              <w:jc w:val="both"/>
              <w:rPr>
                <w:rFonts w:hint="eastAsia" w:ascii="宋体" w:hAnsi="宋体" w:eastAsia="宋体" w:cs="宋体"/>
                <w:color w:val="auto"/>
                <w:highlight w:val="none"/>
              </w:rPr>
            </w:pPr>
          </w:p>
        </w:tc>
        <w:tc>
          <w:tcPr>
            <w:tcW w:w="845" w:type="pct"/>
          </w:tcPr>
          <w:p w14:paraId="3619F1C6">
            <w:pPr>
              <w:jc w:val="both"/>
              <w:rPr>
                <w:rFonts w:hint="eastAsia" w:ascii="宋体" w:hAnsi="宋体" w:eastAsia="宋体" w:cs="宋体"/>
                <w:color w:val="auto"/>
                <w:highlight w:val="none"/>
              </w:rPr>
            </w:pPr>
          </w:p>
        </w:tc>
        <w:tc>
          <w:tcPr>
            <w:tcW w:w="745" w:type="pct"/>
          </w:tcPr>
          <w:p w14:paraId="04B7C44B">
            <w:pPr>
              <w:jc w:val="both"/>
              <w:rPr>
                <w:rFonts w:hint="eastAsia" w:ascii="宋体" w:hAnsi="宋体" w:eastAsia="宋体" w:cs="宋体"/>
                <w:color w:val="auto"/>
                <w:highlight w:val="none"/>
              </w:rPr>
            </w:pPr>
          </w:p>
        </w:tc>
        <w:tc>
          <w:tcPr>
            <w:tcW w:w="410" w:type="pct"/>
          </w:tcPr>
          <w:p w14:paraId="3AD4D7E8">
            <w:pPr>
              <w:jc w:val="both"/>
              <w:rPr>
                <w:rFonts w:hint="eastAsia" w:ascii="宋体" w:hAnsi="宋体" w:eastAsia="宋体" w:cs="宋体"/>
                <w:color w:val="auto"/>
                <w:highlight w:val="none"/>
              </w:rPr>
            </w:pPr>
          </w:p>
        </w:tc>
        <w:tc>
          <w:tcPr>
            <w:tcW w:w="719" w:type="pct"/>
          </w:tcPr>
          <w:p w14:paraId="6292D8CA">
            <w:pPr>
              <w:jc w:val="both"/>
              <w:rPr>
                <w:rFonts w:hint="eastAsia" w:ascii="宋体" w:hAnsi="宋体" w:eastAsia="宋体" w:cs="宋体"/>
                <w:color w:val="auto"/>
                <w:highlight w:val="none"/>
              </w:rPr>
            </w:pPr>
          </w:p>
        </w:tc>
        <w:tc>
          <w:tcPr>
            <w:tcW w:w="791" w:type="pct"/>
          </w:tcPr>
          <w:p w14:paraId="154583F7">
            <w:pPr>
              <w:jc w:val="both"/>
              <w:rPr>
                <w:rFonts w:hint="eastAsia" w:ascii="宋体" w:hAnsi="宋体" w:eastAsia="宋体" w:cs="宋体"/>
                <w:color w:val="auto"/>
                <w:highlight w:val="none"/>
              </w:rPr>
            </w:pPr>
          </w:p>
        </w:tc>
        <w:tc>
          <w:tcPr>
            <w:tcW w:w="1067" w:type="pct"/>
          </w:tcPr>
          <w:p w14:paraId="1E9A8637">
            <w:pPr>
              <w:jc w:val="both"/>
              <w:rPr>
                <w:rFonts w:hint="eastAsia" w:ascii="宋体" w:hAnsi="宋体" w:eastAsia="宋体" w:cs="宋体"/>
                <w:color w:val="auto"/>
                <w:highlight w:val="none"/>
              </w:rPr>
            </w:pPr>
          </w:p>
        </w:tc>
      </w:tr>
      <w:tr w14:paraId="090349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421" w:type="pct"/>
          </w:tcPr>
          <w:p w14:paraId="646B9495">
            <w:pPr>
              <w:jc w:val="both"/>
              <w:rPr>
                <w:rFonts w:hint="eastAsia" w:ascii="宋体" w:hAnsi="宋体" w:eastAsia="宋体" w:cs="宋体"/>
                <w:color w:val="auto"/>
                <w:highlight w:val="none"/>
              </w:rPr>
            </w:pPr>
          </w:p>
        </w:tc>
        <w:tc>
          <w:tcPr>
            <w:tcW w:w="845" w:type="pct"/>
          </w:tcPr>
          <w:p w14:paraId="7D570944">
            <w:pPr>
              <w:jc w:val="both"/>
              <w:rPr>
                <w:rFonts w:hint="eastAsia" w:ascii="宋体" w:hAnsi="宋体" w:eastAsia="宋体" w:cs="宋体"/>
                <w:color w:val="auto"/>
                <w:highlight w:val="none"/>
              </w:rPr>
            </w:pPr>
          </w:p>
        </w:tc>
        <w:tc>
          <w:tcPr>
            <w:tcW w:w="745" w:type="pct"/>
          </w:tcPr>
          <w:p w14:paraId="7F194B4D">
            <w:pPr>
              <w:jc w:val="both"/>
              <w:rPr>
                <w:rFonts w:hint="eastAsia" w:ascii="宋体" w:hAnsi="宋体" w:eastAsia="宋体" w:cs="宋体"/>
                <w:color w:val="auto"/>
                <w:highlight w:val="none"/>
              </w:rPr>
            </w:pPr>
          </w:p>
        </w:tc>
        <w:tc>
          <w:tcPr>
            <w:tcW w:w="410" w:type="pct"/>
          </w:tcPr>
          <w:p w14:paraId="6E936A15">
            <w:pPr>
              <w:jc w:val="both"/>
              <w:rPr>
                <w:rFonts w:hint="eastAsia" w:ascii="宋体" w:hAnsi="宋体" w:eastAsia="宋体" w:cs="宋体"/>
                <w:color w:val="auto"/>
                <w:highlight w:val="none"/>
              </w:rPr>
            </w:pPr>
          </w:p>
        </w:tc>
        <w:tc>
          <w:tcPr>
            <w:tcW w:w="719" w:type="pct"/>
          </w:tcPr>
          <w:p w14:paraId="3BE617CD">
            <w:pPr>
              <w:jc w:val="both"/>
              <w:rPr>
                <w:rFonts w:hint="eastAsia" w:ascii="宋体" w:hAnsi="宋体" w:eastAsia="宋体" w:cs="宋体"/>
                <w:color w:val="auto"/>
                <w:highlight w:val="none"/>
              </w:rPr>
            </w:pPr>
          </w:p>
        </w:tc>
        <w:tc>
          <w:tcPr>
            <w:tcW w:w="791" w:type="pct"/>
          </w:tcPr>
          <w:p w14:paraId="4E5329C8">
            <w:pPr>
              <w:jc w:val="both"/>
              <w:rPr>
                <w:rFonts w:hint="eastAsia" w:ascii="宋体" w:hAnsi="宋体" w:eastAsia="宋体" w:cs="宋体"/>
                <w:color w:val="auto"/>
                <w:highlight w:val="none"/>
              </w:rPr>
            </w:pPr>
          </w:p>
        </w:tc>
        <w:tc>
          <w:tcPr>
            <w:tcW w:w="1067" w:type="pct"/>
          </w:tcPr>
          <w:p w14:paraId="32790C4A">
            <w:pPr>
              <w:jc w:val="both"/>
              <w:rPr>
                <w:rFonts w:hint="eastAsia" w:ascii="宋体" w:hAnsi="宋体" w:eastAsia="宋体" w:cs="宋体"/>
                <w:color w:val="auto"/>
                <w:highlight w:val="none"/>
              </w:rPr>
            </w:pPr>
          </w:p>
        </w:tc>
      </w:tr>
      <w:tr w14:paraId="2D14A4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266" w:type="pct"/>
            <w:gridSpan w:val="2"/>
          </w:tcPr>
          <w:p w14:paraId="7B684E0D">
            <w:pPr>
              <w:spacing w:before="149" w:line="227" w:lineRule="auto"/>
              <w:ind w:left="18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投标总价合计</w:t>
            </w:r>
          </w:p>
        </w:tc>
        <w:tc>
          <w:tcPr>
            <w:tcW w:w="3733" w:type="pct"/>
            <w:gridSpan w:val="5"/>
          </w:tcPr>
          <w:p w14:paraId="6700AFE8">
            <w:pPr>
              <w:spacing w:before="149" w:line="229" w:lineRule="auto"/>
              <w:ind w:left="32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小写：元</w:t>
            </w:r>
          </w:p>
        </w:tc>
      </w:tr>
    </w:tbl>
    <w:p w14:paraId="0E7B15D7">
      <w:pPr>
        <w:spacing w:before="54" w:line="227" w:lineRule="auto"/>
        <w:ind w:left="121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w:t>
      </w:r>
    </w:p>
    <w:p w14:paraId="3ED9C953">
      <w:pPr>
        <w:spacing w:before="54" w:line="271" w:lineRule="exact"/>
        <w:ind w:left="1213"/>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lang w:val="en-US" w:eastAsia="zh-CN"/>
        </w:rPr>
        <w:t>1</w:t>
      </w:r>
      <w:r>
        <w:rPr>
          <w:rFonts w:hint="eastAsia" w:ascii="宋体" w:hAnsi="宋体" w:eastAsia="宋体" w:cs="宋体"/>
          <w:color w:val="auto"/>
          <w:position w:val="1"/>
          <w:sz w:val="20"/>
          <w:szCs w:val="20"/>
          <w:highlight w:val="none"/>
        </w:rPr>
        <w:t>、投标总价合计为总价的合计，应与投标函的投标总价一致。</w:t>
      </w:r>
    </w:p>
    <w:p w14:paraId="3673FE72">
      <w:pPr>
        <w:spacing w:before="35" w:line="269" w:lineRule="exact"/>
        <w:ind w:left="1216"/>
        <w:jc w:val="both"/>
        <w:rPr>
          <w:rFonts w:hint="eastAsia" w:ascii="宋体" w:hAnsi="宋体" w:eastAsia="宋体" w:cs="宋体"/>
          <w:color w:val="auto"/>
          <w:position w:val="1"/>
          <w:sz w:val="20"/>
          <w:szCs w:val="20"/>
          <w:highlight w:val="none"/>
        </w:rPr>
      </w:pPr>
      <w:r>
        <w:rPr>
          <w:rFonts w:hint="eastAsia" w:ascii="宋体" w:hAnsi="宋体" w:eastAsia="宋体" w:cs="宋体"/>
          <w:color w:val="auto"/>
          <w:position w:val="1"/>
          <w:sz w:val="20"/>
          <w:szCs w:val="20"/>
          <w:highlight w:val="none"/>
          <w:lang w:val="en-US" w:eastAsia="zh-CN"/>
        </w:rPr>
        <w:t>2</w:t>
      </w:r>
      <w:r>
        <w:rPr>
          <w:rFonts w:hint="eastAsia" w:ascii="宋体" w:hAnsi="宋体" w:eastAsia="宋体" w:cs="宋体"/>
          <w:color w:val="auto"/>
          <w:position w:val="1"/>
          <w:sz w:val="20"/>
          <w:szCs w:val="20"/>
          <w:highlight w:val="none"/>
        </w:rPr>
        <w:t>、投标报价表中含价栏目，若无报价的须填“含”、“无”等字样，若出现空白，招标人视为已含在投标报价中。</w:t>
      </w:r>
    </w:p>
    <w:p w14:paraId="5AD20C75">
      <w:pPr>
        <w:spacing w:before="35" w:line="269" w:lineRule="exact"/>
        <w:ind w:left="1216"/>
        <w:jc w:val="both"/>
        <w:rPr>
          <w:rFonts w:hint="eastAsia" w:ascii="宋体" w:hAnsi="宋体" w:eastAsia="宋体" w:cs="宋体"/>
          <w:color w:val="auto"/>
          <w:position w:val="1"/>
          <w:sz w:val="20"/>
          <w:szCs w:val="20"/>
          <w:highlight w:val="none"/>
        </w:rPr>
      </w:pPr>
      <w:r>
        <w:rPr>
          <w:rFonts w:hint="eastAsia" w:ascii="宋体" w:hAnsi="宋体" w:eastAsia="宋体" w:cs="宋体"/>
          <w:color w:val="auto"/>
          <w:position w:val="1"/>
          <w:sz w:val="20"/>
          <w:szCs w:val="20"/>
          <w:highlight w:val="none"/>
          <w:lang w:val="en-US" w:eastAsia="zh-CN"/>
        </w:rPr>
        <w:t>3</w:t>
      </w:r>
      <w:r>
        <w:rPr>
          <w:rFonts w:hint="eastAsia" w:ascii="宋体" w:hAnsi="宋体" w:eastAsia="宋体" w:cs="宋体"/>
          <w:color w:val="auto"/>
          <w:position w:val="1"/>
          <w:sz w:val="20"/>
          <w:szCs w:val="20"/>
          <w:highlight w:val="none"/>
        </w:rPr>
        <w:t>、如交货货物数量调整时，综合单价不作调整。</w:t>
      </w:r>
    </w:p>
    <w:p w14:paraId="4F008518">
      <w:pPr>
        <w:spacing w:before="35" w:line="269" w:lineRule="exact"/>
        <w:ind w:left="1216"/>
        <w:jc w:val="both"/>
        <w:rPr>
          <w:rFonts w:hint="default" w:ascii="宋体" w:hAnsi="宋体" w:eastAsia="宋体" w:cs="宋体"/>
          <w:color w:val="auto"/>
          <w:position w:val="1"/>
          <w:sz w:val="20"/>
          <w:szCs w:val="20"/>
          <w:highlight w:val="none"/>
          <w:lang w:val="en-US" w:eastAsia="zh-CN"/>
        </w:rPr>
        <w:sectPr>
          <w:footerReference r:id="rId20" w:type="default"/>
          <w:pgSz w:w="16840" w:h="11907"/>
          <w:pgMar w:top="1418" w:right="1559" w:bottom="1418" w:left="1474" w:header="0" w:footer="722" w:gutter="0"/>
          <w:cols w:space="720" w:num="1"/>
        </w:sectPr>
      </w:pPr>
      <w:r>
        <w:rPr>
          <w:rFonts w:hint="eastAsia" w:ascii="宋体" w:hAnsi="宋体" w:eastAsia="宋体" w:cs="宋体"/>
          <w:color w:val="auto"/>
          <w:position w:val="1"/>
          <w:sz w:val="20"/>
          <w:szCs w:val="20"/>
          <w:highlight w:val="none"/>
          <w:lang w:val="en-US" w:eastAsia="zh-CN"/>
        </w:rPr>
        <w:t>4、根据招标清单进行报价。</w:t>
      </w:r>
    </w:p>
    <w:p w14:paraId="3DA5ED4B">
      <w:pPr>
        <w:spacing w:before="310" w:line="221" w:lineRule="auto"/>
        <w:ind w:left="720"/>
        <w:jc w:val="both"/>
        <w:outlineLvl w:val="1"/>
        <w:rPr>
          <w:rFonts w:hint="eastAsia" w:ascii="宋体" w:hAnsi="宋体" w:eastAsia="宋体" w:cs="宋体"/>
          <w:color w:val="auto"/>
          <w:sz w:val="28"/>
          <w:szCs w:val="28"/>
          <w:highlight w:val="none"/>
        </w:rPr>
      </w:pPr>
      <w:bookmarkStart w:id="66" w:name="_bookmark19"/>
      <w:bookmarkEnd w:id="66"/>
      <w:r>
        <w:rPr>
          <w:rFonts w:hint="eastAsia" w:ascii="宋体" w:hAnsi="宋体" w:eastAsia="宋体" w:cs="宋体"/>
          <w:color w:val="auto"/>
          <w:sz w:val="28"/>
          <w:szCs w:val="28"/>
          <w:highlight w:val="none"/>
        </w:rPr>
        <w:t>格式五：资料一览表</w:t>
      </w:r>
    </w:p>
    <w:p w14:paraId="1F4A25EF">
      <w:pPr>
        <w:spacing w:line="337" w:lineRule="auto"/>
        <w:jc w:val="both"/>
        <w:rPr>
          <w:rFonts w:hint="eastAsia" w:ascii="宋体" w:hAnsi="宋体" w:eastAsia="宋体" w:cs="宋体"/>
          <w:color w:val="auto"/>
          <w:highlight w:val="none"/>
        </w:rPr>
      </w:pPr>
    </w:p>
    <w:p w14:paraId="20F4D021">
      <w:pPr>
        <w:spacing w:line="338" w:lineRule="auto"/>
        <w:jc w:val="both"/>
        <w:rPr>
          <w:rFonts w:hint="eastAsia" w:ascii="宋体" w:hAnsi="宋体" w:eastAsia="宋体" w:cs="宋体"/>
          <w:color w:val="auto"/>
          <w:highlight w:val="none"/>
        </w:rPr>
      </w:pPr>
    </w:p>
    <w:p w14:paraId="013BE0F2">
      <w:pPr>
        <w:spacing w:before="75" w:line="227" w:lineRule="auto"/>
        <w:ind w:left="252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投标人提供的实质性响应招标文件资料一览表</w:t>
      </w:r>
    </w:p>
    <w:p w14:paraId="1903CD0F">
      <w:pPr>
        <w:jc w:val="both"/>
        <w:rPr>
          <w:rFonts w:hint="eastAsia" w:ascii="宋体" w:hAnsi="宋体" w:eastAsia="宋体" w:cs="宋体"/>
          <w:color w:val="auto"/>
          <w:highlight w:val="none"/>
        </w:rPr>
      </w:pPr>
    </w:p>
    <w:p w14:paraId="682EB768">
      <w:pPr>
        <w:spacing w:line="210" w:lineRule="exact"/>
        <w:jc w:val="both"/>
        <w:rPr>
          <w:rFonts w:hint="eastAsia" w:ascii="宋体" w:hAnsi="宋体" w:eastAsia="宋体" w:cs="宋体"/>
          <w:color w:val="auto"/>
          <w:highlight w:val="none"/>
        </w:rPr>
      </w:pPr>
    </w:p>
    <w:tbl>
      <w:tblPr>
        <w:tblStyle w:val="48"/>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3826"/>
        <w:gridCol w:w="2408"/>
        <w:gridCol w:w="2130"/>
      </w:tblGrid>
      <w:tr w14:paraId="75373B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Pr>
          <w:p w14:paraId="70257C66">
            <w:pPr>
              <w:spacing w:before="272" w:line="230" w:lineRule="auto"/>
              <w:ind w:left="26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3826" w:type="dxa"/>
          </w:tcPr>
          <w:p w14:paraId="4D681B12">
            <w:pPr>
              <w:spacing w:before="272" w:line="229" w:lineRule="auto"/>
              <w:ind w:left="14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2408" w:type="dxa"/>
          </w:tcPr>
          <w:p w14:paraId="4FE37415">
            <w:pPr>
              <w:spacing w:before="272" w:line="228" w:lineRule="auto"/>
              <w:jc w:val="center"/>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在投标文件第x页</w:t>
            </w:r>
          </w:p>
        </w:tc>
        <w:tc>
          <w:tcPr>
            <w:tcW w:w="2130" w:type="dxa"/>
          </w:tcPr>
          <w:p w14:paraId="6AFEECBB">
            <w:pPr>
              <w:spacing w:before="272" w:line="230" w:lineRule="auto"/>
              <w:ind w:left="71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4E3925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7F902FDD">
            <w:pPr>
              <w:jc w:val="both"/>
              <w:rPr>
                <w:rFonts w:hint="eastAsia" w:ascii="宋体" w:hAnsi="宋体" w:eastAsia="宋体" w:cs="宋体"/>
                <w:color w:val="auto"/>
                <w:highlight w:val="none"/>
              </w:rPr>
            </w:pPr>
          </w:p>
        </w:tc>
        <w:tc>
          <w:tcPr>
            <w:tcW w:w="3826" w:type="dxa"/>
          </w:tcPr>
          <w:p w14:paraId="6D38CC43">
            <w:pPr>
              <w:jc w:val="both"/>
              <w:rPr>
                <w:rFonts w:hint="eastAsia" w:ascii="宋体" w:hAnsi="宋体" w:eastAsia="宋体" w:cs="宋体"/>
                <w:color w:val="auto"/>
                <w:highlight w:val="none"/>
              </w:rPr>
            </w:pPr>
          </w:p>
        </w:tc>
        <w:tc>
          <w:tcPr>
            <w:tcW w:w="2408" w:type="dxa"/>
          </w:tcPr>
          <w:p w14:paraId="71280DFA">
            <w:pPr>
              <w:jc w:val="both"/>
              <w:rPr>
                <w:rFonts w:hint="eastAsia" w:ascii="宋体" w:hAnsi="宋体" w:eastAsia="宋体" w:cs="宋体"/>
                <w:color w:val="auto"/>
                <w:highlight w:val="none"/>
              </w:rPr>
            </w:pPr>
          </w:p>
        </w:tc>
        <w:tc>
          <w:tcPr>
            <w:tcW w:w="2130" w:type="dxa"/>
          </w:tcPr>
          <w:p w14:paraId="73F1CB17">
            <w:pPr>
              <w:jc w:val="both"/>
              <w:rPr>
                <w:rFonts w:hint="eastAsia" w:ascii="宋体" w:hAnsi="宋体" w:eastAsia="宋体" w:cs="宋体"/>
                <w:color w:val="auto"/>
                <w:highlight w:val="none"/>
              </w:rPr>
            </w:pPr>
          </w:p>
        </w:tc>
      </w:tr>
      <w:tr w14:paraId="7EB5AC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6A56871E">
            <w:pPr>
              <w:jc w:val="both"/>
              <w:rPr>
                <w:rFonts w:hint="eastAsia" w:ascii="宋体" w:hAnsi="宋体" w:eastAsia="宋体" w:cs="宋体"/>
                <w:color w:val="auto"/>
                <w:highlight w:val="none"/>
              </w:rPr>
            </w:pPr>
          </w:p>
        </w:tc>
        <w:tc>
          <w:tcPr>
            <w:tcW w:w="3826" w:type="dxa"/>
          </w:tcPr>
          <w:p w14:paraId="49B5C44D">
            <w:pPr>
              <w:jc w:val="both"/>
              <w:rPr>
                <w:rFonts w:hint="eastAsia" w:ascii="宋体" w:hAnsi="宋体" w:eastAsia="宋体" w:cs="宋体"/>
                <w:color w:val="auto"/>
                <w:highlight w:val="none"/>
              </w:rPr>
            </w:pPr>
          </w:p>
        </w:tc>
        <w:tc>
          <w:tcPr>
            <w:tcW w:w="2408" w:type="dxa"/>
          </w:tcPr>
          <w:p w14:paraId="372EEBE3">
            <w:pPr>
              <w:jc w:val="both"/>
              <w:rPr>
                <w:rFonts w:hint="eastAsia" w:ascii="宋体" w:hAnsi="宋体" w:eastAsia="宋体" w:cs="宋体"/>
                <w:color w:val="auto"/>
                <w:highlight w:val="none"/>
              </w:rPr>
            </w:pPr>
          </w:p>
        </w:tc>
        <w:tc>
          <w:tcPr>
            <w:tcW w:w="2130" w:type="dxa"/>
          </w:tcPr>
          <w:p w14:paraId="51655D6B">
            <w:pPr>
              <w:jc w:val="both"/>
              <w:rPr>
                <w:rFonts w:hint="eastAsia" w:ascii="宋体" w:hAnsi="宋体" w:eastAsia="宋体" w:cs="宋体"/>
                <w:color w:val="auto"/>
                <w:highlight w:val="none"/>
              </w:rPr>
            </w:pPr>
          </w:p>
        </w:tc>
      </w:tr>
      <w:tr w14:paraId="43946D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1A67DD68">
            <w:pPr>
              <w:jc w:val="both"/>
              <w:rPr>
                <w:rFonts w:hint="eastAsia" w:ascii="宋体" w:hAnsi="宋体" w:eastAsia="宋体" w:cs="宋体"/>
                <w:color w:val="auto"/>
                <w:highlight w:val="none"/>
              </w:rPr>
            </w:pPr>
          </w:p>
        </w:tc>
        <w:tc>
          <w:tcPr>
            <w:tcW w:w="3826" w:type="dxa"/>
          </w:tcPr>
          <w:p w14:paraId="59DB6ED7">
            <w:pPr>
              <w:jc w:val="both"/>
              <w:rPr>
                <w:rFonts w:hint="eastAsia" w:ascii="宋体" w:hAnsi="宋体" w:eastAsia="宋体" w:cs="宋体"/>
                <w:color w:val="auto"/>
                <w:highlight w:val="none"/>
              </w:rPr>
            </w:pPr>
          </w:p>
        </w:tc>
        <w:tc>
          <w:tcPr>
            <w:tcW w:w="2408" w:type="dxa"/>
          </w:tcPr>
          <w:p w14:paraId="51CD211B">
            <w:pPr>
              <w:jc w:val="both"/>
              <w:rPr>
                <w:rFonts w:hint="eastAsia" w:ascii="宋体" w:hAnsi="宋体" w:eastAsia="宋体" w:cs="宋体"/>
                <w:color w:val="auto"/>
                <w:highlight w:val="none"/>
              </w:rPr>
            </w:pPr>
          </w:p>
        </w:tc>
        <w:tc>
          <w:tcPr>
            <w:tcW w:w="2130" w:type="dxa"/>
          </w:tcPr>
          <w:p w14:paraId="25AA72E6">
            <w:pPr>
              <w:jc w:val="both"/>
              <w:rPr>
                <w:rFonts w:hint="eastAsia" w:ascii="宋体" w:hAnsi="宋体" w:eastAsia="宋体" w:cs="宋体"/>
                <w:color w:val="auto"/>
                <w:highlight w:val="none"/>
              </w:rPr>
            </w:pPr>
          </w:p>
        </w:tc>
      </w:tr>
      <w:tr w14:paraId="03773C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7ACA0C03">
            <w:pPr>
              <w:jc w:val="both"/>
              <w:rPr>
                <w:rFonts w:hint="eastAsia" w:ascii="宋体" w:hAnsi="宋体" w:eastAsia="宋体" w:cs="宋体"/>
                <w:color w:val="auto"/>
                <w:highlight w:val="none"/>
              </w:rPr>
            </w:pPr>
          </w:p>
        </w:tc>
        <w:tc>
          <w:tcPr>
            <w:tcW w:w="3826" w:type="dxa"/>
          </w:tcPr>
          <w:p w14:paraId="1F309E51">
            <w:pPr>
              <w:jc w:val="both"/>
              <w:rPr>
                <w:rFonts w:hint="eastAsia" w:ascii="宋体" w:hAnsi="宋体" w:eastAsia="宋体" w:cs="宋体"/>
                <w:color w:val="auto"/>
                <w:highlight w:val="none"/>
              </w:rPr>
            </w:pPr>
          </w:p>
        </w:tc>
        <w:tc>
          <w:tcPr>
            <w:tcW w:w="2408" w:type="dxa"/>
          </w:tcPr>
          <w:p w14:paraId="5DC94408">
            <w:pPr>
              <w:jc w:val="both"/>
              <w:rPr>
                <w:rFonts w:hint="eastAsia" w:ascii="宋体" w:hAnsi="宋体" w:eastAsia="宋体" w:cs="宋体"/>
                <w:color w:val="auto"/>
                <w:highlight w:val="none"/>
              </w:rPr>
            </w:pPr>
          </w:p>
        </w:tc>
        <w:tc>
          <w:tcPr>
            <w:tcW w:w="2130" w:type="dxa"/>
          </w:tcPr>
          <w:p w14:paraId="3956205B">
            <w:pPr>
              <w:jc w:val="both"/>
              <w:rPr>
                <w:rFonts w:hint="eastAsia" w:ascii="宋体" w:hAnsi="宋体" w:eastAsia="宋体" w:cs="宋体"/>
                <w:color w:val="auto"/>
                <w:highlight w:val="none"/>
              </w:rPr>
            </w:pPr>
          </w:p>
        </w:tc>
      </w:tr>
      <w:tr w14:paraId="1319B2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5346E057">
            <w:pPr>
              <w:jc w:val="both"/>
              <w:rPr>
                <w:rFonts w:hint="eastAsia" w:ascii="宋体" w:hAnsi="宋体" w:eastAsia="宋体" w:cs="宋体"/>
                <w:color w:val="auto"/>
                <w:highlight w:val="none"/>
              </w:rPr>
            </w:pPr>
          </w:p>
        </w:tc>
        <w:tc>
          <w:tcPr>
            <w:tcW w:w="3826" w:type="dxa"/>
          </w:tcPr>
          <w:p w14:paraId="46F4CEC4">
            <w:pPr>
              <w:jc w:val="both"/>
              <w:rPr>
                <w:rFonts w:hint="eastAsia" w:ascii="宋体" w:hAnsi="宋体" w:eastAsia="宋体" w:cs="宋体"/>
                <w:color w:val="auto"/>
                <w:highlight w:val="none"/>
              </w:rPr>
            </w:pPr>
          </w:p>
        </w:tc>
        <w:tc>
          <w:tcPr>
            <w:tcW w:w="2408" w:type="dxa"/>
          </w:tcPr>
          <w:p w14:paraId="64C014B7">
            <w:pPr>
              <w:jc w:val="both"/>
              <w:rPr>
                <w:rFonts w:hint="eastAsia" w:ascii="宋体" w:hAnsi="宋体" w:eastAsia="宋体" w:cs="宋体"/>
                <w:color w:val="auto"/>
                <w:highlight w:val="none"/>
              </w:rPr>
            </w:pPr>
          </w:p>
        </w:tc>
        <w:tc>
          <w:tcPr>
            <w:tcW w:w="2130" w:type="dxa"/>
          </w:tcPr>
          <w:p w14:paraId="671A4260">
            <w:pPr>
              <w:jc w:val="both"/>
              <w:rPr>
                <w:rFonts w:hint="eastAsia" w:ascii="宋体" w:hAnsi="宋体" w:eastAsia="宋体" w:cs="宋体"/>
                <w:color w:val="auto"/>
                <w:highlight w:val="none"/>
              </w:rPr>
            </w:pPr>
          </w:p>
        </w:tc>
      </w:tr>
      <w:tr w14:paraId="1B1F6D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160E8368">
            <w:pPr>
              <w:jc w:val="both"/>
              <w:rPr>
                <w:rFonts w:hint="eastAsia" w:ascii="宋体" w:hAnsi="宋体" w:eastAsia="宋体" w:cs="宋体"/>
                <w:color w:val="auto"/>
                <w:highlight w:val="none"/>
              </w:rPr>
            </w:pPr>
          </w:p>
        </w:tc>
        <w:tc>
          <w:tcPr>
            <w:tcW w:w="3826" w:type="dxa"/>
          </w:tcPr>
          <w:p w14:paraId="567CF547">
            <w:pPr>
              <w:jc w:val="both"/>
              <w:rPr>
                <w:rFonts w:hint="eastAsia" w:ascii="宋体" w:hAnsi="宋体" w:eastAsia="宋体" w:cs="宋体"/>
                <w:color w:val="auto"/>
                <w:highlight w:val="none"/>
              </w:rPr>
            </w:pPr>
          </w:p>
        </w:tc>
        <w:tc>
          <w:tcPr>
            <w:tcW w:w="2408" w:type="dxa"/>
          </w:tcPr>
          <w:p w14:paraId="23070874">
            <w:pPr>
              <w:jc w:val="both"/>
              <w:rPr>
                <w:rFonts w:hint="eastAsia" w:ascii="宋体" w:hAnsi="宋体" w:eastAsia="宋体" w:cs="宋体"/>
                <w:color w:val="auto"/>
                <w:highlight w:val="none"/>
              </w:rPr>
            </w:pPr>
          </w:p>
        </w:tc>
        <w:tc>
          <w:tcPr>
            <w:tcW w:w="2130" w:type="dxa"/>
          </w:tcPr>
          <w:p w14:paraId="777B0608">
            <w:pPr>
              <w:jc w:val="both"/>
              <w:rPr>
                <w:rFonts w:hint="eastAsia" w:ascii="宋体" w:hAnsi="宋体" w:eastAsia="宋体" w:cs="宋体"/>
                <w:color w:val="auto"/>
                <w:highlight w:val="none"/>
              </w:rPr>
            </w:pPr>
          </w:p>
        </w:tc>
      </w:tr>
      <w:tr w14:paraId="368CC6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643F2163">
            <w:pPr>
              <w:jc w:val="both"/>
              <w:rPr>
                <w:rFonts w:hint="eastAsia" w:ascii="宋体" w:hAnsi="宋体" w:eastAsia="宋体" w:cs="宋体"/>
                <w:color w:val="auto"/>
                <w:highlight w:val="none"/>
              </w:rPr>
            </w:pPr>
          </w:p>
        </w:tc>
        <w:tc>
          <w:tcPr>
            <w:tcW w:w="3826" w:type="dxa"/>
          </w:tcPr>
          <w:p w14:paraId="05DA9A5E">
            <w:pPr>
              <w:jc w:val="both"/>
              <w:rPr>
                <w:rFonts w:hint="eastAsia" w:ascii="宋体" w:hAnsi="宋体" w:eastAsia="宋体" w:cs="宋体"/>
                <w:color w:val="auto"/>
                <w:highlight w:val="none"/>
              </w:rPr>
            </w:pPr>
          </w:p>
        </w:tc>
        <w:tc>
          <w:tcPr>
            <w:tcW w:w="2408" w:type="dxa"/>
          </w:tcPr>
          <w:p w14:paraId="3C723DE3">
            <w:pPr>
              <w:jc w:val="both"/>
              <w:rPr>
                <w:rFonts w:hint="eastAsia" w:ascii="宋体" w:hAnsi="宋体" w:eastAsia="宋体" w:cs="宋体"/>
                <w:color w:val="auto"/>
                <w:highlight w:val="none"/>
              </w:rPr>
            </w:pPr>
          </w:p>
        </w:tc>
        <w:tc>
          <w:tcPr>
            <w:tcW w:w="2130" w:type="dxa"/>
          </w:tcPr>
          <w:p w14:paraId="7F2B932B">
            <w:pPr>
              <w:jc w:val="both"/>
              <w:rPr>
                <w:rFonts w:hint="eastAsia" w:ascii="宋体" w:hAnsi="宋体" w:eastAsia="宋体" w:cs="宋体"/>
                <w:color w:val="auto"/>
                <w:highlight w:val="none"/>
              </w:rPr>
            </w:pPr>
          </w:p>
        </w:tc>
      </w:tr>
      <w:tr w14:paraId="3157EB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56FA5FED">
            <w:pPr>
              <w:jc w:val="both"/>
              <w:rPr>
                <w:rFonts w:hint="eastAsia" w:ascii="宋体" w:hAnsi="宋体" w:eastAsia="宋体" w:cs="宋体"/>
                <w:color w:val="auto"/>
                <w:highlight w:val="none"/>
              </w:rPr>
            </w:pPr>
          </w:p>
        </w:tc>
        <w:tc>
          <w:tcPr>
            <w:tcW w:w="3826" w:type="dxa"/>
          </w:tcPr>
          <w:p w14:paraId="255BDCCE">
            <w:pPr>
              <w:jc w:val="both"/>
              <w:rPr>
                <w:rFonts w:hint="eastAsia" w:ascii="宋体" w:hAnsi="宋体" w:eastAsia="宋体" w:cs="宋体"/>
                <w:color w:val="auto"/>
                <w:highlight w:val="none"/>
              </w:rPr>
            </w:pPr>
          </w:p>
        </w:tc>
        <w:tc>
          <w:tcPr>
            <w:tcW w:w="2408" w:type="dxa"/>
          </w:tcPr>
          <w:p w14:paraId="51CB72A1">
            <w:pPr>
              <w:jc w:val="both"/>
              <w:rPr>
                <w:rFonts w:hint="eastAsia" w:ascii="宋体" w:hAnsi="宋体" w:eastAsia="宋体" w:cs="宋体"/>
                <w:color w:val="auto"/>
                <w:highlight w:val="none"/>
              </w:rPr>
            </w:pPr>
          </w:p>
        </w:tc>
        <w:tc>
          <w:tcPr>
            <w:tcW w:w="2130" w:type="dxa"/>
          </w:tcPr>
          <w:p w14:paraId="07EDE066">
            <w:pPr>
              <w:jc w:val="both"/>
              <w:rPr>
                <w:rFonts w:hint="eastAsia" w:ascii="宋体" w:hAnsi="宋体" w:eastAsia="宋体" w:cs="宋体"/>
                <w:color w:val="auto"/>
                <w:highlight w:val="none"/>
              </w:rPr>
            </w:pPr>
          </w:p>
        </w:tc>
      </w:tr>
      <w:tr w14:paraId="23A562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1FC86129">
            <w:pPr>
              <w:jc w:val="both"/>
              <w:rPr>
                <w:rFonts w:hint="eastAsia" w:ascii="宋体" w:hAnsi="宋体" w:eastAsia="宋体" w:cs="宋体"/>
                <w:color w:val="auto"/>
                <w:highlight w:val="none"/>
              </w:rPr>
            </w:pPr>
          </w:p>
        </w:tc>
        <w:tc>
          <w:tcPr>
            <w:tcW w:w="3826" w:type="dxa"/>
          </w:tcPr>
          <w:p w14:paraId="60E6E8B3">
            <w:pPr>
              <w:jc w:val="both"/>
              <w:rPr>
                <w:rFonts w:hint="eastAsia" w:ascii="宋体" w:hAnsi="宋体" w:eastAsia="宋体" w:cs="宋体"/>
                <w:color w:val="auto"/>
                <w:highlight w:val="none"/>
              </w:rPr>
            </w:pPr>
          </w:p>
        </w:tc>
        <w:tc>
          <w:tcPr>
            <w:tcW w:w="2408" w:type="dxa"/>
          </w:tcPr>
          <w:p w14:paraId="70D6FEDE">
            <w:pPr>
              <w:jc w:val="both"/>
              <w:rPr>
                <w:rFonts w:hint="eastAsia" w:ascii="宋体" w:hAnsi="宋体" w:eastAsia="宋体" w:cs="宋体"/>
                <w:color w:val="auto"/>
                <w:highlight w:val="none"/>
              </w:rPr>
            </w:pPr>
          </w:p>
        </w:tc>
        <w:tc>
          <w:tcPr>
            <w:tcW w:w="2130" w:type="dxa"/>
          </w:tcPr>
          <w:p w14:paraId="55CA7E28">
            <w:pPr>
              <w:jc w:val="both"/>
              <w:rPr>
                <w:rFonts w:hint="eastAsia" w:ascii="宋体" w:hAnsi="宋体" w:eastAsia="宋体" w:cs="宋体"/>
                <w:color w:val="auto"/>
                <w:highlight w:val="none"/>
              </w:rPr>
            </w:pPr>
          </w:p>
        </w:tc>
      </w:tr>
      <w:tr w14:paraId="07E955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1553AE80">
            <w:pPr>
              <w:jc w:val="both"/>
              <w:rPr>
                <w:rFonts w:hint="eastAsia" w:ascii="宋体" w:hAnsi="宋体" w:eastAsia="宋体" w:cs="宋体"/>
                <w:color w:val="auto"/>
                <w:highlight w:val="none"/>
              </w:rPr>
            </w:pPr>
          </w:p>
        </w:tc>
        <w:tc>
          <w:tcPr>
            <w:tcW w:w="3826" w:type="dxa"/>
          </w:tcPr>
          <w:p w14:paraId="5A1FE8DF">
            <w:pPr>
              <w:jc w:val="both"/>
              <w:rPr>
                <w:rFonts w:hint="eastAsia" w:ascii="宋体" w:hAnsi="宋体" w:eastAsia="宋体" w:cs="宋体"/>
                <w:color w:val="auto"/>
                <w:highlight w:val="none"/>
              </w:rPr>
            </w:pPr>
          </w:p>
        </w:tc>
        <w:tc>
          <w:tcPr>
            <w:tcW w:w="2408" w:type="dxa"/>
          </w:tcPr>
          <w:p w14:paraId="0B72D522">
            <w:pPr>
              <w:jc w:val="both"/>
              <w:rPr>
                <w:rFonts w:hint="eastAsia" w:ascii="宋体" w:hAnsi="宋体" w:eastAsia="宋体" w:cs="宋体"/>
                <w:color w:val="auto"/>
                <w:highlight w:val="none"/>
              </w:rPr>
            </w:pPr>
          </w:p>
        </w:tc>
        <w:tc>
          <w:tcPr>
            <w:tcW w:w="2130" w:type="dxa"/>
          </w:tcPr>
          <w:p w14:paraId="0E127F87">
            <w:pPr>
              <w:jc w:val="both"/>
              <w:rPr>
                <w:rFonts w:hint="eastAsia" w:ascii="宋体" w:hAnsi="宋体" w:eastAsia="宋体" w:cs="宋体"/>
                <w:color w:val="auto"/>
                <w:highlight w:val="none"/>
              </w:rPr>
            </w:pPr>
          </w:p>
        </w:tc>
      </w:tr>
      <w:tr w14:paraId="513725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Pr>
          <w:p w14:paraId="7883B81D">
            <w:pPr>
              <w:jc w:val="both"/>
              <w:rPr>
                <w:rFonts w:hint="eastAsia" w:ascii="宋体" w:hAnsi="宋体" w:eastAsia="宋体" w:cs="宋体"/>
                <w:color w:val="auto"/>
                <w:highlight w:val="none"/>
              </w:rPr>
            </w:pPr>
          </w:p>
        </w:tc>
        <w:tc>
          <w:tcPr>
            <w:tcW w:w="3826" w:type="dxa"/>
          </w:tcPr>
          <w:p w14:paraId="4E4CDBCE">
            <w:pPr>
              <w:jc w:val="both"/>
              <w:rPr>
                <w:rFonts w:hint="eastAsia" w:ascii="宋体" w:hAnsi="宋体" w:eastAsia="宋体" w:cs="宋体"/>
                <w:color w:val="auto"/>
                <w:highlight w:val="none"/>
              </w:rPr>
            </w:pPr>
          </w:p>
        </w:tc>
        <w:tc>
          <w:tcPr>
            <w:tcW w:w="2408" w:type="dxa"/>
          </w:tcPr>
          <w:p w14:paraId="2F10C897">
            <w:pPr>
              <w:jc w:val="both"/>
              <w:rPr>
                <w:rFonts w:hint="eastAsia" w:ascii="宋体" w:hAnsi="宋体" w:eastAsia="宋体" w:cs="宋体"/>
                <w:color w:val="auto"/>
                <w:highlight w:val="none"/>
              </w:rPr>
            </w:pPr>
          </w:p>
        </w:tc>
        <w:tc>
          <w:tcPr>
            <w:tcW w:w="2130" w:type="dxa"/>
          </w:tcPr>
          <w:p w14:paraId="3EDAD587">
            <w:pPr>
              <w:jc w:val="both"/>
              <w:rPr>
                <w:rFonts w:hint="eastAsia" w:ascii="宋体" w:hAnsi="宋体" w:eastAsia="宋体" w:cs="宋体"/>
                <w:color w:val="auto"/>
                <w:highlight w:val="none"/>
              </w:rPr>
            </w:pPr>
          </w:p>
        </w:tc>
      </w:tr>
    </w:tbl>
    <w:p w14:paraId="325B2A4E">
      <w:pPr>
        <w:spacing w:before="145" w:line="228" w:lineRule="auto"/>
        <w:ind w:left="8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注：本表请按投标人须知前附表3.5.7“一、实质性响应招标文件资料”内容填写。</w:t>
      </w:r>
    </w:p>
    <w:p w14:paraId="3B52771E">
      <w:pPr>
        <w:spacing w:line="281" w:lineRule="auto"/>
        <w:jc w:val="both"/>
        <w:rPr>
          <w:rFonts w:hint="eastAsia" w:ascii="宋体" w:hAnsi="宋体" w:eastAsia="宋体" w:cs="宋体"/>
          <w:color w:val="auto"/>
          <w:highlight w:val="none"/>
        </w:rPr>
      </w:pPr>
    </w:p>
    <w:p w14:paraId="43991420">
      <w:pPr>
        <w:spacing w:line="282" w:lineRule="auto"/>
        <w:jc w:val="both"/>
        <w:rPr>
          <w:rFonts w:hint="eastAsia" w:ascii="宋体" w:hAnsi="宋体" w:eastAsia="宋体" w:cs="宋体"/>
          <w:color w:val="auto"/>
          <w:highlight w:val="none"/>
        </w:rPr>
      </w:pPr>
    </w:p>
    <w:p w14:paraId="613E391C">
      <w:pPr>
        <w:spacing w:line="282" w:lineRule="auto"/>
        <w:jc w:val="both"/>
        <w:rPr>
          <w:rFonts w:hint="eastAsia" w:ascii="宋体" w:hAnsi="宋体" w:eastAsia="宋体" w:cs="宋体"/>
          <w:color w:val="auto"/>
          <w:highlight w:val="none"/>
        </w:rPr>
      </w:pPr>
    </w:p>
    <w:p w14:paraId="3D206836">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0DB0971B">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0A5DB472">
      <w:pPr>
        <w:jc w:val="both"/>
        <w:rPr>
          <w:rFonts w:hint="eastAsia" w:ascii="宋体" w:hAnsi="宋体" w:eastAsia="宋体" w:cs="宋体"/>
          <w:color w:val="auto"/>
          <w:highlight w:val="none"/>
        </w:rPr>
        <w:sectPr>
          <w:footerReference r:id="rId21" w:type="default"/>
          <w:pgSz w:w="11907" w:h="16840"/>
          <w:pgMar w:top="1418" w:right="1559" w:bottom="1418" w:left="1474" w:header="0" w:footer="723" w:gutter="0"/>
          <w:cols w:space="720" w:num="1"/>
        </w:sectPr>
      </w:pPr>
    </w:p>
    <w:p w14:paraId="75273DE7">
      <w:pPr>
        <w:spacing w:line="328" w:lineRule="auto"/>
        <w:jc w:val="both"/>
        <w:rPr>
          <w:rFonts w:hint="eastAsia" w:ascii="宋体" w:hAnsi="宋体" w:eastAsia="宋体" w:cs="宋体"/>
          <w:color w:val="auto"/>
          <w:highlight w:val="none"/>
        </w:rPr>
      </w:pPr>
    </w:p>
    <w:p w14:paraId="5EE70405">
      <w:pPr>
        <w:spacing w:line="328" w:lineRule="auto"/>
        <w:jc w:val="both"/>
        <w:rPr>
          <w:rFonts w:hint="eastAsia" w:ascii="宋体" w:hAnsi="宋体" w:eastAsia="宋体" w:cs="宋体"/>
          <w:color w:val="auto"/>
          <w:highlight w:val="none"/>
        </w:rPr>
      </w:pPr>
    </w:p>
    <w:p w14:paraId="217FE2EE">
      <w:pPr>
        <w:spacing w:before="91" w:line="221" w:lineRule="auto"/>
        <w:ind w:left="578"/>
        <w:jc w:val="both"/>
        <w:outlineLvl w:val="1"/>
        <w:rPr>
          <w:rFonts w:hint="eastAsia" w:ascii="宋体" w:hAnsi="宋体" w:eastAsia="宋体" w:cs="宋体"/>
          <w:color w:val="auto"/>
          <w:sz w:val="28"/>
          <w:szCs w:val="28"/>
          <w:highlight w:val="none"/>
        </w:rPr>
      </w:pPr>
      <w:bookmarkStart w:id="67" w:name="_bookmark20"/>
      <w:bookmarkEnd w:id="67"/>
      <w:r>
        <w:rPr>
          <w:rFonts w:hint="eastAsia" w:ascii="宋体" w:hAnsi="宋体" w:eastAsia="宋体" w:cs="宋体"/>
          <w:color w:val="auto"/>
          <w:sz w:val="28"/>
          <w:szCs w:val="28"/>
          <w:highlight w:val="none"/>
        </w:rPr>
        <w:t>格式六：打分资料一览表</w:t>
      </w:r>
    </w:p>
    <w:p w14:paraId="75984B14">
      <w:pPr>
        <w:spacing w:before="312" w:line="227" w:lineRule="auto"/>
        <w:ind w:left="29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投标人提供的评审打分资料一览表</w:t>
      </w:r>
    </w:p>
    <w:p w14:paraId="12F599BF">
      <w:pPr>
        <w:jc w:val="both"/>
        <w:rPr>
          <w:rFonts w:hint="eastAsia" w:ascii="宋体" w:hAnsi="宋体" w:eastAsia="宋体" w:cs="宋体"/>
          <w:color w:val="auto"/>
          <w:highlight w:val="none"/>
        </w:rPr>
      </w:pPr>
    </w:p>
    <w:p w14:paraId="3898565A">
      <w:pPr>
        <w:spacing w:line="210" w:lineRule="exact"/>
        <w:jc w:val="both"/>
        <w:rPr>
          <w:rFonts w:hint="eastAsia" w:ascii="宋体" w:hAnsi="宋体" w:eastAsia="宋体" w:cs="宋体"/>
          <w:color w:val="auto"/>
          <w:highlight w:val="none"/>
        </w:rPr>
      </w:pPr>
    </w:p>
    <w:tbl>
      <w:tblPr>
        <w:tblStyle w:val="48"/>
        <w:tblW w:w="92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9"/>
        <w:gridCol w:w="4675"/>
        <w:gridCol w:w="1700"/>
        <w:gridCol w:w="1705"/>
      </w:tblGrid>
      <w:tr w14:paraId="3503CA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Pr>
          <w:p w14:paraId="78865D01">
            <w:pPr>
              <w:spacing w:before="231" w:line="230" w:lineRule="auto"/>
              <w:ind w:left="33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4675" w:type="dxa"/>
          </w:tcPr>
          <w:p w14:paraId="2F7D3005">
            <w:pPr>
              <w:spacing w:before="231" w:line="229" w:lineRule="auto"/>
              <w:ind w:left="18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1700" w:type="dxa"/>
          </w:tcPr>
          <w:p w14:paraId="08E9B23D">
            <w:pPr>
              <w:spacing w:before="231" w:line="228"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在投标文件第x页</w:t>
            </w:r>
          </w:p>
        </w:tc>
        <w:tc>
          <w:tcPr>
            <w:tcW w:w="1705" w:type="dxa"/>
          </w:tcPr>
          <w:p w14:paraId="3F03BC54">
            <w:pPr>
              <w:spacing w:before="231" w:line="230" w:lineRule="auto"/>
              <w:ind w:left="50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072B1B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1908F4C3">
            <w:pPr>
              <w:jc w:val="both"/>
              <w:rPr>
                <w:rFonts w:hint="eastAsia" w:ascii="宋体" w:hAnsi="宋体" w:eastAsia="宋体" w:cs="宋体"/>
                <w:color w:val="auto"/>
                <w:highlight w:val="none"/>
              </w:rPr>
            </w:pPr>
          </w:p>
        </w:tc>
        <w:tc>
          <w:tcPr>
            <w:tcW w:w="4675" w:type="dxa"/>
          </w:tcPr>
          <w:p w14:paraId="651DB946">
            <w:pPr>
              <w:jc w:val="both"/>
              <w:rPr>
                <w:rFonts w:hint="eastAsia" w:ascii="宋体" w:hAnsi="宋体" w:eastAsia="宋体" w:cs="宋体"/>
                <w:color w:val="auto"/>
                <w:highlight w:val="none"/>
              </w:rPr>
            </w:pPr>
          </w:p>
        </w:tc>
        <w:tc>
          <w:tcPr>
            <w:tcW w:w="1700" w:type="dxa"/>
          </w:tcPr>
          <w:p w14:paraId="4A1DA39A">
            <w:pPr>
              <w:jc w:val="both"/>
              <w:rPr>
                <w:rFonts w:hint="eastAsia" w:ascii="宋体" w:hAnsi="宋体" w:eastAsia="宋体" w:cs="宋体"/>
                <w:color w:val="auto"/>
                <w:highlight w:val="none"/>
              </w:rPr>
            </w:pPr>
          </w:p>
        </w:tc>
        <w:tc>
          <w:tcPr>
            <w:tcW w:w="1705" w:type="dxa"/>
          </w:tcPr>
          <w:p w14:paraId="13A9F0B2">
            <w:pPr>
              <w:jc w:val="both"/>
              <w:rPr>
                <w:rFonts w:hint="eastAsia" w:ascii="宋体" w:hAnsi="宋体" w:eastAsia="宋体" w:cs="宋体"/>
                <w:color w:val="auto"/>
                <w:highlight w:val="none"/>
              </w:rPr>
            </w:pPr>
          </w:p>
        </w:tc>
      </w:tr>
      <w:tr w14:paraId="2B5D4C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213A308E">
            <w:pPr>
              <w:jc w:val="both"/>
              <w:rPr>
                <w:rFonts w:hint="eastAsia" w:ascii="宋体" w:hAnsi="宋体" w:eastAsia="宋体" w:cs="宋体"/>
                <w:color w:val="auto"/>
                <w:highlight w:val="none"/>
              </w:rPr>
            </w:pPr>
          </w:p>
        </w:tc>
        <w:tc>
          <w:tcPr>
            <w:tcW w:w="4675" w:type="dxa"/>
          </w:tcPr>
          <w:p w14:paraId="773F3AEF">
            <w:pPr>
              <w:jc w:val="both"/>
              <w:rPr>
                <w:rFonts w:hint="eastAsia" w:ascii="宋体" w:hAnsi="宋体" w:eastAsia="宋体" w:cs="宋体"/>
                <w:color w:val="auto"/>
                <w:highlight w:val="none"/>
              </w:rPr>
            </w:pPr>
          </w:p>
        </w:tc>
        <w:tc>
          <w:tcPr>
            <w:tcW w:w="1700" w:type="dxa"/>
          </w:tcPr>
          <w:p w14:paraId="0845BC8D">
            <w:pPr>
              <w:jc w:val="both"/>
              <w:rPr>
                <w:rFonts w:hint="eastAsia" w:ascii="宋体" w:hAnsi="宋体" w:eastAsia="宋体" w:cs="宋体"/>
                <w:color w:val="auto"/>
                <w:highlight w:val="none"/>
              </w:rPr>
            </w:pPr>
          </w:p>
        </w:tc>
        <w:tc>
          <w:tcPr>
            <w:tcW w:w="1705" w:type="dxa"/>
          </w:tcPr>
          <w:p w14:paraId="5A69E642">
            <w:pPr>
              <w:jc w:val="both"/>
              <w:rPr>
                <w:rFonts w:hint="eastAsia" w:ascii="宋体" w:hAnsi="宋体" w:eastAsia="宋体" w:cs="宋体"/>
                <w:color w:val="auto"/>
                <w:highlight w:val="none"/>
              </w:rPr>
            </w:pPr>
          </w:p>
        </w:tc>
      </w:tr>
      <w:tr w14:paraId="002A04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295437E1">
            <w:pPr>
              <w:jc w:val="both"/>
              <w:rPr>
                <w:rFonts w:hint="eastAsia" w:ascii="宋体" w:hAnsi="宋体" w:eastAsia="宋体" w:cs="宋体"/>
                <w:color w:val="auto"/>
                <w:highlight w:val="none"/>
              </w:rPr>
            </w:pPr>
          </w:p>
        </w:tc>
        <w:tc>
          <w:tcPr>
            <w:tcW w:w="4675" w:type="dxa"/>
          </w:tcPr>
          <w:p w14:paraId="3CFC70DF">
            <w:pPr>
              <w:jc w:val="both"/>
              <w:rPr>
                <w:rFonts w:hint="eastAsia" w:ascii="宋体" w:hAnsi="宋体" w:eastAsia="宋体" w:cs="宋体"/>
                <w:color w:val="auto"/>
                <w:highlight w:val="none"/>
              </w:rPr>
            </w:pPr>
          </w:p>
        </w:tc>
        <w:tc>
          <w:tcPr>
            <w:tcW w:w="1700" w:type="dxa"/>
          </w:tcPr>
          <w:p w14:paraId="2BC55FF3">
            <w:pPr>
              <w:jc w:val="both"/>
              <w:rPr>
                <w:rFonts w:hint="eastAsia" w:ascii="宋体" w:hAnsi="宋体" w:eastAsia="宋体" w:cs="宋体"/>
                <w:color w:val="auto"/>
                <w:highlight w:val="none"/>
              </w:rPr>
            </w:pPr>
          </w:p>
        </w:tc>
        <w:tc>
          <w:tcPr>
            <w:tcW w:w="1705" w:type="dxa"/>
          </w:tcPr>
          <w:p w14:paraId="1DBD1B9B">
            <w:pPr>
              <w:jc w:val="both"/>
              <w:rPr>
                <w:rFonts w:hint="eastAsia" w:ascii="宋体" w:hAnsi="宋体" w:eastAsia="宋体" w:cs="宋体"/>
                <w:color w:val="auto"/>
                <w:highlight w:val="none"/>
              </w:rPr>
            </w:pPr>
          </w:p>
        </w:tc>
      </w:tr>
      <w:tr w14:paraId="37780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4316AB03">
            <w:pPr>
              <w:jc w:val="both"/>
              <w:rPr>
                <w:rFonts w:hint="eastAsia" w:ascii="宋体" w:hAnsi="宋体" w:eastAsia="宋体" w:cs="宋体"/>
                <w:color w:val="auto"/>
                <w:highlight w:val="none"/>
              </w:rPr>
            </w:pPr>
          </w:p>
        </w:tc>
        <w:tc>
          <w:tcPr>
            <w:tcW w:w="4675" w:type="dxa"/>
          </w:tcPr>
          <w:p w14:paraId="6D00DA63">
            <w:pPr>
              <w:jc w:val="both"/>
              <w:rPr>
                <w:rFonts w:hint="eastAsia" w:ascii="宋体" w:hAnsi="宋体" w:eastAsia="宋体" w:cs="宋体"/>
                <w:color w:val="auto"/>
                <w:highlight w:val="none"/>
              </w:rPr>
            </w:pPr>
          </w:p>
        </w:tc>
        <w:tc>
          <w:tcPr>
            <w:tcW w:w="1700" w:type="dxa"/>
          </w:tcPr>
          <w:p w14:paraId="7AF03AED">
            <w:pPr>
              <w:jc w:val="both"/>
              <w:rPr>
                <w:rFonts w:hint="eastAsia" w:ascii="宋体" w:hAnsi="宋体" w:eastAsia="宋体" w:cs="宋体"/>
                <w:color w:val="auto"/>
                <w:highlight w:val="none"/>
              </w:rPr>
            </w:pPr>
          </w:p>
        </w:tc>
        <w:tc>
          <w:tcPr>
            <w:tcW w:w="1705" w:type="dxa"/>
          </w:tcPr>
          <w:p w14:paraId="7A34A70D">
            <w:pPr>
              <w:jc w:val="both"/>
              <w:rPr>
                <w:rFonts w:hint="eastAsia" w:ascii="宋体" w:hAnsi="宋体" w:eastAsia="宋体" w:cs="宋体"/>
                <w:color w:val="auto"/>
                <w:highlight w:val="none"/>
              </w:rPr>
            </w:pPr>
          </w:p>
        </w:tc>
      </w:tr>
      <w:tr w14:paraId="2D3213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Pr>
          <w:p w14:paraId="7EDD2F39">
            <w:pPr>
              <w:jc w:val="both"/>
              <w:rPr>
                <w:rFonts w:hint="eastAsia" w:ascii="宋体" w:hAnsi="宋体" w:eastAsia="宋体" w:cs="宋体"/>
                <w:color w:val="auto"/>
                <w:highlight w:val="none"/>
              </w:rPr>
            </w:pPr>
          </w:p>
        </w:tc>
        <w:tc>
          <w:tcPr>
            <w:tcW w:w="4675" w:type="dxa"/>
          </w:tcPr>
          <w:p w14:paraId="3CFDA3B8">
            <w:pPr>
              <w:jc w:val="both"/>
              <w:rPr>
                <w:rFonts w:hint="eastAsia" w:ascii="宋体" w:hAnsi="宋体" w:eastAsia="宋体" w:cs="宋体"/>
                <w:color w:val="auto"/>
                <w:highlight w:val="none"/>
              </w:rPr>
            </w:pPr>
          </w:p>
        </w:tc>
        <w:tc>
          <w:tcPr>
            <w:tcW w:w="1700" w:type="dxa"/>
          </w:tcPr>
          <w:p w14:paraId="3C1CB6FF">
            <w:pPr>
              <w:jc w:val="both"/>
              <w:rPr>
                <w:rFonts w:hint="eastAsia" w:ascii="宋体" w:hAnsi="宋体" w:eastAsia="宋体" w:cs="宋体"/>
                <w:color w:val="auto"/>
                <w:highlight w:val="none"/>
              </w:rPr>
            </w:pPr>
          </w:p>
        </w:tc>
        <w:tc>
          <w:tcPr>
            <w:tcW w:w="1705" w:type="dxa"/>
          </w:tcPr>
          <w:p w14:paraId="693A506A">
            <w:pPr>
              <w:jc w:val="both"/>
              <w:rPr>
                <w:rFonts w:hint="eastAsia" w:ascii="宋体" w:hAnsi="宋体" w:eastAsia="宋体" w:cs="宋体"/>
                <w:color w:val="auto"/>
                <w:highlight w:val="none"/>
              </w:rPr>
            </w:pPr>
          </w:p>
        </w:tc>
      </w:tr>
      <w:tr w14:paraId="1B6C08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Pr>
          <w:p w14:paraId="106C3F38">
            <w:pPr>
              <w:jc w:val="both"/>
              <w:rPr>
                <w:rFonts w:hint="eastAsia" w:ascii="宋体" w:hAnsi="宋体" w:eastAsia="宋体" w:cs="宋体"/>
                <w:color w:val="auto"/>
                <w:highlight w:val="none"/>
              </w:rPr>
            </w:pPr>
          </w:p>
        </w:tc>
        <w:tc>
          <w:tcPr>
            <w:tcW w:w="4675" w:type="dxa"/>
          </w:tcPr>
          <w:p w14:paraId="2B27CDCF">
            <w:pPr>
              <w:jc w:val="both"/>
              <w:rPr>
                <w:rFonts w:hint="eastAsia" w:ascii="宋体" w:hAnsi="宋体" w:eastAsia="宋体" w:cs="宋体"/>
                <w:color w:val="auto"/>
                <w:highlight w:val="none"/>
              </w:rPr>
            </w:pPr>
          </w:p>
        </w:tc>
        <w:tc>
          <w:tcPr>
            <w:tcW w:w="1700" w:type="dxa"/>
          </w:tcPr>
          <w:p w14:paraId="259FB4B0">
            <w:pPr>
              <w:jc w:val="both"/>
              <w:rPr>
                <w:rFonts w:hint="eastAsia" w:ascii="宋体" w:hAnsi="宋体" w:eastAsia="宋体" w:cs="宋体"/>
                <w:color w:val="auto"/>
                <w:highlight w:val="none"/>
              </w:rPr>
            </w:pPr>
          </w:p>
        </w:tc>
        <w:tc>
          <w:tcPr>
            <w:tcW w:w="1705" w:type="dxa"/>
          </w:tcPr>
          <w:p w14:paraId="0AAD237F">
            <w:pPr>
              <w:jc w:val="both"/>
              <w:rPr>
                <w:rFonts w:hint="eastAsia" w:ascii="宋体" w:hAnsi="宋体" w:eastAsia="宋体" w:cs="宋体"/>
                <w:color w:val="auto"/>
                <w:highlight w:val="none"/>
              </w:rPr>
            </w:pPr>
          </w:p>
        </w:tc>
      </w:tr>
      <w:tr w14:paraId="474987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Pr>
          <w:p w14:paraId="7CB0E6E6">
            <w:pPr>
              <w:jc w:val="both"/>
              <w:rPr>
                <w:rFonts w:hint="eastAsia" w:ascii="宋体" w:hAnsi="宋体" w:eastAsia="宋体" w:cs="宋体"/>
                <w:color w:val="auto"/>
                <w:highlight w:val="none"/>
              </w:rPr>
            </w:pPr>
          </w:p>
        </w:tc>
        <w:tc>
          <w:tcPr>
            <w:tcW w:w="4675" w:type="dxa"/>
          </w:tcPr>
          <w:p w14:paraId="0D4E9173">
            <w:pPr>
              <w:jc w:val="both"/>
              <w:rPr>
                <w:rFonts w:hint="eastAsia" w:ascii="宋体" w:hAnsi="宋体" w:eastAsia="宋体" w:cs="宋体"/>
                <w:color w:val="auto"/>
                <w:highlight w:val="none"/>
              </w:rPr>
            </w:pPr>
          </w:p>
        </w:tc>
        <w:tc>
          <w:tcPr>
            <w:tcW w:w="1700" w:type="dxa"/>
          </w:tcPr>
          <w:p w14:paraId="313B38B7">
            <w:pPr>
              <w:jc w:val="both"/>
              <w:rPr>
                <w:rFonts w:hint="eastAsia" w:ascii="宋体" w:hAnsi="宋体" w:eastAsia="宋体" w:cs="宋体"/>
                <w:color w:val="auto"/>
                <w:highlight w:val="none"/>
              </w:rPr>
            </w:pPr>
          </w:p>
        </w:tc>
        <w:tc>
          <w:tcPr>
            <w:tcW w:w="1705" w:type="dxa"/>
          </w:tcPr>
          <w:p w14:paraId="65AF875F">
            <w:pPr>
              <w:jc w:val="both"/>
              <w:rPr>
                <w:rFonts w:hint="eastAsia" w:ascii="宋体" w:hAnsi="宋体" w:eastAsia="宋体" w:cs="宋体"/>
                <w:color w:val="auto"/>
                <w:highlight w:val="none"/>
              </w:rPr>
            </w:pPr>
          </w:p>
        </w:tc>
      </w:tr>
    </w:tbl>
    <w:p w14:paraId="37471406">
      <w:pPr>
        <w:spacing w:before="146" w:line="232" w:lineRule="auto"/>
        <w:ind w:left="5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注：本表请按投标人须知前附表3.5.7“二、评审打分资料”内容填写。</w:t>
      </w:r>
    </w:p>
    <w:p w14:paraId="3B7D8136">
      <w:pPr>
        <w:spacing w:line="255" w:lineRule="auto"/>
        <w:jc w:val="both"/>
        <w:rPr>
          <w:rFonts w:hint="eastAsia" w:ascii="宋体" w:hAnsi="宋体" w:eastAsia="宋体" w:cs="宋体"/>
          <w:color w:val="auto"/>
          <w:highlight w:val="none"/>
        </w:rPr>
      </w:pPr>
    </w:p>
    <w:p w14:paraId="70AB376A">
      <w:pPr>
        <w:spacing w:line="255" w:lineRule="auto"/>
        <w:jc w:val="both"/>
        <w:rPr>
          <w:rFonts w:hint="eastAsia" w:ascii="宋体" w:hAnsi="宋体" w:eastAsia="宋体" w:cs="宋体"/>
          <w:color w:val="auto"/>
          <w:highlight w:val="none"/>
        </w:rPr>
      </w:pPr>
    </w:p>
    <w:p w14:paraId="53D0E04A">
      <w:pPr>
        <w:spacing w:line="255" w:lineRule="auto"/>
        <w:jc w:val="both"/>
        <w:rPr>
          <w:rFonts w:hint="eastAsia" w:ascii="宋体" w:hAnsi="宋体" w:eastAsia="宋体" w:cs="宋体"/>
          <w:color w:val="auto"/>
          <w:highlight w:val="none"/>
        </w:rPr>
      </w:pPr>
    </w:p>
    <w:p w14:paraId="2EF55516">
      <w:pPr>
        <w:spacing w:line="255" w:lineRule="auto"/>
        <w:jc w:val="both"/>
        <w:rPr>
          <w:rFonts w:hint="eastAsia" w:ascii="宋体" w:hAnsi="宋体" w:eastAsia="宋体" w:cs="宋体"/>
          <w:color w:val="auto"/>
          <w:highlight w:val="none"/>
        </w:rPr>
      </w:pPr>
    </w:p>
    <w:p w14:paraId="1883DBA0">
      <w:pPr>
        <w:spacing w:line="256" w:lineRule="auto"/>
        <w:jc w:val="both"/>
        <w:rPr>
          <w:rFonts w:hint="eastAsia" w:ascii="宋体" w:hAnsi="宋体" w:eastAsia="宋体" w:cs="宋体"/>
          <w:color w:val="auto"/>
          <w:highlight w:val="none"/>
        </w:rPr>
      </w:pPr>
    </w:p>
    <w:p w14:paraId="70A11E30">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61082414">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4F200DDB">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66523D4E">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ACD0E83">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3C72BB47">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6B27B000">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1BD406D">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5EF2D3E2">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6115610B">
      <w:pPr>
        <w:spacing w:before="91" w:line="221" w:lineRule="auto"/>
        <w:ind w:left="578"/>
        <w:jc w:val="both"/>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格式七：投标人基本情况</w:t>
      </w:r>
    </w:p>
    <w:p w14:paraId="12FFFF33">
      <w:pPr>
        <w:spacing w:line="360" w:lineRule="auto"/>
        <w:jc w:val="center"/>
        <w:outlineLvl w:val="0"/>
        <w:rPr>
          <w:rFonts w:hint="eastAsia" w:ascii="宋体" w:hAnsi="宋体" w:eastAsia="宋体" w:cs="宋体"/>
          <w:b/>
          <w:bCs/>
          <w:color w:val="auto"/>
          <w:highlight w:val="none"/>
        </w:rPr>
      </w:pPr>
      <w:r>
        <w:rPr>
          <w:rFonts w:hint="eastAsia" w:ascii="宋体" w:hAnsi="宋体" w:eastAsia="宋体" w:cs="宋体"/>
          <w:b/>
          <w:bCs/>
          <w:color w:val="auto"/>
          <w:highlight w:val="none"/>
        </w:rPr>
        <w:t>投标人基本情况</w:t>
      </w:r>
    </w:p>
    <w:p w14:paraId="3E3BC931">
      <w:pPr>
        <w:spacing w:line="360" w:lineRule="auto"/>
        <w:ind w:firstLine="316" w:firstLineChars="150"/>
        <w:jc w:val="center"/>
        <w:rPr>
          <w:rFonts w:hint="eastAsia" w:ascii="宋体" w:hAnsi="宋体" w:eastAsia="宋体" w:cs="宋体"/>
          <w:b/>
          <w:bCs/>
          <w:color w:val="auto"/>
          <w:highlight w:val="none"/>
        </w:rPr>
      </w:pPr>
    </w:p>
    <w:tbl>
      <w:tblPr>
        <w:tblStyle w:val="30"/>
        <w:tblW w:w="918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93"/>
        <w:gridCol w:w="1134"/>
        <w:gridCol w:w="1275"/>
        <w:gridCol w:w="1389"/>
        <w:gridCol w:w="173"/>
        <w:gridCol w:w="1038"/>
        <w:gridCol w:w="1341"/>
      </w:tblGrid>
      <w:tr w14:paraId="100F4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B008B24">
            <w:pPr>
              <w:rPr>
                <w:rFonts w:hint="eastAsia" w:ascii="宋体" w:hAnsi="宋体" w:eastAsia="宋体" w:cs="宋体"/>
                <w:color w:val="auto"/>
                <w:highlight w:val="none"/>
              </w:rPr>
            </w:pPr>
            <w:r>
              <w:rPr>
                <w:rFonts w:hint="eastAsia" w:ascii="宋体" w:hAnsi="宋体" w:eastAsia="宋体" w:cs="宋体"/>
                <w:color w:val="auto"/>
                <w:highlight w:val="none"/>
              </w:rPr>
              <w:t>投标人名称</w:t>
            </w:r>
          </w:p>
        </w:tc>
        <w:tc>
          <w:tcPr>
            <w:tcW w:w="7343" w:type="dxa"/>
            <w:gridSpan w:val="7"/>
            <w:tcBorders>
              <w:top w:val="single" w:color="auto" w:sz="4" w:space="0"/>
              <w:left w:val="nil"/>
              <w:bottom w:val="single" w:color="auto" w:sz="4" w:space="0"/>
              <w:right w:val="single" w:color="auto" w:sz="4" w:space="0"/>
            </w:tcBorders>
            <w:noWrap/>
            <w:vAlign w:val="center"/>
          </w:tcPr>
          <w:p w14:paraId="7FA3ED9C">
            <w:pPr>
              <w:rPr>
                <w:rFonts w:hint="eastAsia" w:ascii="宋体" w:hAnsi="宋体" w:eastAsia="宋体" w:cs="宋体"/>
                <w:color w:val="auto"/>
                <w:highlight w:val="none"/>
              </w:rPr>
            </w:pPr>
          </w:p>
        </w:tc>
      </w:tr>
      <w:tr w14:paraId="11175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BB9158E">
            <w:pPr>
              <w:rPr>
                <w:rFonts w:hint="eastAsia" w:ascii="宋体" w:hAnsi="宋体" w:eastAsia="宋体" w:cs="宋体"/>
                <w:color w:val="auto"/>
                <w:highlight w:val="none"/>
              </w:rPr>
            </w:pPr>
            <w:r>
              <w:rPr>
                <w:rFonts w:hint="eastAsia" w:ascii="宋体" w:hAnsi="宋体" w:eastAsia="宋体" w:cs="宋体"/>
                <w:color w:val="auto"/>
                <w:highlight w:val="none"/>
              </w:rPr>
              <w:t>注册地址</w:t>
            </w:r>
          </w:p>
        </w:tc>
        <w:tc>
          <w:tcPr>
            <w:tcW w:w="3402" w:type="dxa"/>
            <w:gridSpan w:val="3"/>
            <w:tcBorders>
              <w:top w:val="single" w:color="auto" w:sz="4" w:space="0"/>
              <w:left w:val="nil"/>
              <w:bottom w:val="single" w:color="auto" w:sz="4" w:space="0"/>
              <w:right w:val="single" w:color="auto" w:sz="4" w:space="0"/>
            </w:tcBorders>
            <w:noWrap/>
            <w:vAlign w:val="center"/>
          </w:tcPr>
          <w:p w14:paraId="7FC6802B">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6103EDB5">
            <w:pP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2552" w:type="dxa"/>
            <w:gridSpan w:val="3"/>
            <w:tcBorders>
              <w:top w:val="single" w:color="auto" w:sz="4" w:space="0"/>
              <w:left w:val="nil"/>
              <w:bottom w:val="single" w:color="auto" w:sz="4" w:space="0"/>
              <w:right w:val="single" w:color="auto" w:sz="4" w:space="0"/>
            </w:tcBorders>
            <w:noWrap/>
            <w:vAlign w:val="center"/>
          </w:tcPr>
          <w:p w14:paraId="54CF4086">
            <w:pPr>
              <w:rPr>
                <w:rFonts w:hint="eastAsia" w:ascii="宋体" w:hAnsi="宋体" w:eastAsia="宋体" w:cs="宋体"/>
                <w:color w:val="auto"/>
                <w:highlight w:val="none"/>
              </w:rPr>
            </w:pPr>
          </w:p>
        </w:tc>
      </w:tr>
      <w:tr w14:paraId="31ABA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3" w:type="dxa"/>
            <w:vMerge w:val="restart"/>
            <w:tcBorders>
              <w:top w:val="nil"/>
              <w:left w:val="single" w:color="auto" w:sz="4" w:space="0"/>
              <w:bottom w:val="single" w:color="auto" w:sz="4" w:space="0"/>
              <w:right w:val="single" w:color="auto" w:sz="4" w:space="0"/>
            </w:tcBorders>
            <w:noWrap/>
            <w:vAlign w:val="center"/>
          </w:tcPr>
          <w:p w14:paraId="5BF59E32">
            <w:pPr>
              <w:rPr>
                <w:rFonts w:hint="eastAsia" w:ascii="宋体" w:hAnsi="宋体" w:eastAsia="宋体" w:cs="宋体"/>
                <w:color w:val="auto"/>
                <w:highlight w:val="none"/>
              </w:rPr>
            </w:pPr>
            <w:r>
              <w:rPr>
                <w:rFonts w:hint="eastAsia" w:ascii="宋体" w:hAnsi="宋体" w:eastAsia="宋体" w:cs="宋体"/>
                <w:color w:val="auto"/>
                <w:highlight w:val="none"/>
              </w:rPr>
              <w:t>联系方式</w:t>
            </w:r>
          </w:p>
        </w:tc>
        <w:tc>
          <w:tcPr>
            <w:tcW w:w="993" w:type="dxa"/>
            <w:tcBorders>
              <w:top w:val="single" w:color="auto" w:sz="4" w:space="0"/>
              <w:left w:val="nil"/>
              <w:bottom w:val="single" w:color="auto" w:sz="4" w:space="0"/>
              <w:right w:val="single" w:color="auto" w:sz="4" w:space="0"/>
            </w:tcBorders>
            <w:noWrap/>
            <w:vAlign w:val="center"/>
          </w:tcPr>
          <w:p w14:paraId="27C161DF">
            <w:pPr>
              <w:rPr>
                <w:rFonts w:hint="eastAsia" w:ascii="宋体" w:hAnsi="宋体" w:eastAsia="宋体" w:cs="宋体"/>
                <w:color w:val="auto"/>
                <w:highlight w:val="none"/>
              </w:rPr>
            </w:pPr>
            <w:r>
              <w:rPr>
                <w:rFonts w:hint="eastAsia" w:ascii="宋体" w:hAnsi="宋体" w:eastAsia="宋体" w:cs="宋体"/>
                <w:color w:val="auto"/>
                <w:highlight w:val="none"/>
              </w:rPr>
              <w:t>联系人</w:t>
            </w:r>
          </w:p>
        </w:tc>
        <w:tc>
          <w:tcPr>
            <w:tcW w:w="2409" w:type="dxa"/>
            <w:gridSpan w:val="2"/>
            <w:tcBorders>
              <w:top w:val="single" w:color="auto" w:sz="4" w:space="0"/>
              <w:left w:val="nil"/>
              <w:bottom w:val="single" w:color="auto" w:sz="4" w:space="0"/>
              <w:right w:val="single" w:color="auto" w:sz="4" w:space="0"/>
            </w:tcBorders>
            <w:noWrap/>
            <w:vAlign w:val="center"/>
          </w:tcPr>
          <w:p w14:paraId="1A79E650">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572A0D43">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2552" w:type="dxa"/>
            <w:gridSpan w:val="3"/>
            <w:tcBorders>
              <w:top w:val="single" w:color="auto" w:sz="4" w:space="0"/>
              <w:left w:val="nil"/>
              <w:bottom w:val="single" w:color="auto" w:sz="4" w:space="0"/>
              <w:right w:val="single" w:color="auto" w:sz="4" w:space="0"/>
            </w:tcBorders>
            <w:noWrap/>
            <w:vAlign w:val="center"/>
          </w:tcPr>
          <w:p w14:paraId="501CB587">
            <w:pPr>
              <w:rPr>
                <w:rFonts w:hint="eastAsia" w:ascii="宋体" w:hAnsi="宋体" w:eastAsia="宋体" w:cs="宋体"/>
                <w:color w:val="auto"/>
                <w:highlight w:val="none"/>
              </w:rPr>
            </w:pPr>
          </w:p>
        </w:tc>
      </w:tr>
      <w:tr w14:paraId="7F351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vMerge w:val="continue"/>
            <w:tcBorders>
              <w:top w:val="nil"/>
              <w:left w:val="single" w:color="auto" w:sz="4" w:space="0"/>
              <w:bottom w:val="single" w:color="auto" w:sz="4" w:space="0"/>
              <w:right w:val="single" w:color="auto" w:sz="4" w:space="0"/>
            </w:tcBorders>
            <w:vAlign w:val="center"/>
          </w:tcPr>
          <w:p w14:paraId="06F9658C">
            <w:pPr>
              <w:autoSpaceDE/>
              <w:autoSpaceDN/>
              <w:adjustRightInd/>
              <w:rPr>
                <w:rFonts w:hint="eastAsia" w:ascii="宋体" w:hAnsi="宋体" w:eastAsia="宋体" w:cs="宋体"/>
                <w:color w:val="auto"/>
                <w:highlight w:val="none"/>
              </w:rPr>
            </w:pPr>
          </w:p>
        </w:tc>
        <w:tc>
          <w:tcPr>
            <w:tcW w:w="993" w:type="dxa"/>
            <w:tcBorders>
              <w:top w:val="single" w:color="auto" w:sz="4" w:space="0"/>
              <w:left w:val="nil"/>
              <w:bottom w:val="single" w:color="auto" w:sz="4" w:space="0"/>
              <w:right w:val="single" w:color="auto" w:sz="4" w:space="0"/>
            </w:tcBorders>
            <w:noWrap/>
            <w:vAlign w:val="center"/>
          </w:tcPr>
          <w:p w14:paraId="08558EA1">
            <w:pPr>
              <w:rPr>
                <w:rFonts w:hint="eastAsia" w:ascii="宋体" w:hAnsi="宋体" w:eastAsia="宋体" w:cs="宋体"/>
                <w:color w:val="auto"/>
                <w:highlight w:val="none"/>
              </w:rPr>
            </w:pPr>
            <w:r>
              <w:rPr>
                <w:rFonts w:hint="eastAsia" w:ascii="宋体" w:hAnsi="宋体" w:eastAsia="宋体" w:cs="宋体"/>
                <w:color w:val="auto"/>
                <w:highlight w:val="none"/>
              </w:rPr>
              <w:t>传真</w:t>
            </w:r>
          </w:p>
        </w:tc>
        <w:tc>
          <w:tcPr>
            <w:tcW w:w="2409" w:type="dxa"/>
            <w:gridSpan w:val="2"/>
            <w:tcBorders>
              <w:top w:val="single" w:color="auto" w:sz="4" w:space="0"/>
              <w:left w:val="nil"/>
              <w:bottom w:val="single" w:color="auto" w:sz="4" w:space="0"/>
              <w:right w:val="single" w:color="auto" w:sz="4" w:space="0"/>
            </w:tcBorders>
            <w:noWrap/>
            <w:vAlign w:val="center"/>
          </w:tcPr>
          <w:p w14:paraId="742DD6A7">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2C4BF07A">
            <w:pPr>
              <w:rPr>
                <w:rFonts w:hint="eastAsia" w:ascii="宋体" w:hAnsi="宋体" w:eastAsia="宋体" w:cs="宋体"/>
                <w:color w:val="auto"/>
                <w:highlight w:val="none"/>
              </w:rPr>
            </w:pPr>
            <w:r>
              <w:rPr>
                <w:rFonts w:hint="eastAsia" w:ascii="宋体" w:hAnsi="宋体" w:eastAsia="宋体" w:cs="宋体"/>
                <w:color w:val="auto"/>
                <w:highlight w:val="none"/>
              </w:rPr>
              <w:t>网址</w:t>
            </w:r>
          </w:p>
        </w:tc>
        <w:tc>
          <w:tcPr>
            <w:tcW w:w="2552" w:type="dxa"/>
            <w:gridSpan w:val="3"/>
            <w:tcBorders>
              <w:top w:val="single" w:color="auto" w:sz="4" w:space="0"/>
              <w:left w:val="nil"/>
              <w:bottom w:val="single" w:color="auto" w:sz="4" w:space="0"/>
              <w:right w:val="single" w:color="auto" w:sz="4" w:space="0"/>
            </w:tcBorders>
            <w:noWrap/>
            <w:vAlign w:val="center"/>
          </w:tcPr>
          <w:p w14:paraId="6D626E29">
            <w:pPr>
              <w:rPr>
                <w:rFonts w:hint="eastAsia" w:ascii="宋体" w:hAnsi="宋体" w:eastAsia="宋体" w:cs="宋体"/>
                <w:color w:val="auto"/>
                <w:highlight w:val="none"/>
              </w:rPr>
            </w:pPr>
          </w:p>
        </w:tc>
      </w:tr>
      <w:tr w14:paraId="0764D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C7C4C13">
            <w:pPr>
              <w:rPr>
                <w:rFonts w:hint="eastAsia" w:ascii="宋体" w:hAnsi="宋体" w:eastAsia="宋体" w:cs="宋体"/>
                <w:color w:val="auto"/>
                <w:highlight w:val="none"/>
              </w:rPr>
            </w:pPr>
            <w:r>
              <w:rPr>
                <w:rFonts w:hint="eastAsia" w:ascii="宋体" w:hAnsi="宋体" w:eastAsia="宋体" w:cs="宋体"/>
                <w:color w:val="auto"/>
                <w:highlight w:val="none"/>
              </w:rPr>
              <w:t>组织结构</w:t>
            </w:r>
          </w:p>
        </w:tc>
        <w:tc>
          <w:tcPr>
            <w:tcW w:w="7343" w:type="dxa"/>
            <w:gridSpan w:val="7"/>
            <w:tcBorders>
              <w:top w:val="single" w:color="auto" w:sz="4" w:space="0"/>
              <w:left w:val="nil"/>
              <w:bottom w:val="single" w:color="auto" w:sz="4" w:space="0"/>
              <w:right w:val="single" w:color="auto" w:sz="4" w:space="0"/>
            </w:tcBorders>
            <w:noWrap/>
            <w:vAlign w:val="center"/>
          </w:tcPr>
          <w:p w14:paraId="6777AD88">
            <w:pPr>
              <w:rPr>
                <w:rFonts w:hint="eastAsia" w:ascii="宋体" w:hAnsi="宋体" w:eastAsia="宋体" w:cs="宋体"/>
                <w:color w:val="auto"/>
                <w:highlight w:val="none"/>
              </w:rPr>
            </w:pPr>
          </w:p>
        </w:tc>
      </w:tr>
      <w:tr w14:paraId="03EA1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DEF53AD">
            <w:pPr>
              <w:rPr>
                <w:rFonts w:hint="eastAsia" w:ascii="宋体" w:hAnsi="宋体" w:eastAsia="宋体" w:cs="宋体"/>
                <w:color w:val="auto"/>
                <w:highlight w:val="none"/>
              </w:rPr>
            </w:pPr>
            <w:r>
              <w:rPr>
                <w:rFonts w:hint="eastAsia" w:ascii="宋体" w:hAnsi="宋体" w:eastAsia="宋体" w:cs="宋体"/>
                <w:color w:val="auto"/>
                <w:highlight w:val="none"/>
              </w:rPr>
              <w:t>法定代表人</w:t>
            </w:r>
          </w:p>
        </w:tc>
        <w:tc>
          <w:tcPr>
            <w:tcW w:w="993" w:type="dxa"/>
            <w:tcBorders>
              <w:top w:val="single" w:color="auto" w:sz="4" w:space="0"/>
              <w:left w:val="nil"/>
              <w:bottom w:val="single" w:color="auto" w:sz="4" w:space="0"/>
              <w:right w:val="single" w:color="auto" w:sz="4" w:space="0"/>
            </w:tcBorders>
            <w:noWrap/>
            <w:vAlign w:val="center"/>
          </w:tcPr>
          <w:p w14:paraId="07CA15F3">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41CA493D">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0A7B8DF2">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30135C8C">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357AEB33">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05F406F3">
            <w:pPr>
              <w:rPr>
                <w:rFonts w:hint="eastAsia" w:ascii="宋体" w:hAnsi="宋体" w:eastAsia="宋体" w:cs="宋体"/>
                <w:color w:val="auto"/>
                <w:highlight w:val="none"/>
              </w:rPr>
            </w:pPr>
          </w:p>
        </w:tc>
      </w:tr>
      <w:tr w14:paraId="0EA9F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56D0BE49">
            <w:pPr>
              <w:rPr>
                <w:rFonts w:hint="eastAsia" w:ascii="宋体" w:hAnsi="宋体" w:eastAsia="宋体" w:cs="宋体"/>
                <w:color w:val="auto"/>
                <w:highlight w:val="none"/>
              </w:rPr>
            </w:pPr>
            <w:r>
              <w:rPr>
                <w:rFonts w:hint="eastAsia" w:ascii="宋体" w:hAnsi="宋体" w:eastAsia="宋体" w:cs="宋体"/>
                <w:color w:val="auto"/>
                <w:highlight w:val="none"/>
              </w:rPr>
              <w:t>技术负责人</w:t>
            </w:r>
          </w:p>
        </w:tc>
        <w:tc>
          <w:tcPr>
            <w:tcW w:w="993" w:type="dxa"/>
            <w:tcBorders>
              <w:top w:val="single" w:color="auto" w:sz="4" w:space="0"/>
              <w:left w:val="nil"/>
              <w:bottom w:val="single" w:color="auto" w:sz="4" w:space="0"/>
              <w:right w:val="single" w:color="auto" w:sz="4" w:space="0"/>
            </w:tcBorders>
            <w:noWrap/>
            <w:vAlign w:val="center"/>
          </w:tcPr>
          <w:p w14:paraId="57567675">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7700B261">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26E97B17">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63627561">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3D917946">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3CA56370">
            <w:pPr>
              <w:rPr>
                <w:rFonts w:hint="eastAsia" w:ascii="宋体" w:hAnsi="宋体" w:eastAsia="宋体" w:cs="宋体"/>
                <w:color w:val="auto"/>
                <w:highlight w:val="none"/>
              </w:rPr>
            </w:pPr>
          </w:p>
        </w:tc>
      </w:tr>
      <w:tr w14:paraId="4DA3A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5DCD2EE6">
            <w:pPr>
              <w:rPr>
                <w:rFonts w:hint="eastAsia" w:ascii="宋体" w:hAnsi="宋体" w:eastAsia="宋体" w:cs="宋体"/>
                <w:color w:val="auto"/>
                <w:highlight w:val="none"/>
              </w:rPr>
            </w:pPr>
            <w:r>
              <w:rPr>
                <w:rFonts w:hint="eastAsia" w:ascii="宋体" w:hAnsi="宋体" w:eastAsia="宋体" w:cs="宋体"/>
                <w:color w:val="auto"/>
                <w:highlight w:val="none"/>
              </w:rPr>
              <w:t>成立时间</w:t>
            </w:r>
          </w:p>
        </w:tc>
        <w:tc>
          <w:tcPr>
            <w:tcW w:w="2127" w:type="dxa"/>
            <w:gridSpan w:val="2"/>
            <w:tcBorders>
              <w:top w:val="single" w:color="auto" w:sz="4" w:space="0"/>
              <w:left w:val="nil"/>
              <w:bottom w:val="single" w:color="auto" w:sz="4" w:space="0"/>
              <w:right w:val="single" w:color="auto" w:sz="4" w:space="0"/>
            </w:tcBorders>
            <w:noWrap/>
            <w:vAlign w:val="center"/>
          </w:tcPr>
          <w:p w14:paraId="5B1E02D0">
            <w:pPr>
              <w:rPr>
                <w:rFonts w:hint="eastAsia" w:ascii="宋体" w:hAnsi="宋体" w:eastAsia="宋体" w:cs="宋体"/>
                <w:color w:val="auto"/>
                <w:highlight w:val="none"/>
              </w:rPr>
            </w:pPr>
          </w:p>
        </w:tc>
        <w:tc>
          <w:tcPr>
            <w:tcW w:w="5216" w:type="dxa"/>
            <w:gridSpan w:val="5"/>
            <w:tcBorders>
              <w:top w:val="single" w:color="auto" w:sz="4" w:space="0"/>
              <w:left w:val="nil"/>
              <w:bottom w:val="single" w:color="auto" w:sz="4" w:space="0"/>
              <w:right w:val="single" w:color="auto" w:sz="4" w:space="0"/>
            </w:tcBorders>
            <w:noWrap/>
            <w:vAlign w:val="center"/>
          </w:tcPr>
          <w:p w14:paraId="620E0687">
            <w:pPr>
              <w:rPr>
                <w:rFonts w:hint="eastAsia" w:ascii="宋体" w:hAnsi="宋体" w:eastAsia="宋体" w:cs="宋体"/>
                <w:color w:val="auto"/>
                <w:highlight w:val="none"/>
              </w:rPr>
            </w:pPr>
            <w:r>
              <w:rPr>
                <w:rFonts w:hint="eastAsia" w:ascii="宋体" w:hAnsi="宋体" w:eastAsia="宋体" w:cs="宋体"/>
                <w:color w:val="auto"/>
                <w:highlight w:val="none"/>
              </w:rPr>
              <w:t>员工总人数：</w:t>
            </w:r>
          </w:p>
        </w:tc>
      </w:tr>
      <w:tr w14:paraId="60BCA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8C3C717">
            <w:pPr>
              <w:rPr>
                <w:rFonts w:hint="eastAsia" w:ascii="宋体" w:hAnsi="宋体" w:eastAsia="宋体" w:cs="宋体"/>
                <w:color w:val="auto"/>
                <w:highlight w:val="none"/>
              </w:rPr>
            </w:pPr>
            <w:r>
              <w:rPr>
                <w:rFonts w:hint="eastAsia" w:ascii="宋体" w:hAnsi="宋体" w:eastAsia="宋体" w:cs="宋体"/>
                <w:color w:val="auto"/>
                <w:highlight w:val="none"/>
              </w:rPr>
              <w:t>企业资质等级</w:t>
            </w:r>
          </w:p>
        </w:tc>
        <w:tc>
          <w:tcPr>
            <w:tcW w:w="2127" w:type="dxa"/>
            <w:gridSpan w:val="2"/>
            <w:tcBorders>
              <w:top w:val="single" w:color="auto" w:sz="4" w:space="0"/>
              <w:left w:val="nil"/>
              <w:bottom w:val="single" w:color="auto" w:sz="4" w:space="0"/>
              <w:right w:val="single" w:color="auto" w:sz="4" w:space="0"/>
            </w:tcBorders>
            <w:noWrap/>
            <w:vAlign w:val="center"/>
          </w:tcPr>
          <w:p w14:paraId="12F91E94">
            <w:pPr>
              <w:rPr>
                <w:rFonts w:hint="eastAsia" w:ascii="宋体" w:hAnsi="宋体" w:eastAsia="宋体" w:cs="宋体"/>
                <w:color w:val="auto"/>
                <w:highlight w:val="none"/>
              </w:rPr>
            </w:pPr>
          </w:p>
        </w:tc>
        <w:tc>
          <w:tcPr>
            <w:tcW w:w="1275" w:type="dxa"/>
            <w:vMerge w:val="restart"/>
            <w:tcBorders>
              <w:top w:val="nil"/>
              <w:left w:val="nil"/>
              <w:bottom w:val="single" w:color="auto" w:sz="4" w:space="0"/>
              <w:right w:val="single" w:color="auto" w:sz="4" w:space="0"/>
            </w:tcBorders>
            <w:noWrap/>
            <w:vAlign w:val="center"/>
          </w:tcPr>
          <w:p w14:paraId="7AE6A34E">
            <w:pPr>
              <w:rPr>
                <w:rFonts w:hint="eastAsia" w:ascii="宋体" w:hAnsi="宋体" w:eastAsia="宋体" w:cs="宋体"/>
                <w:color w:val="auto"/>
                <w:highlight w:val="none"/>
              </w:rPr>
            </w:pPr>
            <w:r>
              <w:rPr>
                <w:rFonts w:hint="eastAsia" w:ascii="宋体" w:hAnsi="宋体" w:eastAsia="宋体" w:cs="宋体"/>
                <w:color w:val="auto"/>
                <w:highlight w:val="none"/>
              </w:rPr>
              <w:t>其中</w:t>
            </w:r>
          </w:p>
        </w:tc>
        <w:tc>
          <w:tcPr>
            <w:tcW w:w="1562" w:type="dxa"/>
            <w:gridSpan w:val="2"/>
            <w:tcBorders>
              <w:top w:val="single" w:color="auto" w:sz="4" w:space="0"/>
              <w:left w:val="nil"/>
              <w:bottom w:val="single" w:color="auto" w:sz="4" w:space="0"/>
              <w:right w:val="single" w:color="auto" w:sz="4" w:space="0"/>
            </w:tcBorders>
            <w:noWrap/>
            <w:vAlign w:val="center"/>
          </w:tcPr>
          <w:p w14:paraId="2556BFAA">
            <w:pPr>
              <w:rPr>
                <w:rFonts w:hint="eastAsia" w:ascii="宋体" w:hAnsi="宋体" w:eastAsia="宋体" w:cs="宋体"/>
                <w:color w:val="auto"/>
                <w:highlight w:val="none"/>
              </w:rPr>
            </w:pPr>
            <w:r>
              <w:rPr>
                <w:rFonts w:hint="eastAsia" w:ascii="宋体" w:hAnsi="宋体" w:eastAsia="宋体" w:cs="宋体"/>
                <w:color w:val="auto"/>
                <w:highlight w:val="none"/>
              </w:rPr>
              <w:t>项目负责人</w:t>
            </w:r>
          </w:p>
        </w:tc>
        <w:tc>
          <w:tcPr>
            <w:tcW w:w="2379" w:type="dxa"/>
            <w:gridSpan w:val="2"/>
            <w:tcBorders>
              <w:top w:val="single" w:color="auto" w:sz="4" w:space="0"/>
              <w:left w:val="nil"/>
              <w:bottom w:val="single" w:color="auto" w:sz="4" w:space="0"/>
              <w:right w:val="single" w:color="auto" w:sz="4" w:space="0"/>
            </w:tcBorders>
            <w:noWrap/>
            <w:vAlign w:val="center"/>
          </w:tcPr>
          <w:p w14:paraId="4467F4BE">
            <w:pPr>
              <w:rPr>
                <w:rFonts w:hint="eastAsia" w:ascii="宋体" w:hAnsi="宋体" w:eastAsia="宋体" w:cs="宋体"/>
                <w:color w:val="auto"/>
                <w:highlight w:val="none"/>
              </w:rPr>
            </w:pPr>
          </w:p>
        </w:tc>
      </w:tr>
      <w:tr w14:paraId="4B695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5D91E237">
            <w:pPr>
              <w:rPr>
                <w:rFonts w:hint="eastAsia" w:ascii="宋体" w:hAnsi="宋体" w:eastAsia="宋体" w:cs="宋体"/>
                <w:color w:val="auto"/>
                <w:highlight w:val="none"/>
              </w:rPr>
            </w:pPr>
            <w:r>
              <w:rPr>
                <w:rFonts w:hint="eastAsia" w:ascii="宋体" w:hAnsi="宋体" w:eastAsia="宋体" w:cs="宋体"/>
                <w:color w:val="auto"/>
                <w:highlight w:val="none"/>
              </w:rPr>
              <w:t>营业执照号</w:t>
            </w:r>
          </w:p>
        </w:tc>
        <w:tc>
          <w:tcPr>
            <w:tcW w:w="2127" w:type="dxa"/>
            <w:gridSpan w:val="2"/>
            <w:tcBorders>
              <w:top w:val="single" w:color="auto" w:sz="4" w:space="0"/>
              <w:left w:val="nil"/>
              <w:bottom w:val="single" w:color="auto" w:sz="4" w:space="0"/>
              <w:right w:val="single" w:color="auto" w:sz="4" w:space="0"/>
            </w:tcBorders>
            <w:noWrap/>
            <w:vAlign w:val="center"/>
          </w:tcPr>
          <w:p w14:paraId="4E4D8DA9">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50FC5644">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1E1C00BE">
            <w:pPr>
              <w:rPr>
                <w:rFonts w:hint="eastAsia" w:ascii="宋体" w:hAnsi="宋体" w:eastAsia="宋体" w:cs="宋体"/>
                <w:color w:val="auto"/>
                <w:highlight w:val="none"/>
              </w:rPr>
            </w:pPr>
            <w:r>
              <w:rPr>
                <w:rFonts w:hint="eastAsia" w:ascii="宋体" w:hAnsi="宋体" w:eastAsia="宋体" w:cs="宋体"/>
                <w:color w:val="auto"/>
                <w:highlight w:val="none"/>
              </w:rPr>
              <w:t>高级职称人员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0E537C01">
            <w:pPr>
              <w:rPr>
                <w:rFonts w:hint="eastAsia" w:ascii="宋体" w:hAnsi="宋体" w:eastAsia="宋体" w:cs="宋体"/>
                <w:color w:val="auto"/>
                <w:highlight w:val="none"/>
              </w:rPr>
            </w:pPr>
          </w:p>
        </w:tc>
      </w:tr>
      <w:tr w14:paraId="6530E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4C5E688">
            <w:pPr>
              <w:rPr>
                <w:rFonts w:hint="eastAsia" w:ascii="宋体" w:hAnsi="宋体" w:eastAsia="宋体" w:cs="宋体"/>
                <w:color w:val="auto"/>
                <w:highlight w:val="none"/>
              </w:rPr>
            </w:pPr>
            <w:r>
              <w:rPr>
                <w:rFonts w:hint="eastAsia" w:ascii="宋体" w:hAnsi="宋体" w:eastAsia="宋体" w:cs="宋体"/>
                <w:color w:val="auto"/>
                <w:highlight w:val="none"/>
              </w:rPr>
              <w:t>注册资金</w:t>
            </w:r>
          </w:p>
        </w:tc>
        <w:tc>
          <w:tcPr>
            <w:tcW w:w="2127" w:type="dxa"/>
            <w:gridSpan w:val="2"/>
            <w:tcBorders>
              <w:top w:val="single" w:color="auto" w:sz="4" w:space="0"/>
              <w:left w:val="nil"/>
              <w:bottom w:val="single" w:color="auto" w:sz="4" w:space="0"/>
              <w:right w:val="single" w:color="auto" w:sz="4" w:space="0"/>
            </w:tcBorders>
            <w:noWrap/>
            <w:vAlign w:val="center"/>
          </w:tcPr>
          <w:p w14:paraId="44062D06">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304E6498">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1FC9EE7D">
            <w:pPr>
              <w:rPr>
                <w:rFonts w:hint="eastAsia" w:ascii="宋体" w:hAnsi="宋体" w:eastAsia="宋体" w:cs="宋体"/>
                <w:color w:val="auto"/>
                <w:highlight w:val="none"/>
              </w:rPr>
            </w:pPr>
            <w:r>
              <w:rPr>
                <w:rFonts w:hint="eastAsia" w:ascii="宋体" w:hAnsi="宋体" w:eastAsia="宋体" w:cs="宋体"/>
                <w:color w:val="auto"/>
                <w:highlight w:val="none"/>
              </w:rPr>
              <w:t>中级职称人员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13D2CB00">
            <w:pPr>
              <w:rPr>
                <w:rFonts w:hint="eastAsia" w:ascii="宋体" w:hAnsi="宋体" w:eastAsia="宋体" w:cs="宋体"/>
                <w:color w:val="auto"/>
                <w:highlight w:val="none"/>
              </w:rPr>
            </w:pPr>
          </w:p>
        </w:tc>
      </w:tr>
      <w:tr w14:paraId="02DF1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2E16AD0">
            <w:pPr>
              <w:rPr>
                <w:rFonts w:hint="eastAsia" w:ascii="宋体" w:hAnsi="宋体" w:eastAsia="宋体" w:cs="宋体"/>
                <w:color w:val="auto"/>
                <w:highlight w:val="none"/>
              </w:rPr>
            </w:pPr>
            <w:r>
              <w:rPr>
                <w:rFonts w:hint="eastAsia" w:ascii="宋体" w:hAnsi="宋体" w:eastAsia="宋体" w:cs="宋体"/>
                <w:color w:val="auto"/>
                <w:highlight w:val="none"/>
              </w:rPr>
              <w:t>开户银行</w:t>
            </w:r>
          </w:p>
        </w:tc>
        <w:tc>
          <w:tcPr>
            <w:tcW w:w="2127" w:type="dxa"/>
            <w:gridSpan w:val="2"/>
            <w:tcBorders>
              <w:top w:val="single" w:color="auto" w:sz="4" w:space="0"/>
              <w:left w:val="nil"/>
              <w:bottom w:val="single" w:color="auto" w:sz="4" w:space="0"/>
              <w:right w:val="single" w:color="auto" w:sz="4" w:space="0"/>
            </w:tcBorders>
            <w:noWrap/>
            <w:vAlign w:val="center"/>
          </w:tcPr>
          <w:p w14:paraId="2957E089">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0D21A2F5">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4EB7FF6C">
            <w:pPr>
              <w:rPr>
                <w:rFonts w:hint="eastAsia" w:ascii="宋体" w:hAnsi="宋体" w:eastAsia="宋体" w:cs="宋体"/>
                <w:color w:val="auto"/>
                <w:highlight w:val="none"/>
              </w:rPr>
            </w:pPr>
            <w:r>
              <w:rPr>
                <w:rFonts w:hint="eastAsia" w:ascii="宋体" w:hAnsi="宋体" w:eastAsia="宋体" w:cs="宋体"/>
                <w:color w:val="auto"/>
                <w:highlight w:val="none"/>
              </w:rPr>
              <w:t>初级职称人员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2FF4BE64">
            <w:pPr>
              <w:rPr>
                <w:rFonts w:hint="eastAsia" w:ascii="宋体" w:hAnsi="宋体" w:eastAsia="宋体" w:cs="宋体"/>
                <w:color w:val="auto"/>
                <w:highlight w:val="none"/>
              </w:rPr>
            </w:pPr>
          </w:p>
        </w:tc>
      </w:tr>
      <w:tr w14:paraId="12E24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AE1FFB6">
            <w:pPr>
              <w:rPr>
                <w:rFonts w:hint="eastAsia" w:ascii="宋体" w:hAnsi="宋体" w:eastAsia="宋体" w:cs="宋体"/>
                <w:color w:val="auto"/>
                <w:highlight w:val="none"/>
              </w:rPr>
            </w:pPr>
            <w:r>
              <w:rPr>
                <w:rFonts w:hint="eastAsia" w:ascii="宋体" w:hAnsi="宋体" w:eastAsia="宋体" w:cs="宋体"/>
                <w:color w:val="auto"/>
                <w:highlight w:val="none"/>
              </w:rPr>
              <w:t>账号</w:t>
            </w:r>
          </w:p>
        </w:tc>
        <w:tc>
          <w:tcPr>
            <w:tcW w:w="2127" w:type="dxa"/>
            <w:gridSpan w:val="2"/>
            <w:tcBorders>
              <w:top w:val="single" w:color="auto" w:sz="4" w:space="0"/>
              <w:left w:val="nil"/>
              <w:bottom w:val="single" w:color="auto" w:sz="4" w:space="0"/>
              <w:right w:val="single" w:color="auto" w:sz="4" w:space="0"/>
            </w:tcBorders>
            <w:noWrap/>
            <w:vAlign w:val="center"/>
          </w:tcPr>
          <w:p w14:paraId="1FB3DC32">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3DEC7897">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18598174">
            <w:pPr>
              <w:rPr>
                <w:rFonts w:hint="eastAsia" w:ascii="宋体" w:hAnsi="宋体" w:eastAsia="宋体" w:cs="宋体"/>
                <w:color w:val="auto"/>
                <w:highlight w:val="none"/>
              </w:rPr>
            </w:pPr>
            <w:r>
              <w:rPr>
                <w:rFonts w:hint="eastAsia" w:ascii="宋体" w:hAnsi="宋体" w:eastAsia="宋体" w:cs="宋体"/>
                <w:color w:val="auto"/>
                <w:highlight w:val="none"/>
              </w:rPr>
              <w:t>技工</w:t>
            </w:r>
          </w:p>
        </w:tc>
        <w:tc>
          <w:tcPr>
            <w:tcW w:w="2379" w:type="dxa"/>
            <w:gridSpan w:val="2"/>
            <w:tcBorders>
              <w:top w:val="single" w:color="auto" w:sz="4" w:space="0"/>
              <w:left w:val="nil"/>
              <w:bottom w:val="single" w:color="auto" w:sz="4" w:space="0"/>
              <w:right w:val="single" w:color="auto" w:sz="4" w:space="0"/>
            </w:tcBorders>
            <w:noWrap/>
            <w:vAlign w:val="center"/>
          </w:tcPr>
          <w:p w14:paraId="4257D462">
            <w:pPr>
              <w:rPr>
                <w:rFonts w:hint="eastAsia" w:ascii="宋体" w:hAnsi="宋体" w:eastAsia="宋体" w:cs="宋体"/>
                <w:color w:val="auto"/>
                <w:highlight w:val="none"/>
              </w:rPr>
            </w:pPr>
          </w:p>
        </w:tc>
      </w:tr>
      <w:tr w14:paraId="2C500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5490FF2">
            <w:pPr>
              <w:rPr>
                <w:rFonts w:hint="eastAsia" w:ascii="宋体" w:hAnsi="宋体" w:eastAsia="宋体" w:cs="宋体"/>
                <w:color w:val="auto"/>
                <w:highlight w:val="none"/>
              </w:rPr>
            </w:pPr>
            <w:r>
              <w:rPr>
                <w:rFonts w:hint="eastAsia" w:ascii="宋体" w:hAnsi="宋体" w:eastAsia="宋体" w:cs="宋体"/>
                <w:color w:val="auto"/>
                <w:highlight w:val="none"/>
              </w:rPr>
              <w:t>经营范围备注</w:t>
            </w:r>
          </w:p>
        </w:tc>
        <w:tc>
          <w:tcPr>
            <w:tcW w:w="7343" w:type="dxa"/>
            <w:gridSpan w:val="7"/>
            <w:tcBorders>
              <w:top w:val="single" w:color="auto" w:sz="4" w:space="0"/>
              <w:left w:val="nil"/>
              <w:bottom w:val="single" w:color="auto" w:sz="4" w:space="0"/>
              <w:right w:val="single" w:color="auto" w:sz="4" w:space="0"/>
            </w:tcBorders>
            <w:noWrap/>
            <w:vAlign w:val="center"/>
          </w:tcPr>
          <w:p w14:paraId="38EB78B9">
            <w:pPr>
              <w:ind w:firstLine="420" w:firstLineChars="200"/>
              <w:rPr>
                <w:rFonts w:hint="eastAsia" w:ascii="宋体" w:hAnsi="宋体" w:eastAsia="宋体" w:cs="宋体"/>
                <w:color w:val="auto"/>
                <w:highlight w:val="none"/>
              </w:rPr>
            </w:pPr>
          </w:p>
        </w:tc>
      </w:tr>
    </w:tbl>
    <w:p w14:paraId="6BE97C7B">
      <w:pPr>
        <w:rPr>
          <w:rFonts w:hint="eastAsia" w:ascii="宋体" w:hAnsi="宋体" w:eastAsia="宋体" w:cs="宋体"/>
          <w:color w:val="auto"/>
          <w:highlight w:val="none"/>
        </w:rPr>
      </w:pPr>
    </w:p>
    <w:p w14:paraId="7D32DB1A">
      <w:pPr>
        <w:rPr>
          <w:rFonts w:hint="eastAsia" w:ascii="宋体" w:hAnsi="宋体" w:eastAsia="宋体" w:cs="宋体"/>
          <w:color w:val="auto"/>
          <w:highlight w:val="none"/>
        </w:rPr>
      </w:pPr>
      <w:r>
        <w:rPr>
          <w:rFonts w:hint="eastAsia" w:ascii="宋体" w:hAnsi="宋体" w:eastAsia="宋体" w:cs="宋体"/>
          <w:color w:val="auto"/>
          <w:highlight w:val="none"/>
        </w:rPr>
        <w:t>附营业执照、资质证书等相关资格审查资料。</w:t>
      </w:r>
    </w:p>
    <w:p w14:paraId="313F5E89">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02FDF1C8">
      <w:pPr>
        <w:rPr>
          <w:rFonts w:hint="eastAsia" w:ascii="宋体" w:hAnsi="宋体" w:eastAsia="宋体" w:cs="宋体"/>
          <w:color w:val="auto"/>
          <w:highlight w:val="none"/>
        </w:rPr>
      </w:pPr>
    </w:p>
    <w:p w14:paraId="7A31CAD1">
      <w:pPr>
        <w:pStyle w:val="20"/>
        <w:rPr>
          <w:rFonts w:hint="eastAsia" w:ascii="宋体" w:hAnsi="宋体" w:cs="宋体"/>
          <w:color w:val="auto"/>
          <w:highlight w:val="none"/>
        </w:rPr>
      </w:pPr>
    </w:p>
    <w:p w14:paraId="0E6BF490">
      <w:pPr>
        <w:rPr>
          <w:rFonts w:hint="eastAsia" w:ascii="宋体" w:hAnsi="宋体" w:eastAsia="宋体" w:cs="宋体"/>
          <w:color w:val="auto"/>
          <w:highlight w:val="none"/>
        </w:rPr>
      </w:pPr>
    </w:p>
    <w:p w14:paraId="31E8204B">
      <w:pPr>
        <w:pStyle w:val="20"/>
        <w:rPr>
          <w:rFonts w:hint="eastAsia" w:ascii="宋体" w:hAnsi="宋体" w:cs="宋体"/>
          <w:color w:val="auto"/>
          <w:highlight w:val="none"/>
        </w:rPr>
      </w:pPr>
    </w:p>
    <w:p w14:paraId="662F2AB1">
      <w:pPr>
        <w:rPr>
          <w:rFonts w:hint="eastAsia" w:ascii="宋体" w:hAnsi="宋体" w:eastAsia="宋体" w:cs="宋体"/>
          <w:color w:val="auto"/>
          <w:highlight w:val="none"/>
        </w:rPr>
      </w:pPr>
    </w:p>
    <w:p w14:paraId="58F8D56E">
      <w:pPr>
        <w:pStyle w:val="20"/>
        <w:rPr>
          <w:rFonts w:hint="eastAsia" w:ascii="宋体" w:hAnsi="宋体" w:cs="宋体"/>
          <w:color w:val="auto"/>
          <w:highlight w:val="none"/>
        </w:rPr>
      </w:pPr>
    </w:p>
    <w:p w14:paraId="7625C9A9">
      <w:pPr>
        <w:rPr>
          <w:rFonts w:hint="eastAsia" w:ascii="宋体" w:hAnsi="宋体" w:eastAsia="宋体" w:cs="宋体"/>
          <w:color w:val="auto"/>
          <w:highlight w:val="none"/>
        </w:rPr>
      </w:pPr>
    </w:p>
    <w:p w14:paraId="185C1D31">
      <w:pPr>
        <w:widowControl w:val="0"/>
        <w:outlineLvl w:val="0"/>
        <w:rPr>
          <w:rFonts w:hint="eastAsia" w:ascii="宋体" w:hAnsi="宋体" w:eastAsia="宋体" w:cs="宋体"/>
          <w:strike/>
          <w:color w:val="auto"/>
          <w:sz w:val="28"/>
          <w:szCs w:val="28"/>
          <w:highlight w:val="none"/>
        </w:rPr>
      </w:pPr>
      <w:r>
        <w:rPr>
          <w:rFonts w:hint="eastAsia" w:ascii="宋体" w:hAnsi="宋体" w:eastAsia="宋体" w:cs="宋体"/>
          <w:strike/>
          <w:color w:val="auto"/>
          <w:sz w:val="28"/>
          <w:szCs w:val="28"/>
          <w:highlight w:val="none"/>
        </w:rPr>
        <w:t>格式八：中小企业声明函</w:t>
      </w:r>
    </w:p>
    <w:p w14:paraId="772A3B0D">
      <w:pPr>
        <w:widowControl w:val="0"/>
        <w:jc w:val="center"/>
        <w:rPr>
          <w:rFonts w:hint="eastAsia" w:ascii="宋体" w:hAnsi="宋体" w:eastAsia="宋体" w:cs="宋体"/>
          <w:b/>
          <w:strike/>
          <w:color w:val="auto"/>
          <w:kern w:val="2"/>
          <w:sz w:val="32"/>
          <w:szCs w:val="24"/>
          <w:highlight w:val="none"/>
        </w:rPr>
      </w:pPr>
    </w:p>
    <w:p w14:paraId="5EFCE0D3">
      <w:pPr>
        <w:widowControl w:val="0"/>
        <w:jc w:val="center"/>
        <w:outlineLvl w:val="0"/>
        <w:rPr>
          <w:rFonts w:hint="eastAsia" w:ascii="宋体" w:hAnsi="宋体" w:eastAsia="宋体" w:cs="宋体"/>
          <w:b/>
          <w:strike/>
          <w:color w:val="auto"/>
          <w:kern w:val="2"/>
          <w:sz w:val="32"/>
          <w:szCs w:val="24"/>
          <w:highlight w:val="none"/>
        </w:rPr>
      </w:pPr>
      <w:r>
        <w:rPr>
          <w:rFonts w:hint="eastAsia" w:ascii="宋体" w:hAnsi="宋体" w:eastAsia="宋体" w:cs="宋体"/>
          <w:b/>
          <w:strike/>
          <w:color w:val="auto"/>
          <w:kern w:val="2"/>
          <w:sz w:val="32"/>
          <w:szCs w:val="24"/>
          <w:highlight w:val="none"/>
        </w:rPr>
        <w:t>中小企业声明函（货物）</w:t>
      </w:r>
    </w:p>
    <w:p w14:paraId="2D2FAE55">
      <w:pPr>
        <w:pStyle w:val="20"/>
        <w:rPr>
          <w:rFonts w:hint="eastAsia" w:ascii="宋体" w:hAnsi="宋体" w:cs="宋体"/>
          <w:strike/>
          <w:color w:val="auto"/>
          <w:highlight w:val="none"/>
        </w:rPr>
      </w:pPr>
    </w:p>
    <w:p w14:paraId="74CC440C">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本公司（联合体）郑重声明，根据《政府采购促进中小企业发展管理办法》 （财库﹝2020﹞46号）的规定，本公司（联合体）参加</w:t>
      </w:r>
      <w:r>
        <w:rPr>
          <w:rFonts w:hint="eastAsia" w:ascii="宋体" w:hAnsi="宋体" w:eastAsia="宋体" w:cs="宋体"/>
          <w:strike/>
          <w:color w:val="auto"/>
          <w:kern w:val="2"/>
          <w:sz w:val="28"/>
          <w:szCs w:val="28"/>
          <w:highlight w:val="none"/>
          <w:u w:val="single"/>
        </w:rPr>
        <w:t xml:space="preserve"> （单位名称） </w:t>
      </w:r>
      <w:r>
        <w:rPr>
          <w:rFonts w:hint="eastAsia" w:ascii="宋体" w:hAnsi="宋体" w:eastAsia="宋体" w:cs="宋体"/>
          <w:strike/>
          <w:color w:val="auto"/>
          <w:kern w:val="2"/>
          <w:sz w:val="28"/>
          <w:szCs w:val="28"/>
          <w:highlight w:val="none"/>
        </w:rPr>
        <w:t>的（</w:t>
      </w:r>
      <w:r>
        <w:rPr>
          <w:rFonts w:hint="eastAsia" w:ascii="宋体" w:hAnsi="宋体" w:eastAsia="宋体" w:cs="宋体"/>
          <w:strike/>
          <w:color w:val="auto"/>
          <w:kern w:val="2"/>
          <w:sz w:val="28"/>
          <w:szCs w:val="28"/>
          <w:highlight w:val="none"/>
          <w:u w:val="single"/>
        </w:rPr>
        <w:t>项目名称</w:t>
      </w:r>
      <w:r>
        <w:rPr>
          <w:rFonts w:hint="eastAsia" w:ascii="宋体" w:hAnsi="宋体" w:eastAsia="宋体" w:cs="宋体"/>
          <w:strike/>
          <w:color w:val="auto"/>
          <w:kern w:val="2"/>
          <w:sz w:val="28"/>
          <w:szCs w:val="28"/>
          <w:highlight w:val="none"/>
        </w:rPr>
        <w:t>）采购活动，提供的货物全部由符合政策要求的中小企业制造。相关企业（含联合体中的中小企业、签订分包意向协议的中小企业）的具体情况如下：</w:t>
      </w:r>
    </w:p>
    <w:p w14:paraId="284A7E3C">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1.</w:t>
      </w:r>
      <w:r>
        <w:rPr>
          <w:rFonts w:hint="eastAsia" w:ascii="宋体" w:hAnsi="宋体" w:eastAsia="宋体" w:cs="宋体"/>
          <w:strike/>
          <w:color w:val="auto"/>
          <w:kern w:val="2"/>
          <w:sz w:val="28"/>
          <w:szCs w:val="28"/>
          <w:highlight w:val="none"/>
          <w:u w:val="single"/>
        </w:rPr>
        <w:t>（标的名称）</w:t>
      </w:r>
      <w:r>
        <w:rPr>
          <w:rFonts w:hint="eastAsia" w:ascii="宋体" w:hAnsi="宋体" w:eastAsia="宋体" w:cs="宋体"/>
          <w:strike/>
          <w:color w:val="auto"/>
          <w:kern w:val="2"/>
          <w:sz w:val="28"/>
          <w:szCs w:val="28"/>
          <w:highlight w:val="none"/>
        </w:rPr>
        <w:t>，属于</w:t>
      </w:r>
      <w:r>
        <w:rPr>
          <w:rFonts w:hint="eastAsia" w:ascii="宋体" w:hAnsi="宋体" w:eastAsia="宋体" w:cs="宋体"/>
          <w:strike/>
          <w:color w:val="auto"/>
          <w:sz w:val="28"/>
          <w:szCs w:val="28"/>
          <w:highlight w:val="none"/>
          <w:u w:val="single"/>
        </w:rPr>
        <w:t>（采购文件中明确的所属行业）</w:t>
      </w:r>
      <w:r>
        <w:rPr>
          <w:rFonts w:hint="eastAsia" w:ascii="宋体" w:hAnsi="宋体" w:eastAsia="宋体" w:cs="宋体"/>
          <w:strike/>
          <w:color w:val="auto"/>
          <w:sz w:val="28"/>
          <w:szCs w:val="28"/>
          <w:highlight w:val="none"/>
        </w:rPr>
        <w:t>行业；制造商为</w:t>
      </w:r>
      <w:r>
        <w:rPr>
          <w:rFonts w:hint="eastAsia" w:ascii="宋体" w:hAnsi="宋体" w:eastAsia="宋体" w:cs="宋体"/>
          <w:strike/>
          <w:color w:val="auto"/>
          <w:sz w:val="28"/>
          <w:szCs w:val="28"/>
          <w:highlight w:val="none"/>
          <w:u w:val="single"/>
        </w:rPr>
        <w:t>（企业名称）</w:t>
      </w:r>
      <w:r>
        <w:rPr>
          <w:rFonts w:hint="eastAsia" w:ascii="宋体" w:hAnsi="宋体" w:eastAsia="宋体" w:cs="宋体"/>
          <w:strike/>
          <w:color w:val="auto"/>
          <w:sz w:val="28"/>
          <w:szCs w:val="28"/>
          <w:highlight w:val="none"/>
        </w:rPr>
        <w:t>，从业人员</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人，营业收入为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万元，资产总额为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万元，属于</w:t>
      </w:r>
      <w:r>
        <w:rPr>
          <w:rFonts w:hint="eastAsia" w:ascii="宋体" w:hAnsi="宋体" w:eastAsia="宋体" w:cs="宋体"/>
          <w:strike/>
          <w:color w:val="auto"/>
          <w:sz w:val="28"/>
          <w:szCs w:val="28"/>
          <w:highlight w:val="none"/>
          <w:u w:val="single"/>
        </w:rPr>
        <w:t>（中型企业、小型企业、微型企业）</w:t>
      </w:r>
      <w:r>
        <w:rPr>
          <w:rFonts w:hint="eastAsia" w:ascii="宋体" w:hAnsi="宋体" w:eastAsia="宋体" w:cs="宋体"/>
          <w:strike/>
          <w:color w:val="auto"/>
          <w:sz w:val="28"/>
          <w:szCs w:val="28"/>
          <w:highlight w:val="none"/>
        </w:rPr>
        <w:t xml:space="preserve"> ；</w:t>
      </w:r>
    </w:p>
    <w:p w14:paraId="7D5B4AD9">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2.</w:t>
      </w:r>
      <w:r>
        <w:rPr>
          <w:rFonts w:hint="eastAsia" w:ascii="宋体" w:hAnsi="宋体" w:eastAsia="宋体" w:cs="宋体"/>
          <w:strike/>
          <w:color w:val="auto"/>
          <w:kern w:val="2"/>
          <w:sz w:val="28"/>
          <w:szCs w:val="28"/>
          <w:highlight w:val="none"/>
          <w:u w:val="single"/>
        </w:rPr>
        <w:t>（标的名称）</w:t>
      </w:r>
      <w:r>
        <w:rPr>
          <w:rFonts w:hint="eastAsia" w:ascii="宋体" w:hAnsi="宋体" w:eastAsia="宋体" w:cs="宋体"/>
          <w:strike/>
          <w:color w:val="auto"/>
          <w:kern w:val="2"/>
          <w:sz w:val="28"/>
          <w:szCs w:val="28"/>
          <w:highlight w:val="none"/>
        </w:rPr>
        <w:t>，属于</w:t>
      </w:r>
      <w:r>
        <w:rPr>
          <w:rFonts w:hint="eastAsia" w:ascii="宋体" w:hAnsi="宋体" w:eastAsia="宋体" w:cs="宋体"/>
          <w:strike/>
          <w:color w:val="auto"/>
          <w:sz w:val="28"/>
          <w:szCs w:val="28"/>
          <w:highlight w:val="none"/>
          <w:u w:val="single"/>
        </w:rPr>
        <w:t>（采购文件中明确的所属行业）</w:t>
      </w:r>
      <w:r>
        <w:rPr>
          <w:rFonts w:hint="eastAsia" w:ascii="宋体" w:hAnsi="宋体" w:eastAsia="宋体" w:cs="宋体"/>
          <w:strike/>
          <w:color w:val="auto"/>
          <w:sz w:val="28"/>
          <w:szCs w:val="28"/>
          <w:highlight w:val="none"/>
        </w:rPr>
        <w:t>行业；制造商为</w:t>
      </w:r>
      <w:r>
        <w:rPr>
          <w:rFonts w:hint="eastAsia" w:ascii="宋体" w:hAnsi="宋体" w:eastAsia="宋体" w:cs="宋体"/>
          <w:strike/>
          <w:color w:val="auto"/>
          <w:sz w:val="28"/>
          <w:szCs w:val="28"/>
          <w:highlight w:val="none"/>
          <w:u w:val="single"/>
        </w:rPr>
        <w:t>（企业名称）</w:t>
      </w:r>
      <w:r>
        <w:rPr>
          <w:rFonts w:hint="eastAsia" w:ascii="宋体" w:hAnsi="宋体" w:eastAsia="宋体" w:cs="宋体"/>
          <w:strike/>
          <w:color w:val="auto"/>
          <w:sz w:val="28"/>
          <w:szCs w:val="28"/>
          <w:highlight w:val="none"/>
        </w:rPr>
        <w:t>，从业人员</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人，营业收入为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万元，资产总额为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万元，属于</w:t>
      </w:r>
      <w:r>
        <w:rPr>
          <w:rFonts w:hint="eastAsia" w:ascii="宋体" w:hAnsi="宋体" w:eastAsia="宋体" w:cs="宋体"/>
          <w:strike/>
          <w:color w:val="auto"/>
          <w:sz w:val="28"/>
          <w:szCs w:val="28"/>
          <w:highlight w:val="none"/>
          <w:u w:val="single"/>
        </w:rPr>
        <w:t>（中型企业、小型企业、微型企业）</w:t>
      </w:r>
      <w:r>
        <w:rPr>
          <w:rFonts w:hint="eastAsia" w:ascii="宋体" w:hAnsi="宋体" w:eastAsia="宋体" w:cs="宋体"/>
          <w:strike/>
          <w:color w:val="auto"/>
          <w:sz w:val="28"/>
          <w:szCs w:val="28"/>
          <w:highlight w:val="none"/>
        </w:rPr>
        <w:t xml:space="preserve"> ；</w:t>
      </w:r>
    </w:p>
    <w:p w14:paraId="4A36368F">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w:t>
      </w:r>
    </w:p>
    <w:p w14:paraId="6EB155E7">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以上企业，不属于大企业的分支机构，不存在控股股东为大企业的情形，也不存在与大企业的负责人为同一人的情形。</w:t>
      </w:r>
    </w:p>
    <w:p w14:paraId="2C57793B">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本企业对上述声明内容的真实性负责。如有虚假，将依法承担相应责任。</w:t>
      </w:r>
    </w:p>
    <w:p w14:paraId="244170D3">
      <w:pPr>
        <w:widowControl w:val="0"/>
        <w:spacing w:line="360" w:lineRule="auto"/>
        <w:ind w:right="420" w:firstLine="6860" w:firstLineChars="2450"/>
        <w:rPr>
          <w:rFonts w:hint="eastAsia" w:ascii="宋体" w:hAnsi="宋体" w:eastAsia="宋体" w:cs="宋体"/>
          <w:strike/>
          <w:color w:val="auto"/>
          <w:sz w:val="28"/>
          <w:szCs w:val="28"/>
          <w:highlight w:val="none"/>
        </w:rPr>
      </w:pPr>
    </w:p>
    <w:p w14:paraId="51ADCB20">
      <w:pPr>
        <w:widowControl w:val="0"/>
        <w:spacing w:line="360" w:lineRule="auto"/>
        <w:ind w:right="420"/>
        <w:jc w:val="right"/>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企业名称（盖章）：</w:t>
      </w:r>
    </w:p>
    <w:p w14:paraId="2A3A04AF">
      <w:pPr>
        <w:widowControl w:val="0"/>
        <w:spacing w:line="360" w:lineRule="auto"/>
        <w:ind w:right="420"/>
        <w:jc w:val="right"/>
        <w:rPr>
          <w:rFonts w:hint="eastAsia" w:ascii="宋体" w:hAnsi="宋体" w:eastAsia="宋体" w:cs="宋体"/>
          <w:strike/>
          <w:color w:val="auto"/>
          <w:kern w:val="2"/>
          <w:sz w:val="28"/>
          <w:szCs w:val="28"/>
          <w:highlight w:val="none"/>
        </w:rPr>
      </w:pPr>
      <w:r>
        <w:rPr>
          <w:rFonts w:hint="eastAsia" w:ascii="宋体" w:hAnsi="宋体" w:eastAsia="宋体" w:cs="宋体"/>
          <w:strike/>
          <w:color w:val="auto"/>
          <w:kern w:val="2"/>
          <w:sz w:val="28"/>
          <w:szCs w:val="28"/>
          <w:highlight w:val="none"/>
        </w:rPr>
        <w:t>日期：   年   月   日</w:t>
      </w:r>
    </w:p>
    <w:p w14:paraId="4E8CCCF7">
      <w:pPr>
        <w:pStyle w:val="20"/>
        <w:rPr>
          <w:rFonts w:hint="eastAsia" w:ascii="宋体" w:hAnsi="宋体" w:cs="宋体"/>
          <w:strike/>
          <w:color w:val="auto"/>
          <w:sz w:val="20"/>
          <w:szCs w:val="20"/>
          <w:highlight w:val="none"/>
          <w:u w:val="single"/>
        </w:rPr>
      </w:pPr>
    </w:p>
    <w:p w14:paraId="7DD1C47F">
      <w:pPr>
        <w:pStyle w:val="20"/>
        <w:rPr>
          <w:rFonts w:hint="eastAsia" w:ascii="宋体" w:hAnsi="宋体" w:cs="宋体"/>
          <w:strike/>
          <w:color w:val="auto"/>
          <w:sz w:val="20"/>
          <w:szCs w:val="20"/>
          <w:highlight w:val="none"/>
        </w:rPr>
      </w:pPr>
      <w:r>
        <w:rPr>
          <w:rFonts w:hint="eastAsia" w:ascii="宋体" w:hAnsi="宋体" w:cs="宋体"/>
          <w:strike/>
          <w:color w:val="auto"/>
          <w:sz w:val="20"/>
          <w:szCs w:val="20"/>
          <w:highlight w:val="none"/>
        </w:rPr>
        <w:t>从业人员、营业收入、资产总额填报上一年度数据，无上一年度数据的新成立企业可不填报。</w:t>
      </w:r>
    </w:p>
    <w:p w14:paraId="0A7675DB">
      <w:pPr>
        <w:rPr>
          <w:rFonts w:hint="eastAsia" w:ascii="宋体" w:hAnsi="宋体" w:eastAsia="宋体" w:cs="宋体"/>
          <w:color w:val="auto"/>
          <w:sz w:val="20"/>
          <w:szCs w:val="20"/>
          <w:highlight w:val="none"/>
        </w:rPr>
      </w:pPr>
    </w:p>
    <w:p w14:paraId="1BB45247">
      <w:pPr>
        <w:pStyle w:val="20"/>
        <w:rPr>
          <w:rFonts w:hint="eastAsia" w:ascii="宋体" w:hAnsi="宋体" w:cs="宋体"/>
          <w:color w:val="auto"/>
          <w:sz w:val="20"/>
          <w:szCs w:val="20"/>
          <w:highlight w:val="none"/>
        </w:rPr>
      </w:pPr>
    </w:p>
    <w:p w14:paraId="62595CD2">
      <w:pPr>
        <w:rPr>
          <w:rFonts w:hint="eastAsia" w:ascii="宋体" w:hAnsi="宋体" w:eastAsia="宋体" w:cs="宋体"/>
          <w:color w:val="auto"/>
          <w:sz w:val="20"/>
          <w:szCs w:val="20"/>
          <w:highlight w:val="none"/>
        </w:rPr>
      </w:pPr>
    </w:p>
    <w:p w14:paraId="6993F9AC">
      <w:pPr>
        <w:pStyle w:val="20"/>
        <w:rPr>
          <w:rFonts w:hint="eastAsia" w:ascii="宋体" w:hAnsi="宋体" w:cs="宋体"/>
          <w:color w:val="auto"/>
          <w:sz w:val="20"/>
          <w:szCs w:val="20"/>
          <w:highlight w:val="none"/>
        </w:rPr>
      </w:pPr>
    </w:p>
    <w:p w14:paraId="0CC51B03">
      <w:pPr>
        <w:autoSpaceDE/>
        <w:autoSpaceDN/>
        <w:adjustRightInd/>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格式九：投标承诺书</w:t>
      </w:r>
    </w:p>
    <w:p w14:paraId="4FCF6557">
      <w:pPr>
        <w:autoSpaceDE/>
        <w:autoSpaceDN/>
        <w:adjustRightInd/>
        <w:jc w:val="center"/>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投标承诺书</w:t>
      </w:r>
    </w:p>
    <w:p w14:paraId="2EFFDBD5">
      <w:pPr>
        <w:pStyle w:val="14"/>
        <w:spacing w:line="44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u w:val="single"/>
        </w:rPr>
        <w:t xml:space="preserve">（招标人名称）                    </w:t>
      </w:r>
      <w:r>
        <w:rPr>
          <w:rFonts w:hint="eastAsia" w:hAnsi="宋体" w:eastAsia="宋体" w:cs="宋体"/>
          <w:color w:val="auto"/>
          <w:sz w:val="24"/>
          <w:szCs w:val="24"/>
          <w:highlight w:val="none"/>
        </w:rPr>
        <w:t>：</w:t>
      </w:r>
    </w:p>
    <w:p w14:paraId="60A8B3DD">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本公司已详细阅读</w:t>
      </w:r>
      <w:r>
        <w:rPr>
          <w:rFonts w:hint="eastAsia" w:hAnsi="宋体" w:eastAsia="宋体" w:cs="宋体"/>
          <w:color w:val="auto"/>
          <w:sz w:val="24"/>
          <w:szCs w:val="24"/>
          <w:highlight w:val="none"/>
          <w:u w:val="single"/>
        </w:rPr>
        <w:t xml:space="preserve">     （名称及招标编号）   </w:t>
      </w:r>
      <w:r>
        <w:rPr>
          <w:rFonts w:hint="eastAsia" w:hAnsi="宋体" w:eastAsia="宋体" w:cs="宋体"/>
          <w:color w:val="auto"/>
          <w:sz w:val="24"/>
          <w:szCs w:val="24"/>
          <w:highlight w:val="none"/>
        </w:rPr>
        <w:t>招标文件，自觉遵守中华人民共和国、浙江省及当地有关招标投标的法律法规规定，自觉维护建筑市场正常秩序，现自愿就参加本项目投标有关事项郑重承诺如下：</w:t>
      </w:r>
    </w:p>
    <w:p w14:paraId="1EF4BEE0">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1.承诺投标文件无虚假、伪造的内容。若投标文件中存在虚假、伪造的内容，同意作无效投标处理。</w:t>
      </w:r>
    </w:p>
    <w:p w14:paraId="06D0324A">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2.承诺我单位法定代表人、授权代表等主要责任人诚信投标。</w:t>
      </w:r>
    </w:p>
    <w:p w14:paraId="318FE57B">
      <w:pPr>
        <w:pStyle w:val="14"/>
        <w:spacing w:line="440" w:lineRule="exact"/>
        <w:ind w:firstLine="480" w:firstLineChars="200"/>
        <w:rPr>
          <w:rFonts w:hint="eastAsia" w:hAnsi="宋体" w:eastAsia="宋体" w:cs="宋体"/>
          <w:color w:val="auto"/>
          <w:spacing w:val="-5"/>
          <w:sz w:val="24"/>
          <w:szCs w:val="24"/>
          <w:highlight w:val="none"/>
        </w:rPr>
      </w:pPr>
      <w:r>
        <w:rPr>
          <w:rFonts w:hint="eastAsia" w:hAnsi="宋体" w:eastAsia="宋体" w:cs="宋体"/>
          <w:color w:val="auto"/>
          <w:sz w:val="24"/>
          <w:szCs w:val="24"/>
          <w:highlight w:val="none"/>
        </w:rPr>
        <w:t>3.承诺按照投标文件派驻管理人员及投入机械设备，</w:t>
      </w:r>
      <w:r>
        <w:rPr>
          <w:rFonts w:hint="eastAsia" w:hAnsi="宋体" w:eastAsia="宋体" w:cs="宋体"/>
          <w:color w:val="auto"/>
          <w:spacing w:val="-5"/>
          <w:sz w:val="24"/>
          <w:szCs w:val="24"/>
          <w:highlight w:val="none"/>
        </w:rPr>
        <w:t>若存在不到位的情况，同意接受合同约定的处罚。</w:t>
      </w:r>
    </w:p>
    <w:p w14:paraId="504C3556">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4.承诺本招标文件要求的人员和我单位至投标截止时间三年内没有行贿犯罪记录。</w:t>
      </w:r>
    </w:p>
    <w:p w14:paraId="575E3DEC">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5.承诺未被有关行政主管部门列入建筑市场严重失信名单（以全国建筑市场监管公共服务平台黑名单记录、失信联合惩戒记录和浙江省建筑市场监管公共服务系统严重失信名单）或限制参加投标。</w:t>
      </w:r>
    </w:p>
    <w:p w14:paraId="6A6F76BA">
      <w:pPr>
        <w:pStyle w:val="24"/>
        <w:spacing w:line="440" w:lineRule="exact"/>
        <w:ind w:right="150" w:firstLine="480" w:firstLineChars="200"/>
        <w:rPr>
          <w:rFonts w:cs="宋体"/>
          <w:color w:val="auto"/>
          <w:highlight w:val="none"/>
        </w:rPr>
      </w:pPr>
      <w:r>
        <w:rPr>
          <w:rFonts w:cs="宋体"/>
          <w:color w:val="auto"/>
          <w:highlight w:val="none"/>
        </w:rPr>
        <w:t>6.</w:t>
      </w:r>
      <w:r>
        <w:rPr>
          <w:rFonts w:cs="宋体"/>
          <w:color w:val="auto"/>
          <w:highlight w:val="none"/>
          <w:shd w:val="clear" w:color="auto" w:fill="FFFFFF"/>
        </w:rPr>
        <w:t>我单位直接负责本项目投标的主管人</w:t>
      </w:r>
      <w:r>
        <w:rPr>
          <w:rFonts w:cs="宋体"/>
          <w:color w:val="auto"/>
          <w:highlight w:val="none"/>
        </w:rPr>
        <w:t>员为</w:t>
      </w:r>
      <w:r>
        <w:rPr>
          <w:rFonts w:cs="宋体"/>
          <w:color w:val="auto"/>
          <w:highlight w:val="none"/>
          <w:u w:val="single"/>
        </w:rPr>
        <w:t>法定代表人</w:t>
      </w:r>
      <w:r>
        <w:rPr>
          <w:rFonts w:cs="宋体"/>
          <w:color w:val="auto"/>
          <w:highlight w:val="none"/>
          <w:u w:val="single"/>
          <w:shd w:val="clear" w:color="auto" w:fill="FFFFFF"/>
        </w:rPr>
        <w:t xml:space="preserve">             </w:t>
      </w:r>
      <w:r>
        <w:rPr>
          <w:rFonts w:cs="宋体"/>
          <w:color w:val="auto"/>
          <w:highlight w:val="none"/>
          <w:shd w:val="clear" w:color="auto" w:fill="FFFFFF"/>
        </w:rPr>
        <w:t>（身份证号码：</w:t>
      </w:r>
      <w:r>
        <w:rPr>
          <w:rFonts w:cs="宋体"/>
          <w:color w:val="auto"/>
          <w:highlight w:val="none"/>
          <w:u w:val="single"/>
          <w:shd w:val="clear" w:color="auto" w:fill="FFFFFF"/>
        </w:rPr>
        <w:t xml:space="preserve">           </w:t>
      </w:r>
      <w:r>
        <w:rPr>
          <w:rFonts w:cs="宋体"/>
          <w:color w:val="auto"/>
          <w:highlight w:val="none"/>
          <w:shd w:val="clear" w:color="auto" w:fill="FFFFFF"/>
        </w:rPr>
        <w:t xml:space="preserve">  ，联系手机号码：</w:t>
      </w:r>
      <w:r>
        <w:rPr>
          <w:rFonts w:cs="宋体"/>
          <w:color w:val="auto"/>
          <w:highlight w:val="none"/>
          <w:u w:val="single"/>
          <w:shd w:val="clear" w:color="auto" w:fill="FFFFFF"/>
        </w:rPr>
        <w:t xml:space="preserve"> </w:t>
      </w:r>
      <w:r>
        <w:rPr>
          <w:rFonts w:cs="宋体"/>
          <w:i/>
          <w:iCs/>
          <w:color w:val="auto"/>
          <w:highlight w:val="none"/>
          <w:u w:val="single"/>
          <w:shd w:val="clear" w:color="auto" w:fill="FFFFFF"/>
        </w:rPr>
        <w:t xml:space="preserve">（必须为本人实名办理的手机号码） </w:t>
      </w:r>
      <w:r>
        <w:rPr>
          <w:rFonts w:cs="宋体"/>
          <w:color w:val="auto"/>
          <w:highlight w:val="none"/>
          <w:u w:val="single"/>
          <w:shd w:val="clear" w:color="auto" w:fill="FFFFFF"/>
        </w:rPr>
        <w:t xml:space="preserve">   </w:t>
      </w:r>
      <w:r>
        <w:rPr>
          <w:rFonts w:cs="宋体"/>
          <w:color w:val="auto"/>
          <w:highlight w:val="none"/>
          <w:shd w:val="clear" w:color="auto" w:fill="FFFFFF"/>
        </w:rPr>
        <w:t xml:space="preserve"> ）；我单位与本项目投标相关的直接责任人员为</w:t>
      </w:r>
      <w:r>
        <w:rPr>
          <w:rFonts w:cs="宋体"/>
          <w:color w:val="auto"/>
          <w:highlight w:val="none"/>
          <w:u w:val="single"/>
          <w:shd w:val="clear" w:color="auto" w:fill="FFFFFF"/>
        </w:rPr>
        <w:t xml:space="preserve">本次投标委托授权代表           </w:t>
      </w:r>
      <w:r>
        <w:rPr>
          <w:rFonts w:cs="宋体"/>
          <w:color w:val="auto"/>
          <w:highlight w:val="none"/>
          <w:shd w:val="clear" w:color="auto" w:fill="FFFFFF"/>
        </w:rPr>
        <w:t>（身份证号码：</w:t>
      </w:r>
      <w:r>
        <w:rPr>
          <w:rFonts w:cs="宋体"/>
          <w:color w:val="auto"/>
          <w:highlight w:val="none"/>
          <w:u w:val="single"/>
          <w:shd w:val="clear" w:color="auto" w:fill="FFFFFF"/>
        </w:rPr>
        <w:t xml:space="preserve">              </w:t>
      </w:r>
      <w:r>
        <w:rPr>
          <w:rFonts w:cs="宋体"/>
          <w:color w:val="auto"/>
          <w:highlight w:val="none"/>
          <w:shd w:val="clear" w:color="auto" w:fill="FFFFFF"/>
        </w:rPr>
        <w:t xml:space="preserve">联系手机号码： </w:t>
      </w:r>
      <w:r>
        <w:rPr>
          <w:rFonts w:cs="宋体"/>
          <w:i/>
          <w:iCs/>
          <w:color w:val="auto"/>
          <w:highlight w:val="none"/>
          <w:u w:val="single"/>
          <w:shd w:val="clear" w:color="auto" w:fill="FFFFFF"/>
        </w:rPr>
        <w:t>（必须为本人实名办理的手机号码）</w:t>
      </w:r>
      <w:r>
        <w:rPr>
          <w:rFonts w:cs="宋体"/>
          <w:color w:val="auto"/>
          <w:highlight w:val="none"/>
          <w:u w:val="single"/>
          <w:shd w:val="clear" w:color="auto" w:fill="FFFFFF"/>
        </w:rPr>
        <w:t xml:space="preserve">             </w:t>
      </w:r>
      <w:r>
        <w:rPr>
          <w:rFonts w:cs="宋体"/>
          <w:color w:val="auto"/>
          <w:highlight w:val="none"/>
          <w:shd w:val="clear" w:color="auto" w:fill="FFFFFF"/>
        </w:rPr>
        <w:t>）</w:t>
      </w:r>
      <w:r>
        <w:rPr>
          <w:rFonts w:cs="宋体"/>
          <w:color w:val="auto"/>
          <w:highlight w:val="none"/>
        </w:rPr>
        <w:t>，上述人员承诺承担相应的法律责任。</w:t>
      </w:r>
    </w:p>
    <w:p w14:paraId="7F6620AF">
      <w:pPr>
        <w:pStyle w:val="14"/>
        <w:spacing w:line="440" w:lineRule="exact"/>
        <w:ind w:firstLine="480" w:firstLineChars="200"/>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7.其他：</w:t>
      </w:r>
      <w:r>
        <w:rPr>
          <w:rFonts w:hint="eastAsia" w:hAnsi="宋体" w:eastAsia="宋体" w:cs="宋体"/>
          <w:color w:val="auto"/>
          <w:sz w:val="24"/>
          <w:szCs w:val="24"/>
          <w:highlight w:val="none"/>
          <w:u w:val="single"/>
        </w:rPr>
        <w:t xml:space="preserve">    </w:t>
      </w:r>
      <w:r>
        <w:rPr>
          <w:rFonts w:hint="eastAsia" w:hAnsi="宋体" w:eastAsia="宋体" w:cs="宋体"/>
          <w:i/>
          <w:iCs/>
          <w:color w:val="auto"/>
          <w:sz w:val="24"/>
          <w:szCs w:val="24"/>
          <w:highlight w:val="none"/>
          <w:u w:val="single"/>
        </w:rPr>
        <w:t>（招标人可根据实际情况增加相应的条款）</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w:t>
      </w:r>
    </w:p>
    <w:p w14:paraId="622E3697">
      <w:pPr>
        <w:pStyle w:val="14"/>
        <w:spacing w:line="440" w:lineRule="exact"/>
        <w:ind w:firstLine="480" w:firstLineChars="200"/>
        <w:rPr>
          <w:rFonts w:hint="eastAsia" w:hAnsi="宋体" w:eastAsia="宋体" w:cs="宋体"/>
          <w:color w:val="auto"/>
          <w:spacing w:val="-5"/>
          <w:sz w:val="24"/>
          <w:szCs w:val="24"/>
          <w:highlight w:val="none"/>
        </w:rPr>
      </w:pPr>
      <w:r>
        <w:rPr>
          <w:rFonts w:hint="eastAsia" w:hAnsi="宋体" w:eastAsia="宋体" w:cs="宋体"/>
          <w:color w:val="auto"/>
          <w:sz w:val="24"/>
          <w:szCs w:val="24"/>
          <w:highlight w:val="none"/>
        </w:rPr>
        <w:t>8.以上承诺如有虚假，</w:t>
      </w:r>
      <w:r>
        <w:rPr>
          <w:rFonts w:hint="eastAsia" w:hAnsi="宋体" w:eastAsia="宋体" w:cs="宋体"/>
          <w:color w:val="auto"/>
          <w:spacing w:val="-5"/>
          <w:sz w:val="24"/>
          <w:szCs w:val="24"/>
          <w:highlight w:val="none"/>
        </w:rPr>
        <w:t>愿意接受投标保证金不予退还的处理。给招标人造成损失的，愿意依法承担赔偿责任。如已中标，同意招标人取消我单位中标资格的处理。</w:t>
      </w:r>
    </w:p>
    <w:p w14:paraId="3C66718A">
      <w:pPr>
        <w:pStyle w:val="14"/>
        <w:spacing w:line="440" w:lineRule="exact"/>
        <w:ind w:firstLine="460" w:firstLineChars="200"/>
        <w:rPr>
          <w:rFonts w:hint="eastAsia" w:hAnsi="宋体" w:eastAsia="宋体" w:cs="宋体"/>
          <w:color w:val="auto"/>
          <w:spacing w:val="-5"/>
          <w:sz w:val="24"/>
          <w:szCs w:val="24"/>
          <w:highlight w:val="none"/>
        </w:rPr>
      </w:pPr>
    </w:p>
    <w:p w14:paraId="7A3C3F33">
      <w:pPr>
        <w:pStyle w:val="14"/>
        <w:spacing w:line="440" w:lineRule="exact"/>
        <w:ind w:firstLine="3120" w:firstLineChars="1300"/>
        <w:rPr>
          <w:rFonts w:hint="eastAsia" w:hAnsi="宋体" w:eastAsia="宋体" w:cs="宋体"/>
          <w:color w:val="auto"/>
          <w:sz w:val="24"/>
          <w:szCs w:val="24"/>
          <w:highlight w:val="none"/>
        </w:rPr>
      </w:pPr>
    </w:p>
    <w:p w14:paraId="128BD42D">
      <w:pPr>
        <w:pStyle w:val="14"/>
        <w:spacing w:line="440" w:lineRule="exact"/>
        <w:ind w:firstLine="3120" w:firstLineChars="1300"/>
        <w:rPr>
          <w:rFonts w:hint="eastAsia" w:hAnsi="宋体" w:eastAsia="宋体" w:cs="宋体"/>
          <w:color w:val="auto"/>
          <w:sz w:val="24"/>
          <w:szCs w:val="24"/>
          <w:highlight w:val="none"/>
        </w:rPr>
      </w:pPr>
      <w:r>
        <w:rPr>
          <w:rFonts w:hint="eastAsia" w:hAnsi="宋体" w:eastAsia="宋体" w:cs="宋体"/>
          <w:color w:val="auto"/>
          <w:sz w:val="24"/>
          <w:szCs w:val="24"/>
          <w:highlight w:val="none"/>
        </w:rPr>
        <w:t>法定代表人（签字或盖章）：</w:t>
      </w:r>
    </w:p>
    <w:p w14:paraId="5E668BB5">
      <w:pPr>
        <w:pStyle w:val="14"/>
        <w:spacing w:line="440" w:lineRule="exact"/>
        <w:ind w:firstLine="3120" w:firstLineChars="1300"/>
        <w:rPr>
          <w:rFonts w:hint="eastAsia" w:hAnsi="宋体" w:eastAsia="宋体" w:cs="宋体"/>
          <w:color w:val="auto"/>
          <w:sz w:val="24"/>
          <w:szCs w:val="24"/>
          <w:highlight w:val="none"/>
        </w:rPr>
      </w:pPr>
      <w:r>
        <w:rPr>
          <w:rFonts w:hint="eastAsia" w:hAnsi="宋体" w:eastAsia="宋体" w:cs="宋体"/>
          <w:color w:val="auto"/>
          <w:sz w:val="24"/>
          <w:szCs w:val="24"/>
          <w:highlight w:val="none"/>
        </w:rPr>
        <w:t>投标人（单位盖章）：</w:t>
      </w:r>
    </w:p>
    <w:p w14:paraId="47510D49">
      <w:pPr>
        <w:autoSpaceDN/>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年    月    日</w:t>
      </w:r>
    </w:p>
    <w:p w14:paraId="4F09B674">
      <w:pPr>
        <w:autoSpaceDN/>
        <w:rPr>
          <w:rFonts w:hint="eastAsia" w:ascii="宋体" w:hAnsi="宋体" w:eastAsia="宋体" w:cs="宋体"/>
          <w:color w:val="auto"/>
          <w:sz w:val="28"/>
          <w:szCs w:val="28"/>
          <w:highlight w:val="none"/>
        </w:rPr>
      </w:pPr>
    </w:p>
    <w:p w14:paraId="13AB75C6">
      <w:pPr>
        <w:pStyle w:val="20"/>
        <w:rPr>
          <w:rFonts w:hint="eastAsia" w:ascii="宋体" w:hAnsi="宋体" w:cs="宋体"/>
          <w:color w:val="auto"/>
          <w:highlight w:val="none"/>
        </w:rPr>
      </w:pPr>
    </w:p>
    <w:sectPr>
      <w:footerReference r:id="rId22" w:type="default"/>
      <w:pgSz w:w="11907" w:h="16840"/>
      <w:pgMar w:top="1418" w:right="1559" w:bottom="1418" w:left="1474" w:header="0" w:footer="72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04755">
    <w:pPr>
      <w:pStyle w:val="18"/>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73F7D70">
                          <w:pPr>
                            <w:pStyle w:val="18"/>
                          </w:pPr>
                          <w:r>
                            <w:fldChar w:fldCharType="begin"/>
                          </w:r>
                          <w:r>
                            <w:instrText xml:space="preserve"> PAGE  \* MERGEFORMAT </w:instrText>
                          </w:r>
                          <w:r>
                            <w:fldChar w:fldCharType="separate"/>
                          </w:r>
                          <w:r>
                            <w:t>5</w:t>
                          </w:r>
                          <w:r>
                            <w:fldChar w:fldCharType="end"/>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JYnrP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Alies8kBAACSAwAADgAAAAAAAAABACAAAAAfAQAAZHJzL2Uyb0Rv&#10;Yy54bWxQSwUGAAAAAAYABgBZAQAAWgUAAAAA&#10;">
              <v:fill on="f" focussize="0,0"/>
              <v:stroke on="f"/>
              <v:imagedata o:title=""/>
              <o:lock v:ext="edit" aspectratio="f"/>
              <v:textbox inset="0mm,0mm,0mm,0mm" style="mso-fit-shape-to-text:t;">
                <w:txbxContent>
                  <w:p w14:paraId="273F7D70">
                    <w:pPr>
                      <w:pStyle w:val="18"/>
                    </w:pPr>
                    <w:r>
                      <w:fldChar w:fldCharType="begin"/>
                    </w:r>
                    <w:r>
                      <w:instrText xml:space="preserve"> PAGE  \* MERGEFORMAT </w:instrText>
                    </w:r>
                    <w:r>
                      <w:fldChar w:fldCharType="separate"/>
                    </w:r>
                    <w:r>
                      <w:t>5</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A70AE">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91810">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BBE89">
    <w:pPr>
      <w:spacing w:line="187" w:lineRule="auto"/>
      <w:ind w:left="4413"/>
      <w:rPr>
        <w:rFonts w:ascii="Calibri" w:hAnsi="Calibri" w:eastAsia="Calibri" w:cs="Calibri"/>
        <w:sz w:val="17"/>
        <w:szCs w:val="17"/>
      </w:rPr>
    </w:pPr>
    <w:r>
      <w:rPr>
        <w:sz w:val="17"/>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4379E06">
                          <w:pPr>
                            <w:pStyle w:val="18"/>
                          </w:pPr>
                          <w:r>
                            <w:fldChar w:fldCharType="begin"/>
                          </w:r>
                          <w:r>
                            <w:instrText xml:space="preserve"> PAGE  \* MERGEFORMAT </w:instrText>
                          </w:r>
                          <w:r>
                            <w:fldChar w:fldCharType="separate"/>
                          </w:r>
                          <w:r>
                            <w:t>3</w:t>
                          </w:r>
                          <w:r>
                            <w:fldChar w:fldCharType="end"/>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Eb63XJAQAAkgMAAA4AAABkcnMvZTJvRG9jLnhtbK1TS47TQBDdI3GH&#10;Vu+JnQihYMUZIUWDkBCMNHCATrsdt9Q/VXVihwPADVixYc+5cg6q23ZmNGxmwaZd1Z9X770qb24G&#10;a9hJAWrvar5clJwpJ32j3aHmX7/cvlpzhlG4RhjvVM3PCvnN9uWLTR8qtfKdN40CRiAOqz7UvIsx&#10;VEWBslNW4MIH5eiw9WBFpBQORQOiJ3RrilVZvil6D00ALxUi7e7GQz4hwnMAfdtqqXZeHq1ycUQF&#10;ZUQkSdjpgHyb2batkvFz26KKzNSclMa8UhGK92ktthtRHUCETsuJgngOhSearNCOil6hdiIKdgT9&#10;D5TVEjz6Ni6kt8UoJDtCKpblE2/uOxFU1kJWY7iajv8PVn463QHTTc1fl2+p805Y6vnl54/Lrz+X&#10;39/ZKjnUB6zo4n24gylDCpPcoQWbviSEDdnV89VVNUQmaXO5Xq3XJRku6WxOCKd4eB4A43vlLUtB&#10;zYHalt0Up48Yx6vzlVTNuLQ6f6uNGU/TTpFojsRSFIf9MLHd++ZMKmnoCbzz8I2znlpec0cTzpn5&#10;4MjRNB1zAHOwnwPhJD2s+cgLw7tjpPKZWyo2Vpg4UKuyumms0iw8zvOth19p+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8RvrdckBAACSAwAADgAAAAAAAAABACAAAAAfAQAAZHJzL2Uyb0Rv&#10;Yy54bWxQSwUGAAAAAAYABgBZAQAAWgUAAAAA&#10;">
              <v:fill on="f" focussize="0,0"/>
              <v:stroke on="f"/>
              <v:imagedata o:title=""/>
              <o:lock v:ext="edit" aspectratio="f"/>
              <v:textbox inset="0mm,0mm,0mm,0mm" style="mso-fit-shape-to-text:t;">
                <w:txbxContent>
                  <w:p w14:paraId="24379E06">
                    <w:pPr>
                      <w:pStyle w:val="18"/>
                    </w:pPr>
                    <w:r>
                      <w:fldChar w:fldCharType="begin"/>
                    </w:r>
                    <w:r>
                      <w:instrText xml:space="preserve"> PAGE  \* MERGEFORMAT </w:instrText>
                    </w:r>
                    <w:r>
                      <w:fldChar w:fldCharType="separate"/>
                    </w:r>
                    <w:r>
                      <w:t>3</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7C275">
    <w:pPr>
      <w:spacing w:line="188" w:lineRule="auto"/>
      <w:rPr>
        <w:rFonts w:ascii="Calibri" w:hAnsi="Calibri" w:eastAsia="Calibri" w:cs="Calibri"/>
        <w:sz w:val="17"/>
        <w:szCs w:val="17"/>
      </w:rPr>
    </w:pPr>
    <w:r>
      <w:rPr>
        <w:sz w:val="17"/>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5602CDF">
                          <w:pPr>
                            <w:pStyle w:val="18"/>
                          </w:pPr>
                          <w:r>
                            <w:fldChar w:fldCharType="begin"/>
                          </w:r>
                          <w:r>
                            <w:instrText xml:space="preserve"> PAGE  \* MERGEFORMAT </w:instrText>
                          </w:r>
                          <w:r>
                            <w:fldChar w:fldCharType="separate"/>
                          </w:r>
                          <w:r>
                            <w:t>10</w:t>
                          </w:r>
                          <w:r>
                            <w:fldChar w:fldCharType="end"/>
                          </w:r>
                        </w:p>
                      </w:txbxContent>
                    </wps:txbx>
                    <wps:bodyPr vert="horz" wrap="none" lIns="0" tIns="0" rIns="0" bIns="0" anchor="t">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C8bAPKAQAAkgMAAA4AAABkcnMvZTJvRG9jLnhtbK1TS27bMBDdF+gd&#10;CO5ryW4ROILlIICRokCRBkhzAJqiLAL8YYa25B6gvUFX3XTfc/kcHerjBMkmi2yoGQ755r3H0eqq&#10;s4YdFKD2ruTzWc6ZctJX2u1K/vD95sOSM4zCVcJ4p0p+VMiv1u/frdpQqIVvvKkUMAJxWLSh5E2M&#10;ocgylI2yAmc+KEfF2oMVkVLYZRWIltCtyRZ5fpG1HqoAXipE2t0MRT4iwmsAfV1rqTZe7q1ycUAF&#10;ZUQkSdjogHzds61rJeO3ukYVmSk5KY39Sk0o3qY1W69EsQMRGi1HCuI1FJ5pskI7anqG2ogo2B70&#10;CyirJXj0dZxJb7NBSO8IqZjnz7y5b0RQvRayGsPZdHw7WHl7uAOmq5J/yi8vOXPC0puffv86/fl3&#10;+vuTfUwOtQELOngf7mDMkMIkt6vBpi8JYV3v6vHsquoik7Q5Xy6Wy5wMl1SbEsLJHq8HwPhZectS&#10;UHKgZ+vdFIevGIej05HUzbi0On+jjRmqaSdLNAdiKYrdthvZbn11JJU09ATeePjBWUtPXnJHE86Z&#10;+eLI0TQdUwBTsJ0C4SRdLPnAC8P1PlL7nltqNnQYOdBT9erGsUqz8DTvTz3+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EC8bAPKAQAAkgMAAA4AAAAAAAAAAQAgAAAAHwEAAGRycy9lMm9E&#10;b2MueG1sUEsFBgAAAAAGAAYAWQEAAFsFAAAAAA==&#10;">
              <v:fill on="f" focussize="0,0"/>
              <v:stroke on="f"/>
              <v:imagedata o:title=""/>
              <o:lock v:ext="edit" aspectratio="f"/>
              <v:textbox inset="0mm,0mm,0mm,0mm" style="mso-fit-shape-to-text:t;">
                <w:txbxContent>
                  <w:p w14:paraId="75602CDF">
                    <w:pPr>
                      <w:pStyle w:val="18"/>
                    </w:pPr>
                    <w:r>
                      <w:fldChar w:fldCharType="begin"/>
                    </w:r>
                    <w:r>
                      <w:instrText xml:space="preserve"> PAGE  \* MERGEFORMAT </w:instrText>
                    </w:r>
                    <w:r>
                      <w:fldChar w:fldCharType="separate"/>
                    </w:r>
                    <w:r>
                      <w:t>10</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7CB62">
    <w:pPr>
      <w:spacing w:line="188" w:lineRule="auto"/>
      <w:rPr>
        <w:rFonts w:ascii="Calibri" w:hAnsi="Calibri" w:eastAsia="Calibri" w:cs="Calibri"/>
        <w:sz w:val="17"/>
        <w:szCs w:val="17"/>
      </w:rPr>
    </w:pPr>
    <w:r>
      <w:rPr>
        <w:sz w:val="17"/>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FBC64CA">
                          <w:pPr>
                            <w:pStyle w:val="18"/>
                          </w:pPr>
                          <w:r>
                            <w:fldChar w:fldCharType="begin"/>
                          </w:r>
                          <w:r>
                            <w:instrText xml:space="preserve"> PAGE  \* MERGEFORMAT </w:instrText>
                          </w:r>
                          <w:r>
                            <w:fldChar w:fldCharType="separate"/>
                          </w:r>
                          <w:r>
                            <w:t>14</w:t>
                          </w:r>
                          <w:r>
                            <w:fldChar w:fldCharType="end"/>
                          </w:r>
                        </w:p>
                      </w:txbxContent>
                    </wps:txbx>
                    <wps:bodyPr vert="horz" wrap="none" lIns="0" tIns="0" rIns="0" bIns="0" anchor="t">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YSilPIAQAAkgMAAA4AAABkcnMvZTJvRG9jLnhtbK1TS44TMRDdI3EH&#10;y3vSnWiEolacEVI0CAnBSAMHcNzutCX/VOWkOxwAbsCKDXvOlXNQ7k9mNGxmwcZd5bJfvfdcvbnt&#10;nWUnDWiCF3y5KDnTXoXa+IPgX7/cvVlzhkn6WtrgteBnjfx2+/rVpouVXoU22FoDIxCPVRcFb1OK&#10;VVGgarWTuAhReyo2AZxMlMKhqEF2hO5ssSrLt0UXoI4QlEak3d1Y5BMivAQwNI1RehfU0WmfRlTQ&#10;ViaShK2JyLcD26bRKn1uGtSJWcFJaRpWakLxPq/FdiOrA8jYGjVRkC+h8EyTk8ZT0yvUTibJjmD+&#10;gXJGQcDQpIUKrhiFDI6QimX5zJuHVkY9aCGrMV5Nx/8Hqz6d7oGZWvCbZUmmeOnozS8/f1x+/bn8&#10;/s5uskNdxIoOPsR7mDKkMMvtG3D5S0JYP7h6vrqq+8QUbS7Xq/U6YyuqzQnhFI/XI2B6r4NjORAc&#10;6NkGN+XpI6bx6Hwkd7M+rz7cGWvHat4pMs2RWI5Sv+8ntvtQn0klDT2BtwG+cdbRkwvuacI5sx88&#10;OZqnYw5gDvZzIL2ii4KPvDC+OyZqP3DLzcYOEwd6qkHdNFZ5Fp7mw6nHX2n7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l1uVLQAAAABQEAAA8AAAAAAAAAAQAgAAAAIgAAAGRycy9kb3ducmV2Lnht&#10;bFBLAQIUABQAAAAIAIdO4kC2EopTyAEAAJIDAAAOAAAAAAAAAAEAIAAAAB8BAABkcnMvZTJvRG9j&#10;LnhtbFBLBQYAAAAABgAGAFkBAABZBQAAAAA=&#10;">
              <v:fill on="f" focussize="0,0"/>
              <v:stroke on="f"/>
              <v:imagedata o:title=""/>
              <o:lock v:ext="edit" aspectratio="f"/>
              <v:textbox inset="0mm,0mm,0mm,0mm" style="mso-fit-shape-to-text:t;">
                <w:txbxContent>
                  <w:p w14:paraId="1FBC64CA">
                    <w:pPr>
                      <w:pStyle w:val="18"/>
                    </w:pPr>
                    <w:r>
                      <w:fldChar w:fldCharType="begin"/>
                    </w:r>
                    <w:r>
                      <w:instrText xml:space="preserve"> PAGE  \* MERGEFORMAT </w:instrText>
                    </w:r>
                    <w:r>
                      <w:fldChar w:fldCharType="separate"/>
                    </w:r>
                    <w:r>
                      <w:t>14</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341E1">
    <w:pPr>
      <w:spacing w:line="188" w:lineRule="auto"/>
      <w:ind w:left="4195"/>
      <w:rPr>
        <w:rFonts w:ascii="Calibri" w:hAnsi="Calibri" w:eastAsia="Calibri" w:cs="Calibri"/>
        <w:sz w:val="17"/>
        <w:szCs w:val="17"/>
      </w:rPr>
    </w:pPr>
    <w:r>
      <w:rPr>
        <w:sz w:val="17"/>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BA40EE5">
                          <w:pPr>
                            <w:pStyle w:val="18"/>
                          </w:pPr>
                          <w:r>
                            <w:fldChar w:fldCharType="begin"/>
                          </w:r>
                          <w:r>
                            <w:instrText xml:space="preserve"> PAGE  \* MERGEFORMAT </w:instrText>
                          </w:r>
                          <w:r>
                            <w:fldChar w:fldCharType="separate"/>
                          </w:r>
                          <w:r>
                            <w:t>28</w:t>
                          </w:r>
                          <w:r>
                            <w:fldChar w:fldCharType="end"/>
                          </w:r>
                        </w:p>
                      </w:txbxContent>
                    </wps:txbx>
                    <wps:bodyPr vert="horz" wrap="none" lIns="0" tIns="0" rIns="0" bIns="0" anchor="t">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w3+qnKAQAAkgMAAA4AAABkcnMvZTJvRG9jLnhtbK1TS27bMBDdF8gd&#10;CO5jSUYRGILloICRokCQBkh7AJqiLAL8YYa25B6gvUFX3XTfc/kcHerjBOkmi26oGQ755r3H0fq2&#10;t4YdFaD2ruLFIudMOelr7fYV//rl7nrFGUbhamG8UxU/KeS3m6t36y6Uaulbb2oFjEAcll2oeBtj&#10;KLMMZauswIUPylGx8WBFpBT2WQ2iI3RrsmWe32SdhzqAlwqRdrdjkU+I8BZA3zRaqq2XB6tcHFFB&#10;GRFJErY6IN8MbJtGyfi5aVBFZipOSuOwUhOKd2nNNmtR7kGEVsuJgngLhVearNCOml6gtiIKdgD9&#10;D5TVEjz6Ji6kt9koZHCEVBT5K2+eWhHUoIWsxnAxHf8frHw4PgLTdcXfF3nBmROW3vz888f515/z&#10;7+/sJjnUBSzp4FN4hClDCpPcvgGbviSE9YOrp4urqo9M0maxWq5WORkuqTYnhJM9Xw+A8aPylqWg&#10;4kDPNrgpjvcYx6PzkdTNuLQ6f6eNGatpJ0s0R2Ipiv2un9jufH0ilTT0BN56+MZZR09ecUcTzpn5&#10;5MjRNB1zAHOwmwPhJF2s+MgLw4dDpPYDt9Rs7DBxoKca1E1jlWbhZT6cev6VNn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Bw3+qnKAQAAkgMAAA4AAAAAAAAAAQAgAAAAHwEAAGRycy9lMm9E&#10;b2MueG1sUEsFBgAAAAAGAAYAWQEAAFsFAAAAAA==&#10;">
              <v:fill on="f" focussize="0,0"/>
              <v:stroke on="f"/>
              <v:imagedata o:title=""/>
              <o:lock v:ext="edit" aspectratio="f"/>
              <v:textbox inset="0mm,0mm,0mm,0mm" style="mso-fit-shape-to-text:t;">
                <w:txbxContent>
                  <w:p w14:paraId="1BA40EE5">
                    <w:pPr>
                      <w:pStyle w:val="18"/>
                    </w:pPr>
                    <w:r>
                      <w:fldChar w:fldCharType="begin"/>
                    </w:r>
                    <w:r>
                      <w:instrText xml:space="preserve"> PAGE  \* MERGEFORMAT </w:instrText>
                    </w:r>
                    <w:r>
                      <w:fldChar w:fldCharType="separate"/>
                    </w:r>
                    <w:r>
                      <w:t>28</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CC411">
    <w:pPr>
      <w:spacing w:line="188" w:lineRule="auto"/>
      <w:ind w:left="4373"/>
      <w:rPr>
        <w:rFonts w:ascii="Calibri" w:hAnsi="Calibri" w:eastAsia="Calibri" w:cs="Calibri"/>
        <w:sz w:val="17"/>
        <w:szCs w:val="17"/>
      </w:rPr>
    </w:pPr>
    <w:r>
      <w:rPr>
        <w:sz w:val="17"/>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2" name="文本框 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48AC79A">
                          <w:pPr>
                            <w:pStyle w:val="18"/>
                          </w:pPr>
                          <w:r>
                            <w:fldChar w:fldCharType="begin"/>
                          </w:r>
                          <w:r>
                            <w:instrText xml:space="preserve"> PAGE  \* MERGEFORMAT </w:instrText>
                          </w:r>
                          <w:r>
                            <w:fldChar w:fldCharType="separate"/>
                          </w:r>
                          <w:r>
                            <w:t>29</w:t>
                          </w:r>
                          <w:r>
                            <w:fldChar w:fldCharType="end"/>
                          </w:r>
                        </w:p>
                      </w:txbxContent>
                    </wps:txbx>
                    <wps:bodyPr vert="horz" wrap="none" lIns="0" tIns="0" rIns="0" bIns="0" anchor="t">
                      <a:spAutoFit/>
                    </wps:bodyPr>
                  </wps:wsp>
                </a:graphicData>
              </a:graphic>
            </wp:anchor>
          </w:drawing>
        </mc:Choice>
        <mc:Fallback>
          <w:pict>
            <v:rect id="文本框 7"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0jKMXJAQAAkgMAAA4AAABkcnMvZTJvRG9jLnhtbK1TzY7TMBC+I/EO&#10;lu80aYWgipqukKpFSAhWWngA13EaS/7TjNukPAC8AScu3HmuPgdjJ+mulsseuDgzHvub7/s82dwM&#10;1rCTAtTe1Xy5KDlTTvpGu0PNv365fbXmDKNwjTDeqZqfFfKb7csXmz5UauU7bxoFjEAcVn2oeRdj&#10;qIoCZaeswIUPylGx9WBFpBQORQOiJ3RrilVZvil6D00ALxUi7e7GIp8Q4TmAvm21VDsvj1a5OKKC&#10;MiKSJOx0QL7NbNtWyfi5bVFFZmpOSmNeqQnF+7QW242oDiBCp+VEQTyHwhNNVmhHTa9QOxEFO4L+&#10;B8pqCR59GxfS22IUkh0hFcvyiTf3nQgqayGrMVxNx/8HKz+d7oDppuavl+WKMycsvfnl54/Lrz+X&#10;39/Z2+RQH7Cig/fhDqYMKUxyhxZs+pIQNmRXz1dX1RCZpM3lerVel2S4pNqcEE7xcD0AxvfKW5aC&#10;mgM9W3ZTnD5iHI/OR1I349Lq/K02ZqymnSLRHImlKA77YWK7982ZVNLQE3jn4RtnPT15zR1NOGfm&#10;gyNH03TMAczBfg6Ek3Sx5iMvDO+OkdpnbqnZ2GHiQE+V1U1jlWbhcZ5PPfxK27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3SMoxckBAACSAwAADgAAAAAAAAABACAAAAAfAQAAZHJzL2Uyb0Rv&#10;Yy54bWxQSwUGAAAAAAYABgBZAQAAWgUAAAAA&#10;">
              <v:fill on="f" focussize="0,0"/>
              <v:stroke on="f"/>
              <v:imagedata o:title=""/>
              <o:lock v:ext="edit" aspectratio="f"/>
              <v:textbox inset="0mm,0mm,0mm,0mm" style="mso-fit-shape-to-text:t;">
                <w:txbxContent>
                  <w:p w14:paraId="248AC79A">
                    <w:pPr>
                      <w:pStyle w:val="18"/>
                    </w:pPr>
                    <w:r>
                      <w:fldChar w:fldCharType="begin"/>
                    </w:r>
                    <w:r>
                      <w:instrText xml:space="preserve"> PAGE  \* MERGEFORMAT </w:instrText>
                    </w:r>
                    <w:r>
                      <w:fldChar w:fldCharType="separate"/>
                    </w:r>
                    <w:r>
                      <w:t>29</w:t>
                    </w:r>
                    <w:r>
                      <w:fldChar w:fldCharType="end"/>
                    </w:r>
                  </w:p>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7DFBE">
    <w:pPr>
      <w:spacing w:line="188" w:lineRule="auto"/>
      <w:ind w:left="4829"/>
      <w:rPr>
        <w:rFonts w:ascii="Calibri" w:hAnsi="Calibri" w:eastAsia="Calibri" w:cs="Calibri"/>
        <w:sz w:val="17"/>
        <w:szCs w:val="17"/>
      </w:rPr>
    </w:pPr>
    <w:r>
      <w:rPr>
        <w:sz w:val="17"/>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3"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5A53FF9">
                          <w:pPr>
                            <w:pStyle w:val="18"/>
                          </w:pPr>
                          <w:r>
                            <w:fldChar w:fldCharType="begin"/>
                          </w:r>
                          <w:r>
                            <w:instrText xml:space="preserve"> PAGE  \* MERGEFORMAT </w:instrText>
                          </w:r>
                          <w:r>
                            <w:fldChar w:fldCharType="separate"/>
                          </w:r>
                          <w:r>
                            <w:t>30</w:t>
                          </w:r>
                          <w:r>
                            <w:fldChar w:fldCharType="end"/>
                          </w:r>
                        </w:p>
                      </w:txbxContent>
                    </wps:txbx>
                    <wps:bodyPr vert="horz" wrap="none" lIns="0" tIns="0" rIns="0" bIns="0" anchor="t">
                      <a:spAutoFit/>
                    </wps:bodyPr>
                  </wps:wsp>
                </a:graphicData>
              </a:graphic>
            </wp:anchor>
          </w:drawing>
        </mc:Choice>
        <mc:Fallback>
          <w:pict>
            <v:rect id="文本框 9"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gEFWHJAQAAkgMAAA4AAABkcnMvZTJvRG9jLnhtbK1TzY7TMBC+I/EO&#10;lu80aUGoRE1XSNUiJAQrLTyA6ziNJf9pxm1SHgDegBMX7jxXn4Oxk3TRctkDF2fGY3/zfZ8nm5vB&#10;GnZSgNq7mi8XJWfKSd9od6j5l8+3L9acYRSuEcY7VfOzQn6zff5s04dKrXznTaOAEYjDqg8172IM&#10;VVGg7JQVuPBBOSq2HqyIlMKhaED0hG5NsSrL10XvoQngpUKk3d1Y5BMiPAXQt62Waufl0SoXR1RQ&#10;RkSShJ0OyLeZbdsqGT+1LarITM1JacwrNaF4n9ZiuxHVAUTotJwoiKdQeKTJCu2o6RVqJ6JgR9D/&#10;QFktwaNv40J6W4xCsiOkYlk+8ua+E0FlLWQ1hqvp+P9g5cfTHTDd1PzVsnzJmROW3vzy4/vl5+/L&#10;r2/sT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2AQVYckBAACSAwAADgAAAAAAAAABACAAAAAfAQAAZHJzL2Uyb0Rv&#10;Yy54bWxQSwUGAAAAAAYABgBZAQAAWgUAAAAA&#10;">
              <v:fill on="f" focussize="0,0"/>
              <v:stroke on="f"/>
              <v:imagedata o:title=""/>
              <o:lock v:ext="edit" aspectratio="f"/>
              <v:textbox inset="0mm,0mm,0mm,0mm" style="mso-fit-shape-to-text:t;">
                <w:txbxContent>
                  <w:p w14:paraId="65A53FF9">
                    <w:pPr>
                      <w:pStyle w:val="18"/>
                    </w:pPr>
                    <w:r>
                      <w:fldChar w:fldCharType="begin"/>
                    </w:r>
                    <w:r>
                      <w:instrText xml:space="preserve"> PAGE  \* MERGEFORMAT </w:instrText>
                    </w:r>
                    <w:r>
                      <w:fldChar w:fldCharType="separate"/>
                    </w:r>
                    <w:r>
                      <w:t>30</w:t>
                    </w:r>
                    <w:r>
                      <w:fldChar w:fldCharType="end"/>
                    </w:r>
                  </w:p>
                </w:txbxContent>
              </v:textbox>
            </v:rect>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BAB02">
    <w:pPr>
      <w:spacing w:line="188" w:lineRule="auto"/>
      <w:ind w:left="4373"/>
      <w:rPr>
        <w:rFonts w:ascii="Calibri" w:hAnsi="Calibri" w:eastAsia="Calibri" w:cs="Calibri"/>
        <w:sz w:val="17"/>
        <w:szCs w:val="17"/>
      </w:rPr>
    </w:pPr>
    <w:r>
      <w:rPr>
        <w:sz w:val="17"/>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4"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AAEAD85">
                          <w:pPr>
                            <w:pStyle w:val="18"/>
                          </w:pPr>
                          <w:r>
                            <w:fldChar w:fldCharType="begin"/>
                          </w:r>
                          <w:r>
                            <w:instrText xml:space="preserve"> PAGE  \* MERGEFORMAT </w:instrText>
                          </w:r>
                          <w:r>
                            <w:fldChar w:fldCharType="separate"/>
                          </w:r>
                          <w:r>
                            <w:t>31</w:t>
                          </w:r>
                          <w:r>
                            <w:fldChar w:fldCharType="end"/>
                          </w:r>
                        </w:p>
                      </w:txbxContent>
                    </wps:txbx>
                    <wps:bodyPr vert="horz" wrap="none" lIns="0" tIns="0" rIns="0" bIns="0" anchor="t">
                      <a:spAutoFit/>
                    </wps:bodyPr>
                  </wps:wsp>
                </a:graphicData>
              </a:graphic>
            </wp:anchor>
          </w:drawing>
        </mc:Choice>
        <mc:Fallback>
          <w:pict>
            <v:rect id="文本框 11"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tVvbHKAQAAkwMAAA4AAABkcnMvZTJvRG9jLnhtbK1TS27bMBDdF8gd&#10;CO5rSUZQGILloICRokDQBkh7AJqiLAL8YYa25B6gvUFX3XTfc/kcHerjBMkmi2yoGQ755r3H0fqm&#10;t4YdFaD2ruLFIudMOelr7fYV//7t9v2KM4zC1cJ4pyp+UshvNlfv1l0o1dK33tQKGIE4LLtQ8TbG&#10;UGYZylZZgQsflKNi48GKSCnssxpER+jWZMs8/5B1HuoAXipE2t2ORT4hwmsAfdNoqbZeHqxycUQF&#10;ZUQkSdjqgHwzsG0aJePXpkEVmak4KY3DSk0o3qU126xFuQcRWi0nCuI1FJ5pskI7anqB2ooo2AH0&#10;CyirJXj0TVxIb7NRyOAIqSjyZ948tCKoQQtZjeFiOr4drPxyvAem64pfF/k1Z05YevPz71/nP//O&#10;f3+yokgWdQFLOvkQ7mHKkMKkt2/Api8pYf1g6+liq+ojk7RZrJarVU6OS6rNCeFkj9cDYPykvGUp&#10;qDjQuw12iuMdxvHofCR1My6tzt9qY8Zq2skSzZFYimK/6ye2O1+fSCZNPYG3Hn5w1tGbV9zRiHNm&#10;PjuyNI3HHMAc7OZAOEkXKz7ywvDxEKn9wC01GztMHOitBnXTXKVheJoPpx7/pc1/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DtVvbHKAQAAkwMAAA4AAAAAAAAAAQAgAAAAHwEAAGRycy9lMm9E&#10;b2MueG1sUEsFBgAAAAAGAAYAWQEAAFsFAAAAAA==&#10;">
              <v:fill on="f" focussize="0,0"/>
              <v:stroke on="f"/>
              <v:imagedata o:title=""/>
              <o:lock v:ext="edit" aspectratio="f"/>
              <v:textbox inset="0mm,0mm,0mm,0mm" style="mso-fit-shape-to-text:t;">
                <w:txbxContent>
                  <w:p w14:paraId="0AAEAD85">
                    <w:pPr>
                      <w:pStyle w:val="18"/>
                    </w:pPr>
                    <w:r>
                      <w:fldChar w:fldCharType="begin"/>
                    </w:r>
                    <w:r>
                      <w:instrText xml:space="preserve"> PAGE  \* MERGEFORMAT </w:instrText>
                    </w:r>
                    <w:r>
                      <w:fldChar w:fldCharType="separate"/>
                    </w:r>
                    <w:r>
                      <w:t>31</w:t>
                    </w:r>
                    <w:r>
                      <w:fldChar w:fldCharType="end"/>
                    </w:r>
                  </w:p>
                </w:txbxContent>
              </v:textbox>
            </v:rect>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F700C">
    <w:pPr>
      <w:spacing w:line="188" w:lineRule="auto"/>
      <w:ind w:left="4373"/>
      <w:rPr>
        <w:rFonts w:ascii="Calibri" w:hAnsi="Calibri" w:eastAsia="Calibri" w:cs="Calibri"/>
        <w:sz w:val="17"/>
        <w:szCs w:val="17"/>
      </w:rPr>
    </w:pPr>
    <w:r>
      <w:rPr>
        <w:sz w:val="17"/>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5" name="文本框 1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004B9AB">
                          <w:pPr>
                            <w:pStyle w:val="18"/>
                          </w:pPr>
                          <w:r>
                            <w:fldChar w:fldCharType="begin"/>
                          </w:r>
                          <w:r>
                            <w:instrText xml:space="preserve"> PAGE  \* MERGEFORMAT </w:instrText>
                          </w:r>
                          <w:r>
                            <w:fldChar w:fldCharType="separate"/>
                          </w:r>
                          <w:r>
                            <w:t>32</w:t>
                          </w:r>
                          <w:r>
                            <w:fldChar w:fldCharType="end"/>
                          </w:r>
                        </w:p>
                      </w:txbxContent>
                    </wps:txbx>
                    <wps:bodyPr vert="horz" wrap="none" lIns="0" tIns="0" rIns="0" bIns="0" anchor="t">
                      <a:spAutoFit/>
                    </wps:bodyPr>
                  </wps:wsp>
                </a:graphicData>
              </a:graphic>
            </wp:anchor>
          </w:drawing>
        </mc:Choice>
        <mc:Fallback>
          <w:pict>
            <v:rect id="文本框 1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fG/fjLAQAAkwMAAA4AAABkcnMvZTJvRG9jLnhtbK1TS27bMBDdF+gd&#10;CO5jSUZaGILloICRokDRBkh7AJqiLAL8YYa25B6gvUFX3XTfc/kcHerjBMkmi2yoGQ755r3H0fqm&#10;t4YdFaD2ruLFIudMOelr7fYV//7t9mrFGUbhamG8UxU/KeQ3m7dv1l0o1dK33tQKGIE4LLtQ8TbG&#10;UGYZylZZgQsflKNi48GKSCnssxpER+jWZMs8f591HuoAXipE2t2ORT4hwksAfdNoqbZeHqxycUQF&#10;ZUQkSdjqgHwzsG0aJePXpkEVmak4KY3DSk0o3qU126xFuQcRWi0nCuIlFJ5oskI7anqB2ooo2AH0&#10;MyirJXj0TVxIb7NRyOAIqSjyJ97ctyKoQQtZjeFiOr4erPxyvAOm64pfF/k7zpyw9Obn37/Of/6d&#10;//5kxTJZ1AUs6eR9uIMpQwqT3r4Bm76khPWDraeLraqPTNJmsVquVjk5Lqk2J4STPVwPgPGj8pal&#10;oOJA7zbYKY6fMY5H5yOpm3Fpdf5WGzNW006WaI7EUhT7XT+x3fn6RDJp6gm89fCDs47evOKORpwz&#10;88mRpWk85gDmYDcHwkm6WPGRF4YPh0jtB26p2dhh4kBvNaib5ioNw+N8OPXwL23+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Hxv34ywEAAJMDAAAOAAAAAAAAAAEAIAAAAB8BAABkcnMvZTJv&#10;RG9jLnhtbFBLBQYAAAAABgAGAFkBAABcBQAAAAA=&#10;">
              <v:fill on="f" focussize="0,0"/>
              <v:stroke on="f"/>
              <v:imagedata o:title=""/>
              <o:lock v:ext="edit" aspectratio="f"/>
              <v:textbox inset="0mm,0mm,0mm,0mm" style="mso-fit-shape-to-text:t;">
                <w:txbxContent>
                  <w:p w14:paraId="1004B9AB">
                    <w:pPr>
                      <w:pStyle w:val="18"/>
                    </w:pPr>
                    <w:r>
                      <w:fldChar w:fldCharType="begin"/>
                    </w:r>
                    <w:r>
                      <w:instrText xml:space="preserve"> PAGE  \* MERGEFORMAT </w:instrText>
                    </w:r>
                    <w:r>
                      <w:fldChar w:fldCharType="separate"/>
                    </w:r>
                    <w:r>
                      <w:t>32</w:t>
                    </w:r>
                    <w:r>
                      <w:fldChar w:fldCharType="end"/>
                    </w:r>
                  </w:p>
                </w:txbxContent>
              </v:textbox>
            </v:rect>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3D660">
    <w:pPr>
      <w:spacing w:line="188" w:lineRule="auto"/>
      <w:ind w:left="4226"/>
      <w:rPr>
        <w:rFonts w:ascii="Calibri" w:hAnsi="Calibri" w:eastAsia="Calibri" w:cs="Calibri"/>
        <w:sz w:val="17"/>
        <w:szCs w:val="17"/>
      </w:rPr>
    </w:pPr>
    <w:r>
      <w:rPr>
        <w:sz w:val="17"/>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6" name="文本框 1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982BC73">
                          <w:pPr>
                            <w:pStyle w:val="18"/>
                          </w:pPr>
                          <w:r>
                            <w:fldChar w:fldCharType="begin"/>
                          </w:r>
                          <w:r>
                            <w:instrText xml:space="preserve"> PAGE  \* MERGEFORMAT </w:instrText>
                          </w:r>
                          <w:r>
                            <w:fldChar w:fldCharType="separate"/>
                          </w:r>
                          <w:r>
                            <w:t>33</w:t>
                          </w:r>
                          <w:r>
                            <w:fldChar w:fldCharType="end"/>
                          </w:r>
                        </w:p>
                      </w:txbxContent>
                    </wps:txbx>
                    <wps:bodyPr vert="horz" wrap="none" lIns="0" tIns="0" rIns="0" bIns="0" anchor="t">
                      <a:spAutoFit/>
                    </wps:bodyPr>
                  </wps:wsp>
                </a:graphicData>
              </a:graphic>
            </wp:anchor>
          </w:drawing>
        </mc:Choice>
        <mc:Fallback>
          <w:pict>
            <v:rect id="文本框 13"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aN+BbLAQAAkwMAAA4AAABkcnMvZTJvRG9jLnhtbK1TS27bMBDdF8gd&#10;CO5jSW4RGILloICRIkDQBkh7AJqiLAL8YYa25B6gvUFX3XTfc/kcHerjFOkmi26oGQ755r3H0fq2&#10;t4YdFaD2ruLFIudMOelr7fYV//L57nrFGUbhamG8UxU/KeS3m6s36y6Uaulbb2oFjEAcll2oeBtj&#10;KLMMZauswIUPylGx8WBFpBT2WQ2iI3RrsmWe32SdhzqAlwqRdrdjkU+I8BpA3zRaqq2XB6tcHFFB&#10;GRFJErY6IN8MbJtGyfipaVBFZipOSuOwUhOKd2nNNmtR7kGEVsuJgngNhRearNCOml6gtiIKdgD9&#10;D5TVEjz6Ji6kt9koZHCEVBT5C2+eWhHUoIWsxnAxHf8frPx4fASm64q/K/Ibzpyw9ObnH9/PP3+f&#10;f31jxdtkURewpJNP4RGmDClMevsGbPqSEtYPtp4utqo+MkmbxWq5WuXkuKTanBBO9nw9AMYPyluW&#10;gooDvdtgpzg+YByPzkdSN+PS6vydNmaspp0s0RyJpSj2u35iu/P1iWTS1BN46+ErZx29ecUdjThn&#10;5t6RpWk85gDmYDcHwkm6WPGRF4b3h0jtB26p2dhh4kBvNaib5ioNw9/5cOr5X9r8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CmjfgWywEAAJMDAAAOAAAAAAAAAAEAIAAAAB8BAABkcnMvZTJv&#10;RG9jLnhtbFBLBQYAAAAABgAGAFkBAABcBQAAAAA=&#10;">
              <v:fill on="f" focussize="0,0"/>
              <v:stroke on="f"/>
              <v:imagedata o:title=""/>
              <o:lock v:ext="edit" aspectratio="f"/>
              <v:textbox inset="0mm,0mm,0mm,0mm" style="mso-fit-shape-to-text:t;">
                <w:txbxContent>
                  <w:p w14:paraId="4982BC73">
                    <w:pPr>
                      <w:pStyle w:val="18"/>
                    </w:pPr>
                    <w:r>
                      <w:fldChar w:fldCharType="begin"/>
                    </w:r>
                    <w:r>
                      <w:instrText xml:space="preserve"> PAGE  \* MERGEFORMAT </w:instrText>
                    </w:r>
                    <w:r>
                      <w:fldChar w:fldCharType="separate"/>
                    </w:r>
                    <w:r>
                      <w:t>33</w:t>
                    </w:r>
                    <w:r>
                      <w:fldChar w:fldCharType="end"/>
                    </w:r>
                  </w:p>
                </w:txbxContent>
              </v:textbox>
            </v:rect>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4A513">
    <w:pPr>
      <w:spacing w:line="188" w:lineRule="auto"/>
      <w:ind w:left="4815"/>
      <w:rPr>
        <w:rFonts w:ascii="Calibri" w:hAnsi="Calibri" w:eastAsia="Calibri" w:cs="Calibri"/>
        <w:sz w:val="17"/>
        <w:szCs w:val="17"/>
      </w:rPr>
    </w:pPr>
    <w:r>
      <w:rPr>
        <w:sz w:val="17"/>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8" name="文本框 1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661C017">
                          <w:pPr>
                            <w:pStyle w:val="18"/>
                          </w:pPr>
                          <w:r>
                            <w:fldChar w:fldCharType="begin"/>
                          </w:r>
                          <w:r>
                            <w:instrText xml:space="preserve"> PAGE  \* MERGEFORMAT </w:instrText>
                          </w:r>
                          <w:r>
                            <w:fldChar w:fldCharType="separate"/>
                          </w:r>
                          <w:r>
                            <w:t>41</w:t>
                          </w:r>
                          <w:r>
                            <w:fldChar w:fldCharType="end"/>
                          </w:r>
                        </w:p>
                      </w:txbxContent>
                    </wps:txbx>
                    <wps:bodyPr vert="horz" wrap="none" lIns="0" tIns="0" rIns="0" bIns="0" anchor="t">
                      <a:spAutoFit/>
                    </wps:bodyPr>
                  </wps:wsp>
                </a:graphicData>
              </a:graphic>
            </wp:anchor>
          </w:drawing>
        </mc:Choice>
        <mc:Fallback>
          <w:pict>
            <v:rect id="文本框 15"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12Sr/KAQAAkwMAAA4AAABkcnMvZTJvRG9jLnhtbK1TS27bMBDdF+gd&#10;CO5jSUZaGILloICRokDRBkh7AJqiLAL8YYa25B6gvUFX3XTfc/kcHerjBMkmi2yoGX7evPdmtL7p&#10;rWFHBai9q3ixyDlTTvpau33Fv3+7vVpxhlG4WhjvVMVPCvnN5u2bdRdKtfStN7UCRiAOyy5UvI0x&#10;lFmGslVW4MIH5eiw8WBFpBT2WQ2iI3RrsmWev886D3UALxUi7W7HQz4hwksAfdNoqbZeHqxycUQF&#10;ZUQkSdjqgHwzsG0aJePXpkEVmak4KY3DSkUo3qU126xFuQcRWi0nCuIlFJ5oskI7KnqB2ooo2AH0&#10;MyirJXj0TVxIb7NRyOAIqSjyJ97ctyKoQQtZjeFiOr4erPxyvAOm64pfFzl13glLPT///nX+8+/8&#10;9ycr3iWLuoAl3bwPdzBlSGHS2zdg05eUsH6w9XSxVfWRSdosVsvVKifHJZ3NCeFkD88DYPyovGUp&#10;qDhQ3wY7xfEzxvHqfCVVMy6tzt9qY8bTtJMlmiOxFMV+109sd74+kUyaegJvPfzgrKOeV9zRiHNm&#10;PjmyNI3HHMAc7OZAOEkPKz7ywvDhEKn8wC0VGytMHKhXg7pprtIwPM6HWw//0uY/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D12Sr/KAQAAkwMAAA4AAAAAAAAAAQAgAAAAHwEAAGRycy9lMm9E&#10;b2MueG1sUEsFBgAAAAAGAAYAWQEAAFsFAAAAAA==&#10;">
              <v:fill on="f" focussize="0,0"/>
              <v:stroke on="f"/>
              <v:imagedata o:title=""/>
              <o:lock v:ext="edit" aspectratio="f"/>
              <v:textbox inset="0mm,0mm,0mm,0mm" style="mso-fit-shape-to-text:t;">
                <w:txbxContent>
                  <w:p w14:paraId="4661C017">
                    <w:pPr>
                      <w:pStyle w:val="18"/>
                    </w:pPr>
                    <w:r>
                      <w:fldChar w:fldCharType="begin"/>
                    </w:r>
                    <w:r>
                      <w:instrText xml:space="preserve"> PAGE  \* MERGEFORMAT </w:instrText>
                    </w:r>
                    <w:r>
                      <w:fldChar w:fldCharType="separate"/>
                    </w:r>
                    <w:r>
                      <w:t>41</w:t>
                    </w:r>
                    <w:r>
                      <w:fldChar w:fldCharType="end"/>
                    </w:r>
                  </w:p>
                </w:txbxContent>
              </v:textbox>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EA88C">
    <w:pPr>
      <w:spacing w:line="188" w:lineRule="auto"/>
      <w:ind w:left="4170"/>
      <w:rPr>
        <w:rFonts w:ascii="Calibri" w:hAnsi="Calibri" w:eastAsia="Calibri" w:cs="Calibri"/>
        <w:sz w:val="17"/>
        <w:szCs w:val="17"/>
      </w:rPr>
    </w:pPr>
    <w:r>
      <w:rPr>
        <w:sz w:val="17"/>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9" name="文本框 1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8175484">
                          <w:pPr>
                            <w:pStyle w:val="18"/>
                          </w:pPr>
                          <w:r>
                            <w:fldChar w:fldCharType="begin"/>
                          </w:r>
                          <w:r>
                            <w:instrText xml:space="preserve"> PAGE  \* MERGEFORMAT </w:instrText>
                          </w:r>
                          <w:r>
                            <w:fldChar w:fldCharType="separate"/>
                          </w:r>
                          <w:r>
                            <w:t>59</w:t>
                          </w:r>
                          <w:r>
                            <w:fldChar w:fldCharType="end"/>
                          </w:r>
                        </w:p>
                      </w:txbxContent>
                    </wps:txbx>
                    <wps:bodyPr vert="horz" wrap="none" lIns="0" tIns="0" rIns="0" bIns="0" anchor="t">
                      <a:spAutoFit/>
                    </wps:bodyPr>
                  </wps:wsp>
                </a:graphicData>
              </a:graphic>
            </wp:anchor>
          </w:drawing>
        </mc:Choice>
        <mc:Fallback>
          <w:pict>
            <v:rect id="文本框 17"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ibp43LAQAAkwMAAA4AAABkcnMvZTJvRG9jLnhtbK1TS27bMBDdF8gd&#10;CO5jSUbRuoLloICRIEDRBkh7AJqiLAL8YYa25B6gvUFX3XTfc/kcHerjFOkmi26oGQ755r3H0fqm&#10;t4YdFaD2ruLFIudMOelr7fYV//L59nrFGUbhamG8UxU/KeQ3m6tX6y6Uaulbb2oFjEAcll2oeBtj&#10;KLMMZauswIUPylGx8WBFpBT2WQ2iI3RrsmWev8k6D3UALxUi7W7HIp8Q4SWAvmm0VFsvD1a5OKKC&#10;MiKSJGx1QL4Z2DaNkvFT06CKzFSclMZhpSYU79Kabdai3IMIrZYTBfESCs80WaEdNb1AbUUU7AD6&#10;HyirJXj0TVxIb7NRyOAIqSjyZ948tiKoQQtZjeFiOv4/WPnx+ABM1xV/XeTvOHPC0puff3w///x9&#10;/vWNFW+TRV3Akk4+hgeYMqQw6e0bsOlLSlg/2Hq62Kr6yCRtFqvlapWT45Jqc0I42dP1ABjvlLcs&#10;BRUHerfBTnH8gHE8Oh9J3YxLq/O32pixmnayRHMklqLY7/qJ7c7XJ5JJU0/grYevnHX05hV3NOKc&#10;mXtHlqbxmAOYg90cCCfpYsVHXhjeHyK1H7ilZmOHiQO91aBumqs0DH/nw6mnf2nz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Im6eNywEAAJMDAAAOAAAAAAAAAAEAIAAAAB8BAABkcnMvZTJv&#10;RG9jLnhtbFBLBQYAAAAABgAGAFkBAABcBQAAAAA=&#10;">
              <v:fill on="f" focussize="0,0"/>
              <v:stroke on="f"/>
              <v:imagedata o:title=""/>
              <o:lock v:ext="edit" aspectratio="f"/>
              <v:textbox inset="0mm,0mm,0mm,0mm" style="mso-fit-shape-to-text:t;">
                <w:txbxContent>
                  <w:p w14:paraId="48175484">
                    <w:pPr>
                      <w:pStyle w:val="18"/>
                    </w:pPr>
                    <w:r>
                      <w:fldChar w:fldCharType="begin"/>
                    </w:r>
                    <w:r>
                      <w:instrText xml:space="preserve"> PAGE  \* MERGEFORMAT </w:instrText>
                    </w:r>
                    <w:r>
                      <w:fldChar w:fldCharType="separate"/>
                    </w:r>
                    <w:r>
                      <w:t>59</w:t>
                    </w:r>
                    <w:r>
                      <w:fldChar w:fldCharType="end"/>
                    </w:r>
                  </w:p>
                </w:txbxContent>
              </v:textbox>
            </v:rect>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F7444">
    <w:pPr>
      <w:spacing w:line="186" w:lineRule="auto"/>
      <w:ind w:left="4359"/>
      <w:rPr>
        <w:rFonts w:ascii="Calibri" w:hAnsi="Calibri" w:eastAsia="Calibri" w:cs="Calibri"/>
        <w:sz w:val="17"/>
        <w:szCs w:val="17"/>
      </w:rPr>
    </w:pPr>
    <w:r>
      <w:rPr>
        <w:sz w:val="17"/>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0" name="文本框 1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0B3D44E">
                          <w:pPr>
                            <w:pStyle w:val="18"/>
                          </w:pPr>
                          <w:r>
                            <w:fldChar w:fldCharType="begin"/>
                          </w:r>
                          <w:r>
                            <w:instrText xml:space="preserve"> PAGE  \* MERGEFORMAT </w:instrText>
                          </w:r>
                          <w:r>
                            <w:fldChar w:fldCharType="separate"/>
                          </w:r>
                          <w:r>
                            <w:t>60</w:t>
                          </w:r>
                          <w:r>
                            <w:fldChar w:fldCharType="end"/>
                          </w:r>
                        </w:p>
                      </w:txbxContent>
                    </wps:txbx>
                    <wps:bodyPr vert="horz" wrap="none" lIns="0" tIns="0" rIns="0" bIns="0" anchor="t">
                      <a:spAutoFit/>
                    </wps:bodyPr>
                  </wps:wsp>
                </a:graphicData>
              </a:graphic>
            </wp:anchor>
          </w:drawing>
        </mc:Choice>
        <mc:Fallback>
          <w:pict>
            <v:rect id="文本框 18"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zdtNLJAQAAkwMAAA4AAABkcnMvZTJvRG9jLnhtbK1TS47UMBDdI3EH&#10;y3s6SQuhKOr0CKk1o5EQjDRwALfjdCz5pyp3J80B4Aas2LDnXH0Oyvn0oGEzCzZOlct+9d5zZXMz&#10;WMNOClB7V/NilXOmnPSNdoeaf/l8+6bkDKNwjTDeqZqfFfKb7etXmz5Uau07bxoFjEAcVn2oeRdj&#10;qLIMZaeswJUPylGx9WBFpBQOWQOiJ3RrsnWev8t6D00ALxUi7e6mIp8R4SWAvm21VDsvj1a5OKGC&#10;MiKSJOx0QL4d2batkvFT26KKzNSclMZxpSYU79OabTeiOoAInZYzBfESCs80WaEdNb1C7UQU7Aj6&#10;HyirJXj0bVxJb7NJyOgIqSjyZ948diKoUQtZjeFqOv4/WPnx9ABMNzV/WxRkihOW3vzy4/vl5+/L&#10;r2+sKJNFfcCKTj6GB5gzpDDpHVqw6UtK2DDaer7aqobIJG0W5boscwKXVFsSwsmergfAeKe8ZSmo&#10;OdC7jXaK0weM09HlSOpmXFqdv9XGTNW0kyWaE7EUxWE/zGz3vjmTTJp6Au88fOWspzevuaMR58zc&#10;O7I0jccSwBLsl0A4SRdrPvHC8P4Yqf3ILTWbOswc6K1GdfNcpWH4Ox9PPf1L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DN200skBAACTAwAADgAAAAAAAAABACAAAAAfAQAAZHJzL2Uyb0Rv&#10;Yy54bWxQSwUGAAAAAAYABgBZAQAAWgUAAAAA&#10;">
              <v:fill on="f" focussize="0,0"/>
              <v:stroke on="f"/>
              <v:imagedata o:title=""/>
              <o:lock v:ext="edit" aspectratio="f"/>
              <v:textbox inset="0mm,0mm,0mm,0mm" style="mso-fit-shape-to-text:t;">
                <w:txbxContent>
                  <w:p w14:paraId="00B3D44E">
                    <w:pPr>
                      <w:pStyle w:val="18"/>
                    </w:pPr>
                    <w:r>
                      <w:fldChar w:fldCharType="begin"/>
                    </w:r>
                    <w:r>
                      <w:instrText xml:space="preserve"> PAGE  \* MERGEFORMAT </w:instrText>
                    </w:r>
                    <w:r>
                      <w:fldChar w:fldCharType="separate"/>
                    </w:r>
                    <w:r>
                      <w:t>60</w:t>
                    </w:r>
                    <w:r>
                      <w:fldChar w:fldCharType="end"/>
                    </w:r>
                  </w:p>
                </w:txbxContent>
              </v:textbox>
            </v:rect>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3C75C">
    <w:pPr>
      <w:spacing w:line="188" w:lineRule="auto"/>
      <w:ind w:left="4170"/>
      <w:rPr>
        <w:rFonts w:ascii="Calibri" w:hAnsi="Calibri" w:eastAsia="Calibri" w:cs="Calibri"/>
        <w:sz w:val="17"/>
        <w:szCs w:val="17"/>
      </w:rPr>
    </w:pPr>
    <w:r>
      <w:rPr>
        <w:sz w:val="17"/>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1" name="文本框 1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A45DA4F">
                          <w:pPr>
                            <w:pStyle w:val="18"/>
                          </w:pPr>
                          <w:r>
                            <w:fldChar w:fldCharType="begin"/>
                          </w:r>
                          <w:r>
                            <w:instrText xml:space="preserve"> PAGE  \* MERGEFORMAT </w:instrText>
                          </w:r>
                          <w:r>
                            <w:fldChar w:fldCharType="separate"/>
                          </w:r>
                          <w:r>
                            <w:t>61</w:t>
                          </w:r>
                          <w:r>
                            <w:fldChar w:fldCharType="end"/>
                          </w:r>
                        </w:p>
                      </w:txbxContent>
                    </wps:txbx>
                    <wps:bodyPr vert="horz" wrap="none" lIns="0" tIns="0" rIns="0" bIns="0" anchor="t">
                      <a:spAutoFit/>
                    </wps:bodyPr>
                  </wps:wsp>
                </a:graphicData>
              </a:graphic>
            </wp:anchor>
          </w:drawing>
        </mc:Choice>
        <mc:Fallback>
          <w:pict>
            <v:rect id="文本框 19"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KyrmzLAQAAkwMAAA4AAABkcnMvZTJvRG9jLnhtbK1TS27bMBDdF+gd&#10;CO5jSUZQuILloICRokDRBkh7AJqiLAL8YYa25B6gvUFX3XTfc/kcHerjBMkmi2yoGQ755r3H0fqm&#10;t4YdFaD2ruLFIudMOelr7fYV//7t9mrFGUbhamG8UxU/KeQ3m7dv1l0o1dK33tQKGIE4LLtQ8TbG&#10;UGYZylZZgQsflKNi48GKSCnssxpER+jWZMs8f5d1HuoAXipE2t2ORT4hwksAfdNoqbZeHqxycUQF&#10;ZUQkSdjqgHwzsG0aJePXpkEVmak4KY3DSk0o3qU126xFuQcRWi0nCuIlFJ5oskI7anqB2ooo2AH0&#10;MyirJXj0TVxIb7NRyOAIqSjyJ97ctyKoQQtZjeFiOr4erPxyvAOm64pfF0XBmROW3vz8+9f5z7/z&#10;35+seJ8s6gKWdPI+3MGUIYVJb9+ATV9SwvrB1tPFVtVHJmmzWC1Xq5wcl1SbE8LJHq4HwPhRectS&#10;UHGgdxvsFMfPGMej85HUzbi0On+rjRmraSdLNEdiKYr9rp/Y7nx9Ipk09QTeevjBWUdvXnFHI86Z&#10;+eTI0jQecwBzsJsD4SRdrPjIC8OHQ6T2A7fUbOwwcaC3GtRNc5WG4XE+nHr4lzb/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isq5sywEAAJMDAAAOAAAAAAAAAAEAIAAAAB8BAABkcnMvZTJv&#10;RG9jLnhtbFBLBQYAAAAABgAGAFkBAABcBQAAAAA=&#10;">
              <v:fill on="f" focussize="0,0"/>
              <v:stroke on="f"/>
              <v:imagedata o:title=""/>
              <o:lock v:ext="edit" aspectratio="f"/>
              <v:textbox inset="0mm,0mm,0mm,0mm" style="mso-fit-shape-to-text:t;">
                <w:txbxContent>
                  <w:p w14:paraId="6A45DA4F">
                    <w:pPr>
                      <w:pStyle w:val="18"/>
                    </w:pPr>
                    <w:r>
                      <w:fldChar w:fldCharType="begin"/>
                    </w:r>
                    <w:r>
                      <w:instrText xml:space="preserve"> PAGE  \* MERGEFORMAT </w:instrText>
                    </w:r>
                    <w:r>
                      <w:fldChar w:fldCharType="separate"/>
                    </w:r>
                    <w:r>
                      <w:t>61</w:t>
                    </w:r>
                    <w:r>
                      <w:fldChar w:fldCharType="end"/>
                    </w:r>
                  </w:p>
                </w:txbxContent>
              </v:textbox>
            </v:rect>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60F61">
    <w:pPr>
      <w:spacing w:line="188" w:lineRule="auto"/>
      <w:ind w:left="4466"/>
      <w:rPr>
        <w:rFonts w:ascii="Calibri" w:hAnsi="Calibri" w:eastAsia="Calibri" w:cs="Calibri"/>
        <w:sz w:val="17"/>
        <w:szCs w:val="17"/>
      </w:rPr>
    </w:pPr>
    <w:r>
      <w:rPr>
        <w:sz w:val="17"/>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2" name="文本框 20"/>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7A6092C">
                          <w:pPr>
                            <w:pStyle w:val="18"/>
                          </w:pPr>
                          <w:r>
                            <w:fldChar w:fldCharType="begin"/>
                          </w:r>
                          <w:r>
                            <w:instrText xml:space="preserve"> PAGE  \* MERGEFORMAT </w:instrText>
                          </w:r>
                          <w:r>
                            <w:fldChar w:fldCharType="separate"/>
                          </w:r>
                          <w:r>
                            <w:t>62</w:t>
                          </w:r>
                          <w:r>
                            <w:fldChar w:fldCharType="end"/>
                          </w:r>
                        </w:p>
                      </w:txbxContent>
                    </wps:txbx>
                    <wps:bodyPr vert="horz" wrap="none" lIns="0" tIns="0" rIns="0" bIns="0" anchor="t">
                      <a:spAutoFit/>
                    </wps:bodyPr>
                  </wps:wsp>
                </a:graphicData>
              </a:graphic>
            </wp:anchor>
          </w:drawing>
        </mc:Choice>
        <mc:Fallback>
          <w:pict>
            <v:rect id="文本框 20"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c7y2PJAQAAkwMAAA4AAABkcnMvZTJvRG9jLnhtbK1TTa7TMBDeI3EH&#10;y3vqJEKoipo+IVUPISF40oMDuI7TWPKfPG6TcgC4ASs27DlXz8HYSVr02LwFG2fGM/5mvm8mm7vR&#10;aHKSAZSzDS1XBSXSCtcqe2jol8/3r9aUQOS25dpZ2dCzBHq3ffliM/haVq53upWBIIiFevAN7WP0&#10;NWMgemk4rJyXFoOdC4ZHdMOBtYEPiG40q4riDRtcaH1wQgLg7W4K0hkxPAfQdZ0ScufE0UgbJ9Qg&#10;NY9ICXrlgW5zt10nRfzUdSAj0Q1FpjGfWATtfTrZdsPrQ+C+V2JugT+nhSecDFcWi16hdjxycgzq&#10;HyijRHDgurgSzrCJSFYEWZTFE20ee+5l5oJSg7+KDv8PVnw8PQSi2oa+LsuKEssNzvzy4/vl5+/L&#10;r2+kyhINHmrMfPQPAQVLHqCZ+I5dMOmLTMiYZT1fZZVjJAIvy3W1XheouMDY4iAOuz33AeI76QxJ&#10;RkMDzi3LyU8fIE6pS0qqpm06rbtXWk/RdMNujSUrjvtx7nbv2jPSxK1H8N6Fr5QMOPOGWlxxSvR7&#10;i5Km9ViMsBj7xeBW4MOGTn2Bf3uMWD73lopNFeYecFaZ3bxXaRn+9nPW7V/a/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JzvLY8kBAACTAwAADgAAAAAAAAABACAAAAAfAQAAZHJzL2Uyb0Rv&#10;Yy54bWxQSwUGAAAAAAYABgBZAQAAWgUAAAAA&#10;">
              <v:fill on="f" focussize="0,0"/>
              <v:stroke on="f"/>
              <v:imagedata o:title=""/>
              <o:lock v:ext="edit" aspectratio="f"/>
              <v:textbox inset="0mm,0mm,0mm,0mm" style="mso-fit-shape-to-text:t;">
                <w:txbxContent>
                  <w:p w14:paraId="17A6092C">
                    <w:pPr>
                      <w:pStyle w:val="18"/>
                    </w:pPr>
                    <w:r>
                      <w:fldChar w:fldCharType="begin"/>
                    </w:r>
                    <w:r>
                      <w:instrText xml:space="preserve"> PAGE  \* MERGEFORMAT </w:instrText>
                    </w:r>
                    <w:r>
                      <w:fldChar w:fldCharType="separate"/>
                    </w:r>
                    <w:r>
                      <w:t>62</w:t>
                    </w:r>
                    <w:r>
                      <w:fldChar w:fldCharType="end"/>
                    </w:r>
                  </w:p>
                </w:txbxContent>
              </v:textbox>
            </v:rect>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2390A">
    <w:pPr>
      <w:spacing w:line="188" w:lineRule="auto"/>
      <w:ind w:left="7337"/>
      <w:rPr>
        <w:rFonts w:ascii="Calibri" w:hAnsi="Calibri" w:eastAsia="Calibri" w:cs="Calibri"/>
        <w:sz w:val="17"/>
        <w:szCs w:val="17"/>
      </w:rPr>
    </w:pPr>
    <w:r>
      <w:rPr>
        <w:sz w:val="17"/>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3" name="文本框 2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A93D30A">
                          <w:pPr>
                            <w:pStyle w:val="18"/>
                          </w:pPr>
                          <w:r>
                            <w:fldChar w:fldCharType="begin"/>
                          </w:r>
                          <w:r>
                            <w:instrText xml:space="preserve"> PAGE  \* MERGEFORMAT </w:instrText>
                          </w:r>
                          <w:r>
                            <w:fldChar w:fldCharType="separate"/>
                          </w:r>
                          <w:r>
                            <w:t>63</w:t>
                          </w:r>
                          <w:r>
                            <w:fldChar w:fldCharType="end"/>
                          </w:r>
                        </w:p>
                      </w:txbxContent>
                    </wps:txbx>
                    <wps:bodyPr vert="horz" wrap="none" lIns="0" tIns="0" rIns="0" bIns="0" anchor="t">
                      <a:spAutoFit/>
                    </wps:bodyPr>
                  </wps:wsp>
                </a:graphicData>
              </a:graphic>
            </wp:anchor>
          </w:drawing>
        </mc:Choice>
        <mc:Fallback>
          <w:pict>
            <v:rect id="文本框 21"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lU0d3LAQAAkwMAAA4AAABkcnMvZTJvRG9jLnhtbK1TS27bMBDdF+gd&#10;CO5jSU5RGILloICRokDRBkh7AJqiLAL8YYa25B6gvUFX3XTfc/kcHerjBMkmi2yoGQ755r3H0fqm&#10;t4YdFaD2ruLFIudMOelr7fYV//7t9mrFGUbhamG8UxU/KeQ3m7dv1l0o1dK33tQKGIE4LLtQ8TbG&#10;UGYZylZZgQsflKNi48GKSCnssxpER+jWZMs8f591HuoAXipE2t2ORT4hwksAfdNoqbZeHqxycUQF&#10;ZUQkSdjqgHwzsG0aJePXpkEVmak4KY3DSk0o3qU126xFuQcRWi0nCuIlFJ5oskI7anqB2ooo2AH0&#10;MyirJXj0TVxIb7NRyOAIqSjyJ97ctyKoQQtZjeFiOr4erPxyvAOm64q/K4przpyw9Obn37/Of/6d&#10;//5kyyJZ1AUs6eR9uIMpQwqT3r4Bm76khPWDraeLraqPTNJmsVquVjk5Lqk2J4STPVwPgPGj8pal&#10;oOJA7zbYKY6fMY5H5yOpm3Fpdf5WGzNW006WaI7EUhT7XT+x3fn6RDJp6gm89fCDs47evOKORpwz&#10;88mRpWk85gDmYDcHwkm6WPGRF4YPh0jtB26p2dhh4kBvNaib5ioNw+N8OPXwL23+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JVNHdywEAAJMDAAAOAAAAAAAAAAEAIAAAAB8BAABkcnMvZTJv&#10;RG9jLnhtbFBLBQYAAAAABgAGAFkBAABcBQAAAAA=&#10;">
              <v:fill on="f" focussize="0,0"/>
              <v:stroke on="f"/>
              <v:imagedata o:title=""/>
              <o:lock v:ext="edit" aspectratio="f"/>
              <v:textbox inset="0mm,0mm,0mm,0mm" style="mso-fit-shape-to-text:t;">
                <w:txbxContent>
                  <w:p w14:paraId="2A93D30A">
                    <w:pPr>
                      <w:pStyle w:val="18"/>
                    </w:pPr>
                    <w:r>
                      <w:fldChar w:fldCharType="begin"/>
                    </w:r>
                    <w:r>
                      <w:instrText xml:space="preserve"> PAGE  \* MERGEFORMAT </w:instrText>
                    </w:r>
                    <w:r>
                      <w:fldChar w:fldCharType="separate"/>
                    </w:r>
                    <w:r>
                      <w:t>63</w:t>
                    </w:r>
                    <w:r>
                      <w:fldChar w:fldCharType="end"/>
                    </w:r>
                  </w:p>
                </w:txbxContent>
              </v:textbox>
            </v:rect>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E7546">
    <w:pPr>
      <w:spacing w:line="186" w:lineRule="auto"/>
      <w:ind w:left="4803"/>
      <w:rPr>
        <w:rFonts w:ascii="Calibri" w:hAnsi="Calibri" w:eastAsia="Calibri" w:cs="Calibri"/>
        <w:sz w:val="17"/>
        <w:szCs w:val="17"/>
      </w:rPr>
    </w:pPr>
    <w:r>
      <w:rPr>
        <w:sz w:val="17"/>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4" name="文本框 2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8F9C342">
                          <w:pPr>
                            <w:pStyle w:val="18"/>
                          </w:pPr>
                          <w:r>
                            <w:fldChar w:fldCharType="begin"/>
                          </w:r>
                          <w:r>
                            <w:instrText xml:space="preserve"> PAGE  \* MERGEFORMAT </w:instrText>
                          </w:r>
                          <w:r>
                            <w:fldChar w:fldCharType="separate"/>
                          </w:r>
                          <w:r>
                            <w:t>64</w:t>
                          </w:r>
                          <w:r>
                            <w:fldChar w:fldCharType="end"/>
                          </w:r>
                        </w:p>
                      </w:txbxContent>
                    </wps:txbx>
                    <wps:bodyPr vert="horz" wrap="none" lIns="0" tIns="0" rIns="0" bIns="0" anchor="t">
                      <a:spAutoFit/>
                    </wps:bodyPr>
                  </wps:wsp>
                </a:graphicData>
              </a:graphic>
            </wp:anchor>
          </w:drawing>
        </mc:Choice>
        <mc:Fallback>
          <w:pict>
            <v:rect id="文本框 2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SqsGTKAQAAkwMAAA4AAABkcnMvZTJvRG9jLnhtbK1TS44TMRDdI3EH&#10;y3vSH41Q1EpnhBQNQkIw0sABHLc7bck/VTnpDgeAG7Biw55z5RyU+5MZDZtZsHFXuexX7z1Xb24H&#10;a9hJAWrval6scs6Uk77R7lDzr1/u3qw5wyhcI4x3quZnhfx2+/rVpg+VKn3nTaOAEYjDqg8172IM&#10;VZah7JQVuPJBOSq2HqyIlMIha0D0hG5NVub526z30ATwUiHS7m4q8hkRXgLo21ZLtfPyaJWLEyoo&#10;IyJJwk4H5NuRbdsqGT+3LarITM1JaRxXakLxPq3ZdiOqA4jQaTlTEC+h8EyTFdpR0yvUTkTBjqD/&#10;gbJagkffxpX0NpuEjI6QiiJ/5s1DJ4IatZDVGK6m4/+DlZ9O98B0U/OborjhzAlLb375+ePy68/l&#10;93dWlsmiPmBFJx/CPcwZUpj0Di3Y9CUlbBhtPV9tVUNkkjaLdble5+S4pNqSEE72eD0AxvfKW5aC&#10;mgO922inOH3EOB1djqRuxqXV+TttzFRNO1miORFLURz2w8x275szyaSpJ/DOwzfOenrzmjsacc7M&#10;B0eWpvFYAliC/RIIJ+lizSdeGN4dI7UfuaVmU4eZA73VqG6eqzQMT/Px1OO/tP0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KSqsGTKAQAAkwMAAA4AAAAAAAAAAQAgAAAAHwEAAGRycy9lMm9E&#10;b2MueG1sUEsFBgAAAAAGAAYAWQEAAFsFAAAAAA==&#10;">
              <v:fill on="f" focussize="0,0"/>
              <v:stroke on="f"/>
              <v:imagedata o:title=""/>
              <o:lock v:ext="edit" aspectratio="f"/>
              <v:textbox inset="0mm,0mm,0mm,0mm" style="mso-fit-shape-to-text:t;">
                <w:txbxContent>
                  <w:p w14:paraId="28F9C342">
                    <w:pPr>
                      <w:pStyle w:val="18"/>
                    </w:pPr>
                    <w:r>
                      <w:fldChar w:fldCharType="begin"/>
                    </w:r>
                    <w:r>
                      <w:instrText xml:space="preserve"> PAGE  \* MERGEFORMAT </w:instrText>
                    </w:r>
                    <w:r>
                      <w:fldChar w:fldCharType="separate"/>
                    </w:r>
                    <w:r>
                      <w:t>64</w:t>
                    </w:r>
                    <w:r>
                      <w:fldChar w:fldCharType="end"/>
                    </w:r>
                  </w:p>
                </w:txbxContent>
              </v:textbox>
            </v:rect>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6DE99">
    <w:pPr>
      <w:spacing w:line="188" w:lineRule="auto"/>
      <w:ind w:left="4661"/>
      <w:rPr>
        <w:rFonts w:ascii="Calibri" w:hAnsi="Calibri" w:eastAsia="Calibri" w:cs="Calibri"/>
        <w:sz w:val="17"/>
        <w:szCs w:val="17"/>
      </w:rPr>
    </w:pPr>
    <w:r>
      <w:rPr>
        <w:sz w:val="17"/>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5" name="文本框 2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83FB99B">
                          <w:pPr>
                            <w:pStyle w:val="18"/>
                          </w:pPr>
                          <w:r>
                            <w:fldChar w:fldCharType="begin"/>
                          </w:r>
                          <w:r>
                            <w:instrText xml:space="preserve"> PAGE  \* MERGEFORMAT </w:instrText>
                          </w:r>
                          <w:r>
                            <w:fldChar w:fldCharType="separate"/>
                          </w:r>
                          <w:r>
                            <w:t>67</w:t>
                          </w:r>
                          <w:r>
                            <w:fldChar w:fldCharType="end"/>
                          </w:r>
                        </w:p>
                      </w:txbxContent>
                    </wps:txbx>
                    <wps:bodyPr vert="horz" wrap="none" lIns="0" tIns="0" rIns="0" bIns="0" anchor="t">
                      <a:spAutoFit/>
                    </wps:bodyPr>
                  </wps:wsp>
                </a:graphicData>
              </a:graphic>
            </wp:anchor>
          </w:drawing>
        </mc:Choice>
        <mc:Fallback>
          <w:pict>
            <v:rect id="文本框 25"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3HNBjLAQAAkwMAAA4AAABkcnMvZTJvRG9jLnhtbK1TS27bMBDdF8gd&#10;CO5jSUZTGILloICRIkDQBkh7AJqiLAL8YYa25B6gvUFX3XTfc/kcHerjFOkmi26oGQ755r3H0fq2&#10;t4YdFaD2ruLFIudMOelr7fYV//L57nrFGUbhamG8UxU/KeS3m6s36y6Uaulbb2oFjEAcll2oeBtj&#10;KLMMZauswIUPylGx8WBFpBT2WQ2iI3RrsmWev8s6D3UALxUi7W7HIp8Q4TWAvmm0VFsvD1a5OKKC&#10;MiKSJGx1QL4Z2DaNkvFT06CKzFSclMZhpSYU79Kabdai3IMIrZYTBfEaCi80WaEdNb1AbUUU7AD6&#10;HyirJXj0TVxIb7NRyOAIqSjyF948tSKoQQtZjeFiOv4/WPnx+AhM1xV/WxQ3nDlh6c3PP76ff/4+&#10;//rGljfJoi5gSSefwiNMGVKY9PYN2PQlJawfbD1dbFV9ZJI2i9VytcrJcUm1OSGc7Pl6AIwflLcs&#10;BRUHerfBTnF8wDgenY+kbsal1fk7bcxYTTtZojkSS1Hsd/3EdufrE8mkqSfw1sNXzjp684o7GnHO&#10;zL0jS9N4zAHMwW4OhJN0seIjLwzvD5HaD9xSs7HDxIHealA3zVUahr/z4dTzv7T5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C9xzQYywEAAJMDAAAOAAAAAAAAAAEAIAAAAB8BAABkcnMvZTJv&#10;RG9jLnhtbFBLBQYAAAAABgAGAFkBAABcBQAAAAA=&#10;">
              <v:fill on="f" focussize="0,0"/>
              <v:stroke on="f"/>
              <v:imagedata o:title=""/>
              <o:lock v:ext="edit" aspectratio="f"/>
              <v:textbox inset="0mm,0mm,0mm,0mm" style="mso-fit-shape-to-text:t;">
                <w:txbxContent>
                  <w:p w14:paraId="683FB99B">
                    <w:pPr>
                      <w:pStyle w:val="18"/>
                    </w:pPr>
                    <w:r>
                      <w:fldChar w:fldCharType="begin"/>
                    </w:r>
                    <w:r>
                      <w:instrText xml:space="preserve"> PAGE  \* MERGEFORMAT </w:instrText>
                    </w:r>
                    <w:r>
                      <w:fldChar w:fldCharType="separate"/>
                    </w:r>
                    <w:r>
                      <w:t>67</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chineseCounting"/>
      <w:suff w:val="nothing"/>
      <w:lvlText w:val="第%1章 "/>
      <w:lvlJc w:val="left"/>
      <w:pPr>
        <w:ind w:left="432" w:hanging="432"/>
      </w:pPr>
      <w:rPr>
        <w:rFonts w:hint="eastAsia"/>
      </w:rPr>
    </w:lvl>
    <w:lvl w:ilvl="1" w:tentative="0">
      <w:start w:val="1"/>
      <w:numFmt w:val="decimal"/>
      <w:isLgl/>
      <w:lvlText w:val="%1.%2."/>
      <w:lvlJc w:val="left"/>
      <w:pPr>
        <w:ind w:left="575" w:hanging="575"/>
      </w:pPr>
      <w:rPr>
        <w:rFonts w:hint="eastAsia"/>
      </w:rPr>
    </w:lvl>
    <w:lvl w:ilvl="2" w:tentative="0">
      <w:start w:val="1"/>
      <w:numFmt w:val="decimal"/>
      <w:isLgl/>
      <w:lvlText w:val="%1.%2.%3."/>
      <w:lvlJc w:val="left"/>
      <w:pPr>
        <w:ind w:left="720"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pStyle w:val="9"/>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1">
    <w:nsid w:val="00000007"/>
    <w:multiLevelType w:val="multilevel"/>
    <w:tmpl w:val="00000007"/>
    <w:lvl w:ilvl="0" w:tentative="0">
      <w:start w:val="1"/>
      <w:numFmt w:val="chineseCounting"/>
      <w:suff w:val="nothing"/>
      <w:lvlText w:val="%1、"/>
      <w:lvlJc w:val="left"/>
      <w:pPr>
        <w:tabs>
          <w:tab w:val="left" w:pos="0"/>
        </w:tabs>
        <w:ind w:left="0" w:firstLine="0"/>
      </w:pPr>
      <w:rPr>
        <w:rFonts w:hint="eastAsia" w:ascii="宋体" w:hAnsi="宋体" w:eastAsia="宋体" w:cs="宋体"/>
        <w:sz w:val="24"/>
        <w:szCs w:val="24"/>
      </w:rPr>
    </w:lvl>
    <w:lvl w:ilvl="1" w:tentative="0">
      <w:start w:val="1"/>
      <w:numFmt w:val="chineseCounting"/>
      <w:pStyle w:val="5"/>
      <w:suff w:val="nothing"/>
      <w:lvlText w:val="（%2）"/>
      <w:lvlJc w:val="left"/>
      <w:pPr>
        <w:ind w:left="0" w:firstLine="0"/>
      </w:pPr>
      <w:rPr>
        <w:rFonts w:hint="eastAsia" w:ascii="宋体" w:hAnsi="宋体" w:eastAsia="宋体" w:cs="宋体"/>
        <w:sz w:val="24"/>
        <w:szCs w:val="24"/>
      </w:rPr>
    </w:lvl>
    <w:lvl w:ilvl="2" w:tentative="0">
      <w:start w:val="1"/>
      <w:numFmt w:val="decimal"/>
      <w:suff w:val="nothing"/>
      <w:lvlText w:val="%3．"/>
      <w:lvlJc w:val="left"/>
      <w:pPr>
        <w:ind w:left="210" w:firstLine="400"/>
      </w:pPr>
      <w:rPr>
        <w:rFonts w:hint="eastAsia" w:ascii="宋体" w:hAnsi="宋体" w:eastAsia="宋体" w:cs="宋体"/>
        <w:sz w:val="24"/>
        <w:szCs w:val="24"/>
      </w:rPr>
    </w:lvl>
    <w:lvl w:ilvl="3" w:tentative="0">
      <w:start w:val="1"/>
      <w:numFmt w:val="decimal"/>
      <w:suff w:val="nothing"/>
      <w:lvlText w:val="（%4）"/>
      <w:lvlJc w:val="left"/>
      <w:pPr>
        <w:ind w:left="0" w:firstLine="0"/>
      </w:pPr>
      <w:rPr>
        <w:rFonts w:hint="eastAsia" w:ascii="宋体" w:hAnsi="宋体" w:eastAsia="宋体" w:cs="宋体"/>
        <w:sz w:val="24"/>
        <w:szCs w:val="24"/>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
    <w:nsid w:val="00000008"/>
    <w:multiLevelType w:val="singleLevel"/>
    <w:tmpl w:val="00000008"/>
    <w:lvl w:ilvl="0" w:tentative="0">
      <w:start w:val="4"/>
      <w:numFmt w:val="chineseCounting"/>
      <w:suff w:val="nothing"/>
      <w:lvlText w:val="%1、"/>
      <w:lvlJc w:val="left"/>
      <w:rPr>
        <w:rFonts w:hint="eastAsia"/>
      </w:rPr>
    </w:lvl>
  </w:abstractNum>
  <w:abstractNum w:abstractNumId="3">
    <w:nsid w:val="198AAB16"/>
    <w:multiLevelType w:val="singleLevel"/>
    <w:tmpl w:val="198AAB16"/>
    <w:lvl w:ilvl="0" w:tentative="0">
      <w:start w:val="1"/>
      <w:numFmt w:val="chineseCounting"/>
      <w:pStyle w:val="65"/>
      <w:suff w:val="nothing"/>
      <w:lvlText w:val="%1、"/>
      <w:lvlJc w:val="left"/>
      <w:pPr>
        <w:ind w:left="0" w:firstLine="420"/>
      </w:pPr>
      <w:rPr>
        <w:rFonts w:hint="eastAsia"/>
      </w:rPr>
    </w:lvl>
  </w:abstractNum>
  <w:abstractNum w:abstractNumId="4">
    <w:nsid w:val="66AB5B5E"/>
    <w:multiLevelType w:val="singleLevel"/>
    <w:tmpl w:val="66AB5B5E"/>
    <w:lvl w:ilvl="0" w:tentative="0">
      <w:start w:val="3"/>
      <w:numFmt w:val="decimal"/>
      <w:suff w:val="nothing"/>
      <w:lvlText w:val="（%1）"/>
      <w:lvlJc w:val="left"/>
    </w:lvl>
  </w:abstractNum>
  <w:abstractNum w:abstractNumId="5">
    <w:nsid w:val="783C587B"/>
    <w:multiLevelType w:val="multilevel"/>
    <w:tmpl w:val="783C587B"/>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num w:numId="1">
    <w:abstractNumId w:val="1"/>
  </w:num>
  <w:num w:numId="2">
    <w:abstractNumId w:val="0"/>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Y0NGExZTIxOGQ5OWFlN2I2Y2MwZmJmZTJkYTIxMjQifQ=="/>
  </w:docVars>
  <w:rsids>
    <w:rsidRoot w:val="00000000"/>
    <w:rsid w:val="00207F35"/>
    <w:rsid w:val="003A6B66"/>
    <w:rsid w:val="007C0F2D"/>
    <w:rsid w:val="009C337D"/>
    <w:rsid w:val="00AB35C0"/>
    <w:rsid w:val="00FE7BF9"/>
    <w:rsid w:val="0159301C"/>
    <w:rsid w:val="01AF70E0"/>
    <w:rsid w:val="02165344"/>
    <w:rsid w:val="02346455"/>
    <w:rsid w:val="0236335D"/>
    <w:rsid w:val="027E0C2A"/>
    <w:rsid w:val="02840270"/>
    <w:rsid w:val="028E4F47"/>
    <w:rsid w:val="02B2505C"/>
    <w:rsid w:val="033907C5"/>
    <w:rsid w:val="03B135A0"/>
    <w:rsid w:val="042C7B36"/>
    <w:rsid w:val="042F236B"/>
    <w:rsid w:val="04CB1E10"/>
    <w:rsid w:val="05340028"/>
    <w:rsid w:val="054B586B"/>
    <w:rsid w:val="05FE61F2"/>
    <w:rsid w:val="066B167A"/>
    <w:rsid w:val="067A5F0E"/>
    <w:rsid w:val="09191057"/>
    <w:rsid w:val="095A3DD5"/>
    <w:rsid w:val="098A290C"/>
    <w:rsid w:val="099E26EF"/>
    <w:rsid w:val="0AAA2B3A"/>
    <w:rsid w:val="0ADE3BB0"/>
    <w:rsid w:val="0B386398"/>
    <w:rsid w:val="0B3A406F"/>
    <w:rsid w:val="0B8B64C8"/>
    <w:rsid w:val="0C63281E"/>
    <w:rsid w:val="0CCC4FEA"/>
    <w:rsid w:val="0CE911C3"/>
    <w:rsid w:val="0D701E19"/>
    <w:rsid w:val="0DF5231E"/>
    <w:rsid w:val="0E770F85"/>
    <w:rsid w:val="0EC817E1"/>
    <w:rsid w:val="0EF95E3E"/>
    <w:rsid w:val="0F3F6D80"/>
    <w:rsid w:val="0F6634D4"/>
    <w:rsid w:val="0F9D4A1B"/>
    <w:rsid w:val="0FDD0E57"/>
    <w:rsid w:val="107D490A"/>
    <w:rsid w:val="11196324"/>
    <w:rsid w:val="116D721B"/>
    <w:rsid w:val="11E76422"/>
    <w:rsid w:val="12624A54"/>
    <w:rsid w:val="126D1CBF"/>
    <w:rsid w:val="129442FC"/>
    <w:rsid w:val="136715C8"/>
    <w:rsid w:val="13BD568C"/>
    <w:rsid w:val="13C36AF0"/>
    <w:rsid w:val="13DD7ADC"/>
    <w:rsid w:val="14B65D67"/>
    <w:rsid w:val="161A7070"/>
    <w:rsid w:val="16E9271A"/>
    <w:rsid w:val="17125CEF"/>
    <w:rsid w:val="17B56640"/>
    <w:rsid w:val="17C074F9"/>
    <w:rsid w:val="182E4DAB"/>
    <w:rsid w:val="188F2489"/>
    <w:rsid w:val="190B50EC"/>
    <w:rsid w:val="19120228"/>
    <w:rsid w:val="1A8C1DD9"/>
    <w:rsid w:val="1AED589C"/>
    <w:rsid w:val="1B0011DE"/>
    <w:rsid w:val="1B0818E3"/>
    <w:rsid w:val="1B186FA4"/>
    <w:rsid w:val="1B5468D6"/>
    <w:rsid w:val="1B9273FE"/>
    <w:rsid w:val="1D0B56BA"/>
    <w:rsid w:val="1D2642A2"/>
    <w:rsid w:val="1D345DF0"/>
    <w:rsid w:val="1D383FD6"/>
    <w:rsid w:val="1D3D6A4B"/>
    <w:rsid w:val="1F362BBF"/>
    <w:rsid w:val="1FA140B4"/>
    <w:rsid w:val="1FD471C5"/>
    <w:rsid w:val="20D83B05"/>
    <w:rsid w:val="2161214D"/>
    <w:rsid w:val="22B12860"/>
    <w:rsid w:val="233B037C"/>
    <w:rsid w:val="23BA6FBE"/>
    <w:rsid w:val="2471674B"/>
    <w:rsid w:val="2479432D"/>
    <w:rsid w:val="25C1100C"/>
    <w:rsid w:val="25DE388F"/>
    <w:rsid w:val="26154EB4"/>
    <w:rsid w:val="273A72C8"/>
    <w:rsid w:val="2753036E"/>
    <w:rsid w:val="27606603"/>
    <w:rsid w:val="27C60AB0"/>
    <w:rsid w:val="28757E8C"/>
    <w:rsid w:val="291A4CAD"/>
    <w:rsid w:val="29211DC2"/>
    <w:rsid w:val="29357A83"/>
    <w:rsid w:val="29785E86"/>
    <w:rsid w:val="29E72BF1"/>
    <w:rsid w:val="2A1F3093"/>
    <w:rsid w:val="2AAB4039"/>
    <w:rsid w:val="2C336F35"/>
    <w:rsid w:val="2D020717"/>
    <w:rsid w:val="2D510EC7"/>
    <w:rsid w:val="2D575863"/>
    <w:rsid w:val="2D9E60D7"/>
    <w:rsid w:val="2DE47F8D"/>
    <w:rsid w:val="2F1228D8"/>
    <w:rsid w:val="2F5C3B54"/>
    <w:rsid w:val="2FAF6379"/>
    <w:rsid w:val="2FCE1DB4"/>
    <w:rsid w:val="2FDE27BA"/>
    <w:rsid w:val="30D37E45"/>
    <w:rsid w:val="315C772F"/>
    <w:rsid w:val="318555E4"/>
    <w:rsid w:val="31FC33CC"/>
    <w:rsid w:val="324E3C27"/>
    <w:rsid w:val="335C05C6"/>
    <w:rsid w:val="33B403D3"/>
    <w:rsid w:val="3417273F"/>
    <w:rsid w:val="347D6A46"/>
    <w:rsid w:val="34B90A7B"/>
    <w:rsid w:val="35235501"/>
    <w:rsid w:val="35521C81"/>
    <w:rsid w:val="356C49DA"/>
    <w:rsid w:val="35E115C1"/>
    <w:rsid w:val="369D33CF"/>
    <w:rsid w:val="37615141"/>
    <w:rsid w:val="37651714"/>
    <w:rsid w:val="37767378"/>
    <w:rsid w:val="37AB38CA"/>
    <w:rsid w:val="38185E2F"/>
    <w:rsid w:val="38675A43"/>
    <w:rsid w:val="38A722E3"/>
    <w:rsid w:val="38C83EBE"/>
    <w:rsid w:val="3A1F1CA4"/>
    <w:rsid w:val="3A43603C"/>
    <w:rsid w:val="3B387EFA"/>
    <w:rsid w:val="3B7A4FE6"/>
    <w:rsid w:val="3B9528C7"/>
    <w:rsid w:val="3BB74B6D"/>
    <w:rsid w:val="3BBD1E1E"/>
    <w:rsid w:val="3C2C331B"/>
    <w:rsid w:val="3D0238C1"/>
    <w:rsid w:val="3E442382"/>
    <w:rsid w:val="3E4D1237"/>
    <w:rsid w:val="3EFFA24C"/>
    <w:rsid w:val="3F1C374E"/>
    <w:rsid w:val="3FE756BB"/>
    <w:rsid w:val="3FEFA557"/>
    <w:rsid w:val="40387CC5"/>
    <w:rsid w:val="408F1FDB"/>
    <w:rsid w:val="40925627"/>
    <w:rsid w:val="40EB2F89"/>
    <w:rsid w:val="41AF2209"/>
    <w:rsid w:val="422F753F"/>
    <w:rsid w:val="425D2049"/>
    <w:rsid w:val="42E934F8"/>
    <w:rsid w:val="43664B49"/>
    <w:rsid w:val="442F13DF"/>
    <w:rsid w:val="448766C3"/>
    <w:rsid w:val="45887465"/>
    <w:rsid w:val="4594599D"/>
    <w:rsid w:val="45B871E1"/>
    <w:rsid w:val="4699195A"/>
    <w:rsid w:val="46A16181"/>
    <w:rsid w:val="46C068FD"/>
    <w:rsid w:val="46C978C9"/>
    <w:rsid w:val="473311E6"/>
    <w:rsid w:val="47A63E71"/>
    <w:rsid w:val="47C3256A"/>
    <w:rsid w:val="47DB78B4"/>
    <w:rsid w:val="47E013A1"/>
    <w:rsid w:val="4861761A"/>
    <w:rsid w:val="486D24D6"/>
    <w:rsid w:val="48E04A06"/>
    <w:rsid w:val="49E92301"/>
    <w:rsid w:val="4A4A6F73"/>
    <w:rsid w:val="4A8D175A"/>
    <w:rsid w:val="4AB80380"/>
    <w:rsid w:val="4B2B56D6"/>
    <w:rsid w:val="4B67093E"/>
    <w:rsid w:val="4C0C0983"/>
    <w:rsid w:val="4E0A0EF3"/>
    <w:rsid w:val="4EC248E9"/>
    <w:rsid w:val="507B60D8"/>
    <w:rsid w:val="51475FBA"/>
    <w:rsid w:val="52132340"/>
    <w:rsid w:val="52956C08"/>
    <w:rsid w:val="52CF3A41"/>
    <w:rsid w:val="53DA3115"/>
    <w:rsid w:val="546E5C98"/>
    <w:rsid w:val="55344AA7"/>
    <w:rsid w:val="558902F7"/>
    <w:rsid w:val="55B92FF0"/>
    <w:rsid w:val="560B1CAC"/>
    <w:rsid w:val="561A1BD8"/>
    <w:rsid w:val="56AE0AF2"/>
    <w:rsid w:val="571628C8"/>
    <w:rsid w:val="57335A1F"/>
    <w:rsid w:val="57C31C00"/>
    <w:rsid w:val="584E76A7"/>
    <w:rsid w:val="58E30CBE"/>
    <w:rsid w:val="58F77B64"/>
    <w:rsid w:val="5ABC3575"/>
    <w:rsid w:val="5AC02939"/>
    <w:rsid w:val="5B13515F"/>
    <w:rsid w:val="5B4A5896"/>
    <w:rsid w:val="5B865931"/>
    <w:rsid w:val="5CB14C2F"/>
    <w:rsid w:val="5D0C38DF"/>
    <w:rsid w:val="5E37145B"/>
    <w:rsid w:val="5E994821"/>
    <w:rsid w:val="5EBD78BB"/>
    <w:rsid w:val="5F7F1015"/>
    <w:rsid w:val="5FB25257"/>
    <w:rsid w:val="5FD30B8B"/>
    <w:rsid w:val="60BE791B"/>
    <w:rsid w:val="6238111E"/>
    <w:rsid w:val="62940A10"/>
    <w:rsid w:val="62AE006E"/>
    <w:rsid w:val="631A352E"/>
    <w:rsid w:val="63276573"/>
    <w:rsid w:val="634E3437"/>
    <w:rsid w:val="63555179"/>
    <w:rsid w:val="63C90AB0"/>
    <w:rsid w:val="63CD4FA9"/>
    <w:rsid w:val="646400F5"/>
    <w:rsid w:val="64967A65"/>
    <w:rsid w:val="65FF25D9"/>
    <w:rsid w:val="66657707"/>
    <w:rsid w:val="66D6120F"/>
    <w:rsid w:val="67C3769D"/>
    <w:rsid w:val="67D13202"/>
    <w:rsid w:val="68910714"/>
    <w:rsid w:val="68B1654A"/>
    <w:rsid w:val="690A7BA1"/>
    <w:rsid w:val="69F529EE"/>
    <w:rsid w:val="6A460108"/>
    <w:rsid w:val="6B7B1AB7"/>
    <w:rsid w:val="6C5C22D4"/>
    <w:rsid w:val="6D371181"/>
    <w:rsid w:val="6E522AE8"/>
    <w:rsid w:val="6EA14120"/>
    <w:rsid w:val="6EF90AB4"/>
    <w:rsid w:val="6F2579BF"/>
    <w:rsid w:val="6FEF3C1B"/>
    <w:rsid w:val="70512430"/>
    <w:rsid w:val="71871854"/>
    <w:rsid w:val="72C2329A"/>
    <w:rsid w:val="72E03917"/>
    <w:rsid w:val="72F316A6"/>
    <w:rsid w:val="738E5CE6"/>
    <w:rsid w:val="73B513F3"/>
    <w:rsid w:val="73DB194D"/>
    <w:rsid w:val="74C84772"/>
    <w:rsid w:val="74E74A45"/>
    <w:rsid w:val="76684159"/>
    <w:rsid w:val="76745EA9"/>
    <w:rsid w:val="76F854DD"/>
    <w:rsid w:val="779F004E"/>
    <w:rsid w:val="77E141C3"/>
    <w:rsid w:val="78232A2D"/>
    <w:rsid w:val="78FA1C9A"/>
    <w:rsid w:val="79116D2A"/>
    <w:rsid w:val="79537342"/>
    <w:rsid w:val="7A796935"/>
    <w:rsid w:val="7C9215A5"/>
    <w:rsid w:val="7D2854EC"/>
    <w:rsid w:val="7DBD2FDC"/>
    <w:rsid w:val="7DC4436B"/>
    <w:rsid w:val="7DC73E5B"/>
    <w:rsid w:val="7E68119A"/>
    <w:rsid w:val="7F71187E"/>
    <w:rsid w:val="7F863192"/>
    <w:rsid w:val="FDF617A8"/>
    <w:rsid w:val="FFBC92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qFormat="1" w:unhideWhenUsed="0" w:uiPriority="9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4">
    <w:name w:val="heading 1"/>
    <w:basedOn w:val="1"/>
    <w:next w:val="1"/>
    <w:link w:val="40"/>
    <w:autoRedefine/>
    <w:qFormat/>
    <w:uiPriority w:val="0"/>
    <w:pPr>
      <w:keepNext/>
      <w:keepLines/>
      <w:spacing w:before="340" w:after="330" w:line="578" w:lineRule="auto"/>
      <w:outlineLvl w:val="0"/>
    </w:pPr>
    <w:rPr>
      <w:b/>
      <w:bCs/>
      <w:kern w:val="44"/>
      <w:sz w:val="44"/>
      <w:szCs w:val="44"/>
    </w:rPr>
  </w:style>
  <w:style w:type="paragraph" w:styleId="5">
    <w:name w:val="heading 2"/>
    <w:basedOn w:val="1"/>
    <w:next w:val="1"/>
    <w:autoRedefine/>
    <w:qFormat/>
    <w:uiPriority w:val="0"/>
    <w:pPr>
      <w:keepNext/>
      <w:keepLines/>
      <w:numPr>
        <w:ilvl w:val="1"/>
        <w:numId w:val="1"/>
      </w:numPr>
      <w:tabs>
        <w:tab w:val="left" w:pos="360"/>
        <w:tab w:val="left" w:pos="420"/>
      </w:tabs>
      <w:spacing w:line="360" w:lineRule="auto"/>
      <w:outlineLvl w:val="1"/>
    </w:pPr>
    <w:rPr>
      <w:rFonts w:eastAsia="宋体"/>
      <w:b/>
      <w:sz w:val="24"/>
      <w:szCs w:val="20"/>
    </w:rPr>
  </w:style>
  <w:style w:type="paragraph" w:styleId="6">
    <w:name w:val="heading 3"/>
    <w:basedOn w:val="1"/>
    <w:next w:val="7"/>
    <w:autoRedefine/>
    <w:qFormat/>
    <w:uiPriority w:val="9"/>
    <w:pPr>
      <w:keepNext/>
      <w:keepLines/>
      <w:tabs>
        <w:tab w:val="left" w:pos="643"/>
        <w:tab w:val="left" w:pos="2651"/>
      </w:tabs>
      <w:spacing w:before="260" w:after="260" w:line="416" w:lineRule="auto"/>
      <w:ind w:left="1418" w:hanging="567"/>
      <w:outlineLvl w:val="2"/>
    </w:pPr>
    <w:rPr>
      <w:b/>
      <w:sz w:val="32"/>
      <w:szCs w:val="20"/>
    </w:rPr>
  </w:style>
  <w:style w:type="paragraph" w:styleId="8">
    <w:name w:val="heading 4"/>
    <w:basedOn w:val="1"/>
    <w:next w:val="1"/>
    <w:autoRedefine/>
    <w:qFormat/>
    <w:uiPriority w:val="0"/>
    <w:pPr>
      <w:keepNext/>
      <w:keepLines/>
      <w:spacing w:before="280" w:after="290" w:line="376" w:lineRule="auto"/>
      <w:outlineLvl w:val="3"/>
    </w:pPr>
    <w:rPr>
      <w:rFonts w:ascii="Cambria" w:hAnsi="Cambria" w:eastAsia="宋体" w:cs="Times New Roman"/>
      <w:b/>
      <w:bCs/>
      <w:sz w:val="28"/>
      <w:szCs w:val="28"/>
    </w:rPr>
  </w:style>
  <w:style w:type="paragraph" w:styleId="9">
    <w:name w:val="heading 5"/>
    <w:basedOn w:val="1"/>
    <w:next w:val="1"/>
    <w:autoRedefine/>
    <w:qFormat/>
    <w:uiPriority w:val="0"/>
    <w:pPr>
      <w:keepNext/>
      <w:keepLines/>
      <w:numPr>
        <w:ilvl w:val="4"/>
        <w:numId w:val="2"/>
      </w:numPr>
      <w:spacing w:before="280" w:after="290" w:line="372" w:lineRule="auto"/>
      <w:ind w:firstLine="0"/>
      <w:outlineLvl w:val="4"/>
    </w:pPr>
    <w:rPr>
      <w:b/>
    </w:rPr>
  </w:style>
  <w:style w:type="character" w:default="1" w:styleId="32">
    <w:name w:val="Default Paragraph Font"/>
    <w:autoRedefine/>
    <w:qFormat/>
    <w:uiPriority w:val="1"/>
  </w:style>
  <w:style w:type="table" w:default="1" w:styleId="30">
    <w:name w:val="Normal Table"/>
    <w:autoRedefine/>
    <w:qFormat/>
    <w:uiPriority w:val="99"/>
    <w:tblPr>
      <w:tblCellMar>
        <w:top w:w="0" w:type="dxa"/>
        <w:left w:w="108" w:type="dxa"/>
        <w:bottom w:w="0" w:type="dxa"/>
        <w:right w:w="108" w:type="dxa"/>
      </w:tblCellMar>
    </w:tblPr>
  </w:style>
  <w:style w:type="paragraph" w:styleId="2">
    <w:name w:val="Body Text"/>
    <w:basedOn w:val="1"/>
    <w:next w:val="3"/>
    <w:autoRedefine/>
    <w:qFormat/>
    <w:uiPriority w:val="0"/>
    <w:pPr>
      <w:spacing w:after="120"/>
    </w:pPr>
    <w:rPr>
      <w:sz w:val="20"/>
    </w:rPr>
  </w:style>
  <w:style w:type="paragraph" w:styleId="3">
    <w:name w:val="toc 2"/>
    <w:basedOn w:val="1"/>
    <w:next w:val="1"/>
    <w:autoRedefine/>
    <w:qFormat/>
    <w:uiPriority w:val="39"/>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customStyle="1" w:styleId="7">
    <w:name w:val="标书正文格式"/>
    <w:autoRedefine/>
    <w:qFormat/>
    <w:uiPriority w:val="0"/>
    <w:pPr>
      <w:tabs>
        <w:tab w:val="left" w:pos="2025"/>
      </w:tabs>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styleId="10">
    <w:name w:val="Normal Indent"/>
    <w:basedOn w:val="1"/>
    <w:next w:val="1"/>
    <w:autoRedefine/>
    <w:qFormat/>
    <w:uiPriority w:val="0"/>
    <w:pPr>
      <w:ind w:firstLine="420" w:firstLineChars="200"/>
    </w:pPr>
  </w:style>
  <w:style w:type="paragraph" w:styleId="11">
    <w:name w:val="annotation text"/>
    <w:basedOn w:val="1"/>
    <w:link w:val="41"/>
    <w:autoRedefine/>
    <w:qFormat/>
    <w:uiPriority w:val="0"/>
    <w:pPr>
      <w:widowControl w:val="0"/>
    </w:pPr>
    <w:rPr>
      <w:rFonts w:ascii="Times New Roman" w:hAnsi="Times New Roman" w:eastAsia="宋体" w:cs="Times New Roman"/>
      <w:kern w:val="2"/>
      <w:szCs w:val="24"/>
    </w:rPr>
  </w:style>
  <w:style w:type="paragraph" w:styleId="12">
    <w:name w:val="Body Text Indent"/>
    <w:basedOn w:val="1"/>
    <w:next w:val="1"/>
    <w:autoRedefine/>
    <w:qFormat/>
    <w:uiPriority w:val="0"/>
    <w:pPr>
      <w:spacing w:line="500" w:lineRule="atLeast"/>
      <w:ind w:firstLine="510"/>
    </w:pPr>
    <w:rPr>
      <w:rFonts w:ascii="仿宋_GB2312" w:eastAsia="仿宋_GB2312"/>
      <w:sz w:val="24"/>
      <w:szCs w:val="20"/>
    </w:rPr>
  </w:style>
  <w:style w:type="paragraph" w:styleId="13">
    <w:name w:val="toc 3"/>
    <w:basedOn w:val="1"/>
    <w:next w:val="1"/>
    <w:autoRedefine/>
    <w:qFormat/>
    <w:uiPriority w:val="39"/>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14">
    <w:name w:val="Plain Text"/>
    <w:basedOn w:val="1"/>
    <w:autoRedefine/>
    <w:qFormat/>
    <w:uiPriority w:val="99"/>
    <w:pPr>
      <w:autoSpaceDN/>
      <w:adjustRightInd/>
      <w:jc w:val="both"/>
    </w:pPr>
    <w:rPr>
      <w:rFonts w:ascii="宋体" w:hAnsi="Courier New"/>
      <w:sz w:val="20"/>
      <w:szCs w:val="20"/>
    </w:rPr>
  </w:style>
  <w:style w:type="paragraph" w:styleId="15">
    <w:name w:val="Date"/>
    <w:basedOn w:val="1"/>
    <w:next w:val="1"/>
    <w:autoRedefine/>
    <w:qFormat/>
    <w:uiPriority w:val="0"/>
    <w:rPr>
      <w:rFonts w:ascii="宋体"/>
      <w:szCs w:val="20"/>
    </w:rPr>
  </w:style>
  <w:style w:type="paragraph" w:styleId="16">
    <w:name w:val="Body Text Indent 2"/>
    <w:basedOn w:val="1"/>
    <w:autoRedefine/>
    <w:qFormat/>
    <w:uiPriority w:val="0"/>
    <w:pPr>
      <w:spacing w:line="360" w:lineRule="auto"/>
      <w:ind w:firstLine="601"/>
      <w:textAlignment w:val="baseline"/>
    </w:pPr>
    <w:rPr>
      <w:rFonts w:ascii="宋体"/>
      <w:kern w:val="0"/>
      <w:sz w:val="28"/>
      <w:szCs w:val="20"/>
    </w:rPr>
  </w:style>
  <w:style w:type="paragraph" w:styleId="17">
    <w:name w:val="Balloon Text"/>
    <w:basedOn w:val="1"/>
    <w:link w:val="42"/>
    <w:autoRedefine/>
    <w:qFormat/>
    <w:uiPriority w:val="0"/>
    <w:rPr>
      <w:sz w:val="18"/>
      <w:szCs w:val="18"/>
    </w:rPr>
  </w:style>
  <w:style w:type="paragraph" w:styleId="18">
    <w:name w:val="footer"/>
    <w:basedOn w:val="1"/>
    <w:link w:val="43"/>
    <w:autoRedefine/>
    <w:qFormat/>
    <w:uiPriority w:val="0"/>
    <w:pPr>
      <w:tabs>
        <w:tab w:val="center" w:pos="4153"/>
        <w:tab w:val="right" w:pos="8306"/>
      </w:tabs>
    </w:pPr>
    <w:rPr>
      <w:sz w:val="18"/>
      <w:szCs w:val="18"/>
    </w:rPr>
  </w:style>
  <w:style w:type="paragraph" w:styleId="19">
    <w:name w:val="header"/>
    <w:basedOn w:val="1"/>
    <w:link w:val="44"/>
    <w:autoRedefine/>
    <w:qFormat/>
    <w:uiPriority w:val="0"/>
    <w:pPr>
      <w:pBdr>
        <w:bottom w:val="single" w:color="auto" w:sz="6" w:space="1"/>
      </w:pBdr>
      <w:tabs>
        <w:tab w:val="center" w:pos="4153"/>
        <w:tab w:val="right" w:pos="8306"/>
      </w:tabs>
      <w:jc w:val="center"/>
    </w:pPr>
    <w:rPr>
      <w:sz w:val="18"/>
      <w:szCs w:val="18"/>
    </w:rPr>
  </w:style>
  <w:style w:type="paragraph" w:styleId="20">
    <w:name w:val="toc 1"/>
    <w:basedOn w:val="1"/>
    <w:next w:val="1"/>
    <w:autoRedefine/>
    <w:qFormat/>
    <w:uiPriority w:val="39"/>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styleId="21">
    <w:name w:val="Subtitle"/>
    <w:basedOn w:val="1"/>
    <w:next w:val="1"/>
    <w:autoRedefine/>
    <w:qFormat/>
    <w:uiPriority w:val="0"/>
    <w:pPr>
      <w:spacing w:before="240" w:after="60" w:line="312" w:lineRule="auto"/>
      <w:jc w:val="center"/>
      <w:outlineLvl w:val="1"/>
    </w:pPr>
    <w:rPr>
      <w:rFonts w:ascii="Cambria" w:hAnsi="Cambria"/>
      <w:b/>
      <w:bCs/>
      <w:kern w:val="28"/>
      <w:sz w:val="32"/>
      <w:szCs w:val="32"/>
    </w:rPr>
  </w:style>
  <w:style w:type="paragraph" w:styleId="22">
    <w:name w:val="toc 6"/>
    <w:basedOn w:val="1"/>
    <w:next w:val="1"/>
    <w:autoRedefine/>
    <w:qFormat/>
    <w:uiPriority w:val="99"/>
    <w:pPr>
      <w:autoSpaceDN/>
      <w:adjustRightInd/>
      <w:spacing w:before="100" w:beforeAutospacing="1" w:after="100" w:afterAutospacing="1"/>
      <w:ind w:left="2100" w:leftChars="1000"/>
      <w:jc w:val="both"/>
    </w:pPr>
    <w:rPr>
      <w:kern w:val="2"/>
    </w:rPr>
  </w:style>
  <w:style w:type="paragraph" w:styleId="23">
    <w:name w:val="Body Text Indent 3"/>
    <w:basedOn w:val="1"/>
    <w:autoRedefine/>
    <w:qFormat/>
    <w:uiPriority w:val="0"/>
    <w:pPr>
      <w:spacing w:after="120"/>
      <w:ind w:left="420" w:leftChars="200"/>
    </w:pPr>
    <w:rPr>
      <w:sz w:val="16"/>
      <w:szCs w:val="16"/>
    </w:rPr>
  </w:style>
  <w:style w:type="paragraph" w:styleId="24">
    <w:name w:val="HTML Preformatted"/>
    <w:basedOn w:val="1"/>
    <w:autoRedefine/>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rPr>
  </w:style>
  <w:style w:type="paragraph" w:styleId="25">
    <w:name w:val="Normal (Web)"/>
    <w:basedOn w:val="1"/>
    <w:autoRedefine/>
    <w:qFormat/>
    <w:uiPriority w:val="0"/>
    <w:pPr>
      <w:spacing w:before="100" w:beforeAutospacing="1" w:after="100" w:afterAutospacing="1"/>
    </w:pPr>
    <w:rPr>
      <w:rFonts w:cs="Times New Roman"/>
      <w:sz w:val="24"/>
    </w:rPr>
  </w:style>
  <w:style w:type="paragraph" w:styleId="26">
    <w:name w:val="Title"/>
    <w:basedOn w:val="1"/>
    <w:next w:val="1"/>
    <w:autoRedefine/>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27">
    <w:name w:val="annotation subject"/>
    <w:basedOn w:val="11"/>
    <w:next w:val="11"/>
    <w:link w:val="45"/>
    <w:autoRedefine/>
    <w:qFormat/>
    <w:uiPriority w:val="0"/>
    <w:rPr>
      <w:b/>
      <w:bCs/>
    </w:rPr>
  </w:style>
  <w:style w:type="paragraph" w:styleId="28">
    <w:name w:val="Body Text First Indent"/>
    <w:basedOn w:val="2"/>
    <w:autoRedefine/>
    <w:qFormat/>
    <w:uiPriority w:val="99"/>
    <w:pPr>
      <w:ind w:firstLine="420" w:firstLineChars="100"/>
    </w:pPr>
  </w:style>
  <w:style w:type="paragraph" w:styleId="29">
    <w:name w:val="Body Text First Indent 2"/>
    <w:basedOn w:val="12"/>
    <w:autoRedefine/>
    <w:qFormat/>
    <w:uiPriority w:val="99"/>
    <w:pPr>
      <w:spacing w:line="200" w:lineRule="atLeast"/>
      <w:ind w:firstLine="420"/>
    </w:pPr>
    <w:rPr>
      <w:rFonts w:ascii="宋体" w:hAnsi="Courier New"/>
      <w:spacing w:val="-4"/>
      <w:sz w:val="18"/>
    </w:rPr>
  </w:style>
  <w:style w:type="table" w:styleId="31">
    <w:name w:val="Table Grid"/>
    <w:basedOn w:val="3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autoRedefine/>
    <w:qFormat/>
    <w:uiPriority w:val="0"/>
    <w:rPr>
      <w:b/>
      <w:bCs/>
    </w:rPr>
  </w:style>
  <w:style w:type="character" w:styleId="34">
    <w:name w:val="FollowedHyperlink"/>
    <w:basedOn w:val="32"/>
    <w:autoRedefine/>
    <w:qFormat/>
    <w:uiPriority w:val="0"/>
    <w:rPr>
      <w:color w:val="800080"/>
      <w:u w:val="none"/>
    </w:rPr>
  </w:style>
  <w:style w:type="character" w:styleId="35">
    <w:name w:val="Hyperlink"/>
    <w:basedOn w:val="32"/>
    <w:autoRedefine/>
    <w:qFormat/>
    <w:uiPriority w:val="0"/>
    <w:rPr>
      <w:color w:val="0000FF"/>
      <w:u w:val="single"/>
    </w:rPr>
  </w:style>
  <w:style w:type="character" w:styleId="36">
    <w:name w:val="annotation reference"/>
    <w:basedOn w:val="32"/>
    <w:autoRedefine/>
    <w:qFormat/>
    <w:uiPriority w:val="0"/>
    <w:rPr>
      <w:sz w:val="21"/>
      <w:szCs w:val="21"/>
    </w:rPr>
  </w:style>
  <w:style w:type="paragraph" w:customStyle="1" w:styleId="37">
    <w:name w:val="明显引用1"/>
    <w:basedOn w:val="1"/>
    <w:next w:val="1"/>
    <w:autoRedefine/>
    <w:qFormat/>
    <w:uiPriority w:val="0"/>
    <w:pPr>
      <w:spacing w:before="200" w:after="280"/>
      <w:ind w:left="936" w:right="936"/>
    </w:pPr>
    <w:rPr>
      <w:b/>
      <w:i/>
      <w:color w:val="4F81BD"/>
      <w:sz w:val="20"/>
    </w:rPr>
  </w:style>
  <w:style w:type="paragraph" w:customStyle="1" w:styleId="38">
    <w:name w:val="TOC1"/>
    <w:basedOn w:val="1"/>
    <w:next w:val="1"/>
    <w:autoRedefine/>
    <w:qFormat/>
    <w:uiPriority w:val="0"/>
    <w:pPr>
      <w:tabs>
        <w:tab w:val="right" w:leader="dot" w:pos="9203"/>
      </w:tabs>
      <w:spacing w:before="120" w:after="120" w:line="360" w:lineRule="auto"/>
      <w:jc w:val="center"/>
      <w:textAlignment w:val="baseline"/>
    </w:pPr>
    <w:rPr>
      <w:rFonts w:ascii="宋体" w:hAnsi="宋体"/>
      <w:b/>
      <w:bCs/>
      <w:caps/>
      <w:sz w:val="20"/>
      <w:szCs w:val="20"/>
    </w:rPr>
  </w:style>
  <w:style w:type="paragraph" w:customStyle="1" w:styleId="39">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0">
    <w:name w:val="标题 1 字符"/>
    <w:basedOn w:val="32"/>
    <w:link w:val="4"/>
    <w:autoRedefine/>
    <w:qFormat/>
    <w:uiPriority w:val="0"/>
    <w:rPr>
      <w:rFonts w:ascii="Arial" w:hAnsi="Arial" w:eastAsia="Arial" w:cs="Arial"/>
      <w:b/>
      <w:bCs/>
      <w:snapToGrid w:val="0"/>
      <w:color w:val="000000"/>
      <w:kern w:val="44"/>
      <w:sz w:val="44"/>
      <w:szCs w:val="44"/>
    </w:rPr>
  </w:style>
  <w:style w:type="character" w:customStyle="1" w:styleId="41">
    <w:name w:val="批注文字 字符"/>
    <w:basedOn w:val="32"/>
    <w:link w:val="11"/>
    <w:autoRedefine/>
    <w:qFormat/>
    <w:uiPriority w:val="0"/>
    <w:rPr>
      <w:kern w:val="2"/>
      <w:sz w:val="21"/>
      <w:szCs w:val="24"/>
    </w:rPr>
  </w:style>
  <w:style w:type="character" w:customStyle="1" w:styleId="42">
    <w:name w:val="批注框文本 字符"/>
    <w:basedOn w:val="32"/>
    <w:link w:val="17"/>
    <w:autoRedefine/>
    <w:qFormat/>
    <w:uiPriority w:val="0"/>
    <w:rPr>
      <w:rFonts w:ascii="Arial" w:hAnsi="Arial" w:eastAsia="Arial" w:cs="Arial"/>
      <w:snapToGrid w:val="0"/>
      <w:color w:val="000000"/>
      <w:sz w:val="18"/>
      <w:szCs w:val="18"/>
    </w:rPr>
  </w:style>
  <w:style w:type="character" w:customStyle="1" w:styleId="43">
    <w:name w:val="页脚 字符"/>
    <w:basedOn w:val="32"/>
    <w:link w:val="18"/>
    <w:autoRedefine/>
    <w:qFormat/>
    <w:uiPriority w:val="0"/>
    <w:rPr>
      <w:rFonts w:ascii="Arial" w:hAnsi="Arial" w:eastAsia="Arial" w:cs="Arial"/>
      <w:snapToGrid w:val="0"/>
      <w:color w:val="000000"/>
      <w:sz w:val="18"/>
      <w:szCs w:val="18"/>
    </w:rPr>
  </w:style>
  <w:style w:type="character" w:customStyle="1" w:styleId="44">
    <w:name w:val="页眉 字符"/>
    <w:basedOn w:val="32"/>
    <w:link w:val="19"/>
    <w:autoRedefine/>
    <w:qFormat/>
    <w:uiPriority w:val="0"/>
    <w:rPr>
      <w:rFonts w:ascii="Arial" w:hAnsi="Arial" w:eastAsia="Arial" w:cs="Arial"/>
      <w:snapToGrid w:val="0"/>
      <w:color w:val="000000"/>
      <w:sz w:val="18"/>
      <w:szCs w:val="18"/>
    </w:rPr>
  </w:style>
  <w:style w:type="character" w:customStyle="1" w:styleId="45">
    <w:name w:val="批注主题 字符"/>
    <w:basedOn w:val="46"/>
    <w:link w:val="27"/>
    <w:autoRedefine/>
    <w:qFormat/>
    <w:uiPriority w:val="0"/>
    <w:rPr>
      <w:rFonts w:ascii="Arial" w:hAnsi="Arial" w:eastAsia="Arial" w:cs="Arial"/>
      <w:b/>
      <w:bCs/>
      <w:snapToGrid w:val="0"/>
      <w:color w:val="000000"/>
      <w:sz w:val="21"/>
      <w:szCs w:val="21"/>
    </w:rPr>
  </w:style>
  <w:style w:type="character" w:customStyle="1" w:styleId="46">
    <w:name w:val="批注文字 Char"/>
    <w:basedOn w:val="32"/>
    <w:autoRedefine/>
    <w:qFormat/>
    <w:uiPriority w:val="0"/>
    <w:rPr>
      <w:rFonts w:ascii="Arial" w:hAnsi="Arial" w:eastAsia="Arial" w:cs="Arial"/>
      <w:snapToGrid w:val="0"/>
      <w:color w:val="000000"/>
      <w:sz w:val="21"/>
      <w:szCs w:val="21"/>
    </w:rPr>
  </w:style>
  <w:style w:type="paragraph" w:customStyle="1" w:styleId="47">
    <w:name w:val="Heading1"/>
    <w:basedOn w:val="1"/>
    <w:next w:val="1"/>
    <w:autoRedefine/>
    <w:qFormat/>
    <w:uiPriority w:val="0"/>
    <w:pPr>
      <w:keepNext/>
      <w:keepLines/>
      <w:spacing w:before="340" w:after="330" w:line="576" w:lineRule="auto"/>
    </w:pPr>
    <w:rPr>
      <w:b/>
      <w:bCs/>
      <w:kern w:val="44"/>
      <w:sz w:val="44"/>
      <w:szCs w:val="44"/>
    </w:rPr>
  </w:style>
  <w:style w:type="table" w:customStyle="1" w:styleId="48">
    <w:name w:val="Table Normal"/>
    <w:autoRedefine/>
    <w:qFormat/>
    <w:uiPriority w:val="0"/>
    <w:tblPr>
      <w:tblCellMar>
        <w:top w:w="0" w:type="dxa"/>
        <w:left w:w="0" w:type="dxa"/>
        <w:bottom w:w="0" w:type="dxa"/>
        <w:right w:w="0" w:type="dxa"/>
      </w:tblCellMar>
    </w:tblPr>
  </w:style>
  <w:style w:type="paragraph" w:customStyle="1" w:styleId="49">
    <w:name w:val="TOC 标题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50">
    <w:name w:val="正文，首行缩进:"/>
    <w:basedOn w:val="1"/>
    <w:autoRedefine/>
    <w:qFormat/>
    <w:uiPriority w:val="0"/>
    <w:pPr>
      <w:spacing w:line="460" w:lineRule="exact"/>
      <w:ind w:firstLine="480" w:firstLineChars="200"/>
    </w:pPr>
    <w:rPr>
      <w:rFonts w:ascii="宋体" w:hAnsi="宋体" w:cs="宋体"/>
    </w:rPr>
  </w:style>
  <w:style w:type="paragraph" w:customStyle="1" w:styleId="51">
    <w:name w:val="Table Paragraph"/>
    <w:basedOn w:val="1"/>
    <w:autoRedefine/>
    <w:qFormat/>
    <w:uiPriority w:val="1"/>
    <w:pPr>
      <w:ind w:firstLine="126" w:firstLineChars="60"/>
    </w:pPr>
  </w:style>
  <w:style w:type="paragraph" w:styleId="52">
    <w:name w:val="List Paragraph"/>
    <w:basedOn w:val="1"/>
    <w:autoRedefine/>
    <w:qFormat/>
    <w:uiPriority w:val="0"/>
    <w:pPr>
      <w:spacing w:line="440" w:lineRule="exact"/>
      <w:ind w:firstLine="420" w:firstLineChars="200"/>
    </w:pPr>
    <w:rPr>
      <w:szCs w:val="20"/>
    </w:rPr>
  </w:style>
  <w:style w:type="paragraph" w:customStyle="1" w:styleId="53">
    <w:name w:val="正文1"/>
    <w:autoRedefine/>
    <w:qFormat/>
    <w:uiPriority w:val="0"/>
    <w:pPr>
      <w:jc w:val="both"/>
    </w:pPr>
    <w:rPr>
      <w:rFonts w:ascii="Calibri" w:hAnsi="Calibri" w:eastAsia="宋体" w:cs="Calibri"/>
      <w:kern w:val="2"/>
      <w:sz w:val="21"/>
      <w:szCs w:val="21"/>
      <w:lang w:val="en-US" w:eastAsia="zh-CN" w:bidi="ar-SA"/>
    </w:rPr>
  </w:style>
  <w:style w:type="paragraph" w:customStyle="1" w:styleId="54">
    <w:name w:val="修订1"/>
    <w:autoRedefine/>
    <w:qFormat/>
    <w:uiPriority w:val="99"/>
    <w:rPr>
      <w:rFonts w:ascii="Arial" w:hAnsi="Arial" w:eastAsia="Arial" w:cs="Arial"/>
      <w:snapToGrid w:val="0"/>
      <w:color w:val="000000"/>
      <w:sz w:val="21"/>
      <w:szCs w:val="21"/>
      <w:lang w:val="en-US" w:eastAsia="zh-CN" w:bidi="ar-SA"/>
    </w:rPr>
  </w:style>
  <w:style w:type="character" w:customStyle="1" w:styleId="55">
    <w:name w:val="19"/>
    <w:autoRedefine/>
    <w:qFormat/>
    <w:uiPriority w:val="0"/>
    <w:rPr>
      <w:rFonts w:hint="default" w:ascii="Times New Roman" w:hAnsi="Times New Roman" w:cs="Times New Roman"/>
      <w:sz w:val="21"/>
      <w:szCs w:val="21"/>
    </w:rPr>
  </w:style>
  <w:style w:type="paragraph" w:customStyle="1" w:styleId="56">
    <w:name w:val="目录 71"/>
    <w:next w:val="1"/>
    <w:autoRedefine/>
    <w:qFormat/>
    <w:uiPriority w:val="0"/>
    <w:pPr>
      <w:wordWrap w:val="0"/>
      <w:ind w:left="2550"/>
      <w:jc w:val="both"/>
    </w:pPr>
    <w:rPr>
      <w:rFonts w:ascii="宋体" w:hAnsi="宋体" w:eastAsia="Times New Roman" w:cs="Times New Roman"/>
      <w:sz w:val="21"/>
      <w:lang w:val="en-US" w:eastAsia="zh-CN" w:bidi="ar-SA"/>
    </w:rPr>
  </w:style>
  <w:style w:type="paragraph" w:customStyle="1" w:styleId="57">
    <w:name w:val="表格内容"/>
    <w:basedOn w:val="1"/>
    <w:autoRedefine/>
    <w:qFormat/>
    <w:uiPriority w:val="0"/>
    <w:rPr>
      <w:rFonts w:hint="eastAsia"/>
    </w:rPr>
  </w:style>
  <w:style w:type="paragraph" w:customStyle="1" w:styleId="58">
    <w:name w:val="列表段落1"/>
    <w:basedOn w:val="1"/>
    <w:autoRedefine/>
    <w:qFormat/>
    <w:uiPriority w:val="34"/>
    <w:pPr>
      <w:ind w:firstLine="420"/>
    </w:pPr>
  </w:style>
  <w:style w:type="character" w:customStyle="1" w:styleId="59">
    <w:name w:val="font31"/>
    <w:basedOn w:val="32"/>
    <w:autoRedefine/>
    <w:qFormat/>
    <w:uiPriority w:val="0"/>
    <w:rPr>
      <w:rFonts w:hint="eastAsia" w:ascii="宋体" w:hAnsi="宋体" w:eastAsia="宋体" w:cs="宋体"/>
      <w:color w:val="000000"/>
      <w:sz w:val="24"/>
      <w:szCs w:val="24"/>
      <w:u w:val="none"/>
    </w:rPr>
  </w:style>
  <w:style w:type="character" w:customStyle="1" w:styleId="60">
    <w:name w:val="font41"/>
    <w:basedOn w:val="32"/>
    <w:autoRedefine/>
    <w:qFormat/>
    <w:uiPriority w:val="0"/>
    <w:rPr>
      <w:rFonts w:hint="eastAsia" w:ascii="宋体" w:hAnsi="宋体" w:eastAsia="宋体" w:cs="宋体"/>
      <w:color w:val="00B050"/>
      <w:sz w:val="24"/>
      <w:szCs w:val="24"/>
      <w:u w:val="none"/>
    </w:rPr>
  </w:style>
  <w:style w:type="character" w:customStyle="1" w:styleId="61">
    <w:name w:val="font11"/>
    <w:basedOn w:val="32"/>
    <w:autoRedefine/>
    <w:qFormat/>
    <w:uiPriority w:val="0"/>
    <w:rPr>
      <w:rFonts w:hint="eastAsia" w:ascii="宋体" w:hAnsi="宋体" w:eastAsia="宋体" w:cs="宋体"/>
      <w:color w:val="000000"/>
      <w:sz w:val="24"/>
      <w:szCs w:val="24"/>
      <w:u w:val="none"/>
    </w:rPr>
  </w:style>
  <w:style w:type="paragraph" w:customStyle="1" w:styleId="62">
    <w:name w:val="--排版样式--正文"/>
    <w:basedOn w:val="1"/>
    <w:autoRedefine/>
    <w:qFormat/>
    <w:uiPriority w:val="0"/>
    <w:pPr>
      <w:tabs>
        <w:tab w:val="left" w:pos="600"/>
      </w:tabs>
      <w:spacing w:after="200" w:line="360" w:lineRule="auto"/>
      <w:ind w:firstLine="200" w:firstLineChars="200"/>
    </w:pPr>
    <w:rPr>
      <w:rFonts w:ascii="宋体"/>
    </w:rPr>
  </w:style>
  <w:style w:type="character" w:customStyle="1" w:styleId="63">
    <w:name w:val="样式 宋体 四号"/>
    <w:autoRedefine/>
    <w:qFormat/>
    <w:uiPriority w:val="0"/>
    <w:rPr>
      <w:rFonts w:ascii="宋体" w:hAnsi="宋体" w:eastAsia="仿宋_GB2312"/>
      <w:sz w:val="28"/>
    </w:rPr>
  </w:style>
  <w:style w:type="paragraph" w:customStyle="1" w:styleId="64">
    <w:name w:val="标书_正文"/>
    <w:autoRedefine/>
    <w:qFormat/>
    <w:uiPriority w:val="0"/>
    <w:pPr>
      <w:widowControl w:val="0"/>
      <w:adjustRightInd w:val="0"/>
      <w:snapToGrid w:val="0"/>
      <w:spacing w:line="400" w:lineRule="exact"/>
      <w:ind w:firstLine="560" w:firstLineChars="200"/>
      <w:jc w:val="both"/>
    </w:pPr>
    <w:rPr>
      <w:rFonts w:ascii="仿宋_GB2312" w:hAnsi="Times New Roman" w:eastAsia="仿宋_GB2312" w:cs="Times New Roman"/>
      <w:bCs/>
      <w:color w:val="000000"/>
      <w:sz w:val="28"/>
      <w:szCs w:val="28"/>
      <w:lang w:val="en-US" w:eastAsia="zh-CN" w:bidi="ar-SA"/>
    </w:rPr>
  </w:style>
  <w:style w:type="paragraph" w:customStyle="1" w:styleId="65">
    <w:name w:val="大标题"/>
    <w:basedOn w:val="1"/>
    <w:autoRedefine/>
    <w:qFormat/>
    <w:uiPriority w:val="0"/>
    <w:pPr>
      <w:numPr>
        <w:ilvl w:val="0"/>
        <w:numId w:val="3"/>
      </w:numPr>
      <w:spacing w:line="440" w:lineRule="exact"/>
      <w:ind w:firstLine="482" w:firstLineChars="200"/>
      <w:outlineLvl w:val="0"/>
    </w:pPr>
    <w:rPr>
      <w:rFonts w:hint="eastAsia" w:ascii="宋体" w:hAnsi="宋体" w:eastAsia="宋体" w:cs="宋体"/>
      <w:b/>
      <w:bCs/>
      <w:color w:val="auto"/>
      <w:sz w:val="24"/>
    </w:rPr>
  </w:style>
  <w:style w:type="paragraph" w:customStyle="1" w:styleId="66">
    <w:name w:val="自动更正"/>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7">
    <w:name w:val="Body text|1"/>
    <w:basedOn w:val="1"/>
    <w:autoRedefine/>
    <w:qFormat/>
    <w:uiPriority w:val="0"/>
    <w:pPr>
      <w:autoSpaceDE/>
      <w:autoSpaceDN/>
      <w:spacing w:line="353" w:lineRule="auto"/>
      <w:ind w:firstLine="400"/>
    </w:pPr>
    <w:rPr>
      <w:rFonts w:ascii="宋体" w:hAnsi="宋体" w:eastAsia="宋体" w:cs="宋体"/>
      <w:lang w:val="zh-TW" w:eastAsia="zh-TW" w:bidi="zh-TW"/>
    </w:rPr>
  </w:style>
  <w:style w:type="paragraph" w:customStyle="1" w:styleId="68">
    <w:name w:val="Table Text"/>
    <w:basedOn w:val="1"/>
    <w:semiHidden/>
    <w:qFormat/>
    <w:uiPriority w:val="0"/>
    <w:rPr>
      <w:rFonts w:ascii="宋体" w:hAnsi="宋体" w:eastAsia="宋体"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customXml" Target="../customXml/item3.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Version="6" StyleName="APA" SelectedStyle="\APASixthEditionOfficeOnline.xsl"/>
</file>

<file path=customXml/item3.xml><?xml version="1.0" encoding="utf-8"?>
<mcd:customData xmlns:mcd="http://www.wps.cn/android/officeDocument/2013/mofficeCustomData" version="2">
  <mcd:comments xmlns:mcd="http://www.wps.cn/android/officeDocument/2013/mofficeCustomData"/>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6240CF8-7C2A-40A3-98AE-07BEE6F3A594}">
  <ds:schemaRefs/>
</ds:datastoreItem>
</file>

<file path=customXml/itemProps3.xml><?xml version="1.0" encoding="utf-8"?>
<ds:datastoreItem xmlns:ds="http://schemas.openxmlformats.org/officeDocument/2006/customXml" ds:itemID="{daf8c475-3d80-4080-82bc-b2a01dfbee9c}">
  <ds:schemaRefs/>
</ds:datastoreItem>
</file>

<file path=docProps/app.xml><?xml version="1.0" encoding="utf-8"?>
<Properties xmlns="http://schemas.openxmlformats.org/officeDocument/2006/extended-properties" xmlns:vt="http://schemas.openxmlformats.org/officeDocument/2006/docPropsVTypes">
  <Template>Normal</Template>
  <Pages>98</Pages>
  <Words>19437</Words>
  <Characters>21330</Characters>
  <Paragraphs>3407</Paragraphs>
  <TotalTime>1</TotalTime>
  <ScaleCrop>false</ScaleCrop>
  <LinksUpToDate>false</LinksUpToDate>
  <CharactersWithSpaces>21878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2025-12-06T14:50:00Z</dcterms:created>
  <dc:creator>微软系统</dc:creator>
  <cp:lastModifiedBy>Administrator</cp:lastModifiedBy>
  <cp:lastPrinted>2026-04-13T06:55:00Z</cp:lastPrinted>
  <dcterms:modified xsi:type="dcterms:W3CDTF">2026-06-09T04:28:59Z</dcterms:modified>
  <dc:title>（项目名称） 标段服务招标</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2023-06-16T17:12:46Z</vt:filetime>
  </property>
  <property fmtid="{D5CDD505-2E9C-101B-9397-08002B2CF9AE}" pid="4" name="KSOProductBuildVer">
    <vt:lpwstr>2052-12.1.0.23542</vt:lpwstr>
  </property>
  <property fmtid="{D5CDD505-2E9C-101B-9397-08002B2CF9AE}" pid="5" name="ICV">
    <vt:lpwstr>5A04E5D71E9C4CC7B28C3CCD8BA38C7E_13</vt:lpwstr>
  </property>
  <property fmtid="{D5CDD505-2E9C-101B-9397-08002B2CF9AE}" pid="6" name="KSOTemplateDocerSaveRecord">
    <vt:lpwstr>eyJoZGlkIjoiNTM3NzUzZWM3YTg5OTFhYzA5MjUxYmI1YzYzMTEzNDQiLCJ1c2VySWQiOiI3MDM4MjE3NDAifQ==</vt:lpwstr>
  </property>
</Properties>
</file>